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6" w:lineRule="auto"/>
        <w:jc w:val="center"/>
        <w:rPr>
          <w:rFonts w:hint="eastAsia" w:ascii="宋体" w:hAnsi="宋体" w:eastAsia="宋体" w:cs="宋体"/>
          <w:bCs/>
          <w:color w:val="auto"/>
          <w:sz w:val="72"/>
          <w:highlight w:val="none"/>
        </w:rPr>
      </w:pPr>
      <w:bookmarkStart w:id="36" w:name="_GoBack"/>
      <w:bookmarkEnd w:id="36"/>
    </w:p>
    <w:p>
      <w:pPr>
        <w:spacing w:line="216" w:lineRule="auto"/>
        <w:jc w:val="center"/>
        <w:rPr>
          <w:rFonts w:hint="eastAsia" w:ascii="宋体" w:hAnsi="宋体" w:eastAsia="宋体" w:cs="宋体"/>
          <w:bCs/>
          <w:color w:val="auto"/>
          <w:sz w:val="72"/>
          <w:highlight w:val="none"/>
        </w:rPr>
      </w:pPr>
    </w:p>
    <w:p>
      <w:pPr>
        <w:jc w:val="center"/>
        <w:rPr>
          <w:rFonts w:hint="eastAsia" w:ascii="宋体" w:hAnsi="宋体" w:eastAsia="宋体" w:cs="宋体"/>
          <w:b/>
          <w:color w:val="auto"/>
          <w:spacing w:val="30"/>
          <w:sz w:val="44"/>
          <w:szCs w:val="44"/>
          <w:highlight w:val="none"/>
        </w:rPr>
      </w:pPr>
      <w:r>
        <w:rPr>
          <w:rFonts w:hint="eastAsia" w:ascii="宋体" w:hAnsi="宋体" w:eastAsia="宋体" w:cs="宋体"/>
          <w:b/>
          <w:color w:val="auto"/>
          <w:spacing w:val="30"/>
          <w:sz w:val="44"/>
          <w:szCs w:val="44"/>
          <w:highlight w:val="none"/>
        </w:rPr>
        <w:t>拱墅区清除非法涂写招贴广告作业项目</w:t>
      </w:r>
    </w:p>
    <w:p>
      <w:pPr>
        <w:spacing w:line="360" w:lineRule="auto"/>
        <w:ind w:right="57"/>
        <w:jc w:val="center"/>
        <w:rPr>
          <w:rFonts w:hint="eastAsia" w:ascii="宋体" w:hAnsi="宋体" w:eastAsia="宋体" w:cs="宋体"/>
          <w:b/>
          <w:color w:val="auto"/>
          <w:spacing w:val="30"/>
          <w:sz w:val="52"/>
          <w:szCs w:val="52"/>
          <w:highlight w:val="none"/>
        </w:rPr>
      </w:pPr>
    </w:p>
    <w:p>
      <w:pPr>
        <w:spacing w:line="360" w:lineRule="auto"/>
        <w:ind w:right="57"/>
        <w:jc w:val="center"/>
        <w:rPr>
          <w:rFonts w:hint="eastAsia" w:ascii="宋体" w:hAnsi="宋体" w:eastAsia="宋体" w:cs="宋体"/>
          <w:b/>
          <w:color w:val="auto"/>
          <w:spacing w:val="30"/>
          <w:sz w:val="52"/>
          <w:szCs w:val="52"/>
          <w:highlight w:val="none"/>
        </w:rPr>
      </w:pPr>
    </w:p>
    <w:p>
      <w:pPr>
        <w:spacing w:before="240"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项目编号：CTSC-2020-019</w:t>
      </w:r>
    </w:p>
    <w:p>
      <w:pPr>
        <w:spacing w:before="240" w:beforeLines="100" w:after="100" w:afterAutospacing="1" w:line="800" w:lineRule="exact"/>
        <w:ind w:right="-108"/>
        <w:jc w:val="center"/>
        <w:rPr>
          <w:rFonts w:hint="eastAsia" w:ascii="宋体" w:hAnsi="宋体" w:eastAsia="宋体" w:cs="宋体"/>
          <w:b/>
          <w:color w:val="auto"/>
          <w:spacing w:val="40"/>
          <w:sz w:val="84"/>
          <w:szCs w:val="84"/>
          <w:highlight w:val="none"/>
        </w:rPr>
      </w:pPr>
    </w:p>
    <w:p>
      <w:pPr>
        <w:spacing w:before="240" w:beforeLines="100" w:after="100" w:afterAutospacing="1" w:line="800" w:lineRule="exact"/>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公开招标文件</w:t>
      </w:r>
    </w:p>
    <w:p>
      <w:pPr>
        <w:ind w:right="-110"/>
        <w:jc w:val="center"/>
        <w:rPr>
          <w:rFonts w:hint="eastAsia" w:ascii="宋体" w:hAnsi="宋体" w:eastAsia="宋体" w:cs="宋体"/>
          <w:color w:val="auto"/>
          <w:sz w:val="32"/>
          <w:szCs w:val="32"/>
          <w:highlight w:val="none"/>
        </w:rPr>
      </w:pPr>
      <w:r>
        <w:rPr>
          <w:rFonts w:hint="eastAsia" w:ascii="宋体" w:hAnsi="宋体" w:eastAsia="宋体" w:cs="宋体"/>
          <w:b/>
          <w:color w:val="auto"/>
          <w:sz w:val="36"/>
          <w:highlight w:val="none"/>
        </w:rPr>
        <w:t>（线上电子招投标）</w:t>
      </w:r>
    </w:p>
    <w:p>
      <w:pPr>
        <w:ind w:right="-110"/>
        <w:rPr>
          <w:rFonts w:hint="eastAsia" w:ascii="宋体" w:hAnsi="宋体" w:eastAsia="宋体" w:cs="宋体"/>
          <w:color w:val="auto"/>
          <w:sz w:val="32"/>
          <w:szCs w:val="32"/>
          <w:highlight w:val="none"/>
        </w:rPr>
      </w:pPr>
    </w:p>
    <w:p>
      <w:pPr>
        <w:ind w:right="-110"/>
        <w:rPr>
          <w:rFonts w:hint="eastAsia" w:ascii="宋体" w:hAnsi="宋体" w:eastAsia="宋体" w:cs="宋体"/>
          <w:color w:val="auto"/>
          <w:sz w:val="32"/>
          <w:szCs w:val="32"/>
          <w:highlight w:val="none"/>
        </w:rPr>
      </w:pPr>
    </w:p>
    <w:p>
      <w:pPr>
        <w:ind w:right="-110"/>
        <w:rPr>
          <w:rFonts w:hint="eastAsia" w:ascii="宋体" w:hAnsi="宋体" w:eastAsia="宋体" w:cs="宋体"/>
          <w:color w:val="auto"/>
          <w:sz w:val="32"/>
          <w:szCs w:val="32"/>
          <w:highlight w:val="none"/>
        </w:rPr>
      </w:pPr>
    </w:p>
    <w:p>
      <w:pPr>
        <w:ind w:right="-110"/>
        <w:rPr>
          <w:rFonts w:hint="eastAsia" w:ascii="宋体" w:hAnsi="宋体" w:eastAsia="宋体" w:cs="宋体"/>
          <w:color w:val="auto"/>
          <w:sz w:val="32"/>
          <w:szCs w:val="32"/>
          <w:highlight w:val="none"/>
        </w:rPr>
      </w:pPr>
    </w:p>
    <w:p>
      <w:pPr>
        <w:ind w:right="-110"/>
        <w:rPr>
          <w:rFonts w:hint="eastAsia" w:ascii="宋体" w:hAnsi="宋体" w:eastAsia="宋体" w:cs="宋体"/>
          <w:color w:val="auto"/>
          <w:sz w:val="32"/>
          <w:szCs w:val="32"/>
          <w:highlight w:val="none"/>
        </w:rPr>
      </w:pPr>
    </w:p>
    <w:p>
      <w:pPr>
        <w:ind w:right="-110"/>
        <w:rPr>
          <w:rFonts w:hint="eastAsia" w:ascii="宋体" w:hAnsi="宋体" w:eastAsia="宋体" w:cs="宋体"/>
          <w:color w:val="auto"/>
          <w:sz w:val="32"/>
          <w:szCs w:val="32"/>
          <w:highlight w:val="none"/>
        </w:rPr>
      </w:pPr>
    </w:p>
    <w:p>
      <w:pPr>
        <w:spacing w:line="500" w:lineRule="exact"/>
        <w:ind w:left="1981" w:leftChars="249" w:right="532" w:hanging="1458" w:hangingChars="405"/>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采购人：杭州市拱墅区城市管理局</w:t>
      </w:r>
    </w:p>
    <w:p>
      <w:pPr>
        <w:spacing w:line="500" w:lineRule="exact"/>
        <w:ind w:right="532" w:firstLine="72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采购代理机构：浙江省成套工程有限公司</w:t>
      </w:r>
    </w:p>
    <w:p>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w w:val="95"/>
          <w:sz w:val="36"/>
          <w:szCs w:val="36"/>
          <w:highlight w:val="none"/>
        </w:rPr>
        <w:t>2020年4月</w:t>
      </w:r>
    </w:p>
    <w:p>
      <w:pPr>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pPr>
        <w:autoSpaceDE w:val="0"/>
        <w:autoSpaceDN w:val="0"/>
        <w:jc w:val="center"/>
        <w:textAlignment w:val="bottom"/>
        <w:outlineLvl w:val="0"/>
        <w:rPr>
          <w:rFonts w:hint="eastAsia" w:ascii="宋体" w:hAnsi="宋体" w:eastAsia="宋体" w:cs="宋体"/>
          <w:b/>
          <w:color w:val="auto"/>
          <w:sz w:val="52"/>
          <w:szCs w:val="52"/>
          <w:highlight w:val="none"/>
        </w:rPr>
      </w:pPr>
    </w:p>
    <w:p>
      <w:pPr>
        <w:autoSpaceDE w:val="0"/>
        <w:autoSpaceDN w:val="0"/>
        <w:jc w:val="center"/>
        <w:textAlignment w:val="bottom"/>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p>
      <w:pPr>
        <w:autoSpaceDE w:val="0"/>
        <w:autoSpaceDN w:val="0"/>
        <w:jc w:val="center"/>
        <w:textAlignment w:val="bottom"/>
        <w:outlineLvl w:val="0"/>
        <w:rPr>
          <w:rFonts w:hint="eastAsia" w:ascii="宋体" w:hAnsi="宋体" w:eastAsia="宋体" w:cs="宋体"/>
          <w:b/>
          <w:color w:val="auto"/>
          <w:sz w:val="44"/>
          <w:highlight w:val="none"/>
        </w:rPr>
      </w:pPr>
    </w:p>
    <w:p>
      <w:pPr>
        <w:rPr>
          <w:rFonts w:hint="eastAsia" w:ascii="宋体" w:hAnsi="宋体" w:eastAsia="宋体" w:cs="宋体"/>
          <w:b/>
          <w:bCs/>
          <w:color w:val="auto"/>
          <w:sz w:val="32"/>
          <w:highlight w:val="none"/>
        </w:rPr>
      </w:pPr>
    </w:p>
    <w:p>
      <w:pPr>
        <w:spacing w:line="360" w:lineRule="auto"/>
        <w:ind w:firstLine="1040" w:firstLineChars="325"/>
        <w:rPr>
          <w:rFonts w:hint="eastAsia" w:ascii="宋体" w:hAnsi="宋体" w:eastAsia="宋体" w:cs="宋体"/>
          <w:color w:val="auto"/>
          <w:sz w:val="32"/>
          <w:highlight w:val="none"/>
        </w:rPr>
      </w:pPr>
      <w:r>
        <w:rPr>
          <w:rFonts w:hint="eastAsia" w:ascii="宋体" w:hAnsi="宋体" w:eastAsia="宋体" w:cs="宋体"/>
          <w:color w:val="auto"/>
          <w:sz w:val="32"/>
          <w:highlight w:val="none"/>
        </w:rPr>
        <w:t>第一章      招标公告</w:t>
      </w:r>
    </w:p>
    <w:p>
      <w:pPr>
        <w:spacing w:line="360" w:lineRule="auto"/>
        <w:ind w:firstLine="1040" w:firstLineChars="325"/>
        <w:rPr>
          <w:rFonts w:hint="eastAsia" w:ascii="宋体" w:hAnsi="宋体" w:eastAsia="宋体" w:cs="宋体"/>
          <w:color w:val="auto"/>
          <w:sz w:val="32"/>
          <w:highlight w:val="none"/>
        </w:rPr>
      </w:pPr>
      <w:r>
        <w:rPr>
          <w:rFonts w:hint="eastAsia" w:ascii="宋体" w:hAnsi="宋体" w:eastAsia="宋体" w:cs="宋体"/>
          <w:color w:val="auto"/>
          <w:sz w:val="32"/>
          <w:highlight w:val="none"/>
        </w:rPr>
        <w:t>第二章      编制和提交采购响应文件须知</w:t>
      </w:r>
    </w:p>
    <w:p>
      <w:pPr>
        <w:spacing w:line="360" w:lineRule="auto"/>
        <w:ind w:firstLine="1040" w:firstLineChars="325"/>
        <w:rPr>
          <w:rFonts w:hint="eastAsia" w:ascii="宋体" w:hAnsi="宋体" w:eastAsia="宋体" w:cs="宋体"/>
          <w:color w:val="auto"/>
          <w:sz w:val="32"/>
          <w:highlight w:val="none"/>
        </w:rPr>
      </w:pPr>
      <w:r>
        <w:rPr>
          <w:rFonts w:hint="eastAsia" w:ascii="宋体" w:hAnsi="宋体" w:eastAsia="宋体" w:cs="宋体"/>
          <w:color w:val="auto"/>
          <w:sz w:val="32"/>
          <w:highlight w:val="none"/>
        </w:rPr>
        <w:t>第三章      项目技术规范和服务要求</w:t>
      </w:r>
    </w:p>
    <w:p>
      <w:pPr>
        <w:spacing w:line="360" w:lineRule="auto"/>
        <w:ind w:firstLine="1040" w:firstLineChars="325"/>
        <w:rPr>
          <w:rFonts w:hint="eastAsia" w:ascii="宋体" w:hAnsi="宋体" w:eastAsia="宋体" w:cs="宋体"/>
          <w:color w:val="auto"/>
          <w:sz w:val="32"/>
          <w:highlight w:val="none"/>
        </w:rPr>
      </w:pPr>
      <w:r>
        <w:rPr>
          <w:rFonts w:hint="eastAsia" w:ascii="宋体" w:hAnsi="宋体" w:eastAsia="宋体" w:cs="宋体"/>
          <w:color w:val="auto"/>
          <w:sz w:val="32"/>
          <w:highlight w:val="none"/>
        </w:rPr>
        <w:t>第四章      采购合同的一般和特殊条款</w:t>
      </w:r>
    </w:p>
    <w:p>
      <w:pPr>
        <w:spacing w:line="360" w:lineRule="auto"/>
        <w:ind w:firstLine="1040" w:firstLineChars="325"/>
        <w:rPr>
          <w:rFonts w:hint="eastAsia" w:ascii="宋体" w:hAnsi="宋体" w:eastAsia="宋体" w:cs="宋体"/>
          <w:color w:val="auto"/>
          <w:sz w:val="32"/>
          <w:highlight w:val="none"/>
        </w:rPr>
      </w:pPr>
      <w:r>
        <w:rPr>
          <w:rFonts w:hint="eastAsia" w:ascii="宋体" w:hAnsi="宋体" w:eastAsia="宋体" w:cs="宋体"/>
          <w:color w:val="auto"/>
          <w:sz w:val="32"/>
          <w:highlight w:val="none"/>
        </w:rPr>
        <w:t>第五章      应提交的有关格式范例</w:t>
      </w:r>
    </w:p>
    <w:p>
      <w:pPr>
        <w:widowControl/>
        <w:autoSpaceDE w:val="0"/>
        <w:autoSpaceDN w:val="0"/>
        <w:textAlignment w:val="bottom"/>
        <w:rPr>
          <w:rFonts w:hint="eastAsia" w:ascii="宋体" w:hAnsi="宋体" w:eastAsia="宋体" w:cs="宋体"/>
          <w:bCs/>
          <w:color w:val="auto"/>
          <w:sz w:val="44"/>
          <w:highlight w:val="none"/>
        </w:rPr>
      </w:pPr>
    </w:p>
    <w:p>
      <w:pPr>
        <w:widowControl/>
        <w:autoSpaceDE w:val="0"/>
        <w:autoSpaceDN w:val="0"/>
        <w:textAlignment w:val="bottom"/>
        <w:rPr>
          <w:rFonts w:hint="eastAsia" w:ascii="宋体" w:hAnsi="宋体" w:eastAsia="宋体" w:cs="宋体"/>
          <w:b/>
          <w:color w:val="auto"/>
          <w:sz w:val="44"/>
          <w:highlight w:val="none"/>
        </w:rPr>
        <w:sectPr>
          <w:headerReference r:id="rId4" w:type="first"/>
          <w:footerReference r:id="rId7" w:type="first"/>
          <w:headerReference r:id="rId3" w:type="default"/>
          <w:footerReference r:id="rId5" w:type="default"/>
          <w:footerReference r:id="rId6" w:type="even"/>
          <w:type w:val="nextColumn"/>
          <w:pgSz w:w="11906" w:h="16838"/>
          <w:pgMar w:top="1440" w:right="1474" w:bottom="1440" w:left="1474" w:header="851" w:footer="1247" w:gutter="284"/>
          <w:pgNumType w:start="1"/>
          <w:cols w:space="720" w:num="1"/>
          <w:docGrid w:linePitch="285" w:charSpace="0"/>
        </w:sectPr>
      </w:pPr>
    </w:p>
    <w:p>
      <w:pPr>
        <w:spacing w:line="312"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第一章  招标公告</w:t>
      </w:r>
    </w:p>
    <w:p>
      <w:pPr>
        <w:spacing w:line="312" w:lineRule="auto"/>
        <w:jc w:val="center"/>
        <w:rPr>
          <w:rFonts w:hint="eastAsia" w:ascii="宋体" w:hAnsi="宋体" w:eastAsia="宋体" w:cs="宋体"/>
          <w:b/>
          <w:color w:val="auto"/>
          <w:sz w:val="24"/>
          <w:highlight w:val="none"/>
        </w:rPr>
      </w:pPr>
    </w:p>
    <w:p>
      <w:pPr>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根据《中华人民共和国政府采购法》等有关规定，经政府采购管理部门批准，</w:t>
      </w:r>
      <w:bookmarkStart w:id="0" w:name="B05_采购代理机构名称"/>
      <w:r>
        <w:rPr>
          <w:rFonts w:hint="eastAsia" w:ascii="宋体" w:hAnsi="宋体" w:eastAsia="宋体" w:cs="宋体"/>
          <w:color w:val="auto"/>
          <w:kern w:val="0"/>
          <w:sz w:val="24"/>
          <w:highlight w:val="none"/>
        </w:rPr>
        <w:t>浙江省成套工程有限公司</w:t>
      </w:r>
      <w:bookmarkEnd w:id="0"/>
      <w:r>
        <w:rPr>
          <w:rFonts w:hint="eastAsia" w:ascii="宋体" w:hAnsi="宋体" w:eastAsia="宋体" w:cs="宋体"/>
          <w:color w:val="auto"/>
          <w:kern w:val="0"/>
          <w:sz w:val="24"/>
          <w:highlight w:val="none"/>
        </w:rPr>
        <w:t>受杭州市拱墅区城市管理局委托，就拱墅区清除非法涂写招贴广告作业项目进行公开招标，欢迎</w:t>
      </w:r>
      <w:r>
        <w:rPr>
          <w:rFonts w:hint="eastAsia" w:ascii="宋体" w:hAnsi="宋体" w:eastAsia="宋体" w:cs="宋体"/>
          <w:color w:val="auto"/>
          <w:sz w:val="24"/>
          <w:highlight w:val="none"/>
        </w:rPr>
        <w:t>合格的服务商参加投标</w:t>
      </w:r>
      <w:r>
        <w:rPr>
          <w:rFonts w:hint="eastAsia" w:ascii="宋体" w:hAnsi="宋体" w:eastAsia="宋体" w:cs="宋体"/>
          <w:color w:val="auto"/>
          <w:kern w:val="0"/>
          <w:sz w:val="24"/>
          <w:highlight w:val="none"/>
        </w:rPr>
        <w:t>。</w:t>
      </w:r>
    </w:p>
    <w:p>
      <w:pPr>
        <w:widowControl/>
        <w:spacing w:before="80" w:after="80" w:line="360" w:lineRule="auto"/>
        <w:ind w:right="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1、招标编号：</w:t>
      </w:r>
      <w:r>
        <w:rPr>
          <w:rFonts w:hint="eastAsia" w:ascii="宋体" w:hAnsi="宋体" w:eastAsia="宋体" w:cs="宋体"/>
          <w:color w:val="auto"/>
          <w:kern w:val="0"/>
          <w:sz w:val="24"/>
          <w:highlight w:val="none"/>
        </w:rPr>
        <w:t>CTSC-2020-019</w:t>
      </w:r>
    </w:p>
    <w:p>
      <w:pPr>
        <w:widowControl/>
        <w:spacing w:before="80" w:after="80" w:line="360" w:lineRule="auto"/>
        <w:ind w:right="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2、项目名称：</w:t>
      </w:r>
      <w:r>
        <w:rPr>
          <w:rFonts w:hint="eastAsia" w:ascii="宋体" w:hAnsi="宋体" w:eastAsia="宋体" w:cs="宋体"/>
          <w:color w:val="auto"/>
          <w:kern w:val="0"/>
          <w:sz w:val="24"/>
          <w:highlight w:val="none"/>
        </w:rPr>
        <w:t>拱墅区清除非法涂写招贴广告作业项目</w:t>
      </w:r>
    </w:p>
    <w:p>
      <w:pPr>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3、招标内容：</w:t>
      </w:r>
    </w:p>
    <w:tbl>
      <w:tblPr>
        <w:tblStyle w:val="22"/>
        <w:tblW w:w="10499" w:type="dxa"/>
        <w:jc w:val="center"/>
        <w:tblLayout w:type="fixed"/>
        <w:tblCellMar>
          <w:top w:w="0" w:type="dxa"/>
          <w:left w:w="0" w:type="dxa"/>
          <w:bottom w:w="0" w:type="dxa"/>
          <w:right w:w="0" w:type="dxa"/>
        </w:tblCellMar>
      </w:tblPr>
      <w:tblGrid>
        <w:gridCol w:w="615"/>
        <w:gridCol w:w="5606"/>
        <w:gridCol w:w="1230"/>
        <w:gridCol w:w="1050"/>
        <w:gridCol w:w="1998"/>
      </w:tblGrid>
      <w:tr>
        <w:tblPrEx>
          <w:tblCellMar>
            <w:top w:w="0" w:type="dxa"/>
            <w:left w:w="0" w:type="dxa"/>
            <w:bottom w:w="0" w:type="dxa"/>
            <w:right w:w="0"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标段</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标项名称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道路长度（米）</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预算金额（元）</w:t>
            </w:r>
          </w:p>
        </w:tc>
        <w:tc>
          <w:tcPr>
            <w:tcW w:w="19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拱墅区米市巷街道非法涂写招贴广告清除范围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19710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215000</w:t>
            </w:r>
          </w:p>
        </w:tc>
        <w:tc>
          <w:tcPr>
            <w:tcW w:w="199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b/>
                <w:bCs/>
                <w:color w:val="auto"/>
                <w:kern w:val="0"/>
                <w:sz w:val="24"/>
                <w:szCs w:val="24"/>
                <w:highlight w:val="none"/>
              </w:rPr>
              <w:t>项目</w:t>
            </w:r>
            <w:r>
              <w:rPr>
                <w:rFonts w:hint="eastAsia" w:ascii="宋体" w:hAnsi="宋体" w:eastAsia="宋体" w:cs="宋体"/>
                <w:color w:val="auto"/>
                <w:kern w:val="0"/>
                <w:sz w:val="24"/>
                <w:szCs w:val="24"/>
                <w:highlight w:val="none"/>
              </w:rPr>
              <w:t>服务期二年，按照考核办法,考核合格的可续签一年，采购人接受投标人分标段投标，一个投标人在12个标段中最多只能被推荐二次第一中标候选人。具体要求详见采购文件第三章项目技术规范和服务要求。</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拱墅区湖墅街道非法涂写招贴广告清除范围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24506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229400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拱墅区小河街道加和睦街道小河街道非法涂写招贴广告清除范围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22031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245500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拱墅区大关街道非法涂写招贴广告清除范围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22179</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8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拱墅区拱宸桥街道非法涂写招贴广告清除范围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32506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320000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拱墅区上塘街道非法涂写招贴广告清除范围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44281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拱墅区祥符街道非法涂写招贴广告清除范围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83332.1</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680000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拱墅区大关路以南部分主要道路（含运河游步道）非法涂写招贴广告清除范围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41843</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495000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拱墅区大关路以北部分主要道路非法涂写招贴广告清除范围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88137.77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900600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拱墅区大关路以北部分主要道路非法涂写招贴广告清除范围（东）</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63645.5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564500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拱墅区半山街道非法涂写招贴广告清除范围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29480.7</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255000</w:t>
            </w:r>
          </w:p>
        </w:tc>
        <w:tc>
          <w:tcPr>
            <w:tcW w:w="1998"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56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拱墅区康桥街道非法涂写招贴广告清除范围</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47724</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445000</w:t>
            </w:r>
          </w:p>
        </w:tc>
        <w:tc>
          <w:tcPr>
            <w:tcW w:w="199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szCs w:val="24"/>
                <w:highlight w:val="none"/>
              </w:rPr>
            </w:pPr>
          </w:p>
        </w:tc>
      </w:tr>
    </w:tbl>
    <w:p>
      <w:pPr>
        <w:widowControl/>
        <w:spacing w:before="80" w:after="80" w:line="360" w:lineRule="auto"/>
        <w:ind w:right="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4、合格的应标人应具备的资格要求</w:t>
      </w:r>
      <w:r>
        <w:rPr>
          <w:rFonts w:hint="eastAsia" w:ascii="宋体" w:hAnsi="宋体" w:eastAsia="宋体" w:cs="宋体"/>
          <w:color w:val="auto"/>
          <w:kern w:val="0"/>
          <w:sz w:val="24"/>
          <w:highlight w:val="none"/>
        </w:rPr>
        <w:t xml:space="preserve">： </w:t>
      </w:r>
    </w:p>
    <w:p>
      <w:pPr>
        <w:pStyle w:val="11"/>
        <w:snapToGrid w:val="0"/>
        <w:spacing w:line="400" w:lineRule="exact"/>
        <w:ind w:firstLine="482" w:firstLine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一般要求：</w:t>
      </w:r>
    </w:p>
    <w:p>
      <w:pPr>
        <w:pStyle w:val="11"/>
        <w:snapToGrid w:val="0"/>
        <w:spacing w:line="400" w:lineRule="exact"/>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符合《中华人民共和国政府采购法》第二十二条的规定；</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pPr>
        <w:widowControl/>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（5）参加政府采购活动前三年内，在经营活动中没有重大违法记录；</w:t>
      </w:r>
    </w:p>
    <w:p>
      <w:pPr>
        <w:pStyle w:val="11"/>
        <w:snapToGrid w:val="0"/>
        <w:spacing w:line="400" w:lineRule="exact"/>
        <w:ind w:firstLine="482" w:firstLineChars="200"/>
        <w:contextualSpacing/>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特定资格条件：</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（1）与参加同一合同项下政府采购活动的其他供应商不存在单位负责人为同一人或者存在直接控股、管理关系；</w:t>
      </w:r>
    </w:p>
    <w:p>
      <w:pPr>
        <w:widowControl/>
        <w:adjustRightInd w:val="0"/>
        <w:snapToGrid w:val="0"/>
        <w:spacing w:line="4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（2）供应商未被列入失信被执行人名单、重大税收违法案件当事人名单、政府采购严重违法失信行为记录名单，信用信息以信用中国网站（www.creditchina.gov.cn）、中国政府采购网（www.ccgp.gov.cn）公布为准；</w:t>
      </w:r>
    </w:p>
    <w:p>
      <w:pPr>
        <w:widowControl/>
        <w:spacing w:before="80" w:after="80" w:line="360" w:lineRule="auto"/>
        <w:ind w:right="8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）本项目不接受联合体投标。</w:t>
      </w:r>
    </w:p>
    <w:p>
      <w:pPr>
        <w:pStyle w:val="11"/>
        <w:adjustRightInd w:val="0"/>
        <w:snapToGrid w:val="0"/>
        <w:spacing w:line="400" w:lineRule="exact"/>
        <w:contextualSpacing/>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五、采购方式</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公开</w:t>
      </w:r>
      <w:r>
        <w:rPr>
          <w:rFonts w:hint="eastAsia" w:ascii="宋体" w:hAnsi="宋体" w:eastAsia="宋体" w:cs="宋体"/>
          <w:bCs/>
          <w:color w:val="auto"/>
          <w:sz w:val="24"/>
          <w:szCs w:val="24"/>
          <w:highlight w:val="none"/>
        </w:rPr>
        <w:t>招标。</w:t>
      </w:r>
    </w:p>
    <w:p>
      <w:pPr>
        <w:adjustRightInd w:val="0"/>
        <w:snapToGrid w:val="0"/>
        <w:spacing w:line="400" w:lineRule="exact"/>
        <w:contextualSpacing/>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六、采购组织类型：</w:t>
      </w:r>
      <w:r>
        <w:rPr>
          <w:rFonts w:hint="eastAsia" w:ascii="宋体" w:hAnsi="宋体" w:eastAsia="宋体" w:cs="宋体"/>
          <w:bCs/>
          <w:color w:val="auto"/>
          <w:sz w:val="24"/>
          <w:highlight w:val="none"/>
        </w:rPr>
        <w:t>分散采购委托代理</w:t>
      </w:r>
    </w:p>
    <w:p>
      <w:pPr>
        <w:widowControl/>
        <w:adjustRightInd w:val="0"/>
        <w:snapToGrid w:val="0"/>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七、获取招标文件的时间、地点：</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lang w:val="zh-TW" w:eastAsia="zh-TW"/>
        </w:rPr>
        <w:t>本项目招标文件实行“政府采购云平台”在线获取，不提供招标文件纸质版。供应商获取招标文件前应先完成“政府采购云平台”的账号注册；</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获取时间：公告发布时间  至  投标截止时间</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eastAsia="zh-TW"/>
        </w:rPr>
        <w:t>（</w:t>
      </w:r>
      <w:r>
        <w:rPr>
          <w:rFonts w:hint="eastAsia" w:ascii="宋体" w:hAnsi="宋体" w:eastAsia="宋体" w:cs="宋体"/>
          <w:b/>
          <w:bCs/>
          <w:color w:val="auto"/>
          <w:sz w:val="24"/>
          <w:highlight w:val="none"/>
          <w:lang w:eastAsia="zh-TW"/>
        </w:rPr>
        <w:t>3</w:t>
      </w:r>
      <w:r>
        <w:rPr>
          <w:rFonts w:hint="eastAsia" w:ascii="宋体" w:hAnsi="宋体" w:eastAsia="宋体" w:cs="宋体"/>
          <w:b/>
          <w:bCs/>
          <w:color w:val="auto"/>
          <w:sz w:val="24"/>
          <w:highlight w:val="none"/>
          <w:lang w:val="zh-TW" w:eastAsia="zh-TW"/>
        </w:rPr>
        <w:t>）地点：政采云平台（http://zfcg.czt.zj.gov.cn）；</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4</w:t>
      </w: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lang w:val="zh-TW" w:eastAsia="zh-TW"/>
        </w:rPr>
        <w:t>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5</w:t>
      </w: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lang w:val="zh-TW" w:eastAsia="zh-TW"/>
        </w:rPr>
        <w:t>供应商获取招标文件时须提交的文件资料：无；</w:t>
      </w:r>
    </w:p>
    <w:p>
      <w:pPr>
        <w:pStyle w:val="55"/>
        <w:spacing w:line="400" w:lineRule="exact"/>
        <w:rPr>
          <w:rFonts w:hint="eastAsia" w:ascii="宋体" w:hAnsi="宋体" w:eastAsia="宋体" w:cs="宋体"/>
          <w:b/>
          <w:bCs/>
          <w:color w:val="auto"/>
          <w:sz w:val="24"/>
          <w:highlight w:val="none"/>
          <w:lang w:val="zh-TW" w:eastAsia="zh-TW"/>
        </w:rPr>
      </w:pP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rPr>
        <w:t>6</w:t>
      </w:r>
      <w:r>
        <w:rPr>
          <w:rFonts w:hint="eastAsia" w:ascii="宋体" w:hAnsi="宋体" w:eastAsia="宋体" w:cs="宋体"/>
          <w:b/>
          <w:bCs/>
          <w:color w:val="auto"/>
          <w:sz w:val="24"/>
          <w:highlight w:val="none"/>
          <w:lang w:val="zh-TW"/>
        </w:rPr>
        <w:t>）</w:t>
      </w:r>
      <w:r>
        <w:rPr>
          <w:rFonts w:hint="eastAsia" w:ascii="宋体" w:hAnsi="宋体" w:eastAsia="宋体" w:cs="宋体"/>
          <w:b/>
          <w:bCs/>
          <w:color w:val="auto"/>
          <w:sz w:val="24"/>
          <w:highlight w:val="none"/>
          <w:lang w:val="zh-TW" w:eastAsia="zh-TW"/>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widowControl/>
        <w:adjustRightInd w:val="0"/>
        <w:snapToGrid w:val="0"/>
        <w:spacing w:line="40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TW" w:eastAsia="zh-TW"/>
        </w:rPr>
        <w:t>注：请供应商按上述要求获取招标文件，如未在“政采云”系统内完成相关流程，引起的投标无效责任自负。</w:t>
      </w:r>
    </w:p>
    <w:p>
      <w:pPr>
        <w:widowControl/>
        <w:adjustRightInd w:val="0"/>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八、投标保证金：</w:t>
      </w:r>
      <w:r>
        <w:rPr>
          <w:rFonts w:hint="eastAsia" w:ascii="宋体" w:hAnsi="宋体" w:eastAsia="宋体" w:cs="宋体"/>
          <w:color w:val="auto"/>
          <w:kern w:val="0"/>
          <w:sz w:val="24"/>
          <w:highlight w:val="none"/>
        </w:rPr>
        <w:t>不需交纳投标保证金</w:t>
      </w:r>
      <w:r>
        <w:rPr>
          <w:rFonts w:hint="eastAsia" w:ascii="宋体" w:hAnsi="宋体" w:eastAsia="宋体" w:cs="宋体"/>
          <w:b/>
          <w:color w:val="auto"/>
          <w:sz w:val="24"/>
          <w:highlight w:val="none"/>
        </w:rPr>
        <w:t>。</w:t>
      </w:r>
    </w:p>
    <w:p>
      <w:pPr>
        <w:pStyle w:val="7"/>
        <w:spacing w:after="156" w:line="400" w:lineRule="exact"/>
        <w:ind w:firstLine="482"/>
        <w:contextualSpacing/>
        <w:rPr>
          <w:rFonts w:hint="eastAsia" w:ascii="宋体" w:hAnsi="宋体" w:eastAsia="宋体" w:cs="宋体"/>
          <w:bCs/>
          <w:color w:val="auto"/>
          <w:highlight w:val="none"/>
          <w:u w:val="single"/>
        </w:rPr>
      </w:pPr>
      <w:r>
        <w:rPr>
          <w:rFonts w:hint="eastAsia" w:ascii="宋体" w:hAnsi="宋体" w:eastAsia="宋体" w:cs="宋体"/>
          <w:b/>
          <w:color w:val="auto"/>
          <w:highlight w:val="none"/>
        </w:rPr>
        <w:t>九、递交投标文件截止时间：</w:t>
      </w:r>
      <w:r>
        <w:rPr>
          <w:rFonts w:hint="eastAsia" w:ascii="宋体" w:hAnsi="宋体" w:eastAsia="宋体" w:cs="宋体"/>
          <w:bCs/>
          <w:color w:val="auto"/>
          <w:highlight w:val="none"/>
          <w:u w:val="single"/>
        </w:rPr>
        <w:t>2020年</w:t>
      </w:r>
      <w:r>
        <w:rPr>
          <w:rFonts w:hint="eastAsia" w:ascii="宋体" w:hAnsi="宋体" w:eastAsia="宋体" w:cs="宋体"/>
          <w:bCs/>
          <w:color w:val="auto"/>
          <w:highlight w:val="none"/>
          <w:u w:val="single"/>
          <w:lang w:val="en-US" w:eastAsia="zh-CN"/>
        </w:rPr>
        <w:t>5</w:t>
      </w:r>
      <w:r>
        <w:rPr>
          <w:rFonts w:hint="eastAsia" w:ascii="宋体" w:hAnsi="宋体" w:eastAsia="宋体" w:cs="宋体"/>
          <w:bCs/>
          <w:color w:val="auto"/>
          <w:highlight w:val="none"/>
          <w:u w:val="single"/>
        </w:rPr>
        <w:t>月</w:t>
      </w:r>
      <w:r>
        <w:rPr>
          <w:rFonts w:hint="eastAsia" w:ascii="宋体" w:hAnsi="宋体" w:eastAsia="宋体" w:cs="宋体"/>
          <w:bCs/>
          <w:color w:val="auto"/>
          <w:highlight w:val="none"/>
          <w:u w:val="single"/>
          <w:lang w:val="en-US" w:eastAsia="zh-CN"/>
        </w:rPr>
        <w:t>1</w:t>
      </w:r>
      <w:r>
        <w:rPr>
          <w:rFonts w:hint="eastAsia" w:ascii="宋体" w:hAnsi="宋体" w:eastAsia="宋体" w:cs="宋体"/>
          <w:bCs/>
          <w:color w:val="auto"/>
          <w:highlight w:val="none"/>
          <w:u w:val="single"/>
          <w:lang w:val="en-US" w:eastAsia="zh-CN"/>
        </w:rPr>
        <w:t>3</w:t>
      </w:r>
      <w:r>
        <w:rPr>
          <w:rFonts w:hint="eastAsia" w:ascii="宋体" w:hAnsi="宋体" w:eastAsia="宋体" w:cs="宋体"/>
          <w:bCs/>
          <w:color w:val="auto"/>
          <w:highlight w:val="none"/>
          <w:u w:val="single"/>
        </w:rPr>
        <w:t>日9时00分前将“电子加密投标文件”上传递交至“政府采购云平台”。</w:t>
      </w:r>
    </w:p>
    <w:p>
      <w:pPr>
        <w:pStyle w:val="7"/>
        <w:spacing w:after="156" w:line="400" w:lineRule="exact"/>
        <w:ind w:firstLine="482"/>
        <w:contextualSpacing/>
        <w:rPr>
          <w:rFonts w:hint="eastAsia" w:ascii="宋体" w:hAnsi="宋体" w:eastAsia="宋体" w:cs="宋体"/>
          <w:bCs/>
          <w:color w:val="auto"/>
          <w:highlight w:val="none"/>
          <w:u w:val="single"/>
        </w:rPr>
      </w:pPr>
      <w:r>
        <w:rPr>
          <w:rFonts w:hint="eastAsia" w:ascii="宋体" w:hAnsi="宋体" w:eastAsia="宋体" w:cs="宋体"/>
          <w:b/>
          <w:color w:val="auto"/>
          <w:highlight w:val="none"/>
        </w:rPr>
        <w:t>十、开标时间与地点：</w:t>
      </w:r>
      <w:r>
        <w:rPr>
          <w:rFonts w:hint="eastAsia" w:ascii="宋体" w:hAnsi="宋体" w:eastAsia="宋体" w:cs="宋体"/>
          <w:bCs/>
          <w:color w:val="auto"/>
          <w:highlight w:val="none"/>
          <w:u w:val="single"/>
        </w:rPr>
        <w:t>2020年</w:t>
      </w:r>
      <w:r>
        <w:rPr>
          <w:rFonts w:hint="eastAsia" w:ascii="宋体" w:hAnsi="宋体" w:eastAsia="宋体" w:cs="宋体"/>
          <w:bCs/>
          <w:color w:val="auto"/>
          <w:highlight w:val="none"/>
          <w:u w:val="single"/>
          <w:lang w:val="en-US" w:eastAsia="zh-CN"/>
        </w:rPr>
        <w:t>5</w:t>
      </w:r>
      <w:r>
        <w:rPr>
          <w:rFonts w:hint="eastAsia" w:ascii="宋体" w:hAnsi="宋体" w:eastAsia="宋体" w:cs="宋体"/>
          <w:bCs/>
          <w:color w:val="auto"/>
          <w:highlight w:val="none"/>
          <w:u w:val="single"/>
        </w:rPr>
        <w:t>月</w:t>
      </w:r>
      <w:r>
        <w:rPr>
          <w:rFonts w:hint="eastAsia" w:ascii="宋体" w:hAnsi="宋体" w:eastAsia="宋体" w:cs="宋体"/>
          <w:bCs/>
          <w:color w:val="auto"/>
          <w:highlight w:val="none"/>
          <w:u w:val="single"/>
          <w:lang w:val="en-US" w:eastAsia="zh-CN"/>
        </w:rPr>
        <w:t>1</w:t>
      </w:r>
      <w:r>
        <w:rPr>
          <w:rFonts w:hint="eastAsia" w:ascii="宋体" w:hAnsi="宋体" w:eastAsia="宋体" w:cs="宋体"/>
          <w:bCs/>
          <w:color w:val="auto"/>
          <w:highlight w:val="none"/>
          <w:u w:val="single"/>
          <w:lang w:val="en-US" w:eastAsia="zh-CN"/>
        </w:rPr>
        <w:t>3</w:t>
      </w:r>
      <w:r>
        <w:rPr>
          <w:rFonts w:hint="eastAsia" w:ascii="宋体" w:hAnsi="宋体" w:eastAsia="宋体" w:cs="宋体"/>
          <w:bCs/>
          <w:color w:val="auto"/>
          <w:highlight w:val="none"/>
          <w:u w:val="single"/>
        </w:rPr>
        <w:t>日9时00分，</w:t>
      </w:r>
      <w:r>
        <w:rPr>
          <w:rFonts w:hint="eastAsia" w:ascii="宋体" w:hAnsi="宋体" w:eastAsia="宋体" w:cs="宋体"/>
          <w:bCs/>
          <w:color w:val="auto"/>
          <w:highlight w:val="none"/>
        </w:rPr>
        <w:t>地点为</w:t>
      </w:r>
      <w:r>
        <w:rPr>
          <w:rFonts w:hint="eastAsia" w:ascii="宋体" w:hAnsi="宋体" w:eastAsia="宋体" w:cs="宋体"/>
          <w:bCs/>
          <w:color w:val="auto"/>
          <w:highlight w:val="none"/>
          <w:u w:val="single"/>
        </w:rPr>
        <w:t xml:space="preserve"> 杭州市古墩路701号紫金广场A座15楼1501会议室。</w:t>
      </w:r>
    </w:p>
    <w:p>
      <w:pPr>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十一、在线投标响应（电子投标）说明</w:t>
      </w:r>
    </w:p>
    <w:p>
      <w:pPr>
        <w:spacing w:line="400" w:lineRule="exact"/>
        <w:ind w:firstLine="424" w:firstLineChars="1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eastAsia="宋体" w:cs="宋体"/>
          <w:b/>
          <w:color w:val="auto"/>
          <w:sz w:val="24"/>
          <w:highlight w:val="none"/>
        </w:rPr>
        <w:t>。</w:t>
      </w:r>
    </w:p>
    <w:p>
      <w:pPr>
        <w:spacing w:line="400" w:lineRule="exact"/>
        <w:ind w:firstLine="424" w:firstLineChars="176"/>
        <w:rPr>
          <w:rFonts w:hint="eastAsia" w:ascii="宋体" w:hAnsi="宋体" w:eastAsia="宋体" w:cs="宋体"/>
          <w:b/>
          <w:color w:val="auto"/>
          <w:sz w:val="24"/>
          <w:highlight w:val="none"/>
          <w:u w:val="single"/>
        </w:rPr>
      </w:pPr>
      <w:r>
        <w:rPr>
          <w:rFonts w:hint="eastAsia" w:ascii="宋体" w:hAnsi="宋体" w:eastAsia="宋体" w:cs="宋体"/>
          <w:b/>
          <w:bCs/>
          <w:color w:val="auto"/>
          <w:sz w:val="24"/>
          <w:highlight w:val="none"/>
        </w:rPr>
        <w:t>“政采云电子交易客户端”请自行前往“浙江政府采购网-下载专区-电子交易客户端”进行下载；电子投标具体操作流程详见本公告附件《供应商项目采购-电子招投标操作指南》；</w:t>
      </w:r>
      <w:r>
        <w:rPr>
          <w:rFonts w:hint="eastAsia" w:ascii="宋体" w:hAnsi="宋体" w:eastAsia="宋体" w:cs="宋体"/>
          <w:b/>
          <w:color w:val="auto"/>
          <w:sz w:val="24"/>
          <w:highlight w:val="none"/>
        </w:rPr>
        <w:t>通过“政府采购云平台”参与在线投标时如遇平台技术问题详询400-881-7190。</w:t>
      </w:r>
    </w:p>
    <w:p>
      <w:pPr>
        <w:spacing w:line="400" w:lineRule="exact"/>
        <w:ind w:firstLine="424" w:firstLineChars="176"/>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使用“政采云电子交易客户端”需要提前申领CA数字证书，申领流程请自行前往“浙江政府采购网-下载专区-电子交易客户端-</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"http://www.zjzfcg.gov.cn/bidClientTemplate/2019-05-27/12945.html" \t "_blank" \o "CA驱动和申领流程" </w:instrText>
      </w:r>
      <w:r>
        <w:rPr>
          <w:rFonts w:hint="eastAsia" w:ascii="宋体" w:hAnsi="宋体" w:eastAsia="宋体" w:cs="宋体"/>
          <w:color w:val="auto"/>
          <w:sz w:val="24"/>
          <w:highlight w:val="none"/>
        </w:rPr>
        <w:fldChar w:fldCharType="separate"/>
      </w:r>
      <w:r>
        <w:rPr>
          <w:rFonts w:hint="eastAsia" w:ascii="宋体" w:hAnsi="宋体" w:eastAsia="宋体" w:cs="宋体"/>
          <w:b/>
          <w:bCs/>
          <w:color w:val="auto"/>
          <w:sz w:val="24"/>
          <w:highlight w:val="none"/>
        </w:rPr>
        <w:t>CA驱动和申领流程</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”进行查阅；</w:t>
      </w:r>
    </w:p>
    <w:p>
      <w:pPr>
        <w:spacing w:line="400" w:lineRule="exact"/>
        <w:ind w:firstLine="424" w:firstLineChars="176"/>
        <w:rPr>
          <w:rFonts w:hint="eastAsia" w:ascii="宋体" w:hAnsi="宋体" w:eastAsia="宋体" w:cs="宋体"/>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single"/>
        </w:rPr>
        <w:t>投标供应商应当在投标截止时间前，将生成的“电子加密投标文件”上传递交至“政府采购云平台”。投标截止时间以后上传递交的投标文件将被“政府采购云平台”拒收。</w:t>
      </w:r>
    </w:p>
    <w:p>
      <w:pPr>
        <w:spacing w:line="400" w:lineRule="exact"/>
        <w:ind w:firstLine="424" w:firstLineChars="17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u w:val="single"/>
        </w:rPr>
        <w:t>投标供应商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r>
        <w:rPr>
          <w:rFonts w:hint="eastAsia" w:ascii="宋体" w:hAnsi="宋体" w:eastAsia="宋体" w:cs="宋体"/>
          <w:b/>
          <w:color w:val="auto"/>
          <w:sz w:val="24"/>
          <w:highlight w:val="none"/>
        </w:rPr>
        <w:t>。</w:t>
      </w:r>
    </w:p>
    <w:p>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adjustRightInd w:val="0"/>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十二、质疑和投诉：</w:t>
      </w:r>
    </w:p>
    <w:p>
      <w:pPr>
        <w:widowControl/>
        <w:adjustRightInd w:val="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40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十三、其他：</w:t>
      </w:r>
    </w:p>
    <w:p>
      <w:pPr>
        <w:widowControl/>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（1）招标公告期限：5个工作日；</w:t>
      </w:r>
    </w:p>
    <w:p>
      <w:pPr>
        <w:widowControl/>
        <w:adjustRightInd w:val="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（2）未按招标公告要求获取招标文件的供应商参与本项目投标，将被拒绝；</w:t>
      </w:r>
    </w:p>
    <w:p>
      <w:pPr>
        <w:widowControl/>
        <w:adjustRightInd w:val="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（3）潜在供应商可在浙江政府采购网（http://www.zjzfcg.gov.cn）进行免费注册，具体详见网站供应商注册要求；</w:t>
      </w:r>
    </w:p>
    <w:p>
      <w:pPr>
        <w:widowControl/>
        <w:adjustRightInd w:val="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（4）对符合财政扶持政策的中小企业（小型、微型）、监狱企业、残疾人福利性单位给予价格优惠扶持；</w:t>
      </w:r>
    </w:p>
    <w:p>
      <w:pPr>
        <w:widowControl/>
        <w:adjustRightInd w:val="0"/>
        <w:snapToGrid w:val="0"/>
        <w:spacing w:line="4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（5）采购信息发布媒介：浙江政府采购网；</w:t>
      </w:r>
    </w:p>
    <w:p>
      <w:pPr>
        <w:pStyle w:val="11"/>
        <w:snapToGrid w:val="0"/>
        <w:spacing w:line="400" w:lineRule="exact"/>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十四、联系方式：</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bookmarkStart w:id="1" w:name="B30_其他事项"/>
      <w:bookmarkEnd w:id="1"/>
      <w:r>
        <w:rPr>
          <w:rFonts w:hint="eastAsia" w:ascii="宋体" w:hAnsi="宋体" w:eastAsia="宋体" w:cs="宋体"/>
          <w:bCs/>
          <w:color w:val="auto"/>
          <w:sz w:val="24"/>
          <w:highlight w:val="none"/>
        </w:rPr>
        <w:t>1．采购代理机构名称：浙江省成套工程有限公司（盖章）</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联系人：王超</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联系电话：15268124902</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地址：浙江省杭州市古墩路701号紫金广场A座1211室</w:t>
      </w:r>
    </w:p>
    <w:p>
      <w:pPr>
        <w:keepNext w:val="0"/>
        <w:keepLines w:val="0"/>
        <w:pageBreakBefore w:val="0"/>
        <w:widowControl/>
        <w:kinsoku/>
        <w:wordWrap/>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采购代理机构质疑联系人：唐中宝</w:t>
      </w:r>
    </w:p>
    <w:p>
      <w:pPr>
        <w:keepNext w:val="0"/>
        <w:keepLines w:val="0"/>
        <w:pageBreakBefore w:val="0"/>
        <w:widowControl/>
        <w:kinsoku/>
        <w:wordWrap/>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联系电话：13757153226</w:t>
      </w:r>
    </w:p>
    <w:p>
      <w:pPr>
        <w:keepNext w:val="0"/>
        <w:keepLines w:val="0"/>
        <w:pageBreakBefore w:val="0"/>
        <w:widowControl/>
        <w:kinsoku/>
        <w:wordWrap/>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质疑人邮箱：</w:t>
      </w:r>
      <w:r>
        <w:rPr>
          <w:rFonts w:hint="eastAsia" w:ascii="宋体" w:hAnsi="宋体" w:eastAsia="宋体" w:cs="宋体"/>
          <w:bCs/>
          <w:color w:val="auto"/>
          <w:sz w:val="24"/>
          <w:highlight w:val="none"/>
          <w:lang w:val="en-US" w:eastAsia="zh-CN"/>
        </w:rPr>
        <w:t>1104640552</w:t>
      </w:r>
      <w:r>
        <w:rPr>
          <w:rFonts w:hint="eastAsia" w:ascii="宋体" w:hAnsi="宋体" w:eastAsia="宋体" w:cs="宋体"/>
          <w:bCs/>
          <w:color w:val="auto"/>
          <w:sz w:val="24"/>
          <w:highlight w:val="none"/>
        </w:rPr>
        <w:t>@qq.com</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2．采购人名称：杭州市拱墅区城市管理局（盖章）</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联系人：韩工</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联系电话：0571-87317198</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地址：杭州市拱墅区景苑路32号</w:t>
      </w:r>
    </w:p>
    <w:p>
      <w:pPr>
        <w:keepNext w:val="0"/>
        <w:keepLines w:val="0"/>
        <w:pageBreakBefore w:val="0"/>
        <w:widowControl/>
        <w:kinsoku/>
        <w:wordWrap/>
        <w:overflowPunct/>
        <w:topLinePunct w:val="0"/>
        <w:autoSpaceDE/>
        <w:autoSpaceDN/>
        <w:bidi w:val="0"/>
        <w:adjustRightInd/>
        <w:snapToGrid/>
        <w:spacing w:line="420" w:lineRule="exact"/>
        <w:ind w:firstLine="720" w:firstLineChars="3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采购人质疑联系人：</w:t>
      </w:r>
      <w:r>
        <w:rPr>
          <w:rFonts w:hint="eastAsia" w:ascii="宋体" w:hAnsi="宋体" w:eastAsia="宋体" w:cs="宋体"/>
          <w:bCs/>
          <w:color w:val="auto"/>
          <w:sz w:val="24"/>
          <w:highlight w:val="none"/>
          <w:lang w:eastAsia="zh-CN"/>
        </w:rPr>
        <w:t>刘科</w:t>
      </w:r>
    </w:p>
    <w:p>
      <w:pPr>
        <w:keepNext w:val="0"/>
        <w:keepLines w:val="0"/>
        <w:pageBreakBefore w:val="0"/>
        <w:widowControl/>
        <w:kinsoku/>
        <w:wordWrap/>
        <w:overflowPunct/>
        <w:topLinePunct w:val="0"/>
        <w:autoSpaceDE/>
        <w:autoSpaceDN/>
        <w:bidi w:val="0"/>
        <w:adjustRightInd/>
        <w:snapToGrid/>
        <w:spacing w:line="420" w:lineRule="exact"/>
        <w:ind w:firstLine="720" w:firstLineChars="3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联系电话：0571-</w:t>
      </w:r>
      <w:r>
        <w:rPr>
          <w:rFonts w:hint="eastAsia" w:ascii="宋体" w:hAnsi="宋体" w:eastAsia="宋体" w:cs="宋体"/>
          <w:bCs/>
          <w:color w:val="auto"/>
          <w:sz w:val="24"/>
          <w:highlight w:val="none"/>
          <w:lang w:val="en-US" w:eastAsia="zh-CN"/>
        </w:rPr>
        <w:t>88809799</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3．同级政府采购监督管理部门：杭州市拱墅区财政局政府采购监管科</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联系人：张老师</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监督投诉电话：0571-88355301</w:t>
      </w:r>
    </w:p>
    <w:p>
      <w:pPr>
        <w:keepNext w:val="0"/>
        <w:keepLines w:val="0"/>
        <w:pageBreakBefore w:val="0"/>
        <w:widowControl/>
        <w:kinsoku/>
        <w:wordWrap/>
        <w:overflowPunct/>
        <w:topLinePunct w:val="0"/>
        <w:autoSpaceDE/>
        <w:autoSpaceDN/>
        <w:bidi w:val="0"/>
        <w:adjustRightInd/>
        <w:snapToGrid/>
        <w:spacing w:line="420" w:lineRule="exact"/>
        <w:ind w:firstLine="54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传真：0571-88355301</w:t>
      </w:r>
    </w:p>
    <w:p>
      <w:pPr>
        <w:keepNext w:val="0"/>
        <w:keepLines w:val="0"/>
        <w:pageBreakBefore w:val="0"/>
        <w:widowControl/>
        <w:kinsoku/>
        <w:wordWrap/>
        <w:overflowPunct/>
        <w:topLinePunct w:val="0"/>
        <w:autoSpaceDE/>
        <w:autoSpaceDN/>
        <w:bidi w:val="0"/>
        <w:adjustRightInd/>
        <w:snapToGrid/>
        <w:spacing w:before="80" w:after="80" w:line="420" w:lineRule="exact"/>
        <w:jc w:val="left"/>
        <w:textAlignment w:val="auto"/>
        <w:rPr>
          <w:rFonts w:hint="eastAsia" w:ascii="宋体" w:hAnsi="宋体" w:eastAsia="宋体" w:cs="宋体"/>
          <w:b/>
          <w:color w:val="auto"/>
          <w:kern w:val="0"/>
          <w:sz w:val="24"/>
          <w:highlight w:val="none"/>
        </w:rPr>
      </w:pPr>
      <w:r>
        <w:rPr>
          <w:rFonts w:hint="eastAsia" w:ascii="宋体" w:hAnsi="宋体" w:eastAsia="宋体" w:cs="宋体"/>
          <w:bCs/>
          <w:color w:val="auto"/>
          <w:sz w:val="24"/>
          <w:highlight w:val="none"/>
        </w:rPr>
        <w:t>     地址：杭州市拱墅区霞湾巷杭办大厦2号楼6楼</w:t>
      </w:r>
    </w:p>
    <w:p>
      <w:pPr>
        <w:autoSpaceDE w:val="0"/>
        <w:autoSpaceDN w:val="0"/>
        <w:spacing w:line="380" w:lineRule="exact"/>
        <w:jc w:val="right"/>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第二章、编制和提交投标文件须知</w:t>
      </w:r>
    </w:p>
    <w:p>
      <w:pPr>
        <w:spacing w:line="312"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前附表</w:t>
      </w:r>
    </w:p>
    <w:tbl>
      <w:tblPr>
        <w:tblStyle w:val="22"/>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top"/>
          </w:tcPr>
          <w:p>
            <w:pPr>
              <w:pStyle w:val="11"/>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4533" w:type="pct"/>
            <w:noWrap w:val="0"/>
            <w:vAlign w:val="center"/>
          </w:tcPr>
          <w:p>
            <w:pPr>
              <w:pStyle w:val="11"/>
              <w:spacing w:line="360" w:lineRule="auto"/>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66" w:type="pct"/>
            <w:noWrap w:val="0"/>
            <w:vAlign w:val="center"/>
          </w:tcPr>
          <w:p>
            <w:pPr>
              <w:pStyle w:val="11"/>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33" w:type="pct"/>
            <w:noWrap w:val="0"/>
            <w:vAlign w:val="center"/>
          </w:tcPr>
          <w:p>
            <w:pPr>
              <w:pStyle w:val="74"/>
              <w:spacing w:line="400" w:lineRule="exact"/>
              <w:ind w:left="0" w:firstLine="0"/>
              <w:rPr>
                <w:rFonts w:hint="eastAsia" w:ascii="宋体" w:hAnsi="宋体" w:eastAsia="宋体" w:cs="宋体"/>
                <w:color w:val="auto"/>
                <w:kern w:val="0"/>
                <w:szCs w:val="24"/>
                <w:highlight w:val="none"/>
              </w:rPr>
            </w:pPr>
            <w:r>
              <w:rPr>
                <w:rFonts w:hint="eastAsia" w:ascii="宋体" w:hAnsi="宋体" w:eastAsia="宋体" w:cs="宋体"/>
                <w:b/>
                <w:color w:val="auto"/>
                <w:szCs w:val="24"/>
                <w:highlight w:val="none"/>
              </w:rPr>
              <w:t>项目名称：</w:t>
            </w:r>
            <w:r>
              <w:rPr>
                <w:rFonts w:hint="eastAsia" w:ascii="宋体" w:hAnsi="宋体" w:eastAsia="宋体" w:cs="宋体"/>
                <w:color w:val="auto"/>
                <w:kern w:val="0"/>
                <w:szCs w:val="24"/>
                <w:highlight w:val="none"/>
              </w:rPr>
              <w:t>拱墅区清除非法涂写招贴广告作业项目</w:t>
            </w:r>
          </w:p>
          <w:p>
            <w:pPr>
              <w:pStyle w:val="74"/>
              <w:spacing w:after="0" w:line="380" w:lineRule="exact"/>
              <w:ind w:left="0" w:firstLine="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lang w:val="zh-CN"/>
              </w:rPr>
              <w:t>项目概述：</w:t>
            </w:r>
            <w:r>
              <w:rPr>
                <w:rFonts w:hint="eastAsia" w:ascii="宋体" w:hAnsi="宋体" w:eastAsia="宋体" w:cs="宋体"/>
                <w:color w:val="auto"/>
                <w:szCs w:val="24"/>
                <w:highlight w:val="none"/>
              </w:rPr>
              <w:t>根据杭州市人民政府办公厅《转发市城管办财政局关于杭州市区非法涂写招贴广告集中整治工作方案的通知》（杭政办函[2006]226号）和《关于在主城区范围推广西湖区实行非法涂写招贴广告整治市场化运作的通知》（杭城管景发[2006]120号）及《转发区城管办区财政局关于拱墅区非法涂写招贴广告清除工作市场化运作方案的通知》（拱政办发[2006]83号）精神，为进一步提高非法涂写招贴广告清除的质量，提升城区环境品位，招标单位决定对清除非法涂写招贴广告作业实行招标。</w:t>
            </w:r>
          </w:p>
          <w:p>
            <w:pPr>
              <w:pStyle w:val="74"/>
              <w:spacing w:after="0" w:line="380" w:lineRule="exact"/>
              <w:ind w:left="0" w:firstLine="0"/>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作业地段、数量及每个标项预算控制金额：</w:t>
            </w:r>
          </w:p>
          <w:tbl>
            <w:tblPr>
              <w:tblStyle w:val="22"/>
              <w:tblW w:w="8248" w:type="dxa"/>
              <w:jc w:val="center"/>
              <w:tblLayout w:type="fixed"/>
              <w:tblCellMar>
                <w:top w:w="0" w:type="dxa"/>
                <w:left w:w="0" w:type="dxa"/>
                <w:bottom w:w="0" w:type="dxa"/>
                <w:right w:w="0" w:type="dxa"/>
              </w:tblCellMar>
            </w:tblPr>
            <w:tblGrid>
              <w:gridCol w:w="913"/>
              <w:gridCol w:w="4925"/>
              <w:gridCol w:w="1035"/>
              <w:gridCol w:w="1375"/>
            </w:tblGrid>
            <w:tr>
              <w:tblPrEx>
                <w:tblCellMar>
                  <w:top w:w="0" w:type="dxa"/>
                  <w:left w:w="0" w:type="dxa"/>
                  <w:bottom w:w="0" w:type="dxa"/>
                  <w:right w:w="0" w:type="dxa"/>
                </w:tblCellMar>
              </w:tblPrEx>
              <w:trPr>
                <w:trHeight w:val="9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标段</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标项名称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道路长度（米）</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预算金额</w:t>
                  </w:r>
                </w:p>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（最高限价）</w:t>
                  </w:r>
                </w:p>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（元）</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拱墅区米市巷街道非法涂写招贴广告清除范围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19710</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215000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拱墅区湖墅街道非法涂写招贴广告清除范围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24506</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229400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拱墅区小河街道加和睦街道小河街道非法涂写招贴广告清除范围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22031</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245500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22179</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250000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拱墅区拱宸桥街道非法涂写招贴广告清除范围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32506</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320000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拱墅区上塘街道非法涂写招贴广告清除范围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44281</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400000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拱墅区祥符街道非法涂写招贴广告清除范围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83332.1</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680000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拱墅区大关路以南部分主要道路（含运河游步道）非法涂写招贴广告清除范围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41843</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495000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88137.77</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900600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拱墅区大关路以北部分主要道路非法涂写招贴广告清除范围（东）</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63645.5</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564500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拱墅区半山街道非法涂写招贴广告清除范围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29480.7</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255000</w:t>
                  </w:r>
                </w:p>
              </w:tc>
            </w:tr>
            <w:tr>
              <w:tblPrEx>
                <w:tblCellMar>
                  <w:top w:w="0" w:type="dxa"/>
                  <w:left w:w="0" w:type="dxa"/>
                  <w:bottom w:w="0" w:type="dxa"/>
                  <w:right w:w="0" w:type="dxa"/>
                </w:tblCellMar>
              </w:tblPrEx>
              <w:trPr>
                <w:trHeight w:val="540" w:hRule="atLeast"/>
                <w:jc w:val="center"/>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4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拱墅区康桥街道非法涂写招贴广告清除范围</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47724</w:t>
                  </w:r>
                </w:p>
              </w:tc>
              <w:tc>
                <w:tcPr>
                  <w:tcW w:w="1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445000</w:t>
                  </w:r>
                </w:p>
              </w:tc>
            </w:tr>
          </w:tbl>
          <w:p>
            <w:pPr>
              <w:tabs>
                <w:tab w:val="left" w:pos="720"/>
              </w:tabs>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报价要求：</w:t>
            </w:r>
            <w:r>
              <w:rPr>
                <w:rFonts w:hint="eastAsia" w:ascii="宋体" w:hAnsi="宋体" w:eastAsia="宋体" w:cs="宋体"/>
                <w:color w:val="auto"/>
                <w:sz w:val="24"/>
                <w:highlight w:val="none"/>
              </w:rPr>
              <w:t>明确合理，本次标的按人工预算价进行报价。</w:t>
            </w:r>
          </w:p>
          <w:p>
            <w:pPr>
              <w:tabs>
                <w:tab w:val="left" w:pos="720"/>
              </w:tabs>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承包方式：</w:t>
            </w:r>
          </w:p>
          <w:p>
            <w:pPr>
              <w:tabs>
                <w:tab w:val="left" w:pos="720"/>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1、承包人就本合同的作业内容的质量、管理、费用、安全等实行总承包。</w:t>
            </w:r>
          </w:p>
          <w:p>
            <w:pPr>
              <w:tabs>
                <w:tab w:val="left" w:pos="720"/>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2、承包人一律不得将本项目分包、转包及内部经济承包及变相经济转承包；一经发现立即取消承包资格，作违约处理，并承担由此引起的法律责任及一切经济损失。</w:t>
            </w:r>
          </w:p>
          <w:p>
            <w:pPr>
              <w:tabs>
                <w:tab w:val="left" w:pos="720"/>
              </w:tabs>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要优先录用原环卫所及原作业单位的合同制环卫工人，并保证录用的原合同工在原合同期内：①、工资待遇不低于原作业单位提供的工资待遇：②、岗位不变：③、不得无故终止原合同或无故不续签合同，否则按劳动法实行补偿或赔偿。</w:t>
            </w:r>
          </w:p>
          <w:p>
            <w:pPr>
              <w:tabs>
                <w:tab w:val="left" w:pos="720"/>
              </w:tabs>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主要质量、管理要求：</w:t>
            </w:r>
            <w:r>
              <w:rPr>
                <w:rFonts w:hint="eastAsia" w:ascii="宋体" w:hAnsi="宋体" w:eastAsia="宋体" w:cs="宋体"/>
                <w:color w:val="auto"/>
                <w:sz w:val="24"/>
                <w:highlight w:val="none"/>
              </w:rPr>
              <w:t>详见第三章项目技术规范和服务要求。</w:t>
            </w:r>
          </w:p>
          <w:p>
            <w:pPr>
              <w:tabs>
                <w:tab w:val="left" w:pos="720"/>
              </w:tabs>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服务期限：本次合同总的承包期限为二年。按照考核办法,考核合格的可续签一年，如按照考核办法三次不达标的，终止合同。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33" w:type="pct"/>
            <w:noWrap w:val="0"/>
            <w:vAlign w:val="center"/>
          </w:tcPr>
          <w:p>
            <w:pPr>
              <w:tabs>
                <w:tab w:val="left" w:pos="3780"/>
              </w:tabs>
              <w:snapToGrid w:val="0"/>
              <w:spacing w:line="30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合同名称：</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拱墅区清除非法涂写招贴广告作业项目</w:t>
            </w:r>
            <w:r>
              <w:rPr>
                <w:rFonts w:hint="eastAsia" w:ascii="宋体" w:hAnsi="宋体" w:eastAsia="宋体" w:cs="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533" w:type="pct"/>
            <w:noWrap w:val="0"/>
            <w:vAlign w:val="center"/>
          </w:tcPr>
          <w:p>
            <w:pPr>
              <w:adjustRightInd w:val="0"/>
              <w:snapToGrid w:val="0"/>
              <w:spacing w:line="300" w:lineRule="auto"/>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投标报价及费用：</w:t>
            </w:r>
          </w:p>
          <w:p>
            <w:pPr>
              <w:adjustRightInd w:val="0"/>
              <w:snapToGrid w:val="0"/>
              <w:spacing w:line="30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（1）本项目投标应以人民币报价；</w:t>
            </w:r>
          </w:p>
          <w:p>
            <w:pPr>
              <w:adjustRightInd w:val="0"/>
              <w:snapToGrid w:val="0"/>
              <w:spacing w:line="30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（2）不论投标结果如何，投标报价包括为完成本项目可能发生的全部费用；</w:t>
            </w:r>
          </w:p>
          <w:p>
            <w:pPr>
              <w:adjustRightInd w:val="0"/>
              <w:snapToGrid w:val="0"/>
              <w:spacing w:line="30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（3）不论投标结果如何，投标人均应自行承担所有与投标有关的全部费用（采购文件有相关规定除外）。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533" w:type="pct"/>
            <w:noWrap w:val="0"/>
            <w:vAlign w:val="center"/>
          </w:tcPr>
          <w:p>
            <w:pPr>
              <w:snapToGrid w:val="0"/>
              <w:spacing w:line="30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合格的投标人：</w:t>
            </w:r>
            <w:r>
              <w:rPr>
                <w:rFonts w:hint="eastAsia" w:ascii="宋体" w:hAnsi="宋体" w:eastAsia="宋体" w:cs="宋体"/>
                <w:color w:val="auto"/>
                <w:sz w:val="24"/>
                <w:highlight w:val="none"/>
              </w:rPr>
              <w:t>符合招标公告“四、合格的投标人应具备的资格要求”的供应商。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533" w:type="pct"/>
            <w:noWrap w:val="0"/>
            <w:vAlign w:val="center"/>
          </w:tcPr>
          <w:p>
            <w:pPr>
              <w:tabs>
                <w:tab w:val="left" w:pos="3780"/>
              </w:tabs>
              <w:snapToGrid w:val="0"/>
              <w:spacing w:line="30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投标</w:t>
            </w:r>
            <w:r>
              <w:rPr>
                <w:rFonts w:hint="eastAsia" w:ascii="宋体" w:hAnsi="宋体" w:eastAsia="宋体" w:cs="宋体"/>
                <w:b/>
                <w:bCs/>
                <w:color w:val="auto"/>
                <w:sz w:val="24"/>
                <w:highlight w:val="none"/>
              </w:rPr>
              <w:t>有效期：</w:t>
            </w:r>
            <w:r>
              <w:rPr>
                <w:rFonts w:hint="eastAsia" w:ascii="宋体" w:hAnsi="宋体" w:eastAsia="宋体" w:cs="宋体"/>
                <w:color w:val="auto"/>
                <w:sz w:val="24"/>
                <w:highlight w:val="none"/>
              </w:rPr>
              <w:t>自投标截止日起</w:t>
            </w:r>
            <w:r>
              <w:rPr>
                <w:rFonts w:hint="eastAsia" w:ascii="宋体" w:hAnsi="宋体" w:eastAsia="宋体" w:cs="宋体"/>
                <w:color w:val="auto"/>
                <w:sz w:val="24"/>
                <w:highlight w:val="none"/>
                <w:u w:val="single"/>
              </w:rPr>
              <w:t>120</w:t>
            </w:r>
            <w:r>
              <w:rPr>
                <w:rFonts w:hint="eastAsia" w:ascii="宋体" w:hAnsi="宋体" w:eastAsia="宋体" w:cs="宋体"/>
                <w:color w:val="auto"/>
                <w:sz w:val="24"/>
                <w:highlight w:val="none"/>
              </w:rPr>
              <w:t>天。如招标人认为必要，可适当延长。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tcBorders>
              <w:bottom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533" w:type="pct"/>
            <w:tcBorders>
              <w:bottom w:val="single" w:color="auto" w:sz="4" w:space="0"/>
            </w:tcBorders>
            <w:noWrap w:val="0"/>
            <w:vAlign w:val="center"/>
          </w:tcPr>
          <w:p>
            <w:pPr>
              <w:pStyle w:val="11"/>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投标保证金数额：不需交纳投标保证金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2" w:hRule="atLeast"/>
          <w:jc w:val="center"/>
        </w:trPr>
        <w:tc>
          <w:tcPr>
            <w:tcW w:w="466" w:type="pct"/>
            <w:tcBorders>
              <w:top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533" w:type="pct"/>
            <w:tcBorders>
              <w:top w:val="single" w:color="auto" w:sz="4" w:space="0"/>
            </w:tcBorders>
            <w:noWrap w:val="0"/>
            <w:vAlign w:val="center"/>
          </w:tcPr>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投标文件的组成：完整的《投标文件》投标文件由资格审查文件、资信技术文件、报价文件三个部分组成。注：每个标项分别制作并上传“政府采购云平台”。</w:t>
            </w:r>
          </w:p>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份数：（1）“电子加密投标文件”：在“政府采购云平台”上传递交、一份。（2）“备份投标文件”：密封包装后（EMS邮寄形式）投标截止时间前递交、一份（邮寄地址：杭州市西湖区古墩路701号紫金广场A座12楼1211室王超收）。</w:t>
            </w:r>
          </w:p>
          <w:p>
            <w:pPr>
              <w:tabs>
                <w:tab w:val="left" w:pos="3780"/>
              </w:tabs>
              <w:snapToGrid w:val="0"/>
              <w:spacing w:line="30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注：中标结果公告发出后，中标单位递交纸质投标文件3份至招标人处。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4533" w:type="pct"/>
            <w:tcBorders>
              <w:top w:val="single" w:color="auto" w:sz="4" w:space="0"/>
            </w:tcBorders>
            <w:noWrap w:val="0"/>
            <w:vAlign w:val="center"/>
          </w:tcPr>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编制及盖章：电子投标文件投标人应根据“政采云供应商项目采购-电子招投标操作指南”及本招标文件规定的格式和顺序编制电子投标文件并进行关联定位。电子投标文件中所须加盖公章部分均采用CA签章，本招标文件所涉及法定代表人或其委托代理人的签字或盖章的内容，投标单位须盖法人电子签章，如果投标单位没有法人电子签章，涉及到法定代表人或其委托代理人的签字或盖章的内容，投标单位可以线下签字或盖章后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4533" w:type="pct"/>
            <w:tcBorders>
              <w:top w:val="single" w:color="auto" w:sz="4" w:space="0"/>
            </w:tcBorders>
            <w:noWrap w:val="0"/>
            <w:vAlign w:val="center"/>
          </w:tcPr>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投标文件的形式：☑电子投标文件（包括“电子加密投标文件”和“备份投标文件”，在投标文件编制完成后同时生成）；</w:t>
            </w:r>
          </w:p>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（1）“电子加密投标文件”是指通过“政采云电子交易客户端”完成投标文件编制后生成并加密的数据电文形式的投标文件。</w:t>
            </w:r>
          </w:p>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533" w:type="pct"/>
            <w:tcBorders>
              <w:top w:val="single" w:color="auto" w:sz="4" w:space="0"/>
            </w:tcBorders>
            <w:noWrap w:val="0"/>
            <w:vAlign w:val="center"/>
          </w:tcPr>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投标文件的上传和递交：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（1）“电子加密投标文件”的上传、递交：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a.投标供应商应在投标截止时间前将“电子加密投标文件”成功上传递交至“政府采购云平台”，否则投标无效。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b.“电子加密投标文件”成功上传递交后，供应商可自行打印投标文件接收回执。</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（2）“备份投标文件”的密封包装、递交：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a.投标供应商在“政府采购云平台”完成“电子加密投标文件”的上传递交后，还可以（EMS邮寄形式）在投标截止时间前递交以介质（U盘）存储的 “备份投标文件”（一份）；</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b.“备份投标文件”应当密封包装，并在包装上标注投标项目名称、投标单位名称并加盖公章。没有密封包装或者逾期邮寄送达至投标地点的“备份投标文件”将不予接收；</w:t>
            </w:r>
          </w:p>
          <w:p>
            <w:pPr>
              <w:tabs>
                <w:tab w:val="left" w:pos="3780"/>
              </w:tabs>
              <w:snapToGrid w:val="0"/>
              <w:spacing w:line="30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tcBorders>
              <w:top w:val="single" w:color="auto" w:sz="4" w:space="0"/>
            </w:tcBorders>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4533" w:type="pct"/>
            <w:tcBorders>
              <w:top w:val="single" w:color="auto" w:sz="4" w:space="0"/>
            </w:tcBorders>
            <w:noWrap w:val="0"/>
            <w:vAlign w:val="center"/>
          </w:tcPr>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电子加密投标文件的解密和异常情况处理：</w:t>
            </w:r>
          </w:p>
          <w:p>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开标时，电子交易平台按开标时间自动提取所有投标文件。采购机构依托电子交易平台发起开始解密指令，投标人按照平台提示和招标文件的规定在</w:t>
            </w:r>
            <w:r>
              <w:rPr>
                <w:rFonts w:hint="eastAsia" w:ascii="宋体" w:hAnsi="宋体" w:eastAsia="宋体" w:cs="宋体"/>
                <w:b/>
                <w:bCs/>
                <w:color w:val="auto"/>
                <w:sz w:val="24"/>
                <w:highlight w:val="green"/>
              </w:rPr>
              <w:t>半小时</w:t>
            </w:r>
            <w:r>
              <w:rPr>
                <w:rFonts w:hint="eastAsia" w:ascii="宋体" w:hAnsi="宋体" w:eastAsia="宋体" w:cs="宋体"/>
                <w:b/>
                <w:bCs/>
                <w:color w:val="auto"/>
                <w:sz w:val="24"/>
                <w:highlight w:val="none"/>
              </w:rPr>
              <w:t>内完成在线解密。</w:t>
            </w:r>
          </w:p>
          <w:p>
            <w:pPr>
              <w:numPr>
                <w:ilvl w:val="0"/>
                <w:numId w:val="1"/>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tabs>
                <w:tab w:val="left" w:pos="3780"/>
              </w:tabs>
              <w:snapToGrid w:val="0"/>
              <w:spacing w:line="30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4533" w:type="pct"/>
            <w:noWrap w:val="0"/>
            <w:vAlign w:val="center"/>
          </w:tcPr>
          <w:p>
            <w:pPr>
              <w:tabs>
                <w:tab w:val="left" w:pos="3780"/>
              </w:tabs>
              <w:snapToGrid w:val="0"/>
              <w:spacing w:line="30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投标截止时间、开标时间：</w:t>
            </w:r>
            <w:r>
              <w:rPr>
                <w:rFonts w:hint="eastAsia" w:ascii="宋体" w:hAnsi="宋体" w:eastAsia="宋体" w:cs="宋体"/>
                <w:color w:val="auto"/>
                <w:sz w:val="24"/>
                <w:highlight w:val="none"/>
              </w:rPr>
              <w:t>按招标公告规定。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4533" w:type="pct"/>
            <w:noWrap w:val="0"/>
            <w:vAlign w:val="center"/>
          </w:tcPr>
          <w:p>
            <w:pPr>
              <w:spacing w:line="4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w:t>
            </w:r>
            <w:r>
              <w:rPr>
                <w:rFonts w:hint="eastAsia" w:ascii="宋体" w:hAnsi="宋体" w:eastAsia="宋体" w:cs="宋体"/>
                <w:color w:val="auto"/>
                <w:sz w:val="24"/>
                <w:highlight w:val="none"/>
              </w:rPr>
              <w:t>杭州市古墩路701号紫金广场A座15楼1501会议室。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533" w:type="pct"/>
            <w:noWrap w:val="0"/>
            <w:vAlign w:val="center"/>
          </w:tcPr>
          <w:p>
            <w:pPr>
              <w:tabs>
                <w:tab w:val="left" w:pos="3780"/>
              </w:tabs>
              <w:snapToGrid w:val="0"/>
              <w:spacing w:line="300" w:lineRule="auto"/>
              <w:rPr>
                <w:rFonts w:hint="eastAsia" w:ascii="宋体" w:hAnsi="宋体" w:eastAsia="宋体" w:cs="宋体"/>
                <w:b/>
                <w:color w:val="auto"/>
                <w:sz w:val="24"/>
                <w:highlight w:val="none"/>
              </w:rPr>
            </w:pPr>
            <w:r>
              <w:rPr>
                <w:rFonts w:hint="eastAsia" w:ascii="宋体" w:hAnsi="宋体" w:eastAsia="宋体" w:cs="宋体"/>
                <w:b/>
                <w:color w:val="auto"/>
                <w:kern w:val="10"/>
                <w:sz w:val="24"/>
                <w:highlight w:val="none"/>
              </w:rPr>
              <w:t>评标办法：</w:t>
            </w:r>
            <w:r>
              <w:rPr>
                <w:rFonts w:hint="eastAsia" w:ascii="宋体" w:hAnsi="宋体" w:eastAsia="宋体" w:cs="宋体"/>
                <w:color w:val="auto"/>
                <w:kern w:val="10"/>
                <w:sz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4533" w:type="pct"/>
            <w:noWrap w:val="0"/>
            <w:vAlign w:val="center"/>
          </w:tcPr>
          <w:p>
            <w:pPr>
              <w:tabs>
                <w:tab w:val="left" w:pos="3780"/>
              </w:tabs>
              <w:snapToGrid w:val="0"/>
              <w:spacing w:line="300" w:lineRule="auto"/>
              <w:rPr>
                <w:rFonts w:hint="eastAsia" w:ascii="宋体" w:hAnsi="宋体" w:eastAsia="宋体" w:cs="宋体"/>
                <w:color w:val="auto"/>
                <w:sz w:val="24"/>
                <w:highlight w:val="none"/>
              </w:rPr>
            </w:pPr>
            <w:r>
              <w:rPr>
                <w:rFonts w:hint="eastAsia" w:ascii="宋体" w:hAnsi="宋体" w:eastAsia="宋体" w:cs="宋体"/>
                <w:b/>
                <w:color w:val="auto"/>
                <w:kern w:val="10"/>
                <w:sz w:val="24"/>
                <w:highlight w:val="none"/>
              </w:rPr>
              <w:t>招标公告和结果公告发布媒体：</w:t>
            </w:r>
            <w:r>
              <w:rPr>
                <w:rFonts w:hint="eastAsia" w:ascii="宋体" w:hAnsi="宋体" w:eastAsia="宋体" w:cs="宋体"/>
                <w:color w:val="auto"/>
                <w:sz w:val="24"/>
                <w:highlight w:val="none"/>
              </w:rPr>
              <w:t>浙江政府采购网。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4533" w:type="pct"/>
            <w:noWrap w:val="0"/>
            <w:vAlign w:val="center"/>
          </w:tcPr>
          <w:p>
            <w:pPr>
              <w:tabs>
                <w:tab w:val="left" w:pos="3780"/>
              </w:tabs>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中标通知书：</w:t>
            </w:r>
            <w:r>
              <w:rPr>
                <w:rFonts w:hint="eastAsia" w:ascii="宋体" w:hAnsi="宋体" w:eastAsia="宋体" w:cs="宋体"/>
                <w:color w:val="auto"/>
                <w:sz w:val="24"/>
                <w:highlight w:val="none"/>
              </w:rPr>
              <w:t>按照政府采购管理规定发中标通知书。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533" w:type="pct"/>
            <w:noWrap w:val="0"/>
            <w:vAlign w:val="center"/>
          </w:tcPr>
          <w:p>
            <w:pPr>
              <w:tabs>
                <w:tab w:val="left" w:pos="3780"/>
              </w:tabs>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解释：</w:t>
            </w:r>
            <w:r>
              <w:rPr>
                <w:rFonts w:hint="eastAsia" w:ascii="宋体" w:hAnsi="宋体" w:eastAsia="宋体" w:cs="宋体"/>
                <w:color w:val="auto"/>
                <w:sz w:val="24"/>
                <w:highlight w:val="none"/>
              </w:rPr>
              <w:t>本招标文件的解释权属于采购人和采购代理机构。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4533" w:type="pct"/>
            <w:noWrap w:val="0"/>
            <w:vAlign w:val="center"/>
          </w:tcPr>
          <w:p>
            <w:pPr>
              <w:snapToGrid w:val="0"/>
              <w:spacing w:line="400" w:lineRule="exact"/>
              <w:jc w:val="left"/>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highlight w:val="none"/>
              </w:rPr>
              <w:t>政府采购扶持政策：</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（1）节能环保政策：</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投标产品若属于节能环保产品的，请提供财政部、环境保护保部发布有效期内环境标志产品政府采购清单以及财政部、发改委联合发布有效期内节能产品政府采购清单。</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招标需求中要求提供的产品属于节能清单中政府强制采购节能产品品目的，投标人须提供该清单内产品，否则其投标将作为无效标处理。</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（2）促进中小企业发展、支持监狱企业发展、促进残疾人就业，给予价格扣除：</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a、根据财库〔2011〕181号的相关规定，在评审时对小型和微型企业的投标报价给予6%的扣除，取扣除后的价格作为最终投标报价（此最终投标报价仅作为价格分计算）。注：未按要求提供材料的，均不给予价格扣除。</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b、根据工信部联企业〔2011〕300号的相关规定属于小型和微型企业的，投标文件中必须同时提供《中小企业声明函》（见附件）、“国家企业信用信息公示系统——小微企业名录”页面查询结果（查询时间为投标前一周内，并加盖单位公章）。</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c、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d、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00" w:lineRule="exact"/>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e、企业信用融资：中小企业信用融资：为支持和促进中小企业发展，进一步发挥政府采购政策功能，杭州市财政局 、中国银保监会浙江监管局、杭州市人民政府金融工作办公室、杭州市经济和信息化局共同出台了《杭州市政府采购支持中小企业信用融资管理办法》（网址：http://cg.hzft.gov.cn/www/noticedetail.do?noticeguid=8a0691a36af3b171016c51516f2c0976），供应商若有融资意向，请登陆杭州市政府采购网（http://cg.hzft.gov.cn）“中小企业信用融资”专栏，查看信用融资政策文件及各相关银行服务方案。</w:t>
            </w:r>
          </w:p>
          <w:p>
            <w:pPr>
              <w:pStyle w:val="11"/>
              <w:adjustRightInd w:val="0"/>
              <w:snapToGrid w:val="0"/>
              <w:spacing w:line="400" w:lineRule="exact"/>
              <w:rPr>
                <w:rFonts w:hint="eastAsia" w:ascii="宋体" w:hAnsi="宋体" w:eastAsia="宋体" w:cs="宋体"/>
                <w:b/>
                <w:color w:val="auto"/>
                <w:kern w:val="10"/>
                <w:sz w:val="24"/>
                <w:szCs w:val="24"/>
                <w:highlight w:val="none"/>
              </w:rPr>
            </w:pPr>
            <w:r>
              <w:rPr>
                <w:rFonts w:hint="eastAsia" w:ascii="宋体" w:hAnsi="宋体" w:eastAsia="宋体" w:cs="宋体"/>
                <w:snapToGrid w:val="0"/>
                <w:color w:val="auto"/>
                <w:kern w:val="28"/>
                <w:sz w:val="24"/>
                <w:szCs w:val="24"/>
                <w:highlight w:val="none"/>
              </w:rPr>
              <w:t>（3）采购本国服务：本项目采购本国服务。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533" w:type="pct"/>
            <w:noWrap w:val="0"/>
            <w:vAlign w:val="center"/>
          </w:tcPr>
          <w:p>
            <w:pPr>
              <w:pStyle w:val="7"/>
              <w:spacing w:after="156"/>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排名第一的中标候选人放弃中标、因不可抗力不履行合同、不按招标文件要求提交履约保证金、被查实存在影响中标结果的违法行为等情形，不符合中标条件的；招标人将按中标候选人名单排序依次确定其他中标候选人为中标人或重新组织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4533" w:type="pct"/>
            <w:noWrap w:val="0"/>
            <w:vAlign w:val="center"/>
          </w:tcPr>
          <w:p>
            <w:pPr>
              <w:pStyle w:val="58"/>
              <w:snapToGrid w:val="0"/>
              <w:spacing w:line="30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本招标文件中所引用的政府文件内容如有最新文件规定的按最新文件规定执行。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p>
        </w:tc>
        <w:tc>
          <w:tcPr>
            <w:tcW w:w="4533" w:type="pct"/>
            <w:noWrap w:val="0"/>
            <w:vAlign w:val="center"/>
          </w:tcPr>
          <w:p>
            <w:pPr>
              <w:pStyle w:val="58"/>
              <w:snapToGrid w:val="0"/>
              <w:spacing w:line="300" w:lineRule="auto"/>
              <w:ind w:firstLine="0" w:firstLineChars="0"/>
              <w:rPr>
                <w:rFonts w:hint="eastAsia" w:ascii="宋体" w:hAnsi="宋体" w:eastAsia="宋体" w:cs="宋体"/>
                <w:color w:val="auto"/>
                <w:sz w:val="24"/>
                <w:highlight w:val="none"/>
              </w:rPr>
            </w:pPr>
            <w:r>
              <w:rPr>
                <w:rFonts w:hint="eastAsia" w:ascii="宋体" w:hAnsi="宋体" w:eastAsia="宋体" w:cs="宋体"/>
                <w:b/>
                <w:color w:val="auto"/>
                <w:kern w:val="10"/>
                <w:sz w:val="24"/>
                <w:highlight w:val="none"/>
              </w:rPr>
              <w:t>其他：</w:t>
            </w:r>
            <w:r>
              <w:rPr>
                <w:rFonts w:hint="eastAsia" w:ascii="宋体" w:hAnsi="宋体" w:eastAsia="宋体" w:cs="宋体"/>
                <w:color w:val="auto"/>
                <w:sz w:val="24"/>
                <w:highlight w:val="none"/>
              </w:rPr>
              <w:t>由于本项目不需交纳投标保证金，为了保证本项目顺利开标、评标，保障采购单位权益，所有获取招标文件的潜在投标人如果放弃投标请务必在投标截止48小时前将盖章的放弃投标函快递至代理机构（可以先将扫描件发送至代理机构联系人邮箱：1104640552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4533" w:type="pct"/>
            <w:noWrap w:val="0"/>
            <w:vAlign w:val="center"/>
          </w:tcPr>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根据《关于在政府采购活动中查询及使用信用记录有关问题的通知》财库[2016]125号的规定：</w:t>
            </w:r>
          </w:p>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1）采购人或采购代理机构将对本项目供应商的信用信息进行查询。</w:t>
            </w:r>
          </w:p>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2）查询渠道为信用中国网站（www.creditchina.gov.cn）、中国政府采购网（www.ccgp.gov.cn）。</w:t>
            </w:r>
          </w:p>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4）信用信息查询记录和证据以网页截图等方式留存。</w:t>
            </w:r>
          </w:p>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kern w:val="10"/>
                <w:sz w:val="24"/>
                <w:highlight w:val="none"/>
              </w:rPr>
              <w:t>5）投标截止日当日网站显示的信用信息将作为评审和确定中标人的依据。</w:t>
            </w:r>
          </w:p>
          <w:p>
            <w:pPr>
              <w:pStyle w:val="58"/>
              <w:snapToGrid w:val="0"/>
              <w:spacing w:line="300" w:lineRule="auto"/>
              <w:ind w:firstLine="0" w:firstLineChars="0"/>
              <w:rPr>
                <w:rFonts w:hint="eastAsia" w:ascii="宋体" w:hAnsi="宋体" w:eastAsia="宋体" w:cs="宋体"/>
                <w:color w:val="auto"/>
                <w:sz w:val="24"/>
                <w:highlight w:val="none"/>
              </w:rPr>
            </w:pPr>
            <w:r>
              <w:rPr>
                <w:rFonts w:hint="eastAsia" w:ascii="宋体" w:hAnsi="宋体" w:eastAsia="宋体" w:cs="宋体"/>
                <w:b/>
                <w:color w:val="auto"/>
                <w:kern w:val="10"/>
                <w:sz w:val="24"/>
                <w:highlight w:val="none"/>
              </w:rPr>
              <w:t>6）联合体成员存在不良信用记录的，视同联合体存在不良信用记录。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466" w:type="pct"/>
            <w:noWrap w:val="0"/>
            <w:vAlign w:val="center"/>
          </w:tcPr>
          <w:p>
            <w:pPr>
              <w:tabs>
                <w:tab w:val="left" w:pos="3780"/>
              </w:tabs>
              <w:snapToGrid w:val="0"/>
              <w:spacing w:line="30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p>
        </w:tc>
        <w:tc>
          <w:tcPr>
            <w:tcW w:w="4533" w:type="pct"/>
            <w:noWrap w:val="0"/>
            <w:vAlign w:val="center"/>
          </w:tcPr>
          <w:p>
            <w:pPr>
              <w:snapToGrid w:val="0"/>
              <w:spacing w:line="300" w:lineRule="auto"/>
              <w:rPr>
                <w:rFonts w:hint="eastAsia" w:ascii="宋体" w:hAnsi="宋体" w:eastAsia="宋体" w:cs="宋体"/>
                <w:b/>
                <w:color w:val="auto"/>
                <w:kern w:val="10"/>
                <w:sz w:val="24"/>
                <w:highlight w:val="none"/>
              </w:rPr>
            </w:pPr>
            <w:r>
              <w:rPr>
                <w:rFonts w:hint="eastAsia" w:ascii="宋体" w:hAnsi="宋体" w:eastAsia="宋体" w:cs="宋体"/>
                <w:b/>
                <w:color w:val="auto"/>
                <w:sz w:val="24"/>
                <w:highlight w:val="none"/>
              </w:rPr>
              <w:t>（1）请投标人仔细阅读本招标文件，其中带“▲”标记的条款为实质性内容，投标人须对带“▲”标记的条款作出实质性响应。</w:t>
            </w:r>
          </w:p>
        </w:tc>
      </w:tr>
    </w:tbl>
    <w:p>
      <w:pPr>
        <w:pStyle w:val="11"/>
        <w:spacing w:line="440" w:lineRule="exact"/>
        <w:rPr>
          <w:rFonts w:hint="eastAsia" w:ascii="宋体" w:hAnsi="宋体" w:eastAsia="宋体" w:cs="宋体"/>
          <w:b/>
          <w:bCs/>
          <w:color w:val="auto"/>
          <w:sz w:val="24"/>
          <w:highlight w:val="none"/>
        </w:rPr>
      </w:pPr>
    </w:p>
    <w:p>
      <w:pPr>
        <w:pStyle w:val="11"/>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一 、总则</w:t>
      </w:r>
    </w:p>
    <w:p>
      <w:pPr>
        <w:pStyle w:val="11"/>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1．项目说明</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 本招标文件仅适用于本次公开招标中所叙述杭州市拱墅区城市管理局的</w:t>
      </w:r>
      <w:r>
        <w:rPr>
          <w:rFonts w:hint="eastAsia" w:ascii="宋体" w:hAnsi="宋体" w:eastAsia="宋体" w:cs="宋体"/>
          <w:color w:val="auto"/>
          <w:kern w:val="0"/>
          <w:sz w:val="24"/>
          <w:highlight w:val="none"/>
        </w:rPr>
        <w:t>拱墅区清除非法涂写招贴广告作业项目</w:t>
      </w:r>
      <w:r>
        <w:rPr>
          <w:rFonts w:hint="eastAsia" w:ascii="宋体" w:hAnsi="宋体" w:eastAsia="宋体" w:cs="宋体"/>
          <w:color w:val="auto"/>
          <w:sz w:val="24"/>
          <w:highlight w:val="none"/>
        </w:rPr>
        <w:t>。</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1．2项目说明见投标须知前附表(以下称“前附表”)所述。</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1．3相关名词说明：</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单位杭州市拱墅区城市管理局为本项目的采购人（合同中的甲方）。浙江省成套工程有限公司为采购代理机构。自愿参加本次项目投标的公司为投标人，经评审产生并经批准的投标人为中标人，签订合同后的中标人为服务商（合同中的乙方）。杭州市拱墅区政府采购管理部门为监督管理部门。</w:t>
      </w:r>
    </w:p>
    <w:p>
      <w:pPr>
        <w:pStyle w:val="11"/>
        <w:tabs>
          <w:tab w:val="left" w:pos="72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1．4潜在投标人领取招标文件后，必须遵循国家《保密法》以及保密工作的相关规定，对招标文件内容应承担保密义务，维护采购人的权益，发生窃、泄密事件潜在投标人应承担相应的法律责任。</w:t>
      </w:r>
    </w:p>
    <w:p>
      <w:pPr>
        <w:pStyle w:val="11"/>
        <w:tabs>
          <w:tab w:val="left" w:pos="72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 投标人一旦参与本次采购活动，即被视为接受了本招标文件的所有内容，如有任何异议，均需在答疑截止时间前以书面形式提出。 </w:t>
      </w:r>
    </w:p>
    <w:p>
      <w:pPr>
        <w:pStyle w:val="11"/>
        <w:tabs>
          <w:tab w:val="left" w:pos="72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 投标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服务商应承担相应后果，并负责赔偿。服务商为执行本项目合同而提供的技术资料等归采购人所有。</w:t>
      </w:r>
    </w:p>
    <w:p>
      <w:pPr>
        <w:pStyle w:val="11"/>
        <w:tabs>
          <w:tab w:val="left" w:pos="720"/>
        </w:tabs>
        <w:spacing w:line="440" w:lineRule="exact"/>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2．采购方式：</w:t>
      </w:r>
      <w:r>
        <w:rPr>
          <w:rFonts w:hint="eastAsia" w:ascii="宋体" w:hAnsi="宋体" w:eastAsia="宋体" w:cs="宋体"/>
          <w:color w:val="auto"/>
          <w:sz w:val="24"/>
          <w:szCs w:val="28"/>
          <w:highlight w:val="none"/>
        </w:rPr>
        <w:t>公开招标</w:t>
      </w:r>
    </w:p>
    <w:p>
      <w:pPr>
        <w:pStyle w:val="11"/>
        <w:tabs>
          <w:tab w:val="left" w:pos="72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3．合格的投标人应具备的资格要求，见招标文件第一部分“招标公告”第4条。</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4．投标费用</w:t>
      </w:r>
    </w:p>
    <w:p>
      <w:pPr>
        <w:pStyle w:val="11"/>
        <w:spacing w:line="440" w:lineRule="exact"/>
        <w:ind w:firstLine="49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1、投标人需自行承担涉及投标的一切费用，不管投标结果如何，采购单位和采购代理机构对上述费用不负任何责任。</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招标代理费由中标人计入综合单价及总报价中。该项费用由招标代理公司在发中标通知书时向中标单位收取，代理服务费以中标价为基数按国家计委【计价格〔2002〕1980号】文件规定标准的60%收取，单个标段代理费不足伍仟元按伍仟元计取。</w:t>
      </w:r>
    </w:p>
    <w:p>
      <w:pPr>
        <w:pStyle w:val="11"/>
        <w:spacing w:line="440" w:lineRule="exact"/>
        <w:rPr>
          <w:rFonts w:hint="eastAsia" w:ascii="宋体" w:hAnsi="宋体" w:eastAsia="宋体" w:cs="宋体"/>
          <w:color w:val="auto"/>
          <w:sz w:val="24"/>
          <w:highlight w:val="none"/>
        </w:rPr>
      </w:pPr>
    </w:p>
    <w:p>
      <w:pPr>
        <w:pStyle w:val="11"/>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二、招标文件</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5．招标文件的组成</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5．1招标文件包括下列文件及附件</w:t>
      </w:r>
    </w:p>
    <w:p>
      <w:pPr>
        <w:numPr>
          <w:ilvl w:val="0"/>
          <w:numId w:val="2"/>
        </w:num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招标公告</w:t>
      </w:r>
    </w:p>
    <w:p>
      <w:pPr>
        <w:numPr>
          <w:ilvl w:val="0"/>
          <w:numId w:val="2"/>
        </w:num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编制和提交投标文件须知</w:t>
      </w:r>
    </w:p>
    <w:p>
      <w:pPr>
        <w:numPr>
          <w:ilvl w:val="0"/>
          <w:numId w:val="2"/>
        </w:num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项目技术规范和服务要求</w:t>
      </w:r>
    </w:p>
    <w:p>
      <w:pPr>
        <w:numPr>
          <w:ilvl w:val="0"/>
          <w:numId w:val="2"/>
        </w:num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采购合同的一般和特殊条款</w:t>
      </w:r>
    </w:p>
    <w:p>
      <w:pPr>
        <w:numPr>
          <w:ilvl w:val="0"/>
          <w:numId w:val="2"/>
        </w:num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应提交的有关格式范例</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5．2 投标人应认真审阅招标文件中所有的内容，包括招标公告、编制和提交采购响应文件须知、项目技术规范和服务要求、采购合同的一般和特殊条款、应提交的有关格式范例等。如果投标人编制的投标文件没有从实质上响应招标文件的要求，其投标文件将被采购代理机构拒绝。</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6．招标文件的解释</w:t>
      </w:r>
    </w:p>
    <w:p>
      <w:pPr>
        <w:pStyle w:val="11"/>
        <w:spacing w:after="156"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6．1已获取招标文件的潜在投标人，若有问题需要澄清，应于</w:t>
      </w:r>
      <w:r>
        <w:rPr>
          <w:rFonts w:hint="eastAsia" w:ascii="宋体" w:hAnsi="宋体" w:eastAsia="宋体" w:cs="宋体"/>
          <w:b/>
          <w:bCs/>
          <w:color w:val="auto"/>
          <w:sz w:val="24"/>
          <w:highlight w:val="none"/>
        </w:rPr>
        <w:t>2020年</w:t>
      </w:r>
      <w:r>
        <w:rPr>
          <w:rFonts w:hint="eastAsia"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月</w:t>
      </w:r>
      <w:r>
        <w:rPr>
          <w:rFonts w:hint="eastAsia" w:hAnsi="宋体" w:eastAsia="宋体" w:cs="宋体"/>
          <w:b/>
          <w:bCs/>
          <w:color w:val="auto"/>
          <w:sz w:val="24"/>
          <w:highlight w:val="none"/>
          <w:lang w:val="en-US" w:eastAsia="zh-CN"/>
        </w:rPr>
        <w:t>2</w:t>
      </w:r>
      <w:r>
        <w:rPr>
          <w:rFonts w:hint="eastAsia"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日</w:t>
      </w:r>
      <w:r>
        <w:rPr>
          <w:rFonts w:hint="eastAsia" w:hAnsi="宋体" w:eastAsia="宋体" w:cs="宋体"/>
          <w:b/>
          <w:bCs/>
          <w:color w:val="auto"/>
          <w:sz w:val="24"/>
          <w:highlight w:val="none"/>
          <w:lang w:val="en-US" w:eastAsia="zh-CN"/>
        </w:rPr>
        <w:t>1</w:t>
      </w:r>
      <w:r>
        <w:rPr>
          <w:rFonts w:hint="eastAsia"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时前，将书面疑问邮件发送至采购代理机构1104640552@qq.com邮箱</w:t>
      </w:r>
      <w:r>
        <w:rPr>
          <w:rFonts w:hint="eastAsia" w:ascii="宋体" w:hAnsi="宋体" w:eastAsia="宋体" w:cs="宋体"/>
          <w:color w:val="auto"/>
          <w:sz w:val="24"/>
          <w:highlight w:val="none"/>
        </w:rPr>
        <w:t>，采购代理机构对已发出的招标文件进行必要澄清、答复、修改或补充的，应当在招标文件要求提交投标文件截止时间5日前，以书面形式通知所有招标文件收受人。</w:t>
      </w:r>
    </w:p>
    <w:p>
      <w:pPr>
        <w:pStyle w:val="11"/>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6．2不论采购代理机构向投标人发送的资料文件，还是投标人提出的问题，均采用书面形式，任何口头提问及答复一律无效。</w:t>
      </w:r>
    </w:p>
    <w:p>
      <w:pPr>
        <w:pStyle w:val="11"/>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6.3招标文件澄清、修改、答复、补充的内容为招标文件的组成部分，当招标文件与招标文件的澄清、修改、答复、补充通知就同一内容的表述不一致时，以最后发出的书面文件为准</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7．招标文件的修改</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7．1 从招标文件发出至投标截止日期，采购代理机构可能会以补充通知的方式修改招标文件。</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7．2补充通知作为招标文件的组成部分，以书面形式同时发给所有招标文件的收受人。</w:t>
      </w:r>
    </w:p>
    <w:p>
      <w:pPr>
        <w:pStyle w:val="2"/>
        <w:spacing w:line="440" w:lineRule="exact"/>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7．3若有必要，采购代理机构将酌情延长递交投标文件的截止日期。</w:t>
      </w:r>
    </w:p>
    <w:p>
      <w:pPr>
        <w:pStyle w:val="11"/>
        <w:tabs>
          <w:tab w:val="left" w:pos="90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8．投标报价</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8.1本项目投标报价为壹年服务总价。</w:t>
      </w:r>
      <w:r>
        <w:rPr>
          <w:rFonts w:hint="eastAsia" w:ascii="宋体" w:hAnsi="宋体" w:eastAsia="宋体" w:cs="宋体"/>
          <w:color w:val="auto"/>
          <w:sz w:val="24"/>
          <w:highlight w:val="none"/>
        </w:rPr>
        <w:t>投标单位按招标文件规定的质量要求，结合作业地段实际和企业自身实力自主报价并将涉及到的费用按单项列出清单。有关本项目所需的一切费用均计入报价，中标后合同总价不做调整。《开标一览表》是报价的唯一载体。</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8．2其它费用处理</w:t>
      </w:r>
    </w:p>
    <w:p>
      <w:pPr>
        <w:pStyle w:val="11"/>
        <w:spacing w:line="44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招标文件未列明，而投标人认为必需的费用也需列入报价。</w:t>
      </w:r>
    </w:p>
    <w:p>
      <w:pPr>
        <w:pStyle w:val="11"/>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8．3</w:t>
      </w:r>
      <w:r>
        <w:rPr>
          <w:rFonts w:hint="eastAsia" w:ascii="宋体" w:hAnsi="宋体" w:eastAsia="宋体" w:cs="宋体"/>
          <w:color w:val="auto"/>
          <w:sz w:val="24"/>
          <w:szCs w:val="24"/>
          <w:highlight w:val="none"/>
        </w:rPr>
        <w:t>投标货币</w:t>
      </w:r>
    </w:p>
    <w:p>
      <w:pPr>
        <w:spacing w:line="520" w:lineRule="exact"/>
        <w:ind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的单价和总价全部采用人民币报价。报价应是唯一的，采购代理机构有权利不接受有选择的报价。投标文件中的报价大写金额和小写金额不一致的，以大写金额为准；总价金额与按单价汇总金额不一致的，以单价金额计算结果为准；单价金额小数点有明显错位的，应以总价为准，并修改单价。</w:t>
      </w:r>
    </w:p>
    <w:p>
      <w:pPr>
        <w:spacing w:line="52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8．4 投标人应充分考虑现场条件、服务期、质量、安全及其他因素可能发生的费用，中标后不得以未考虑上述过程中的任一因素为由要求增加项目造价。</w:t>
      </w:r>
    </w:p>
    <w:p>
      <w:pPr>
        <w:pStyle w:val="11"/>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三、投标文件</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9．投标文件的语言</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9.1投标文件以及投标人与招标人就有关投标事宜的所有来往函电，均应以中文汉语书写。除签名、盖章、专用名称等特殊情形外，以中文汉语以外的文字表述的投标文件视同未提供。</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9.2投标文件中如附有外文资料，必须逐一对应翻译成中文并加盖投标人公章后附在相关外文资料后面，否则外文资料不予认可。翻译的中文资料与外文资料不符的，均不予认可。翻译严重错误的，将视同提供虚假资料上报财政部门列入不诚信记录。</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zh-CN"/>
        </w:rPr>
        <w:t>9.3</w:t>
      </w:r>
      <w:r>
        <w:rPr>
          <w:rFonts w:hint="eastAsia" w:ascii="宋体" w:hAnsi="宋体" w:eastAsia="宋体" w:cs="宋体"/>
          <w:color w:val="auto"/>
          <w:sz w:val="24"/>
          <w:szCs w:val="20"/>
          <w:highlight w:val="none"/>
        </w:rPr>
        <w:t>投标计量单位，招标文件已有明确规定的，使用招标文件规定的计量单位；招标文件没有规定的，应采用中华人民共和国法定计量单位（货币单位：人民币元），否则视同未响应。</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9.4投标文件中优惠条件事项不能包括采购项目本身所包括涉及的采购事项。投标人不能以“赠送、赠予”等任何名义提供货物和服务以规避招标文件的约束。</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10．投标文件的组成</w:t>
      </w:r>
    </w:p>
    <w:p>
      <w:pPr>
        <w:pStyle w:val="11"/>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投标文件一般应当包括以下主要内容：</w:t>
      </w:r>
      <w:r>
        <w:rPr>
          <w:rFonts w:hint="eastAsia" w:ascii="宋体" w:hAnsi="宋体" w:eastAsia="宋体" w:cs="宋体"/>
          <w:b/>
          <w:color w:val="auto"/>
          <w:sz w:val="24"/>
          <w:highlight w:val="none"/>
        </w:rPr>
        <w:t>资格审查文件</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商务报价文件</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资信技术文件</w:t>
      </w:r>
      <w:r>
        <w:rPr>
          <w:rFonts w:hint="eastAsia" w:ascii="宋体" w:hAnsi="宋体" w:eastAsia="宋体" w:cs="宋体"/>
          <w:color w:val="auto"/>
          <w:sz w:val="24"/>
          <w:highlight w:val="none"/>
        </w:rPr>
        <w:t>。</w:t>
      </w:r>
    </w:p>
    <w:p>
      <w:pPr>
        <w:snapToGrid w:val="0"/>
        <w:spacing w:line="30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10.1资格审查文件</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1）资格审查资料；</w:t>
      </w:r>
    </w:p>
    <w:p>
      <w:pPr>
        <w:snapToGrid w:val="0"/>
        <w:spacing w:line="30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10.2商务报价文件</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 投标函；</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 开标一览表；</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投标报价明细清单：投标人按招标文件规定的质量要求，结合作业标段实际和企业自身实力，参照预算价自主报价并将涉及到的费用按单项列出清单。</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费用包括：</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作业成本经费。含人员工资、劳保用品费、清扫保洁易耗工具费。根据浙政办发〔2015〕30号和杭政办〔2008〕14号文件规定的工资标准，包含人员基础工资，环卫特殊岗位津贴、高温费、社会保险费、住房公积金、双休日及法定节假日加班费、医疗体检费等。其中人员基础工资不得低于最新出台的杭州市城镇职工最低工资标准的110%）同时考虑杭州市每年调整最低工资的因素。</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2、合理利润及法规要求涉及的保障费用。</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在考虑定标优惠承诺后，确定一年（12个月）的总承包经费。投标单位报价可参考本标的预算价（道路具体作业难易情况）进行报价。</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3、其他费用</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除以上所列各项费用外，投标人认为应纳入本报价的其他费用（包括招标代理费、税金等）。</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 中小企业声明函、监狱企业声明函及其相关的充分的证明材料、残疾人福利性单位声明函；</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10．3投标人的</w:t>
      </w:r>
      <w:r>
        <w:rPr>
          <w:rFonts w:hint="eastAsia" w:ascii="宋体" w:hAnsi="宋体" w:eastAsia="宋体" w:cs="宋体"/>
          <w:b/>
          <w:bCs/>
          <w:color w:val="auto"/>
          <w:sz w:val="24"/>
          <w:highlight w:val="none"/>
        </w:rPr>
        <w:t>资信</w:t>
      </w:r>
      <w:r>
        <w:rPr>
          <w:rFonts w:hint="eastAsia" w:ascii="宋体" w:hAnsi="宋体" w:eastAsia="宋体" w:cs="宋体"/>
          <w:b/>
          <w:color w:val="auto"/>
          <w:sz w:val="24"/>
          <w:highlight w:val="none"/>
        </w:rPr>
        <w:t>技术文件</w:t>
      </w:r>
      <w:r>
        <w:rPr>
          <w:rFonts w:hint="eastAsia" w:ascii="宋体" w:hAnsi="宋体" w:eastAsia="宋体" w:cs="宋体"/>
          <w:color w:val="auto"/>
          <w:sz w:val="24"/>
          <w:highlight w:val="none"/>
        </w:rPr>
        <w:t>应至少包括：</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（1）法人授权委托书，法定代表人及授权委托人的身份证（复印件）；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（2）投标人的营业执照和资质证书等企业资质文件的复印件及公司介绍（投标人应对投标人的企业基本概况、经营理念、管理目标、竞争优势、已取得的业绩及企业资信情况等进行简要介绍和说明）；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（3）银行出具的企业信用等级证书；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（4）投标人的相关业绩以及相应的证明文件（中标通知书、合同或业主证明，原件备查）； </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（5）投标保证金交纳凭证；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（6）商务偏离说明表；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（7）年度清除非法涂写招贴广告作业计划方案；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（8）清除非法涂写招贴广告作业措施设想；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（9）内部考核制度和人员配置及管理情况方案；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（10）参与本项目的管理人员和主要技术骨干名单及简历（包括年龄、学历、职称或技术等级、执业证明等）；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（11）技术偏离说明表；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（12）关于对招标文件中有关条款的拒绝声明（如果有）；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（13）投标人认为需要的其他文件或说明；</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（14）</w:t>
      </w:r>
      <w:r>
        <w:rPr>
          <w:rFonts w:hint="eastAsia" w:ascii="宋体" w:hAnsi="宋体" w:eastAsia="宋体" w:cs="宋体"/>
          <w:color w:val="auto"/>
          <w:kern w:val="0"/>
          <w:sz w:val="24"/>
          <w:highlight w:val="none"/>
          <w:lang w:val="zh-CN"/>
        </w:rPr>
        <w:t>优惠条件及特殊承诺。</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
          <w:color w:val="auto"/>
          <w:sz w:val="24"/>
          <w:highlight w:val="none"/>
        </w:rPr>
        <w:t>投标人要认真审阅招标文件中所有内容，主要有作业要求、质量标准、现场条件等，投标文件必须按照招标文件要求制作。</w:t>
      </w:r>
    </w:p>
    <w:p>
      <w:pPr>
        <w:pStyle w:val="11"/>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11．1 投标文件合格投递后，在本须知前附表规定的日期内有效。</w:t>
      </w:r>
    </w:p>
    <w:p>
      <w:pPr>
        <w:pStyle w:val="1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11．2在原定投标有效期之前，如果出现特殊情况，采购代理机构可以以书面形式通知投标人延长投标有效期。</w:t>
      </w:r>
    </w:p>
    <w:p>
      <w:pPr>
        <w:pStyle w:val="11"/>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12．投标保证金：不要求缴纳。</w:t>
      </w:r>
    </w:p>
    <w:p>
      <w:pPr>
        <w:pStyle w:val="5"/>
        <w:tabs>
          <w:tab w:val="left" w:pos="720"/>
        </w:tabs>
        <w:snapToGrid w:val="0"/>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13．投标</w:t>
      </w:r>
      <w:r>
        <w:rPr>
          <w:rFonts w:hint="eastAsia" w:ascii="宋体" w:hAnsi="宋体" w:eastAsia="宋体" w:cs="宋体"/>
          <w:color w:val="auto"/>
          <w:sz w:val="24"/>
          <w:szCs w:val="24"/>
          <w:highlight w:val="none"/>
        </w:rPr>
        <w:t>文件的编制</w:t>
      </w:r>
    </w:p>
    <w:p>
      <w:pPr>
        <w:spacing w:line="440" w:lineRule="exact"/>
        <w:ind w:firstLine="482" w:firstLineChars="200"/>
        <w:rPr>
          <w:rFonts w:hint="eastAsia" w:ascii="宋体" w:hAnsi="宋体" w:eastAsia="宋体" w:cs="宋体"/>
          <w:b/>
          <w:color w:val="auto"/>
          <w:sz w:val="24"/>
          <w:highlight w:val="none"/>
        </w:rPr>
      </w:pPr>
      <w:bookmarkStart w:id="2" w:name="_Hlt68073093"/>
      <w:bookmarkEnd w:id="2"/>
      <w:bookmarkStart w:id="3" w:name="_Hlt68403820"/>
      <w:bookmarkEnd w:id="3"/>
      <w:bookmarkStart w:id="4" w:name="_Hlt68072998"/>
      <w:bookmarkEnd w:id="4"/>
      <w:r>
        <w:rPr>
          <w:rFonts w:hint="eastAsia" w:ascii="宋体" w:hAnsi="宋体" w:eastAsia="宋体" w:cs="宋体"/>
          <w:b/>
          <w:color w:val="auto"/>
          <w:kern w:val="0"/>
          <w:sz w:val="24"/>
          <w:highlight w:val="none"/>
        </w:rPr>
        <w:t>13.1</w:t>
      </w:r>
      <w:r>
        <w:rPr>
          <w:rFonts w:hint="eastAsia" w:ascii="宋体" w:hAnsi="宋体" w:eastAsia="宋体" w:cs="宋体"/>
          <w:b/>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13.2投标供应商应当按照本章节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pacing w:line="360" w:lineRule="auto"/>
        <w:ind w:firstLine="422" w:firstLineChars="175"/>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13</w:t>
      </w:r>
      <w:r>
        <w:rPr>
          <w:rFonts w:hint="eastAsia" w:ascii="宋体" w:hAnsi="宋体" w:eastAsia="宋体" w:cs="宋体"/>
          <w:b/>
          <w:color w:val="auto"/>
          <w:sz w:val="24"/>
          <w:highlight w:val="none"/>
        </w:rPr>
        <w:t>.3本文件《第五部分  应提交的有关格式范例》中有提供格式的，投标供应商须参照格式进行编制（格式中要求提供相关证明材料的还需后附相关证明材料），并按格式要求在指定位置根据要求进行签章，否则视为未提供；本文件《第五部分  应提交的有关格式范例》未提供格式的，请各投标单位自行拟定格式，并加盖单位公章并由法定代表人或其授权代表签署（签字或盖章），否则视为未提供。</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13.4</w:t>
      </w:r>
      <w:r>
        <w:rPr>
          <w:rFonts w:hint="eastAsia" w:ascii="宋体" w:hAnsi="宋体" w:eastAsia="宋体" w:cs="宋体"/>
          <w:color w:val="auto"/>
          <w:kern w:val="0"/>
          <w:sz w:val="24"/>
          <w:highlight w:val="none"/>
        </w:rPr>
        <w:t>《投标文件》内容不完整、编排混乱导致《投标文件》被误读、漏读或者查找不到相关内容的，是投标供应商的责任。</w:t>
      </w:r>
    </w:p>
    <w:p>
      <w:pPr>
        <w:spacing w:line="360" w:lineRule="auto"/>
        <w:ind w:firstLine="420" w:firstLineChars="175"/>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13.</w:t>
      </w:r>
      <w:r>
        <w:rPr>
          <w:rFonts w:hint="eastAsia" w:ascii="宋体" w:hAnsi="宋体" w:eastAsia="宋体" w:cs="宋体"/>
          <w:color w:val="auto"/>
          <w:kern w:val="0"/>
          <w:sz w:val="24"/>
          <w:highlight w:val="none"/>
        </w:rPr>
        <w:t>5《投标文件》因字迹潦草或表达不清所引起的后果由投标供应商负责。</w:t>
      </w:r>
    </w:p>
    <w:p>
      <w:pPr>
        <w:snapToGrid w:val="0"/>
        <w:spacing w:line="30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13.</w:t>
      </w:r>
      <w:r>
        <w:rPr>
          <w:rFonts w:hint="eastAsia" w:ascii="宋体" w:hAnsi="宋体" w:eastAsia="宋体" w:cs="宋体"/>
          <w:color w:val="auto"/>
          <w:kern w:val="0"/>
          <w:sz w:val="24"/>
          <w:highlight w:val="none"/>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14.投标文件的签章</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14.1《投标文件》的签章：见《前附表》；</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14.2《投标文件》应由投标供应商法定代表人或其授权代表签字（或盖章），并加盖投标供应商公章。</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14.3电子签章操作指南详见采购公告附件《供应商项目采购-电子招投标操作指南》。</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15.投标文件的形式</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15.1投标文件的形式：见《前附表》；</w:t>
      </w:r>
    </w:p>
    <w:p>
      <w:pPr>
        <w:spacing w:line="360" w:lineRule="auto"/>
        <w:ind w:firstLine="422" w:firstLineChars="175"/>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15.2“电子加密投标文件”：“电子加密投标文件”是指通过“政采云电子交易客户端”完成投标文件编制后生成并加密的数据电文形式的投标文件。</w:t>
      </w:r>
    </w:p>
    <w:p>
      <w:pPr>
        <w:pStyle w:val="2"/>
        <w:spacing w:line="440" w:lineRule="exact"/>
        <w:ind w:left="0" w:leftChars="0"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15.3“备份投标文件”：“备份投标文件”是指与“电子加密投标文件”同时生成的数据电文形式的电子文件（备份标书），其他方式编制的“备份投标文件”视为无效的“备份投标文件”。</w:t>
      </w:r>
    </w:p>
    <w:p>
      <w:pPr>
        <w:pStyle w:val="11"/>
        <w:spacing w:line="440" w:lineRule="exact"/>
        <w:jc w:val="center"/>
        <w:rPr>
          <w:rFonts w:hint="eastAsia" w:ascii="宋体" w:hAnsi="宋体" w:eastAsia="宋体" w:cs="宋体"/>
          <w:b/>
          <w:bCs/>
          <w:color w:val="auto"/>
          <w:sz w:val="24"/>
          <w:highlight w:val="none"/>
        </w:rPr>
      </w:pPr>
    </w:p>
    <w:p>
      <w:pPr>
        <w:pStyle w:val="11"/>
        <w:spacing w:line="44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四、投标文件的递交</w:t>
      </w:r>
    </w:p>
    <w:p>
      <w:pPr>
        <w:pStyle w:val="11"/>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 投标文件的上传和递交</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14.1“投标文件”的上传、递交：见《前附表》。</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14.2“电子加密投标文件”解密：见《前附表》。</w:t>
      </w:r>
    </w:p>
    <w:p>
      <w:pPr>
        <w:pStyle w:val="11"/>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15．投标截止期</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▲15.1投标人应按前附表规定的时间将投标文件在“政府采购云平台”完成投标文件的上传、递交给招标人，招标人将拒绝接受逾期上传的投标文件。</w:t>
      </w:r>
    </w:p>
    <w:p>
      <w:pPr>
        <w:pStyle w:val="1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15.2招标人可以按本须知规定以补充通知的方式，酌情延长递交投标文件的截止日期。在上述情况下，招标人与投标人以前在投标截止期方面的全部权利、责任和义务，将适用于延长至新的投标截止期。</w:t>
      </w:r>
    </w:p>
    <w:p>
      <w:pPr>
        <w:pStyle w:val="11"/>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w:t>
      </w:r>
      <w:r>
        <w:rPr>
          <w:rFonts w:hint="eastAsia" w:ascii="宋体" w:hAnsi="宋体" w:eastAsia="宋体" w:cs="宋体"/>
          <w:b/>
          <w:color w:val="auto"/>
          <w:sz w:val="24"/>
          <w:szCs w:val="28"/>
          <w:highlight w:val="none"/>
        </w:rPr>
        <w:t>投标</w:t>
      </w:r>
      <w:r>
        <w:rPr>
          <w:rFonts w:hint="eastAsia" w:ascii="宋体" w:hAnsi="宋体" w:eastAsia="宋体" w:cs="宋体"/>
          <w:b/>
          <w:color w:val="auto"/>
          <w:sz w:val="24"/>
          <w:highlight w:val="none"/>
        </w:rPr>
        <w:t>文件的修改</w:t>
      </w:r>
    </w:p>
    <w:p>
      <w:pPr>
        <w:snapToGrid w:val="0"/>
        <w:spacing w:line="30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16.1供应商应当在投标截止时间前在“政府采购云平台”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11"/>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16.2投标截止时间后，投标供应商不得撤回、修改投标文件。</w:t>
      </w:r>
    </w:p>
    <w:p>
      <w:pPr>
        <w:pStyle w:val="11"/>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五、开标</w:t>
      </w:r>
    </w:p>
    <w:p>
      <w:pPr>
        <w:pStyle w:val="32"/>
        <w:spacing w:before="0"/>
        <w:ind w:firstLine="0" w:firstLineChars="0"/>
        <w:outlineLvl w:val="2"/>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1</w:t>
      </w:r>
      <w:r>
        <w:rPr>
          <w:rFonts w:hint="eastAsia" w:ascii="宋体" w:hAnsi="宋体" w:eastAsia="宋体" w:cs="宋体"/>
          <w:b/>
          <w:color w:val="auto"/>
          <w:highlight w:val="none"/>
          <w:lang w:val="en-US" w:eastAsia="zh-CN"/>
        </w:rPr>
        <w:t>7</w:t>
      </w:r>
      <w:r>
        <w:rPr>
          <w:rFonts w:hint="eastAsia" w:ascii="宋体" w:hAnsi="宋体" w:eastAsia="宋体" w:cs="宋体"/>
          <w:b/>
          <w:color w:val="auto"/>
          <w:kern w:val="0"/>
          <w:highlight w:val="none"/>
          <w:lang w:val="zh-CN"/>
        </w:rPr>
        <w:t xml:space="preserve">. </w:t>
      </w:r>
      <w:r>
        <w:rPr>
          <w:rFonts w:hint="eastAsia" w:ascii="宋体" w:hAnsi="宋体" w:eastAsia="宋体" w:cs="宋体"/>
          <w:b/>
          <w:color w:val="auto"/>
          <w:highlight w:val="none"/>
        </w:rPr>
        <w:t>开标</w:t>
      </w:r>
    </w:p>
    <w:p>
      <w:pPr>
        <w:snapToGrid w:val="0"/>
        <w:spacing w:line="400" w:lineRule="exact"/>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17.1 采购代理机构将按照招标文件规定的时间通过“政府采购云平台”组织开标、开启投标文件，所有供应商均应当准时在线参加（不需到开标现场）。</w:t>
      </w:r>
    </w:p>
    <w:p>
      <w:pPr>
        <w:snapToGrid w:val="0"/>
        <w:spacing w:line="400" w:lineRule="exact"/>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17.2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32"/>
        <w:adjustRightInd/>
        <w:spacing w:before="0" w:line="400" w:lineRule="exact"/>
        <w:ind w:firstLine="482"/>
        <w:outlineLvl w:val="2"/>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17.3 开标流程（第一阶段）</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17.3.1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代理机构按“政府采购云平台”操作规范将备份投标文件上传至“政府采购云平台”，上传成功后，“电子加密投标文件”自动失效；</w:t>
      </w:r>
    </w:p>
    <w:p>
      <w:pPr>
        <w:pStyle w:val="2"/>
        <w:spacing w:line="400" w:lineRule="exact"/>
        <w:ind w:left="0" w:leftChars="0" w:firstLine="482"/>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17.3.2开启投标文件，进入资格审查；</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17.3.3 开启资格审查通过的投标供应商的商务技术文件进入符合性审查、商务技术评审；</w:t>
      </w:r>
    </w:p>
    <w:p>
      <w:pPr>
        <w:pStyle w:val="2"/>
        <w:spacing w:line="400" w:lineRule="exact"/>
        <w:ind w:left="0" w:leftChars="0" w:firstLine="482"/>
        <w:rPr>
          <w:rFonts w:hint="eastAsia" w:ascii="宋体" w:hAnsi="宋体" w:eastAsia="宋体" w:cs="宋体"/>
          <w:color w:val="auto"/>
          <w:highlight w:val="none"/>
        </w:rPr>
      </w:pPr>
      <w:r>
        <w:rPr>
          <w:rFonts w:hint="eastAsia" w:ascii="宋体" w:hAnsi="宋体" w:eastAsia="宋体" w:cs="宋体"/>
          <w:b/>
          <w:bCs/>
          <w:color w:val="auto"/>
          <w:szCs w:val="22"/>
          <w:highlight w:val="none"/>
        </w:rPr>
        <w:t>17.3.4 第一阶段开标结束。</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备注：采购人或采购代理机构将依法对投标供应商的资格进行审查，资格审查结束后进入符合性审查和商务技术的评审工作，具体见“资格审查”章节相关规定。</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17.4 开标流程（第二阶段）</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17.4.1符合性审查、商务技术评审结束后，举行开标会第二阶段会议。首先公布经商务技术评审后符合性审查、商务技术评审无效供应商名称及理由和有效投标供应商的名单，同时公布其商务技术部分得分情况。</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17.4.2开启符合性审查、商务技术评审有效投标供应商的报价文件。</w:t>
      </w:r>
      <w:r>
        <w:rPr>
          <w:rFonts w:hint="eastAsia" w:ascii="宋体" w:hAnsi="宋体" w:eastAsia="宋体" w:cs="宋体"/>
          <w:b/>
          <w:bCs/>
          <w:color w:val="auto"/>
          <w:sz w:val="24"/>
          <w:highlight w:val="none"/>
        </w:rPr>
        <w:t>报价文件开标评标按标段1、标段1、标段2、标段3、标段4、标段5、标段6、标段7、标段8、标段9、标段10、标段11、标段12的顺序进行，（一个投标人在12个标段中最多只能被推荐二次第一中标候选人。</w:t>
      </w:r>
      <w:r>
        <w:rPr>
          <w:rFonts w:hint="eastAsia" w:ascii="宋体" w:hAnsi="宋体" w:eastAsia="宋体" w:cs="宋体"/>
          <w:b/>
          <w:color w:val="auto"/>
          <w:sz w:val="24"/>
          <w:highlight w:val="none"/>
        </w:rPr>
        <w:t>已被评标委员会推荐二次第一中标候选人的投标人在后续标项评审中将不在推荐为第一中标候选人</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2"/>
          <w:highlight w:val="none"/>
        </w:rPr>
        <w:t>唱标结束后，由评标委员会对报价的合理性、准确性等进行审查核实。</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17.4.3评审结束后，公布中标（成交）候选供应商名单及最终得分等。</w:t>
      </w:r>
    </w:p>
    <w:p>
      <w:pPr>
        <w:spacing w:line="400" w:lineRule="exact"/>
        <w:ind w:firstLine="482" w:firstLineChars="200"/>
        <w:jc w:val="lef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特别说明：如遇“政府采购云平台”电子化开标或评审程序调整的，按调整后程序执行。</w:t>
      </w:r>
    </w:p>
    <w:p>
      <w:pPr>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 xml:space="preserve">   17.5本项目原则上采用政采云电子招投标开标及评审程序，但有下情形之一的，按以下情况处理：</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17.5.1采购过程中出现以下情形，导致电子交易平台无法正常运行，或者无法保证电子交易的公平、公正和安全时，采购组织机构可中止电子交易活动：</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17.5.1.1电子交易平台发生故障而无法登录访问的； </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17.5.1.2电子交易平台应用或数据库出现错误，不能进行正常操作的；</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17.5.1.3电子交易平台发现严重安全漏洞，有潜在泄密危险的；</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17.5.1.4病毒发作导致不能进行正常操作的； </w:t>
      </w:r>
    </w:p>
    <w:p>
      <w:pPr>
        <w:spacing w:line="360" w:lineRule="auto"/>
        <w:ind w:firstLine="424" w:firstLineChars="177"/>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17.5.1.5其他无法保证电子交易的公平、公正和安全的情况。</w:t>
      </w:r>
    </w:p>
    <w:p>
      <w:pPr>
        <w:pStyle w:val="11"/>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rPr>
        <w:t>出现前款规定情形，不影响采购公平、公正性的，采购组织机构可以待上述情形消除后继续组织电子交易活动。</w:t>
      </w:r>
    </w:p>
    <w:p>
      <w:pPr>
        <w:pStyle w:val="4"/>
        <w:tabs>
          <w:tab w:val="left" w:pos="2985"/>
        </w:tabs>
        <w:spacing w:before="120"/>
        <w:jc w:val="center"/>
        <w:rPr>
          <w:rFonts w:hint="eastAsia" w:ascii="宋体" w:hAnsi="宋体" w:eastAsia="宋体" w:cs="宋体"/>
          <w:color w:val="auto"/>
          <w:highlight w:val="none"/>
        </w:rPr>
      </w:pPr>
      <w:r>
        <w:rPr>
          <w:rFonts w:hint="eastAsia" w:ascii="宋体" w:hAnsi="宋体" w:eastAsia="宋体" w:cs="宋体"/>
          <w:color w:val="auto"/>
          <w:highlight w:val="none"/>
        </w:rPr>
        <w:t>六、资格审查</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首先审查各供应商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▲单位负责人为同一人或者存在直接控股、管理关系的不同供应商，不得参加同一合同项下的政府采购活动。违反该款规定的，相关投标均无效。</w:t>
      </w:r>
    </w:p>
    <w:p>
      <w:pPr>
        <w:snapToGrid w:val="0"/>
        <w:spacing w:line="300" w:lineRule="auto"/>
        <w:ind w:firstLine="480" w:firstLineChars="2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▲投标文件中提供的资格条件证明材料无法证明其满足招标文件规定资格条件，为无效投标。</w:t>
      </w:r>
    </w:p>
    <w:p>
      <w:pPr>
        <w:pStyle w:val="4"/>
        <w:tabs>
          <w:tab w:val="left" w:pos="2985"/>
        </w:tabs>
        <w:spacing w:before="120"/>
        <w:jc w:val="center"/>
        <w:rPr>
          <w:rFonts w:hint="eastAsia" w:ascii="宋体" w:hAnsi="宋体" w:eastAsia="宋体" w:cs="宋体"/>
          <w:color w:val="auto"/>
          <w:highlight w:val="none"/>
        </w:rPr>
      </w:pPr>
      <w:r>
        <w:rPr>
          <w:rFonts w:hint="eastAsia" w:ascii="宋体" w:hAnsi="宋体" w:eastAsia="宋体" w:cs="宋体"/>
          <w:color w:val="auto"/>
          <w:highlight w:val="none"/>
        </w:rPr>
        <w:t>七、评标</w:t>
      </w:r>
    </w:p>
    <w:p>
      <w:pPr>
        <w:pStyle w:val="5"/>
        <w:tabs>
          <w:tab w:val="left" w:pos="720"/>
        </w:tabs>
        <w:snapToGrid w:val="0"/>
        <w:rPr>
          <w:rFonts w:hint="eastAsia" w:ascii="宋体" w:hAnsi="宋体" w:eastAsia="宋体" w:cs="宋体"/>
          <w:color w:val="auto"/>
          <w:sz w:val="24"/>
          <w:szCs w:val="24"/>
          <w:highlight w:val="none"/>
        </w:rPr>
      </w:pPr>
      <w:bookmarkStart w:id="5" w:name="_Toc270971233"/>
      <w:r>
        <w:rPr>
          <w:rFonts w:hint="eastAsia" w:ascii="宋体" w:hAnsi="宋体" w:eastAsia="宋体" w:cs="宋体"/>
          <w:color w:val="auto"/>
          <w:sz w:val="24"/>
          <w:szCs w:val="24"/>
          <w:highlight w:val="none"/>
        </w:rPr>
        <w:t>18. 评审</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18.1  </w:t>
      </w:r>
      <w:bookmarkEnd w:id="5"/>
      <w:r>
        <w:rPr>
          <w:rFonts w:hint="eastAsia" w:ascii="宋体" w:hAnsi="宋体" w:eastAsia="宋体" w:cs="宋体"/>
          <w:color w:val="auto"/>
          <w:sz w:val="24"/>
          <w:highlight w:val="none"/>
        </w:rPr>
        <w:t>评标小组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18.1.1  评标由采购人依法组建的评标小组负责。评标小组由采购人代表，以及有关技术、经济等方面的专家组成。评标小组成员人数以及技术、经济等方面专家的确定方式见供应商须知前附表。</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18.1.2  评标小组成员有下列情形之一的，应当回避：</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（1）采购人或供应商的主要负责人的近亲属；</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（2）项目主管部门或者行政监督部门的人员；</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（3）与供应商有经济利益关系，可能影响对投标公正评审的；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（4）曾因在招标、评标以及其他与招标投标有关活动中从事违法行为而受过行政处罚或刑事处罚的。</w:t>
      </w:r>
    </w:p>
    <w:p>
      <w:pPr>
        <w:snapToGrid w:val="0"/>
        <w:spacing w:line="300" w:lineRule="auto"/>
        <w:ind w:firstLine="480" w:firstLineChars="200"/>
        <w:rPr>
          <w:rFonts w:hint="eastAsia" w:ascii="宋体" w:hAnsi="宋体" w:eastAsia="宋体" w:cs="宋体"/>
          <w:color w:val="auto"/>
          <w:sz w:val="24"/>
          <w:highlight w:val="none"/>
        </w:rPr>
      </w:pPr>
      <w:bookmarkStart w:id="6" w:name="_Toc270971234"/>
      <w:r>
        <w:rPr>
          <w:rFonts w:hint="eastAsia" w:ascii="宋体" w:hAnsi="宋体" w:eastAsia="宋体" w:cs="宋体"/>
          <w:color w:val="auto"/>
          <w:sz w:val="24"/>
          <w:highlight w:val="none"/>
        </w:rPr>
        <w:t>18.2  评标小组工作原则</w:t>
      </w:r>
      <w:bookmarkEnd w:id="6"/>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18.2.1评标小组成员应当按照客观、公正、审慎的原则，根据招标文件规定的评审程序、评审方法和评审标准进行独立评审。未实质性响应招标文件的投标文件按无效响应处理，评标小组应当告知提交投标文件的供应商。招标文件内容违反国家有关强制性规定的，评标小组应当停止评审并向采购人或者代理机构说明情况。</w:t>
      </w:r>
    </w:p>
    <w:p>
      <w:pPr>
        <w:snapToGrid w:val="0"/>
        <w:spacing w:line="300" w:lineRule="auto"/>
        <w:ind w:firstLine="480" w:firstLineChars="200"/>
        <w:rPr>
          <w:rFonts w:hint="eastAsia" w:ascii="宋体" w:hAnsi="宋体" w:eastAsia="宋体" w:cs="宋体"/>
          <w:color w:val="auto"/>
          <w:sz w:val="24"/>
          <w:highlight w:val="none"/>
        </w:rPr>
      </w:pPr>
      <w:bookmarkStart w:id="7" w:name="_Toc270971235"/>
      <w:r>
        <w:rPr>
          <w:rFonts w:hint="eastAsia" w:ascii="宋体" w:hAnsi="宋体" w:eastAsia="宋体" w:cs="宋体"/>
          <w:color w:val="auto"/>
          <w:sz w:val="24"/>
          <w:highlight w:val="none"/>
        </w:rPr>
        <w:t xml:space="preserve">18.3  </w:t>
      </w:r>
      <w:bookmarkEnd w:id="7"/>
      <w:r>
        <w:rPr>
          <w:rFonts w:hint="eastAsia" w:ascii="宋体" w:hAnsi="宋体" w:eastAsia="宋体" w:cs="宋体"/>
          <w:color w:val="auto"/>
          <w:sz w:val="24"/>
          <w:highlight w:val="none"/>
        </w:rPr>
        <w:t>评标</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18.3.1 评标小组按照 “评标办法及评审细则”规定的方法、评审因素、标准和程序对投标文件进行评审。“评标办法及评审细则”没有规定的方法、评审因素和标准，不作为评标依据。</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18.3.2 评标小组只对确定为实质上响应招标文件要求的投标文件进行评标和比较。</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18.3.3 评标小组可要求供应商对投标文件中含义不明确、同类问题表述不一致、有明显的文字和计算错误的内容等进行澄清并做出书面答复。书面答复须由供应商代表签字（或盖章）并作为投标文件的一部分。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18.3.4 供应商对投标文件的澄清不得超出投标文件的范围或者改变投标文件的实质性内容。</w:t>
      </w:r>
    </w:p>
    <w:p>
      <w:pPr>
        <w:pStyle w:val="5"/>
        <w:tabs>
          <w:tab w:val="left" w:pos="720"/>
        </w:tabs>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评标办法及评分标准</w:t>
      </w:r>
    </w:p>
    <w:p>
      <w:pPr>
        <w:snapToGrid w:val="0"/>
        <w:spacing w:line="300" w:lineRule="auto"/>
        <w:ind w:firstLine="480" w:firstLineChars="200"/>
        <w:rPr>
          <w:rFonts w:hint="eastAsia" w:ascii="宋体" w:hAnsi="宋体" w:eastAsia="宋体" w:cs="宋体"/>
          <w:color w:val="auto"/>
          <w:sz w:val="24"/>
          <w:highlight w:val="none"/>
        </w:rPr>
      </w:pPr>
      <w:bookmarkStart w:id="8" w:name="_Toc230575581"/>
      <w:r>
        <w:rPr>
          <w:rFonts w:hint="eastAsia" w:ascii="宋体" w:hAnsi="宋体" w:eastAsia="宋体" w:cs="宋体"/>
          <w:color w:val="auto"/>
          <w:sz w:val="24"/>
          <w:highlight w:val="none"/>
        </w:rPr>
        <w:t>根据《中华人民共和国政府采购法》、《中华人民共和国招标投标法》等有关规定，结合本项目的实际情况，按照公平、公正、科学、择优的原则，制定本评标办法。</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19.1评标原则</w:t>
      </w:r>
      <w:bookmarkEnd w:id="8"/>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评标应遵循公平、公正、科学、择优的原则。</w:t>
      </w:r>
    </w:p>
    <w:p>
      <w:pPr>
        <w:snapToGrid w:val="0"/>
        <w:spacing w:line="300" w:lineRule="auto"/>
        <w:ind w:firstLine="480" w:firstLineChars="200"/>
        <w:rPr>
          <w:rFonts w:hint="eastAsia" w:ascii="宋体" w:hAnsi="宋体" w:eastAsia="宋体" w:cs="宋体"/>
          <w:color w:val="auto"/>
          <w:sz w:val="24"/>
          <w:highlight w:val="none"/>
        </w:rPr>
      </w:pPr>
      <w:bookmarkStart w:id="9" w:name="_Toc230575582"/>
      <w:r>
        <w:rPr>
          <w:rFonts w:hint="eastAsia" w:ascii="宋体" w:hAnsi="宋体" w:eastAsia="宋体" w:cs="宋体"/>
          <w:color w:val="auto"/>
          <w:sz w:val="24"/>
          <w:highlight w:val="none"/>
        </w:rPr>
        <w:t>19.2评标组织</w:t>
      </w:r>
      <w:bookmarkEnd w:id="9"/>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评标工作由采购人依法组建的评标小组负责，评标小组成员为5人及以上，评标小组对投标文件作出的评审结论，应当符合有关法律、法规、规章和招标文件的规定。</w:t>
      </w:r>
    </w:p>
    <w:p>
      <w:pPr>
        <w:snapToGrid w:val="0"/>
        <w:spacing w:line="300" w:lineRule="auto"/>
        <w:ind w:firstLine="480" w:firstLineChars="200"/>
        <w:rPr>
          <w:rFonts w:hint="eastAsia" w:ascii="宋体" w:hAnsi="宋体" w:eastAsia="宋体" w:cs="宋体"/>
          <w:color w:val="auto"/>
          <w:sz w:val="24"/>
          <w:highlight w:val="none"/>
        </w:rPr>
      </w:pPr>
      <w:bookmarkStart w:id="10" w:name="_Toc266713123"/>
      <w:r>
        <w:rPr>
          <w:rFonts w:hint="eastAsia" w:ascii="宋体" w:hAnsi="宋体" w:eastAsia="宋体" w:cs="宋体"/>
          <w:color w:val="auto"/>
          <w:sz w:val="24"/>
          <w:highlight w:val="none"/>
        </w:rPr>
        <w:t>19.3评标程序和内容</w:t>
      </w:r>
      <w:bookmarkEnd w:id="10"/>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19.3.1评标的一般程序</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（1）熟悉招标文件和评标办法；</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（2）投标文件的符合性审查；</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（3）投标文件的资信及技术评审；</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（4）投标文件的报价评审；</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（5）必要时对投标文件中的问题进行询标；</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（6）根据评标办法对投标文件进行排序；</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（7）完成评标报告，推荐成交候选人。</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投标文件的符合性审查</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19.4.1评标小组应依照招标文件的要求和规定，首先对供应商的投标文件进行符合性审查。符合性审查应包括二个方面内容：投标文件实质性格式要求响应性审查、投标文件实质性内容要求响应性审查。</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19.4.2供应商不得通过补充、修改或撤消投标文件中的内容使其成为实质性响应的投标。供应商在投标截止以后不得提交任何资料作为评标依据。</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19.4.3投标文件如存在以下情况之一的，经评标小组审核认定，作为符合性审查未通过予以废除，不再进行资信及技术的评审：</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19.4.3.1未提供或提供无效法定代表人授权书的；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19.4.3.2投标文件组成漏项；或未按规定的格式编制及签署；内容不全或内容字迹模糊辨认不清的；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19.4.3.3投标文件存在一个或一个以上备选（替代）投标方案的；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19.4.3.4</w:t>
      </w:r>
      <w:r>
        <w:rPr>
          <w:rFonts w:hint="eastAsia" w:ascii="宋体" w:hAnsi="宋体" w:eastAsia="宋体" w:cs="宋体"/>
          <w:b/>
          <w:color w:val="auto"/>
          <w:sz w:val="24"/>
          <w:highlight w:val="none"/>
        </w:rPr>
        <w:t>投标报价超过招标文件规定的最高限价金额；</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19.4.3.5未实质性响应招标文件规定的实质性内容的； </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19.4.3.6仅提交“备份投标文件”的；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19.4.3.7存在法律、法规、规章、招标文件规定的其它无效投标情况的。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投标过程中违法、违规操作或因弄虚作假不诚信行为受到行政处罚的均为重大违法记录，重大违法记录是指供应商因违法经营受到刑事处罚或者责令停产停业、吊销许可证或者执照、较大数额罚款等行政处罚。较大数额认定标准按照处罚所在地相关规定。</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  投标文件的资信及技术评审</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19.5.1评标小组应对通过符合性审查的投标文件进行资信及技术评审。专家评审采用集体评议，记名表决，少数服从多数的方法进行。</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19.5.2客观评分项的评分应当一致，对其他需要借助专业知识评判的主观评分项，应当严格按照评分细则公正评分。；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19.5.3技术部分采用记名方式各自评分，此项评分为全部有效评分的算术平均值。如某一份评分表中某一项评分，超过评标细则所规定的分值范围，则该张打分表无效。对明显畸高、畸低的评分（其总评分偏离平均分30%以上的），评审小组组长应提醒相关评审人员进行复核或书面说明理由，评审人员拒绝说明的，由现场监督员据实记录。</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19.5.4以上所有评分采用四舍五入法保留小数2位。</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19.5.5必要时对投标文件中的问题进行澄清</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19.6  投标文件的报价评审 </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19.6.1评标小组应对报价的范围、数量、单价、费用组成和总价等进行全面审阅和对比分析，找出报价差异的原因及存在的问题。</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19.6.2报价评审应以报价口径范围一致的评标价为依据。评标价应在最终报价的基础上，按照招标文件约定的因素和方法进行计算。凡属招标文件的原因造成报价口径范围不一致的，应调整供应商报价。评分由评标委员会对投标文件的商务报价进行仔细查阅、分析与计算，并指定专人进行检查复核。</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19.6.3投标报价修正原则如下：</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19.6.3.1如果数字表示的金额和用文字表示的金额不一致时，应以文字表示的金额为准；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19.6.3.2当单价与数量的乘积与合价不一致时，以单价为准，除非评标小组认为单价有明显的小数点错误，此时应以标出的合价为准，并修改单价。</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19.6.3.3合计累计金额与小计（合计）金额不一致的，以小计（合计）金额为准，并修改合计累计金额及总报价。</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19.6.3.4当评标小组按照上述原则修正错误，发现其错误达到或超过原总报价0.5%时，将认定其投标文件质量较差，其错误不予修正，作无效标处理。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19.6.3.5按上述修正错误的原则及方法调整或修正投标文件的投标报价，供应商同意后，调整后的投标报价对供应商起约束作用。如果供应商不接受修正后的报价，则其投标报价无效。</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19.6.4如报价中有以下情况之一的，可按报价评审不合格做无效标处理：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19.6.4.1供应商未按招标文件实质性规定要求进行报价的；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19.6.4.2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19.6.4.3投标报价漏项的；</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19.6.4.4因供应商原因编制错误造成经评标小组修正后的报价达到或超过原总报价0.5%。 </w:t>
      </w:r>
    </w:p>
    <w:p>
      <w:pPr>
        <w:pStyle w:val="5"/>
        <w:tabs>
          <w:tab w:val="left" w:pos="720"/>
        </w:tabs>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投标文件的澄清</w:t>
      </w:r>
    </w:p>
    <w:p>
      <w:pPr>
        <w:snapToGrid w:val="0"/>
        <w:spacing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30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20.2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1"/>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21、评标办法及评分标准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综合评分法。评标委员会将对各投标人的投标报价、技术和服务方案、服务承诺、投标人的综合实力、完成清洁各种因素等方面进行综合评审，对实质上响应招标文件的投标人，由各评委独立记名打分。经统计，得出各投标人的最终评审分，按最终评审分由高到低顺序排列。得分相同的，按投标价格由低到高顺序排列。得分且投标报价相同的，按技术服务优劣顺序排列，并形成评标意见。</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综合评分法计算方法说明：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评标委员会首先对投标文件进行符合性审核，凡投标文件实质性内容未按采购人提供的要求进行报价或格式严重不符合有关规定或不响应招标文件要求的，经评标委员会认定作为无效的投标，予以废除；有效投标单位不足三家的，采购人可依法重新招标或者按政府采购的有关规定操作。</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评标委员会以投标文件、询疑为基础依据,对有效的投标文件及服务商的以下两个部分分别进行分析、评议，并采用百分制评分。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技术评分80分。评标委员会根据招标文件对各投标文件技术内容充分审核、讨论、评议后，评标委员会按评分细则，进行评判，每人一张评分票，并记名。如某张评分票的一个项目评分超过规定的分值范围，则该张评分票无效。各服务商技术的最终评分值为评标小组成员的有效评分票的算术平均值。</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2、商务评分20分。评标委员会成员按评分细则对各服务商的最终报价进行统一计算评分，集体统一判定评分。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服务商的综合评分为技术和商务两部分的总计，由指定专人进行计算和复核。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评定标准：</w:t>
      </w:r>
    </w:p>
    <w:p>
      <w:pPr>
        <w:numPr>
          <w:ilvl w:val="0"/>
          <w:numId w:val="3"/>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技术分（80分）</w:t>
      </w:r>
    </w:p>
    <w:p>
      <w:pPr>
        <w:tabs>
          <w:tab w:val="left" w:pos="567"/>
        </w:tabs>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技术评分表</w:t>
      </w:r>
    </w:p>
    <w:tbl>
      <w:tblPr>
        <w:tblStyle w:val="22"/>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71"/>
        <w:gridCol w:w="1503"/>
        <w:gridCol w:w="493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01" w:type="dxa"/>
            <w:tcBorders>
              <w:tl2br w:val="single" w:color="auto" w:sz="4" w:space="0"/>
            </w:tcBorders>
            <w:noWrap w:val="0"/>
            <w:vAlign w:val="center"/>
          </w:tcPr>
          <w:p>
            <w:pPr>
              <w:autoSpaceDE w:val="0"/>
              <w:autoSpaceDN w:val="0"/>
              <w:spacing w:line="330" w:lineRule="exact"/>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w:t>
            </w:r>
          </w:p>
          <w:p>
            <w:pPr>
              <w:autoSpaceDE w:val="0"/>
              <w:autoSpaceDN w:val="0"/>
              <w:spacing w:line="33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w:t>
            </w:r>
          </w:p>
        </w:tc>
        <w:tc>
          <w:tcPr>
            <w:tcW w:w="1171" w:type="dxa"/>
            <w:noWrap w:val="0"/>
            <w:vAlign w:val="center"/>
          </w:tcPr>
          <w:p>
            <w:pPr>
              <w:autoSpaceDE w:val="0"/>
              <w:autoSpaceDN w:val="0"/>
              <w:spacing w:line="33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项目内容</w:t>
            </w:r>
          </w:p>
        </w:tc>
        <w:tc>
          <w:tcPr>
            <w:tcW w:w="6433" w:type="dxa"/>
            <w:gridSpan w:val="2"/>
            <w:noWrap w:val="0"/>
            <w:vAlign w:val="center"/>
          </w:tcPr>
          <w:p>
            <w:pPr>
              <w:autoSpaceDE w:val="0"/>
              <w:autoSpaceDN w:val="0"/>
              <w:spacing w:line="33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评审要点</w:t>
            </w:r>
          </w:p>
        </w:tc>
        <w:tc>
          <w:tcPr>
            <w:tcW w:w="983" w:type="dxa"/>
            <w:noWrap w:val="0"/>
            <w:vAlign w:val="center"/>
          </w:tcPr>
          <w:p>
            <w:pPr>
              <w:spacing w:line="33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01" w:type="dxa"/>
            <w:vMerge w:val="restart"/>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71" w:type="dxa"/>
            <w:vMerge w:val="restart"/>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投标单位综合实力</w:t>
            </w:r>
          </w:p>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（18分）</w:t>
            </w: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有规范固定的办公场所、保洁机具停放场所和环卫工人爱心休息点，投标人须提供办公场所、保洁机具停放场所和环卫工人爱心休息点证明（自有的提供房产证复印件，租用的提供租房合同复印件，每拥有一项得1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投标单位投入本项目机具设备情况（针对清除非法涂写招贴广告作业机具）。租赁不得分。（提供购置发票或合同）</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针对投标单位队伍技术力量、经营情况、规模，综合评分。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2016年1月至投标截止日所获环卫及保洁作业相关荣誉（2分）。获得市级荣誉的得1分，获得省级及以上荣誉的得2分。本项不得累计只取最高分。反之，公司受到环卫系统区级以上通报批评等处分的，取消此分。（证明材料为：荣誉证书或文件，同时提供未受到区级及以上环卫系统通报批评等处分的承诺书，未提供承诺书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投标人获得过区级及以上城管部门清除非法涂写招贴广告专项考核奖励的：第一名的得3分、第二名的得2分、第三名的得1分。（必须提供获得考核奖励资料）。</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投标单位通过质量管理体系ISO9001认证证书，且在有效期内的得1分。(证明材料为：证书复印件)</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投标人具类似项目及保洁项目业绩情况。以合同或中标通知书为准，每个业绩1分，最高3分。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投标单位提供党组织证明材料的得1分，提供工会证明材料的得1分。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Merge w:val="restart"/>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71" w:type="dxa"/>
            <w:vMerge w:val="restart"/>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投标单位内部管理</w:t>
            </w:r>
          </w:p>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（22分）</w:t>
            </w:r>
          </w:p>
        </w:tc>
        <w:tc>
          <w:tcPr>
            <w:tcW w:w="6433" w:type="dxa"/>
            <w:gridSpan w:val="2"/>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设立单位成本会计得1分，建立规范财务帐册得1分，制定财务管理制度得1分。（提供相关证明材料）。</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restart"/>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员工管理制度（10分）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a、员工管理制度（签订规范的员工劳动合同、业务培训制度）、完善的员工档案并提不供员工的社保证明、住房公积金证明、人身意外伤害保险证明、员工考核制度、员工绩效评价的得6分，每缺少一项扣1分。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员工薪资发放规范及时，2016年1月至投标截止日前未发生过有关员工薪酬及权益保障方面的投诉、被劳动部门处罚及被市级环卫主管部门通报批评，每发生一次扣1分。（提供承诺书，格式自拟，如发生过须在承诺书中注明，未提供承诺书的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restart"/>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安全生产管理（9分）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a、制订安全作业制度并有专职安全员的，得2分，未制订或未能提供专职安全员证明的，该项不得分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b、定期开展安全作业培训，记录完整的，得2分，未定期开展培训或无记录的，该项不得分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2016年1月1日至今发生安全事故，造成人员受伤，受伤程度达到《道路交通事故受伤人员伤残评定》或《职工工伤与职业病致残程度鉴定标准》规定的最低标准，每发生一起扣2分，造成人员死亡的，每发生一起扣3分。未发生过的，得满分3分。（提供承诺书，格式自拟，如发生过须在承诺书中注明，未提供承诺书的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与环卫作业相关的通报批评。2016年1月1日至今公司被区级及以上环境卫生管理部门每通报批评1次，扣1分，扣完2分为止，未被通报批评过的得满分2分。（提供承诺书，格式自拟，如发生过须在承诺书中注明，未提供承诺书的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01" w:type="dxa"/>
            <w:vMerge w:val="restart"/>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71" w:type="dxa"/>
            <w:vMerge w:val="restart"/>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本项目管理（40分）</w:t>
            </w:r>
          </w:p>
        </w:tc>
        <w:tc>
          <w:tcPr>
            <w:tcW w:w="1503" w:type="dxa"/>
            <w:vMerge w:val="restart"/>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清理作业管理计划（12分）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a、清除作业方案：切合本招标项目预定要求，针对性、操作性强，突发事件处置等内容。由评标专家把握，不完善的酌情扣分。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b、清除作业方式方法：达到招标要求的清理效果，作业措施有创新，使用的设施设备有创新，并取得成效的。由评标专家把握，不完善的酌情扣分。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restart"/>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清理作业管理制度（10分）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a、质量管理体系完善：制订内部考核制度，有专门的机构负责对本项目进行质量监管，针对本项目制订具体质量管理考核细则。由评标专家把握，不完善的酌情扣分。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b、组织管理体系完善：能按照企业要求规范管理。项目主管、班组长、管理员等人员配备到位。清理作业人员的管理、考核、培训等内容。由评标专家把握，不完善的酌情扣分。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restart"/>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清理作业力量保障（10分）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a、提供清理作业人员组织和安排：提供具体配置计划表的，得2分，未能提供的，该项不得分。</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b、清理作业人员的技术实力（对作业街巷的熟悉程度）。</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restart"/>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针对本招标项目的特殊承诺（8分）</w:t>
            </w: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a、紧急召唤服务承诺。</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01" w:type="dxa"/>
            <w:vMerge w:val="continue"/>
            <w:noWrap w:val="0"/>
            <w:vAlign w:val="center"/>
          </w:tcPr>
          <w:p>
            <w:pPr>
              <w:spacing w:line="330" w:lineRule="exact"/>
              <w:jc w:val="center"/>
              <w:rPr>
                <w:rFonts w:hint="eastAsia" w:ascii="宋体" w:hAnsi="宋体" w:eastAsia="宋体" w:cs="宋体"/>
                <w:color w:val="auto"/>
                <w:sz w:val="24"/>
                <w:szCs w:val="24"/>
                <w:highlight w:val="none"/>
              </w:rPr>
            </w:pPr>
          </w:p>
        </w:tc>
        <w:tc>
          <w:tcPr>
            <w:tcW w:w="1171" w:type="dxa"/>
            <w:vMerge w:val="continue"/>
            <w:noWrap w:val="0"/>
            <w:vAlign w:val="center"/>
          </w:tcPr>
          <w:p>
            <w:pPr>
              <w:autoSpaceDE w:val="0"/>
              <w:autoSpaceDN w:val="0"/>
              <w:spacing w:line="330" w:lineRule="exact"/>
              <w:jc w:val="center"/>
              <w:rPr>
                <w:rFonts w:hint="eastAsia" w:ascii="宋体" w:hAnsi="宋体" w:eastAsia="宋体" w:cs="宋体"/>
                <w:color w:val="auto"/>
                <w:sz w:val="24"/>
                <w:szCs w:val="24"/>
                <w:highlight w:val="none"/>
              </w:rPr>
            </w:pPr>
          </w:p>
        </w:tc>
        <w:tc>
          <w:tcPr>
            <w:tcW w:w="1503" w:type="dxa"/>
            <w:vMerge w:val="continue"/>
            <w:noWrap w:val="0"/>
            <w:vAlign w:val="center"/>
          </w:tcPr>
          <w:p>
            <w:pPr>
              <w:autoSpaceDE w:val="0"/>
              <w:autoSpaceDN w:val="0"/>
              <w:spacing w:line="330" w:lineRule="exact"/>
              <w:rPr>
                <w:rFonts w:hint="eastAsia" w:ascii="宋体" w:hAnsi="宋体" w:eastAsia="宋体" w:cs="宋体"/>
                <w:color w:val="auto"/>
                <w:sz w:val="24"/>
                <w:szCs w:val="24"/>
                <w:highlight w:val="none"/>
              </w:rPr>
            </w:pPr>
          </w:p>
        </w:tc>
        <w:tc>
          <w:tcPr>
            <w:tcW w:w="4930" w:type="dxa"/>
            <w:noWrap w:val="0"/>
            <w:vAlign w:val="center"/>
          </w:tcPr>
          <w:p>
            <w:pPr>
              <w:autoSpaceDE w:val="0"/>
              <w:autoSpaceDN w:val="0"/>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b、作业质量承诺。</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05" w:type="dxa"/>
            <w:gridSpan w:val="4"/>
            <w:noWrap w:val="0"/>
            <w:vAlign w:val="center"/>
          </w:tcPr>
          <w:p>
            <w:pPr>
              <w:autoSpaceDE w:val="0"/>
              <w:autoSpaceDN w:val="0"/>
              <w:spacing w:line="33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     计</w:t>
            </w:r>
          </w:p>
        </w:tc>
        <w:tc>
          <w:tcPr>
            <w:tcW w:w="983" w:type="dxa"/>
            <w:noWrap w:val="0"/>
            <w:vAlign w:val="center"/>
          </w:tcPr>
          <w:p>
            <w:pPr>
              <w:spacing w:line="33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80分</w:t>
            </w:r>
          </w:p>
        </w:tc>
      </w:tr>
    </w:tbl>
    <w:p>
      <w:pPr>
        <w:pStyle w:val="2"/>
        <w:rPr>
          <w:rFonts w:hint="eastAsia" w:ascii="宋体" w:hAnsi="宋体" w:eastAsia="宋体" w:cs="宋体"/>
          <w:color w:val="auto"/>
          <w:highlight w:val="none"/>
        </w:rPr>
      </w:pPr>
    </w:p>
    <w:p>
      <w:pPr>
        <w:spacing w:line="42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（二）、商务报价分（20分，小数点后保留两位）：</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报价的合理性：分</w:t>
      </w:r>
      <w:r>
        <w:rPr>
          <w:rFonts w:hint="eastAsia" w:ascii="宋体" w:hAnsi="宋体" w:eastAsia="宋体" w:cs="宋体"/>
          <w:color w:val="auto"/>
          <w:sz w:val="24"/>
          <w:highlight w:val="none"/>
        </w:rPr>
        <w:t>析总报价及各个分项报价是否合理，报价范围是否完整，有否重大错漏项，评标委员会认为投标报价出现异常时，有权要求投标人在评标期间（接到通知后30分钟内）对投标报价的详细组成等事项作出解释和澄清，并确认其投标报价是否有效。报价方应充分考虑人力成本因素，如报价明显低于成本，无法保证作业质量的，评标委员会确定投标报价无效。</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报价分计算方法：根据各投标人的有效投标报价，满足招标文件要求且投标价格最低的投标报价为评标基准价，其价格分为20分。其他投标人的价格分统一按照下列公式计算：</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投标报价得分＝(评标基准价/有效投标报价)×价格权值×100%(精确到小数点后二位)。</w:t>
      </w:r>
    </w:p>
    <w:p>
      <w:pPr>
        <w:widowControl/>
        <w:snapToGrid w:val="0"/>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落实政府采购政策：</w:t>
      </w:r>
    </w:p>
    <w:p>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根据财库〔2011〕181号的相关规定，在评审时对小型和微型企业的投标报价给予</w:t>
      </w:r>
      <w:r>
        <w:rPr>
          <w:rFonts w:hint="eastAsia" w:ascii="宋体" w:hAnsi="宋体" w:eastAsia="宋体" w:cs="宋体"/>
          <w:color w:val="auto"/>
          <w:sz w:val="24"/>
          <w:highlight w:val="none"/>
          <w:u w:val="single"/>
        </w:rPr>
        <w:t xml:space="preserve"> 6 </w:t>
      </w:r>
      <w:r>
        <w:rPr>
          <w:rFonts w:hint="eastAsia" w:ascii="宋体" w:hAnsi="宋体" w:eastAsia="宋体" w:cs="宋体"/>
          <w:color w:val="auto"/>
          <w:sz w:val="24"/>
          <w:highlight w:val="none"/>
        </w:rPr>
        <w:t>%的扣除，取扣除后的价格作为最终投标报价（此最终投标报价仅作为价格分计算）。</w:t>
      </w:r>
      <w:r>
        <w:rPr>
          <w:rFonts w:hint="eastAsia" w:ascii="宋体" w:hAnsi="宋体" w:eastAsia="宋体" w:cs="宋体"/>
          <w:b/>
          <w:color w:val="auto"/>
          <w:sz w:val="24"/>
          <w:highlight w:val="none"/>
        </w:rPr>
        <w:t>注：未按要求提供材料的，均不给予价格扣除。</w:t>
      </w:r>
    </w:p>
    <w:p>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联合体参加投标的，联合协议中约定，小型、微型企业的协议合同金额占到联合体协议合同总金额30%以上的，投标报价给予2% 的扣除，并用扣除后的价格计算价格评分；如联合体各方均为小型、微型企业的，提供本企业生产的产品或提供其他小型、微型企业的产品的，投标报价给予6% 的扣除，并用扣除后的价格计算价格评分。组成联合体的大中型企业和其他自然人、法人或者其他组织，与小型、微型企业之间不得存在投资关系，否则不予价格扣除。</w:t>
      </w:r>
    </w:p>
    <w:p>
      <w:pPr>
        <w:autoSpaceDE w:val="0"/>
        <w:autoSpaceDN w:val="0"/>
        <w:spacing w:line="420" w:lineRule="exact"/>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根据工信部联企业〔2011〕300号的相关规定属于小型和微型企业的，投标文件中必须同时提供《中小企业声明函》（见附件）、“国家企业信用信息公示系统——小微企业名录”页面查询结果截图（查询时间为投标前一周内，并加盖单位公章）。</w:t>
      </w:r>
    </w:p>
    <w:p>
      <w:pPr>
        <w:autoSpaceDE w:val="0"/>
        <w:autoSpaceDN w:val="0"/>
        <w:spacing w:line="4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spacing w:line="420" w:lineRule="exact"/>
        <w:ind w:firstLine="482"/>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widowControl/>
        <w:snapToGri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zh-CN"/>
        </w:rPr>
        <w:t>投标人需提供的相关证明材料，未按招标文件要求提供证明材料的不享受上述扶持政策。</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此项由评标委员会集体核实后统一打分。</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报价是中标的一个重要因素，但最低报价不是中标的唯一依据。</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21.5修改评标结果</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评标结果汇总完成后，除下列情形外，任何人不得修改评标结果：</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（一）分值汇总计算错误的；</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（二）分项评分超出评分标准范围的；</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（三）评标委员会成员对客观评审因素评分不一致的；</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（四）经评标委员会认定评分畸高、畸低的。</w:t>
      </w:r>
    </w:p>
    <w:p>
      <w:pPr>
        <w:pStyle w:val="11"/>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22．评标内容的保密</w:t>
      </w:r>
    </w:p>
    <w:p>
      <w:pPr>
        <w:pStyle w:val="11"/>
        <w:spacing w:line="420" w:lineRule="exact"/>
        <w:ind w:lef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22.1公开开标后，直到宣布中标单位止，凡属于审查、澄清、评价和比较投标的所有资料及有关的信息，都不应向与评标无关的其他人泄漏。</w:t>
      </w:r>
    </w:p>
    <w:p>
      <w:pPr>
        <w:pStyle w:val="11"/>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22.2 在投标文件的审查、澄清、评价和比较以及确定入围单位过程中，投标人对采购单位和评标委员会施加影响的任何行为，都将导致取消资格。 </w:t>
      </w:r>
    </w:p>
    <w:p>
      <w:pPr>
        <w:pStyle w:val="11"/>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23．废标</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根据《中华人民共和国政府采购法》第三十六条之规定，在采购中，出现下列情况之一的，应予以废标：</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（1）符合专业条件的服务商或者对招标文件作实质响应的服务商不足3家的；</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（3）投标人的报价均超过了采购预算，采购单位不能支付的；</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pPr>
        <w:pStyle w:val="11"/>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pPr>
        <w:pStyle w:val="11"/>
        <w:spacing w:line="42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七、定标</w:t>
      </w:r>
    </w:p>
    <w:p>
      <w:pPr>
        <w:pStyle w:val="11"/>
        <w:spacing w:line="420" w:lineRule="exact"/>
        <w:rPr>
          <w:rFonts w:hint="eastAsia" w:ascii="宋体" w:hAnsi="宋体" w:eastAsia="宋体" w:cs="宋体"/>
          <w:b/>
          <w:color w:val="auto"/>
          <w:highlight w:val="none"/>
        </w:rPr>
      </w:pPr>
      <w:r>
        <w:rPr>
          <w:rFonts w:hint="eastAsia" w:ascii="宋体" w:hAnsi="宋体" w:eastAsia="宋体" w:cs="宋体"/>
          <w:b/>
          <w:color w:val="auto"/>
          <w:sz w:val="24"/>
          <w:highlight w:val="none"/>
        </w:rPr>
        <w:t>24．定标</w:t>
      </w:r>
    </w:p>
    <w:p>
      <w:pPr>
        <w:pStyle w:val="11"/>
        <w:spacing w:line="42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pPr>
        <w:pStyle w:val="11"/>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特别说明：一个投标人在12个标段中最多只能被推荐二次第一中标候选人。已被评标委员会推荐二次第一中标候选人的投标人在后续标项评审中将不在推荐为第一中标候选人。</w:t>
      </w:r>
    </w:p>
    <w:p>
      <w:pPr>
        <w:pStyle w:val="11"/>
        <w:spacing w:line="420" w:lineRule="exact"/>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八、合同签订及其他</w:t>
      </w:r>
    </w:p>
    <w:p>
      <w:pPr>
        <w:pStyle w:val="11"/>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25．中标书</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确定中标人后，采购机构将在发布招标公告的网站上公布中标结果，并将中标结果在指定媒体上公告，采购机构向中标供应商签发中标通知书。中标供应商有违反有关法律法规和本项目要求行为的，则取消该投标人的中标资格。</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25.2投标人全部接受合同条件并签订合同后，中标通知书亦成为合同的组成部分。</w:t>
      </w:r>
    </w:p>
    <w:p>
      <w:pPr>
        <w:snapToGrid w:val="0"/>
        <w:spacing w:line="4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25.3如中标人拒绝承担中标的项目，或提出采购机构不能接受的条件，致使合同无法签订，采购机构将取消其中标资格并按照排名次序选择下一个中标候选人作为中标单位或另行组织采购。</w:t>
      </w:r>
    </w:p>
    <w:p>
      <w:pPr>
        <w:pStyle w:val="11"/>
        <w:spacing w:line="42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26．合同的签订</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26.1中标人接到中标通知后30日内，与招标人签订合同。</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26.2如中标人拒绝承担中标的项目，或提出招标人不能接受的条件，致使合同无法签订，招标人将取消其中标资格并要求其赔偿招标人损失。</w:t>
      </w:r>
    </w:p>
    <w:p>
      <w:pPr>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26.3如签订合同并生效后，供应商无故拒绝或不完全履行合同，除按照合同规定处罚外，将上报财政主管部门给予相应处罚。</w:t>
      </w:r>
    </w:p>
    <w:p>
      <w:pPr>
        <w:snapToGrid w:val="0"/>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0"/>
          <w:highlight w:val="none"/>
        </w:rPr>
        <w:t>27．</w:t>
      </w:r>
      <w:r>
        <w:rPr>
          <w:rFonts w:hint="eastAsia" w:ascii="宋体" w:hAnsi="宋体" w:eastAsia="宋体" w:cs="宋体"/>
          <w:b/>
          <w:color w:val="auto"/>
          <w:sz w:val="24"/>
          <w:highlight w:val="none"/>
        </w:rPr>
        <w:t>履约保证金</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27.1中标人在签订作业合同时需向招标人提交一年中标金额5％的合同履约质量保证金；在承包期满后十天内退还（不计息）。如承包期内，中标人没按要求履行合同则保证金不予归还。</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在承包期内如因承包人原因造成招标人财产损失的，招标人有权酌情在履约保证金中扣除。</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中标人如未按时交纳履约保证金，采购单位有权撤销其中标资格，并根据评标委员会确定的中标候选人名单与下一顺序中标候选人商谈合同，或报请批准后另行采购。</w:t>
      </w:r>
    </w:p>
    <w:p>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履约保证金采用正规银行开具的银行保函形式交纳。</w:t>
      </w:r>
    </w:p>
    <w:p>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28.付款方式</w:t>
      </w:r>
    </w:p>
    <w:p>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款采用先作业后拨付的方式，根据市、区财政经费下达通知后及时拨付给作业单位，并扣除具体考核扣分金额。中标单位结算合同经费须出具正规有效票据。合同经费中已包括人工经费、机械设备、工具、材料等生产业务费用、劳动防护费用、城市管理应急保障经费和作业人员“五金”等一切费用。</w:t>
      </w:r>
    </w:p>
    <w:p>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29．采购方式变更</w:t>
      </w:r>
    </w:p>
    <w:p>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在符合资格的投标人不足规定数量或投标人提供的服务及其报价等不能满足采购人要求，以及招标过程中出现其他不正常情况时，经批准，招标人</w:t>
      </w:r>
      <w:r>
        <w:rPr>
          <w:rFonts w:hint="eastAsia" w:ascii="宋体" w:hAnsi="宋体" w:eastAsia="宋体" w:cs="宋体"/>
          <w:color w:val="auto"/>
          <w:sz w:val="24"/>
          <w:highlight w:val="none"/>
          <w:lang w:val="zh-CN"/>
        </w:rPr>
        <w:t>将根据中华人民共和国财政部第</w:t>
      </w:r>
      <w:r>
        <w:rPr>
          <w:rFonts w:hint="eastAsia" w:ascii="宋体" w:hAnsi="宋体" w:eastAsia="宋体" w:cs="宋体"/>
          <w:color w:val="auto"/>
          <w:sz w:val="24"/>
          <w:highlight w:val="none"/>
        </w:rPr>
        <w:t>87</w:t>
      </w:r>
      <w:r>
        <w:rPr>
          <w:rFonts w:hint="eastAsia" w:ascii="宋体" w:hAnsi="宋体" w:eastAsia="宋体" w:cs="宋体"/>
          <w:color w:val="auto"/>
          <w:sz w:val="24"/>
          <w:highlight w:val="none"/>
          <w:lang w:val="zh-CN"/>
        </w:rPr>
        <w:t>号令《货物和服务招标投标管理办法》规定，</w:t>
      </w:r>
      <w:r>
        <w:rPr>
          <w:rFonts w:hint="eastAsia" w:ascii="宋体" w:hAnsi="宋体" w:eastAsia="宋体" w:cs="宋体"/>
          <w:color w:val="auto"/>
          <w:sz w:val="24"/>
          <w:highlight w:val="none"/>
        </w:rPr>
        <w:t>重新选择合适的方式进行采购。</w:t>
      </w:r>
    </w:p>
    <w:p>
      <w:pPr>
        <w:pStyle w:val="5"/>
        <w:tabs>
          <w:tab w:val="left" w:pos="720"/>
        </w:tabs>
        <w:snapToGrid w:val="0"/>
        <w:spacing w:before="0" w:after="0"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30.质疑与投诉</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中华人民共和国政府采购法》、《中华人民共和国政府采购法实施条例》、《政府采购质疑和投诉办法》(财政部令第94号)、《财政部关于加强政府采购供应商投诉受理审查工作的通知》(财库〔2007〕1号)和《浙江省政府采购供应商质疑处理办法》（浙财采监[2012]18号）的规定，政府采购供应商可以依法提起质疑和投诉。</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（一）供应商询问</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供应商对政府采购活动事项有疑问的，可以向采购人、采购代理机构提出询问，采购人、采购代理机构将在3个工作日内对供应商依法提出的询问作出答复，但答复的内容不得涉及商业秘密。</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（二）供应商质疑</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1、提出质疑的供应商应当是参与所质疑项目采购活动的供应商。潜在供应商已依法获取其可质疑的招标文件的，可以对该文件提出质疑。</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供应商认为采购文件、采购过程、中标或者成交结果使自己的权益受到损害的，可以在知道或者应知其权益受到损害之日起7个工作日内，以书面形式向采购人、采购代理机构提出质疑，否则不予受理。供应商应知其权益受到损害之日，是指：</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（1）对可以质疑的招标文件提出质疑的，为收到招标文件之日或者招标文件公告期限届满之日；</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（2）对采购过程提出质疑的，为各采购程序环节结束之日；对同一采购程序环节的质疑，供应商须一次性提出；</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（3）对中标或者成交结果提出质疑的，为中标或者成交结果公告期限届满之日。</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3、供应商提出质疑应当提交质疑函和必要的证明材料。质疑函应当包括下列内容：</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（1）供应商的姓名或者名称、地址、邮编、联系人及联系电话；</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（2）质疑项目的名称、编号；</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（3）具体、明确的质疑事项和与质疑事项相关的请求；</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（4）事实依据；</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（5）必要的法律依据；</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（6）提出质疑的日期。</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4、采购人、采购代理机构应当在收到供应商的书面质疑后七个工作日内作出答复，并以书面形式通知质疑供应商和其他与质疑处理结果有利害关系的政府采购当事人，但答复的内容不得涉及商业秘密。</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5、询问或者质疑事项可能影响采购结果的，采购人应当暂停签订合同，已经签订合同的，应当中止履行合同。</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（三）供应商投诉</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1、供应商质疑、投诉应当有明确的请求和必要的证明材料。供应商投诉的事项不得超出已质疑事项的范围。</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2、质疑供应商对采购机构的答复不满意或者采购机构未在规定的时间内作出答复的，可以在答复期满后十五个工作日内向同级政府采购监督管理部门提出投诉。</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3、未尽事宜，按政府采购的有关法律、法规和规定。</w:t>
      </w:r>
    </w:p>
    <w:p>
      <w:pPr>
        <w:pStyle w:val="32"/>
        <w:snapToGrid w:val="0"/>
        <w:spacing w:before="0" w:line="420" w:lineRule="exact"/>
        <w:ind w:firstLine="482"/>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32. 招标文件中引用的政府性文件规定</w:t>
      </w:r>
    </w:p>
    <w:p>
      <w:pPr>
        <w:pStyle w:val="32"/>
        <w:snapToGrid w:val="0"/>
        <w:spacing w:before="0" w:line="420" w:lineRule="exact"/>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本招标文件中所引用的政府性文件如果与政府发布的最新规定有冲突的则按照政府发布的最新规定执行。</w:t>
      </w:r>
    </w:p>
    <w:p>
      <w:pPr>
        <w:pStyle w:val="32"/>
        <w:snapToGrid w:val="0"/>
        <w:spacing w:before="0" w:line="420" w:lineRule="exact"/>
        <w:ind w:firstLine="482"/>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33. 解释权</w:t>
      </w:r>
    </w:p>
    <w:p>
      <w:pPr>
        <w:pStyle w:val="32"/>
        <w:snapToGrid w:val="0"/>
        <w:spacing w:before="0" w:line="420" w:lineRule="exact"/>
        <w:ind w:firstLine="480"/>
        <w:jc w:val="center"/>
        <w:rPr>
          <w:rFonts w:hint="eastAsia" w:ascii="宋体" w:hAnsi="宋体" w:eastAsia="宋体" w:cs="宋体"/>
          <w:b/>
          <w:color w:val="auto"/>
          <w:sz w:val="36"/>
          <w:highlight w:val="none"/>
        </w:rPr>
      </w:pPr>
      <w:r>
        <w:rPr>
          <w:rFonts w:hint="eastAsia" w:ascii="宋体" w:hAnsi="宋体" w:eastAsia="宋体" w:cs="宋体"/>
          <w:color w:val="auto"/>
          <w:szCs w:val="24"/>
          <w:highlight w:val="none"/>
          <w:lang w:val="en-US" w:eastAsia="zh-CN"/>
        </w:rPr>
        <w:t>凡涉及本次招标文件的解释权均属于采购人及采购代理机构。</w:t>
      </w:r>
      <w:r>
        <w:rPr>
          <w:rFonts w:hint="eastAsia" w:ascii="宋体" w:hAnsi="宋体" w:eastAsia="宋体" w:cs="宋体"/>
          <w:color w:val="auto"/>
          <w:kern w:val="0"/>
          <w:highlight w:val="none"/>
        </w:rPr>
        <w:br w:type="page"/>
      </w:r>
      <w:r>
        <w:rPr>
          <w:rFonts w:hint="eastAsia" w:ascii="宋体" w:hAnsi="宋体" w:eastAsia="宋体" w:cs="宋体"/>
          <w:b/>
          <w:color w:val="auto"/>
          <w:sz w:val="36"/>
          <w:highlight w:val="none"/>
        </w:rPr>
        <w:t>第三章、项目技术规范和服务要求</w:t>
      </w:r>
    </w:p>
    <w:p>
      <w:pPr>
        <w:spacing w:line="360" w:lineRule="auto"/>
        <w:rPr>
          <w:rFonts w:hint="eastAsia" w:ascii="宋体" w:hAnsi="宋体" w:eastAsia="宋体" w:cs="宋体"/>
          <w:b/>
          <w:color w:val="auto"/>
          <w:spacing w:val="2"/>
          <w:sz w:val="24"/>
          <w:highlight w:val="none"/>
        </w:rPr>
      </w:pPr>
      <w:r>
        <w:rPr>
          <w:rFonts w:hint="eastAsia" w:ascii="宋体" w:hAnsi="宋体" w:eastAsia="宋体" w:cs="宋体"/>
          <w:b/>
          <w:color w:val="auto"/>
          <w:spacing w:val="2"/>
          <w:sz w:val="24"/>
          <w:highlight w:val="none"/>
        </w:rPr>
        <w:t>一、项目内容简述：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拱墅区清除非法涂写招贴广告作业招标，服务期限为二年。</w:t>
      </w:r>
      <w:r>
        <w:rPr>
          <w:rFonts w:hint="eastAsia" w:ascii="宋体" w:hAnsi="宋体" w:eastAsia="宋体" w:cs="宋体"/>
          <w:b/>
          <w:color w:val="auto"/>
          <w:sz w:val="24"/>
          <w:highlight w:val="none"/>
        </w:rPr>
        <w:t>按照考核办法,考核合格的可续签一年，如按照考核办法三次不达标的，终止合同。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1、非法涂写招贴广告的概念。非法涂写招贴广告俗称“牛皮癣”，是指法律、法规和规章禁止的或需经主管部门批准而未经审批的在建筑物、公共设施等进行的涂写、招贴等违章行为。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清除非法涂写招贴广告作业的范围。一是道路和建筑物上的非法涂写招贴广告；二是公共设施上的非法涂写招贴广告（不含公交站牌及候车亭、邮筒箱、电话亭）。三是公园和绿化区域内的非法涂写招贴广告。</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3、招标的范围</w:t>
      </w:r>
    </w:p>
    <w:p>
      <w:pPr>
        <w:tabs>
          <w:tab w:val="left" w:pos="72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从有利于分清责任，提高清除效率和质量出发，将拱墅区清除非法涂写招贴广告作业招标的范围确定为12个标段进行招标。详见“</w:t>
      </w:r>
      <w:r>
        <w:rPr>
          <w:rFonts w:hint="eastAsia" w:ascii="宋体" w:hAnsi="宋体" w:eastAsia="宋体" w:cs="宋体"/>
          <w:b/>
          <w:color w:val="auto"/>
          <w:sz w:val="24"/>
          <w:highlight w:val="none"/>
        </w:rPr>
        <w:t>拱墅区2020年清除非法涂写招贴广告标段范围及道路总长情况表</w:t>
      </w:r>
      <w:r>
        <w:rPr>
          <w:rFonts w:hint="eastAsia" w:ascii="宋体" w:hAnsi="宋体" w:eastAsia="宋体" w:cs="宋体"/>
          <w:color w:val="auto"/>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二、清除作业的技术方案：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原有的建筑立面等是采用涂料、水泥和油漆的，对产生的非法涂写招贴广告进行涂刷或清除；原有的建筑立面或公共设施等是采用石材、金属等其他材料的，对产生的非法涂写招贴广告实行清除，不得涂刷。对石材等上的非法涂写招贴广告的清除，要做到清洁和不留痕迹，不损坏石材原有色质等。</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三、作业内容：</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建立“五定”管理制度。即定人员、定路段、定责任、定管理、定考核。一是定人员，要固定和明确专职人员，专职人员要具有配色的能力。二是定路段，要做到每一名专职人员有明确作业范围。三是定责任，每一名专职人员对作业范围负全面责任。四是定管理，落实对清除工作的日常监督和管理。五是定考核，每月对专职人员进行考核。</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2、配备必要的工具设备。按照2人配备一辆作业小三轮车，一个标段一台磨光机、高压冲洗机的要求，配备必要的工具设备。</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3、落实工作人员保障。为非法涂写招贴广告清除工作人员交纳“五金”。</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4、每日上午8点前内完成招标范围内非法涂写招贴广告第一遍的清除工作，并做到巡回清除，时间到晚上8点。非法涂写招贴广告滞留时间不得超过60分钟。</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四、涂刷作业的规范方案：</w:t>
      </w:r>
    </w:p>
    <w:p>
      <w:pPr>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要做到“色、形、洁、美” 。“色”就是根据不同墙体或设施等颜色，进行配色，是覆盖的颜色与原有颜色相近或基本一致。“形”就是对覆盖的墙面要求有统一的覆盖形状(四方形、正方形)，并有完整的轮廓。“洁”就是对要涂刷覆盖的墙面，按照"一刮、二铲、三粉刷"的程序操作，力求达到整体干净整洁。“美”就是力求使覆盖内墙面在“色、形、洁”方面与周边环境协调和谐，有一定的美观。非法涂写已超过整体墙面三分之一的，要进行整体墙面的配色清刷。</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五、材料标准：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1、涂料。必须采用外墙涂料进行粉刷，保证粉刷后不因雨水等原因造成涂料脱落和非法涂写重新泛出。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2、水泥。采用高标号水泥。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六、考核办法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按照市场化运作规则和属地管理原则，加强和规范对杭州市主城区非法涂写招贴广告专项整治工作中招标录用的专业清洁(保洁)单位的管理和考核，特制定年度考核管理办法(试行)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1、考核主体：杭州市拱墅区城管局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2、被考核主体：各中标单位</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3、考核方式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3.1、按照属地原则，落实监管责任。由镇、街道和区城管局负责对本辖区内中标单位的日常监管，由区城管局负责对中标单位的统一考核工作。</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考核实行月度考核和年终考核。（1）月度考核。考核实行百分制，纳入月度考核的内容：区、街道日常巡查占总分的30%；市级检查和数字城管抄告占总分的60%；公众监督（包括信访）占总分的10%。达标分为94分，月度考核的结果，作为支付月度费用的依据。（2）年终考核。除月度考核外的其他内容，纳入年度考核。年度考核实行百分制，其中月度考核的平均值占90%，其他内容占10%，结合一年来的工作情况，对中标单位进行综合评定。年度实施及考核情况报市城管办备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3.3、日常巡查成绩的纳入。市城管办及市市容环卫监管中心、数字城管对各城区的巡查，监督检查的结果和区、街道日常巡查的结果，区城管局按月纳入对中标单位的考核。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4、考核内容和评分标准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4.1考核内容</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4.11、组织机构健全。有各层次的管理机构和管理人员，作业人员、物资、工具做到落实。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4.12、管理制度完善。建立各项管理制度和考核制度，各层次管理人员和作业人员职责明确，考核工作能顺利实施。准确、按时上报整治工作月统计报表。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4.13、岗位明确、责任落实。责任辖区内的道路专项整治实行"三定"管理，即定人员、定路段、定责任。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4.14、作业规范。作业人员着装整洁，严格按作业技术标准作业，按时清、随时清，杜绝"以癣治癣"。每天早上 8点至晚上8点做到即时发现，即时清除，“牛皮癣”滞留时间不超过1小时;晚上8点至第二天早上8点，做到在上午8点前清除。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5、评分标准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5.1、月度考核评分标准（见附表一）。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5.2、年终考核评分标准。纳入年度考核的其他内容，按照落实情况综合评分。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6、奖惩办法</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6.1、月度考核。达标分为94分，94分（含）以上，每分扣100元，94分以下扣当月支付经费的30%。一次不达标，给予黄牌警告，连续二次不达标，扣除当月支付经费的50%，三次不达标终止合同。</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6.2、年终考核。根据得分高低排出名次，按照名次和分值拨付相关经费。得分前三位的为优胜单位，同时作为下一轮续签合同的优先单位。</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附表一：月度考核评分标准：</w:t>
      </w:r>
    </w:p>
    <w:tbl>
      <w:tblPr>
        <w:tblStyle w:val="22"/>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796"/>
        <w:gridCol w:w="2638"/>
        <w:gridCol w:w="326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646"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考核项目</w:t>
            </w:r>
          </w:p>
        </w:tc>
        <w:tc>
          <w:tcPr>
            <w:tcW w:w="407"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考核方式</w:t>
            </w:r>
          </w:p>
        </w:tc>
        <w:tc>
          <w:tcPr>
            <w:tcW w:w="1349"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考核内容</w:t>
            </w:r>
          </w:p>
        </w:tc>
        <w:tc>
          <w:tcPr>
            <w:tcW w:w="1669"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评分标准</w:t>
            </w:r>
          </w:p>
        </w:tc>
        <w:tc>
          <w:tcPr>
            <w:tcW w:w="926"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577" w:hRule="atLeast"/>
          <w:jc w:val="center"/>
        </w:trPr>
        <w:tc>
          <w:tcPr>
            <w:tcW w:w="646" w:type="pct"/>
            <w:vMerge w:val="restar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区和街道日常巡查占总分20%</w:t>
            </w:r>
          </w:p>
        </w:tc>
        <w:tc>
          <w:tcPr>
            <w:tcW w:w="407"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检查台帐</w:t>
            </w:r>
          </w:p>
        </w:tc>
        <w:tc>
          <w:tcPr>
            <w:tcW w:w="1349" w:type="pct"/>
            <w:noWrap w:val="0"/>
            <w:vAlign w:val="top"/>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各单位要认真做好非法涂写招贴广告清除的日报表和月报表，并及时上报到主管部门。</w:t>
            </w:r>
          </w:p>
        </w:tc>
        <w:tc>
          <w:tcPr>
            <w:tcW w:w="1669"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未按时上报的每次扣0.5分</w:t>
            </w:r>
          </w:p>
        </w:tc>
        <w:tc>
          <w:tcPr>
            <w:tcW w:w="926" w:type="pct"/>
            <w:vMerge w:val="restart"/>
            <w:noWrap w:val="0"/>
            <w:vAlign w:val="top"/>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1、每月5日前承包单位上报上个月非法涂写招贴广告清除的月报表（表格提供）。</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2、出现（含）3次以上未整改的，考核单位可实施代整治，费用由承包单位出，并扣除相应分值。</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3、重大活动不响应的，考核单位可实施代落实，费用由承包单位出，并按相关规定执行。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851" w:hRule="atLeast"/>
          <w:jc w:val="center"/>
        </w:trPr>
        <w:tc>
          <w:tcPr>
            <w:tcW w:w="646" w:type="pct"/>
            <w:vMerge w:val="continue"/>
            <w:noWrap w:val="0"/>
            <w:vAlign w:val="center"/>
          </w:tcPr>
          <w:p>
            <w:pPr>
              <w:widowControl/>
              <w:jc w:val="center"/>
              <w:rPr>
                <w:rFonts w:hint="eastAsia" w:ascii="宋体" w:hAnsi="宋体" w:eastAsia="宋体" w:cs="宋体"/>
                <w:color w:val="auto"/>
                <w:kern w:val="0"/>
                <w:sz w:val="24"/>
                <w:highlight w:val="none"/>
              </w:rPr>
            </w:pPr>
          </w:p>
        </w:tc>
        <w:tc>
          <w:tcPr>
            <w:tcW w:w="407"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实地检查</w:t>
            </w:r>
          </w:p>
        </w:tc>
        <w:tc>
          <w:tcPr>
            <w:tcW w:w="1349" w:type="pct"/>
            <w:vMerge w:val="restart"/>
            <w:noWrap w:val="0"/>
            <w:vAlign w:val="top"/>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1、每条道路的非法涂写招贴广告必须在每日8点前清除完毕，并做好巡回检查工作，做到及时发现、及时清除。滞留时间不能超过60分钟。</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2、在作业过程中要按照标准要求进行。属涂刷类的：用外墙涂料或油漆配色进行覆盖；属清除类的：要采取物理或化学的方法进行清除。</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3、清理必须做到彻底，不能出现“白癜风”、涂写泛出、颜色不一等现象。</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4、对各类创建活动及市级及以上检查中不失责任分。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5、在市分类道路检查中失分的；加倍扣分。</w:t>
            </w:r>
          </w:p>
        </w:tc>
        <w:tc>
          <w:tcPr>
            <w:tcW w:w="1669" w:type="pct"/>
            <w:vMerge w:val="restart"/>
            <w:noWrap w:val="0"/>
            <w:vAlign w:val="top"/>
          </w:tcPr>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1、发现一处扣0.5分，复查时发现未整改的，扣1分，出现三次（含）以上未整改的，扣2分。每增加一次加扣0.5分。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2、没有在早上8时前完成第一遍清除的，发现一次扣1分。没有实施的扣3分。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3、涂刷没有用外墙涂料（水泥墙除外）和出现“白癜风”、涂写泛出颜色不一等，每处扣0.5分，复查时发现未整改的，扣1分，出现三次（含）以上未整改的，扣2分。每增加一次加扣0.5分。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4、该采取清除方法处理，而进行涂刷的每处扣0.5分。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5、滞留时间超过60分钟的，每处扣0.5分。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6、市级检查抄告的，每件扣1分。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7、数字城管采集的案卷每件扣0.5分。造成数字城管扣分的扣2分。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8、交办后未处理的，每件扣1分。</w:t>
            </w:r>
          </w:p>
          <w:p>
            <w:pPr>
              <w:widowControl/>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9、在重大活动创建中，被区批评的，扣2分，被市及以上批评的，扣3分，影响创建活动，使创建失分的，当月评定为不达标。具体奖惩按考核办法执行，影响区级以上创建的，终止合同。并扣除相应经费。</w:t>
            </w:r>
          </w:p>
        </w:tc>
        <w:tc>
          <w:tcPr>
            <w:tcW w:w="926" w:type="pct"/>
            <w:vMerge w:val="continue"/>
            <w:noWrap w:val="0"/>
            <w:vAlign w:val="top"/>
          </w:tcPr>
          <w:p>
            <w:pPr>
              <w:widowControl/>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879" w:hRule="atLeast"/>
          <w:jc w:val="center"/>
        </w:trPr>
        <w:tc>
          <w:tcPr>
            <w:tcW w:w="646"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市级检查和数字城管抄告占总分的60%</w:t>
            </w:r>
          </w:p>
        </w:tc>
        <w:tc>
          <w:tcPr>
            <w:tcW w:w="407" w:type="pct"/>
            <w:noWrap w:val="0"/>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实地检查和信息中心采集</w:t>
            </w:r>
          </w:p>
        </w:tc>
        <w:tc>
          <w:tcPr>
            <w:tcW w:w="1349" w:type="pct"/>
            <w:vMerge w:val="continue"/>
            <w:noWrap w:val="0"/>
            <w:vAlign w:val="top"/>
          </w:tcPr>
          <w:p>
            <w:pPr>
              <w:widowControl/>
              <w:rPr>
                <w:rFonts w:hint="eastAsia" w:ascii="宋体" w:hAnsi="宋体" w:eastAsia="宋体" w:cs="宋体"/>
                <w:color w:val="auto"/>
                <w:kern w:val="0"/>
                <w:sz w:val="24"/>
                <w:highlight w:val="none"/>
              </w:rPr>
            </w:pPr>
          </w:p>
        </w:tc>
        <w:tc>
          <w:tcPr>
            <w:tcW w:w="1669" w:type="pct"/>
            <w:vMerge w:val="continue"/>
            <w:noWrap w:val="0"/>
            <w:vAlign w:val="top"/>
          </w:tcPr>
          <w:p>
            <w:pPr>
              <w:widowControl/>
              <w:rPr>
                <w:rFonts w:hint="eastAsia" w:ascii="宋体" w:hAnsi="宋体" w:eastAsia="宋体" w:cs="宋体"/>
                <w:color w:val="auto"/>
                <w:kern w:val="0"/>
                <w:sz w:val="24"/>
                <w:highlight w:val="none"/>
              </w:rPr>
            </w:pPr>
          </w:p>
        </w:tc>
        <w:tc>
          <w:tcPr>
            <w:tcW w:w="926" w:type="pct"/>
            <w:vMerge w:val="continue"/>
            <w:noWrap w:val="0"/>
            <w:vAlign w:val="top"/>
          </w:tcPr>
          <w:p>
            <w:pPr>
              <w:widowControl/>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577" w:hRule="atLeast"/>
          <w:jc w:val="center"/>
        </w:trPr>
        <w:tc>
          <w:tcPr>
            <w:tcW w:w="646" w:type="pct"/>
            <w:noWrap w:val="0"/>
            <w:vAlign w:val="top"/>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公众监督（含信访）占总分的10%</w:t>
            </w:r>
          </w:p>
        </w:tc>
        <w:tc>
          <w:tcPr>
            <w:tcW w:w="407" w:type="pct"/>
            <w:noWrap w:val="0"/>
            <w:vAlign w:val="top"/>
          </w:tcPr>
          <w:p>
            <w:pPr>
              <w:widowControl/>
              <w:jc w:val="center"/>
              <w:rPr>
                <w:rFonts w:hint="eastAsia" w:ascii="宋体" w:hAnsi="宋体" w:eastAsia="宋体" w:cs="宋体"/>
                <w:color w:val="auto"/>
                <w:kern w:val="0"/>
                <w:sz w:val="24"/>
                <w:highlight w:val="none"/>
              </w:rPr>
            </w:pPr>
          </w:p>
        </w:tc>
        <w:tc>
          <w:tcPr>
            <w:tcW w:w="1349" w:type="pct"/>
            <w:noWrap w:val="0"/>
            <w:vAlign w:val="top"/>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1、无责任投诉，有责任投诉要及时处理。</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2、对“12345”市长公开电话等信访要认真处理及时回复。</w:t>
            </w:r>
          </w:p>
        </w:tc>
        <w:tc>
          <w:tcPr>
            <w:tcW w:w="1669" w:type="pct"/>
            <w:noWrap w:val="0"/>
            <w:vAlign w:val="top"/>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1、出现有责任投诉，每件扣1分，未及时处理的，每件扣2分。</w:t>
            </w:r>
          </w:p>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2、未及时处理和回复公开电话等信访的，每件扣2分。</w:t>
            </w:r>
          </w:p>
        </w:tc>
        <w:tc>
          <w:tcPr>
            <w:tcW w:w="926" w:type="pct"/>
            <w:vMerge w:val="restart"/>
            <w:noWrap w:val="0"/>
            <w:vAlign w:val="top"/>
          </w:tcPr>
          <w:p>
            <w:pPr>
              <w:widowControl/>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75" w:hRule="atLeast"/>
          <w:jc w:val="center"/>
        </w:trPr>
        <w:tc>
          <w:tcPr>
            <w:tcW w:w="646" w:type="pct"/>
            <w:noWrap w:val="0"/>
            <w:vAlign w:val="top"/>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媒体报道，领导批示占总分的10%</w:t>
            </w:r>
          </w:p>
        </w:tc>
        <w:tc>
          <w:tcPr>
            <w:tcW w:w="407" w:type="pct"/>
            <w:noWrap w:val="0"/>
            <w:vAlign w:val="top"/>
          </w:tcPr>
          <w:p>
            <w:pPr>
              <w:widowControl/>
              <w:jc w:val="center"/>
              <w:rPr>
                <w:rFonts w:hint="eastAsia" w:ascii="宋体" w:hAnsi="宋体" w:eastAsia="宋体" w:cs="宋体"/>
                <w:color w:val="auto"/>
                <w:kern w:val="0"/>
                <w:sz w:val="24"/>
                <w:highlight w:val="none"/>
              </w:rPr>
            </w:pPr>
          </w:p>
        </w:tc>
        <w:tc>
          <w:tcPr>
            <w:tcW w:w="1349" w:type="pct"/>
            <w:noWrap w:val="0"/>
            <w:vAlign w:val="top"/>
          </w:tcPr>
          <w:p>
            <w:pPr>
              <w:widowControl/>
              <w:numPr>
                <w:ilvl w:val="0"/>
                <w:numId w:val="4"/>
              </w:num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无新闻媒体负面报道。</w:t>
            </w:r>
          </w:p>
          <w:p>
            <w:pPr>
              <w:widowControl/>
              <w:numPr>
                <w:ilvl w:val="0"/>
                <w:numId w:val="4"/>
              </w:num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领导批示要解决的问题，要立即处理及时回复。</w:t>
            </w:r>
          </w:p>
        </w:tc>
        <w:tc>
          <w:tcPr>
            <w:tcW w:w="1669" w:type="pct"/>
            <w:noWrap w:val="0"/>
            <w:vAlign w:val="top"/>
          </w:tcPr>
          <w:p>
            <w:pPr>
              <w:widowControl/>
              <w:numPr>
                <w:ilvl w:val="0"/>
                <w:numId w:val="5"/>
              </w:num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出现新闻媒体负面报道的，当月评定为不达标，当月出现两次的，一次算当月，第二次计算为次月，以此类推。并按考核办法执行。</w:t>
            </w:r>
          </w:p>
          <w:p>
            <w:pPr>
              <w:widowControl/>
              <w:ind w:left="360" w:hanging="360" w:hangingChars="1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2、对领导批示的问题每件扣1分，复查时未整改的扣5分。</w:t>
            </w:r>
          </w:p>
        </w:tc>
        <w:tc>
          <w:tcPr>
            <w:tcW w:w="926" w:type="pct"/>
            <w:vMerge w:val="continue"/>
            <w:noWrap w:val="0"/>
            <w:vAlign w:val="top"/>
          </w:tcPr>
          <w:p>
            <w:pPr>
              <w:widowControl/>
              <w:jc w:val="center"/>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七、拱墅区2020年清除非法涂写招贴广告标段范围及道路总长情况表：</w:t>
      </w:r>
    </w:p>
    <w:tbl>
      <w:tblPr>
        <w:tblStyle w:val="22"/>
        <w:tblW w:w="9640" w:type="dxa"/>
        <w:jc w:val="center"/>
        <w:tblLayout w:type="fixed"/>
        <w:tblCellMar>
          <w:top w:w="0" w:type="dxa"/>
          <w:left w:w="0" w:type="dxa"/>
          <w:bottom w:w="0" w:type="dxa"/>
          <w:right w:w="0" w:type="dxa"/>
        </w:tblCellMar>
      </w:tblPr>
      <w:tblGrid>
        <w:gridCol w:w="853"/>
        <w:gridCol w:w="6700"/>
        <w:gridCol w:w="2087"/>
      </w:tblGrid>
      <w:tr>
        <w:tblPrEx>
          <w:tblCellMar>
            <w:top w:w="0" w:type="dxa"/>
            <w:left w:w="0" w:type="dxa"/>
            <w:bottom w:w="0" w:type="dxa"/>
            <w:right w:w="0" w:type="dxa"/>
          </w:tblCellMar>
        </w:tblPrEx>
        <w:trPr>
          <w:trHeight w:val="647"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标段</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标项名称</w:t>
            </w:r>
          </w:p>
        </w:tc>
        <w:tc>
          <w:tcPr>
            <w:tcW w:w="2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道路长度（米）</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拱墅区米市巷街道非法涂写招贴广告清除范围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19710</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拱墅区湖墅街道非法涂写招贴广告清除范围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24506</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拱墅区小河街道加和睦街道小河街道非法涂写招贴广告清除范围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22031</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22179</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拱墅区拱宸桥街道非法涂写招贴广告清除范围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32506</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拱墅区上塘街道非法涂写招贴广告清除范围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44281</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拱墅区祥符街道非法涂写招贴广告清除范围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83332.1</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拱墅区大关路以南部分主要道路（含运河游步道）非法涂写招贴广告清除范围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41843</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88137.77</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拱墅区大关路以北部分主要道路非法涂写招贴广告清除范围（东）</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63645.5</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拱墅区半山街道非法涂写招贴广告清除范围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29480.7</w:t>
            </w:r>
          </w:p>
        </w:tc>
      </w:tr>
      <w:tr>
        <w:tblPrEx>
          <w:tblCellMar>
            <w:top w:w="0" w:type="dxa"/>
            <w:left w:w="0" w:type="dxa"/>
            <w:bottom w:w="0" w:type="dxa"/>
            <w:right w:w="0" w:type="dxa"/>
          </w:tblCellMar>
        </w:tblPrEx>
        <w:trPr>
          <w:trHeight w:val="540" w:hRule="atLeast"/>
          <w:jc w:val="center"/>
        </w:trPr>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6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拱墅区康桥街道非法涂写招贴广告清除范围</w:t>
            </w:r>
          </w:p>
        </w:tc>
        <w:tc>
          <w:tcPr>
            <w:tcW w:w="2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47724</w:t>
            </w:r>
          </w:p>
        </w:tc>
      </w:tr>
    </w:tbl>
    <w:p>
      <w:pPr>
        <w:spacing w:line="360" w:lineRule="auto"/>
        <w:rPr>
          <w:rFonts w:hint="eastAsia" w:ascii="宋体" w:hAnsi="宋体" w:eastAsia="宋体" w:cs="宋体"/>
          <w:b/>
          <w:color w:val="auto"/>
          <w:sz w:val="24"/>
          <w:highlight w:val="none"/>
        </w:rPr>
      </w:pP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拱墅区2020年清除非法涂写招贴广告各标项街道情况表：</w:t>
      </w:r>
    </w:p>
    <w:tbl>
      <w:tblPr>
        <w:tblStyle w:val="22"/>
        <w:tblW w:w="9540" w:type="dxa"/>
        <w:jc w:val="center"/>
        <w:tblLayout w:type="autofit"/>
        <w:tblCellMar>
          <w:top w:w="0" w:type="dxa"/>
          <w:left w:w="0" w:type="dxa"/>
          <w:bottom w:w="0" w:type="dxa"/>
          <w:right w:w="0" w:type="dxa"/>
        </w:tblCellMar>
      </w:tblPr>
      <w:tblGrid>
        <w:gridCol w:w="645"/>
        <w:gridCol w:w="1515"/>
        <w:gridCol w:w="4380"/>
        <w:gridCol w:w="1560"/>
        <w:gridCol w:w="1440"/>
      </w:tblGrid>
      <w:tr>
        <w:tblPrEx>
          <w:tblCellMar>
            <w:top w:w="0" w:type="dxa"/>
            <w:left w:w="0" w:type="dxa"/>
            <w:bottom w:w="0" w:type="dxa"/>
            <w:right w:w="0" w:type="dxa"/>
          </w:tblCellMar>
        </w:tblPrEx>
        <w:trPr>
          <w:trHeight w:val="540" w:hRule="atLeast"/>
          <w:jc w:val="center"/>
        </w:trPr>
        <w:tc>
          <w:tcPr>
            <w:tcW w:w="95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拱墅区米市巷街道非法涂写张贴广告清除范围</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起止点</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长板巷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老德胜桥至河东路交叉口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夹城巷社区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东粮泊巷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长板巷交叉口至德胜路交叉口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夹城巷社区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夹城巷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湖墅南路交叉口至老德胜桥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夹城巷社区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余塘巷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湖墅南路交叉口至外万物桥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清水潭巷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文一路交叉口至浅水湾北出口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枯树湾巷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古河巷交叉口至湖墅南路交叉口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锦绣社区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古河巷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夹城巷交叉口至潮王路交叉口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锦绣社区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双辉一弄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湖墅南路交叉口至新河坝亭子</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双辉二弄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湖墅南路交叉口至古新河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三官弄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莫干山路交叉口至浅水湾南路交叉口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伞坛巷西路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潮王路交叉口至浅水湾16幢口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570"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浅水湾花园</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东至外万物桥西至莫干山路，南至浅水湾南路北至里万物桥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莫干山路交叉口至古新路交叉口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古新路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潮王路交叉口至文晖路交叉口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湖墅南路交叉口至莫干山路交叉口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古新路交叉口至莫干山路交叉口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沈塘桥社区</w:t>
            </w:r>
          </w:p>
        </w:tc>
      </w:tr>
      <w:tr>
        <w:tblPrEx>
          <w:tblCellMar>
            <w:top w:w="0" w:type="dxa"/>
            <w:left w:w="0" w:type="dxa"/>
            <w:bottom w:w="0" w:type="dxa"/>
            <w:right w:w="0" w:type="dxa"/>
          </w:tblCellMar>
        </w:tblPrEx>
        <w:trPr>
          <w:trHeight w:val="61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叶青兜路</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湖墅南路交叉口至古河巷口（南北面），古河巷口至运河边(南面)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红石板社区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小河东村路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小河东村文晖路口至炼油厂宿舍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半道红社区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草坝巷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密渡桥路交叉口至环城北路交叉口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半道红社区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密度桥支路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密渡桥路交叉口至密渡桥路2号6幢门口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半道红社区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徐公巷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徐公巷7号至万物桥19号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米市社区</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半道红社区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社区各幢间道路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沈塘桥社区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社区各幢间道路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米市巷社区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社区各幢间道路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王子街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湖墅南路--华浙公园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19710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bl>
    <w:p>
      <w:pPr>
        <w:widowControl/>
        <w:tabs>
          <w:tab w:val="left" w:pos="696"/>
          <w:tab w:val="left" w:pos="6810"/>
          <w:tab w:val="left" w:pos="7754"/>
        </w:tabs>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tbl>
      <w:tblPr>
        <w:tblStyle w:val="22"/>
        <w:tblW w:w="9705" w:type="dxa"/>
        <w:jc w:val="center"/>
        <w:tblLayout w:type="autofit"/>
        <w:tblCellMar>
          <w:top w:w="0" w:type="dxa"/>
          <w:left w:w="0" w:type="dxa"/>
          <w:bottom w:w="0" w:type="dxa"/>
          <w:right w:w="0" w:type="dxa"/>
        </w:tblCellMar>
      </w:tblPr>
      <w:tblGrid>
        <w:gridCol w:w="556"/>
        <w:gridCol w:w="1732"/>
        <w:gridCol w:w="4346"/>
        <w:gridCol w:w="1732"/>
        <w:gridCol w:w="1339"/>
      </w:tblGrid>
      <w:tr>
        <w:tblPrEx>
          <w:tblCellMar>
            <w:top w:w="0" w:type="dxa"/>
            <w:left w:w="0" w:type="dxa"/>
            <w:bottom w:w="0" w:type="dxa"/>
            <w:right w:w="0" w:type="dxa"/>
          </w:tblCellMar>
        </w:tblPrEx>
        <w:trPr>
          <w:trHeight w:val="555" w:hRule="atLeast"/>
          <w:jc w:val="center"/>
        </w:trPr>
        <w:tc>
          <w:tcPr>
            <w:tcW w:w="97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拱墅区湖墅街道非法涂写招贴广告清除范围</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起止点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小兜弄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大兜路--丽水路延伸段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杭办一号楼--胜利河美食街口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大兜路--砖桥头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青石头弄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卖鱼桥学校门口--青石头12号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德胜路--德胜巷57号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德胜巷支路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清水公寓24幢前--霞湾巷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杭办一号路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大厦北门内--1号楼霞湾巷间道</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杭办二号路</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大厦2号楼北门--霞湾巷大兜</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霞湾巷社区</w:t>
            </w: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6014</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路口、丽水路口间道</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玉兔路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丽水路延伸段--长乐路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大关路--祝家弄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仁和仓社区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钟衙弄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湖墅南路--垃圾箱</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豪曹巷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湖墅南路--文一路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文一路支路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双荡弄--文一路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双荡弄社区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湖墅北路--和睦路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珠儿潭社区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珠儿潭社区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信义巷支路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信义巷--区行政服务中心</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珠儿潭社区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富义巷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湖墅南路--仓基新村29幢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仓基社区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沟狮滩</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湖墅南路--仓基新村24幢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仓基社区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宝庆路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湖墅南路--仓基新村21幢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仓基社区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长乐路20弄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砖桥头--上塘路口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玉兔路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长乐路--上塘路口（含一条支路）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长乐路34弄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长乐路32号--红建河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卖鱼桥社区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草营巷一支路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草营巷--钟衙弄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卖鱼桥社区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草营巷二支路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草营巷10号--湖墅花园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卖鱼桥社区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草营巷三支路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迪尚商务大厦--湖墅新村43幢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卖鱼桥社区</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莫干山路--贾家弄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江涨桥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湖墅南路--大兜路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信义坊商街南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信义坊商街北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贾家新村小区</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贾家弄1--4幢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（和睦路56号</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贾家新村2--5幢7--12幢16--17幢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进，各幢间）</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信义新村13幢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贾家新村小区</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贾家弄1--10幢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945</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（湖墅路贾家</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信义新村14--16幢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弄口进幢间）</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湖墅北路95号、101号</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信义坊广场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东广场、西广场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湖墅新村</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东片17--20幢、38--40幢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1050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东西两片幢间</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西片43--50幢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仓基新村小区</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仓基新村1--10幢12、14、16、17幢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2550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38、41、43、44、46--52、54、55幢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18--29幢、56--66幢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中心花坛、仓基直路、各幢间</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文一路38弄</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38弄2--5幢、15、16号门</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双荡新村6、7、10幢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双荡新村幢间</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双荡新村27、31、32幢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湖墅新村</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湖墅新村1--5幢、11--12幢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1755</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湖墅新村22--32幢、34、36、37幢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霞湾桥下路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德胜巷--运河公园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大关路--江涨桥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长乐南苑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长乐南苑1--2幢、34弄内红建河边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长乐小区道路</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玉兔路19--21幢、长乐北苑1--7幢</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长乐路20弄1幢、15幢、幢间</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长乐路18幢、玉兔路15幢</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仁和仓街</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丽水路延伸段--长乐路</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225</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24506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bl>
    <w:p>
      <w:pPr>
        <w:widowControl/>
        <w:tabs>
          <w:tab w:val="left" w:pos="696"/>
          <w:tab w:val="left" w:pos="6810"/>
          <w:tab w:val="left" w:pos="7754"/>
        </w:tabs>
        <w:rPr>
          <w:rFonts w:hint="eastAsia" w:ascii="宋体" w:hAnsi="宋体" w:eastAsia="宋体" w:cs="宋体"/>
          <w:b/>
          <w:color w:val="auto"/>
          <w:sz w:val="36"/>
          <w:highlight w:val="none"/>
        </w:rPr>
      </w:pPr>
    </w:p>
    <w:p>
      <w:pPr>
        <w:pStyle w:val="2"/>
        <w:ind w:left="0" w:leftChars="0" w:firstLine="0" w:firstLineChars="0"/>
        <w:rPr>
          <w:rFonts w:hint="eastAsia" w:ascii="宋体" w:hAnsi="宋体" w:eastAsia="宋体" w:cs="宋体"/>
          <w:b/>
          <w:color w:val="auto"/>
          <w:sz w:val="36"/>
          <w:highlight w:val="none"/>
        </w:rPr>
      </w:pPr>
    </w:p>
    <w:tbl>
      <w:tblPr>
        <w:tblStyle w:val="22"/>
        <w:tblW w:w="9720" w:type="dxa"/>
        <w:jc w:val="center"/>
        <w:tblLayout w:type="autofit"/>
        <w:tblCellMar>
          <w:top w:w="0" w:type="dxa"/>
          <w:left w:w="0" w:type="dxa"/>
          <w:bottom w:w="0" w:type="dxa"/>
          <w:right w:w="0" w:type="dxa"/>
        </w:tblCellMar>
      </w:tblPr>
      <w:tblGrid>
        <w:gridCol w:w="660"/>
        <w:gridCol w:w="1785"/>
        <w:gridCol w:w="4710"/>
        <w:gridCol w:w="1395"/>
        <w:gridCol w:w="1170"/>
      </w:tblGrid>
      <w:tr>
        <w:tblPrEx>
          <w:tblCellMar>
            <w:top w:w="0" w:type="dxa"/>
            <w:left w:w="0" w:type="dxa"/>
            <w:bottom w:w="0" w:type="dxa"/>
            <w:right w:w="0" w:type="dxa"/>
          </w:tblCellMar>
        </w:tblPrEx>
        <w:trPr>
          <w:trHeight w:val="465" w:hRule="atLeast"/>
          <w:jc w:val="center"/>
        </w:trPr>
        <w:tc>
          <w:tcPr>
            <w:tcW w:w="972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拱墅区小河街道非法涂写张贴广告清除范围</w:t>
            </w:r>
          </w:p>
        </w:tc>
      </w:tr>
      <w:tr>
        <w:tblPrEx>
          <w:tblCellMar>
            <w:top w:w="0" w:type="dxa"/>
            <w:left w:w="0" w:type="dxa"/>
            <w:bottom w:w="0" w:type="dxa"/>
            <w:right w:w="0" w:type="dxa"/>
          </w:tblCellMar>
        </w:tblPrEx>
        <w:trPr>
          <w:trHeight w:val="46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三宝路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和睦路口—莫干山路口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贾家西路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和睦路口—莫干山路口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董家弄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和睦路口—董家新村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白云路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上塘路605弄—登云路口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和美弄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湖墅北路延伸段—小河路口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景鸿路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丽水路口—金华路口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冠军路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大浒街口—上塘路605号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莫干山路口—大关路口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塘河路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莫干山路口—教工路口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三宝西路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莫干山路口—教工路口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莫干山路口—学院路口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娑婆桥弄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和睦路口—湖墅北路口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长征桥路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古运路口-小河佳苑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贾家弄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湖墅北路口—和睦路口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赵伍路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大关路口--勤丰桥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打铁弄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莫干山路口-赵伍路口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小河直街</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湖墅北路口-登云路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上塘路605弄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上塘路口—冠军路白云路口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4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塘河南村</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东临莫干山路，西至教工路，南至余杭塘路，北至塘河路各幢间道路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嘉墅街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湖墅北路--和睦路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彩云路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大浒路--白云路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美景巷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教工路--景苑路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原和睦路</w:t>
            </w:r>
          </w:p>
        </w:tc>
      </w:tr>
      <w:tr>
        <w:tblPrEx>
          <w:tblCellMar>
            <w:top w:w="0" w:type="dxa"/>
            <w:left w:w="0" w:type="dxa"/>
            <w:bottom w:w="0" w:type="dxa"/>
            <w:right w:w="0" w:type="dxa"/>
          </w:tblCellMar>
        </w:tblPrEx>
        <w:trPr>
          <w:trHeight w:val="46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20381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nil"/>
              <w:bottom w:val="nil"/>
              <w:right w:val="nil"/>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0" w:type="auto"/>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拱墅区和睦街道非法涂写招贴广告清除范围</w:t>
            </w:r>
          </w:p>
        </w:tc>
      </w:tr>
      <w:tr>
        <w:tblPrEx>
          <w:tblCellMar>
            <w:top w:w="0" w:type="dxa"/>
            <w:left w:w="0" w:type="dxa"/>
            <w:bottom w:w="0" w:type="dxa"/>
            <w:right w:w="0" w:type="dxa"/>
          </w:tblCellMar>
        </w:tblPrEx>
        <w:trPr>
          <w:trHeight w:val="46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四至范围</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赵伍路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东至马路，南至赵家浜河，北至登云路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莫干山路752弄</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东至何家村，南至莫干山路小学围墙，西至莫干山路，北至化纤新村围墙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72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 南至莫干山路592号雅客酒店，北至汽车北站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1080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人行道至墙边</w:t>
            </w:r>
          </w:p>
        </w:tc>
      </w:tr>
      <w:tr>
        <w:tblPrEx>
          <w:tblCellMar>
            <w:top w:w="0" w:type="dxa"/>
            <w:left w:w="0" w:type="dxa"/>
            <w:bottom w:w="0" w:type="dxa"/>
            <w:right w:w="0" w:type="dxa"/>
          </w:tblCellMar>
        </w:tblPrEx>
        <w:trPr>
          <w:trHeight w:val="6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湖州街南</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东至杭州联合银行祥符支行，西至莫干山路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人行道至墙边</w:t>
            </w:r>
          </w:p>
        </w:tc>
      </w:tr>
      <w:tr>
        <w:tblPrEx>
          <w:tblCellMar>
            <w:top w:w="0" w:type="dxa"/>
            <w:left w:w="0" w:type="dxa"/>
            <w:bottom w:w="0" w:type="dxa"/>
            <w:right w:w="0" w:type="dxa"/>
          </w:tblCellMar>
        </w:tblPrEx>
        <w:trPr>
          <w:trHeight w:val="67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湖州街北</w:t>
            </w:r>
          </w:p>
        </w:tc>
        <w:tc>
          <w:tcPr>
            <w:tcW w:w="4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东至何家村，西至莫干山路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人行道至墙边</w:t>
            </w:r>
          </w:p>
        </w:tc>
      </w:tr>
      <w:tr>
        <w:tblPrEx>
          <w:tblCellMar>
            <w:top w:w="0" w:type="dxa"/>
            <w:left w:w="0" w:type="dxa"/>
            <w:bottom w:w="0" w:type="dxa"/>
            <w:right w:w="0" w:type="dxa"/>
          </w:tblCellMar>
        </w:tblPrEx>
        <w:trPr>
          <w:trHeight w:val="465"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总计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22031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tbl>
      <w:tblPr>
        <w:tblStyle w:val="22"/>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2888"/>
        <w:gridCol w:w="4029"/>
        <w:gridCol w:w="123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480" w:type="dxa"/>
            <w:gridSpan w:val="5"/>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拱墅区大关街道非法涂写张贴广告清除范围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387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945"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大关路--香积寺路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970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苑中路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上塘路--香积寺路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1080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苑西路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大苑路--观苑路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大关路--大关苑路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盛苑路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大关苑路--苑东路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观苑路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上塘路--大关苑路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苑东路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塘苑路--香积寺路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上塘路--杭十一中门口</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710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香积寺路-德胜路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香积公寓南路</w:t>
            </w:r>
          </w:p>
        </w:tc>
        <w:tc>
          <w:tcPr>
            <w:tcW w:w="387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德苑路--八丈井农贸市场门前路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西家村196弄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大关路--上塘路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西家村212弄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大关路--上塘路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德新路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德苑路--德胜新村19幢</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八丈井农贸市场门前路</w:t>
            </w:r>
          </w:p>
        </w:tc>
        <w:tc>
          <w:tcPr>
            <w:tcW w:w="3870" w:type="dxa"/>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胜利河闸路--香积寺路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香苑路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胜利河闸路--香积公寓南路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南四苑14-20号支路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14--20号周边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大关南一苑49-50号弄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49--50号周边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大关南一苑51-52号弄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51--52号周边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大关南一苑52-53号弄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52--53号周边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八丈井东路31号弄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八丈井东路31号弄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八丈井东路56号弄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八丈井东路56号弄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大关南一苑54-58号弄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54--58号边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大关南一苑58号弄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大关南一苑58号弄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八丈井东路56弄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八丈井东路56弄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商务酒楼后门</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上塘路--商务酒楼后门</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南二苑8-16号支路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8--16号周边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南二苑16-24号支路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16--24号周边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南二苑24-31号支路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24--31号周边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南二苑31-38号支路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31--38号周边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南二苑38-46号支路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38--46号周边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八丈井东路25号弄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八丈井东路25号弄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八丈井东路65号</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八丈井东路65号</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南四苑30-36号支路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30--36号周边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南四苑36-42号支路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36--42号周边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八丈井东路55弄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八丈井东路55弄</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南四苑62-72号支路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62--72号周边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南四苑72-79号支路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72--79号周边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南四苑79-87号支路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79--87号周边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南四苑87-96号支路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87--96号周边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南四苑90-100号支路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90--100号周边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南四苑48幢门前路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南四苑48幢门前路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社区2号路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八丈井东路--香积寺路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德胜公园</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公园围墙</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西家村河两边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上塘路--大关路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南苑公园</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公园围墙</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大关公园</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公园围墙</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南四苑68-90号支路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68--90号周边</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石灰坝路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上塘路--工大后面</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计生站门前路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上塘路--计生站</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南二苑8号东边支路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南二苑8号东边支路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53</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南二苑东西幢间支路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南二苑东西幢间支路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南八苑</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南八苑1--10幢</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987</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南九苑</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南九苑1--8幢</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682</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东十苑</w:t>
            </w:r>
          </w:p>
        </w:tc>
        <w:tc>
          <w:tcPr>
            <w:tcW w:w="0" w:type="auto"/>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57</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胜利河闸路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德苑路--上塘路</w:t>
            </w: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22179</w:t>
            </w:r>
          </w:p>
        </w:tc>
        <w:tc>
          <w:tcPr>
            <w:tcW w:w="0" w:type="auto"/>
            <w:noWrap/>
            <w:tcMar>
              <w:top w:w="15" w:type="dxa"/>
              <w:left w:w="15" w:type="dxa"/>
              <w:right w:w="15" w:type="dxa"/>
            </w:tcMar>
            <w:vAlign w:val="center"/>
          </w:tcPr>
          <w:p>
            <w:pP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tbl>
      <w:tblPr>
        <w:tblStyle w:val="22"/>
        <w:tblW w:w="9570" w:type="dxa"/>
        <w:jc w:val="center"/>
        <w:tblLayout w:type="autofit"/>
        <w:tblCellMar>
          <w:top w:w="0" w:type="dxa"/>
          <w:left w:w="0" w:type="dxa"/>
          <w:bottom w:w="0" w:type="dxa"/>
          <w:right w:w="0" w:type="dxa"/>
        </w:tblCellMar>
      </w:tblPr>
      <w:tblGrid>
        <w:gridCol w:w="635"/>
        <w:gridCol w:w="1904"/>
        <w:gridCol w:w="3976"/>
        <w:gridCol w:w="1524"/>
        <w:gridCol w:w="1531"/>
      </w:tblGrid>
      <w:tr>
        <w:tblPrEx>
          <w:tblCellMar>
            <w:top w:w="0" w:type="dxa"/>
            <w:left w:w="0" w:type="dxa"/>
            <w:bottom w:w="0" w:type="dxa"/>
            <w:right w:w="0" w:type="dxa"/>
          </w:tblCellMar>
        </w:tblPrEx>
        <w:trPr>
          <w:trHeight w:val="570" w:hRule="atLeast"/>
          <w:jc w:val="center"/>
        </w:trPr>
        <w:tc>
          <w:tcPr>
            <w:tcW w:w="957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拱墅区拱宸桥街道非法涂写招贴广告清除范围</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衢州街</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上塘路——丽水路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新昌路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永庆路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丽水路——蚕花路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蚕花路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上塘路——永兴弄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永宁巷</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上塘路——永兴弄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宁波街</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丽水路——金华路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湖州街——长征桥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桥西直街</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桥弄街——登云路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桥弄街</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小河路——拱宸桥西桥头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后横港路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原吉祥寺弄</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通源里</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桥西直街——小河路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登云路——湖州街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原杭印路</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台州路</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上塘路——金华路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永庆南弄</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上塘路——永庆路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蚕花园社区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（原4000）幢间道路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减1000米</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温州路社区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台州路社区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登云路社区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桥西社区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衢州路社区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（原6000）幢间道路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减5200米</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永庆路社区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幢间道路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永兴弄</w:t>
            </w:r>
          </w:p>
        </w:tc>
        <w:tc>
          <w:tcPr>
            <w:tcW w:w="3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湖州街——浙麻桥</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永安巷</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蚕花路</w:t>
            </w:r>
            <w:r>
              <w:rPr>
                <w:rStyle w:val="40"/>
                <w:rFonts w:hint="eastAsia" w:ascii="宋体" w:hAnsi="宋体" w:eastAsia="宋体" w:cs="宋体"/>
                <w:color w:val="auto"/>
                <w:highlight w:val="none"/>
                <w:lang w:bidi="ar"/>
              </w:rPr>
              <w:t>——</w:t>
            </w:r>
            <w:r>
              <w:rPr>
                <w:rStyle w:val="43"/>
                <w:rFonts w:hint="eastAsia" w:ascii="宋体" w:hAnsi="宋体" w:eastAsia="宋体" w:cs="宋体"/>
                <w:color w:val="auto"/>
                <w:highlight w:val="none"/>
                <w:lang w:bidi="ar"/>
              </w:rPr>
              <w:t>永兴弄/湖州街</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风景街</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小河路——通益路</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后横港路</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风景街——湖州街</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定海东路</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定海街——永庆路</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定海街</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定海东路——丽水路</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83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和盛街</w:t>
            </w:r>
          </w:p>
        </w:tc>
        <w:tc>
          <w:tcPr>
            <w:tcW w:w="37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小河路——通益路</w:t>
            </w:r>
          </w:p>
        </w:tc>
        <w:tc>
          <w:tcPr>
            <w:tcW w:w="181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1830" w:type="dxa"/>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和源巷</w:t>
            </w:r>
          </w:p>
        </w:tc>
        <w:tc>
          <w:tcPr>
            <w:tcW w:w="37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西塘河边——登云路</w:t>
            </w:r>
          </w:p>
        </w:tc>
        <w:tc>
          <w:tcPr>
            <w:tcW w:w="1815" w:type="dxa"/>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定海西苑路--上塘路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永庆支路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湖州街--永庆路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金华路--上塘路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青田巷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衢州街--台州路</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新增</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维美巷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永庆路--定海街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新增</w:t>
            </w:r>
          </w:p>
        </w:tc>
      </w:tr>
      <w:tr>
        <w:tblPrEx>
          <w:tblCellMar>
            <w:top w:w="0" w:type="dxa"/>
            <w:left w:w="0" w:type="dxa"/>
            <w:bottom w:w="0" w:type="dxa"/>
            <w:right w:w="0"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蚕花港巷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石祥路--上石苑东侧到底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新增</w:t>
            </w: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32506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p>
    <w:p>
      <w:pPr>
        <w:pStyle w:val="2"/>
        <w:ind w:left="0" w:leftChars="0" w:firstLine="0" w:firstLineChars="0"/>
        <w:rPr>
          <w:rFonts w:hint="eastAsia" w:ascii="宋体" w:hAnsi="宋体" w:eastAsia="宋体" w:cs="宋体"/>
          <w:b/>
          <w:color w:val="auto"/>
          <w:sz w:val="36"/>
          <w:highlight w:val="none"/>
        </w:rPr>
      </w:pPr>
    </w:p>
    <w:tbl>
      <w:tblPr>
        <w:tblStyle w:val="22"/>
        <w:tblW w:w="10290" w:type="dxa"/>
        <w:jc w:val="center"/>
        <w:tblLayout w:type="autofit"/>
        <w:tblCellMar>
          <w:top w:w="0" w:type="dxa"/>
          <w:left w:w="0" w:type="dxa"/>
          <w:bottom w:w="0" w:type="dxa"/>
          <w:right w:w="0" w:type="dxa"/>
        </w:tblCellMar>
      </w:tblPr>
      <w:tblGrid>
        <w:gridCol w:w="510"/>
        <w:gridCol w:w="1995"/>
        <w:gridCol w:w="5130"/>
        <w:gridCol w:w="1365"/>
        <w:gridCol w:w="1290"/>
      </w:tblGrid>
      <w:tr>
        <w:tblPrEx>
          <w:tblCellMar>
            <w:top w:w="0" w:type="dxa"/>
            <w:left w:w="0" w:type="dxa"/>
            <w:bottom w:w="0" w:type="dxa"/>
            <w:right w:w="0" w:type="dxa"/>
          </w:tblCellMar>
        </w:tblPrEx>
        <w:trPr>
          <w:trHeight w:val="555" w:hRule="atLeast"/>
          <w:jc w:val="center"/>
        </w:trPr>
        <w:tc>
          <w:tcPr>
            <w:tcW w:w="1029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拱墅区上塘街道非法涂写招贴广告清除范围</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街巷名称</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街巷起止点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街巷长度(m)</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霞湾东路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(上塘路—吴家石桥)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八丈井西路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(上塘路-胜利河美食街)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（八丈井33号-八丈井新村）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（八丈井82号-香积寺路337号）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八丈井社区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上塘路口--德胜巷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假山支路5号—商校宿舍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假山支路46号—假山新村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假山支路92号—假山新村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2--60号、62--82号、84--120号（双号）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石灰坝路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石灰坝1号—上塘路口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假山路社区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大浒东苑二期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上绍路—红建河</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上绍路—绍兴路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双绍弄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绍兴路—上绍路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上绍路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上塘路—大关路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沈塘湾小区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沈半路21弄（沈半路-沈塘湾2号公厕）</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沈塘湾47号—沈塘湾57号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沈塘湾28号—沈塘湾69号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沈塘湾70号—沈塘湾77号-1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石亭路一带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建华新村19—砖桥头1号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（背街小巷）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香积寺路336号—石亭路18号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红建河社区</w:t>
            </w:r>
          </w:p>
        </w:tc>
      </w:tr>
      <w:tr>
        <w:tblPrEx>
          <w:tblCellMar>
            <w:top w:w="0" w:type="dxa"/>
            <w:left w:w="0" w:type="dxa"/>
            <w:bottom w:w="0" w:type="dxa"/>
            <w:right w:w="0" w:type="dxa"/>
          </w:tblCellMar>
        </w:tblPrEx>
        <w:trPr>
          <w:trHeight w:val="4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陆家坞小区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四至范围：</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拱宸社区</w:t>
            </w:r>
          </w:p>
        </w:tc>
      </w:tr>
      <w:tr>
        <w:tblPrEx>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   东：小区围墙；南：拆迁工地</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西：拆迁工地；北：电力学校围墙</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树人街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树人街1号—27号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台州路211号—194号内</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教委宿舍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教委宿舍203号—208号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树人街西路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东教路—上塘路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舟山东路北小区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七古社区141号-146号,155号-158号-舟山东路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七古社区160号—175号区块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七古社区176号—203号区块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七古登社区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蔡马东路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沈半路—安福桥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蔡马社区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96亩头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舟山东路—教堂</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蔡马社区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城院大门—九十六亩头12号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蔡马社区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96亩头26号—天祥浴室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蔡马社区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皋亭坝1号—91号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科园路延伸段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科园路底—储鑫路38号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新苑菜场路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科园路16—皋亭新苑151号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石祥路196-皋亭新苑8号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北站路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沈半路—北站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中心小学路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石祥路170—神龙桥50号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隽逸支路1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隽逸路—石祥路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神龙桥路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沈半路277-斗门桥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神龙东路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沈半路273号-神龙桥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神龙西路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沈半路271-神龙桥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神龙西一路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神龙桥50-61号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沈张西路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沈家苑5-张妙苑79号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储鑫路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石祥路220-部队</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沈半路265-储鑫路17号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储鑫储支一路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张妙苑3号到沈家苑37号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储鑫储支二路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张妙苑9号-68号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储鑫储支三路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张妙苑17号-储鑫路63号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储鑫储西路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沈家苑68号-储鑫路31号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隽逸路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石祥路—科园路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皋亭社区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瓜山佳苑路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拱康路—中凯路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瓜山新苑1号—5号(横向丈量)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瓜山新苑6号—13号(横向丈量)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瓜山新苑15号—18号(横向丈量)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瓜山新苑19号—27号(横向丈量)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瓜山新苑28号—31号(横向丈量)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59</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瓜山新苑32号—50号(横向丈量)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瓜山新苑53号—57号(横向丈量)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61</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瓜山新苑58号—63号(横向丈量)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瓜山新苑51号—52号(横向丈量)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瓜山新苑65号—70号(横向丈量)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64</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瓜山新苑71号—75号(横向丈量)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瓜山新苑76号—79号(横向丈量)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66</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瓜山新苑80号—83号(横向丈量)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瓜山新苑85号—88号(横向丈量)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瓜山新苑89号—92号(横向丈量)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69</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瓜山新苑93号—99号(横向丈量)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瓜山新苑100号—106号(横向丈量)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71</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瓜山新苑107号—110号(横向丈量)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瓜山新苑111号—117号(横向丈量)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瓜山新苑118号—123号(横向丈量)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74</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瓜山新苑125号—130号(横向丈量)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瓜山新苑131号—132号(横向丈量)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76</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瓜山新苑133号—139号(横向丈量)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瓜山新苑150号—156号(横向丈量)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瓜山新苑157号—162号(横向丈量)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79</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瓜山新苑163号—165号(横向丈量)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瓜山新苑166号—171号(横向丈量)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81</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瓜山新苑172号—178号(横向丈量)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瓜山新苑179号—185号(横向丈量)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瓜山新苑186号—187号(横向丈量)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84</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瓜山新苑188号—193号(横向丈量)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瓜山新苑195号—200号(横向丈量)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86</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瓜山新苑201号—207号(横向丈量)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87</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瓜山新苑208号—213号(横向丈量)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小高幢1号—3号(横向丈量)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89</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瓜山新苑1号—186号(纵向丈量)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瓜山新苑5号—132号(纵向丈量)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0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瓜山新苑13号—193号(纵向丈量)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瓜山新苑70号—200号(纵向丈量)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瓜山新苑83号—213号(纵向丈量)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94</w:t>
            </w:r>
          </w:p>
        </w:tc>
        <w:tc>
          <w:tcPr>
            <w:tcW w:w="19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瓜山北苑62—70号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瓜山北苑71—83号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瓜山北苑85—101号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瓜山北苑102—119号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瓜山北苑120—128号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瓜山北苑129—135号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瓜山北苑136—139号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101</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瓜山北苑150—151号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瓜山北苑152—156号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103</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瓜山北苑157—162号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瓜山北苑163—176号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瓜山北苑177—191号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106</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瓜山北苑192—213号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瓜山北苑215—250号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108</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瓜山北苑251—281号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109</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北苑高层1—5幢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110</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纵向1—53号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111</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纵向4—61号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112</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纵向62—150号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113</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纵向70—151号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114</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纵向152—251号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纵向156—266号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116</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纵向172—267号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纵向176—281号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118</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瓜山北苑后至管家漾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119</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拱康路至瓜山老年茶室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9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瓜山东苑    </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瓜山东苑9弄（78-86）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121</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瓜山东苑10弄（76-77）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122</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瓜山东苑11弄（98-103）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123</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瓜山东苑12弄（118-123）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124</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瓜山东苑13弄（133-137）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瓜山东苑14弄（152-156）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126</w:t>
            </w:r>
          </w:p>
        </w:tc>
        <w:tc>
          <w:tcPr>
            <w:tcW w:w="19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瓜山东苑    </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瓜山东苑15弄（168-171）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瓜山东苑16弄（186-191）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128</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瓜山东苑17弄（206-211）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129</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瓜山东苑18弄（228-233）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瓜山东苑19弄（260-268）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131</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瓜山东苑20弄（282-292）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132</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瓜山东苑21弄（便民中心、1幢-6幢）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133</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瓜山东苑22弄（便民中心、1幢-6幢北）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134</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瓜山东苑23弄（厕所、293-301）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瓜山东苑24弄（269-281）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136</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瓜山东苑25弄（235-259）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瓜山东苑26弄（212-227）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138</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瓜山东苑27弄（192-205）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139</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瓜山东苑28弄（172-185）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140</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瓜山东苑29弄（157-167）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141</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瓜山东苑30弄（125-132北）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142</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瓜山东苑31弄（125-132）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143</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瓜山东苑32弄（105-117）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144</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瓜山东苑33弄（87-97）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145</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瓜山东苑34弄（南北向97-6幢）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146</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瓜山东苑35弄（南北向76-5幢）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147</w:t>
            </w:r>
          </w:p>
        </w:tc>
        <w:tc>
          <w:tcPr>
            <w:tcW w:w="19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瓜山东苑36弄（南北向7-3幢）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148</w:t>
            </w:r>
          </w:p>
        </w:tc>
        <w:tc>
          <w:tcPr>
            <w:tcW w:w="19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瓜山东苑37弄（南北向1-1幢）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中凯路</w:t>
            </w:r>
          </w:p>
        </w:tc>
        <w:tc>
          <w:tcPr>
            <w:tcW w:w="4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城北钢材市场—石祥路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瓜山社区</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44281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p>
    <w:tbl>
      <w:tblPr>
        <w:tblStyle w:val="22"/>
        <w:tblW w:w="9645" w:type="dxa"/>
        <w:jc w:val="center"/>
        <w:tblLayout w:type="autofit"/>
        <w:tblCellMar>
          <w:top w:w="0" w:type="dxa"/>
          <w:left w:w="0" w:type="dxa"/>
          <w:bottom w:w="0" w:type="dxa"/>
          <w:right w:w="0" w:type="dxa"/>
        </w:tblCellMar>
      </w:tblPr>
      <w:tblGrid>
        <w:gridCol w:w="837"/>
        <w:gridCol w:w="1663"/>
        <w:gridCol w:w="3708"/>
        <w:gridCol w:w="2069"/>
        <w:gridCol w:w="1368"/>
      </w:tblGrid>
      <w:tr>
        <w:tblPrEx>
          <w:tblCellMar>
            <w:top w:w="0" w:type="dxa"/>
            <w:left w:w="0" w:type="dxa"/>
            <w:bottom w:w="0" w:type="dxa"/>
            <w:right w:w="0" w:type="dxa"/>
          </w:tblCellMar>
        </w:tblPrEx>
        <w:trPr>
          <w:trHeight w:val="450" w:hRule="atLeast"/>
          <w:jc w:val="center"/>
        </w:trPr>
        <w:tc>
          <w:tcPr>
            <w:tcW w:w="964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拱墅区祥符街道非法涂写招贴广告清除范围</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起始点</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方家塘路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莫干山路--学院路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6857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正德里街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莫干山路--学院北路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祥运路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新文村--通益路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891.6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祥兴路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新文村--祥富路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上祥街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红旗路--余杭区界</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400.9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月亮路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莫干山路--热电路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祥庆路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杭行路--北软路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祥泰路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祥茂路--北软路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1090.7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登云路线--石祥路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吉如路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通益路--拆建地</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富强西路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富强东路--益东路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祥符路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莫干山路--西湖三墩界</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祥富路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星桥路--杭行路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祥新路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祥富路--公交车站</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隐秀路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莫干山路--登云路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俞家圩路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庆隆路--余杭塘路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1071.4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小学路延伸</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莫干山路--何家村拆迁地块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17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华立路</w:t>
            </w:r>
          </w:p>
        </w:tc>
        <w:tc>
          <w:tcPr>
            <w:tcW w:w="42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莫干山路--祥和缘酒店</w:t>
            </w:r>
          </w:p>
        </w:tc>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17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星桥路</w:t>
            </w:r>
          </w:p>
        </w:tc>
        <w:tc>
          <w:tcPr>
            <w:tcW w:w="4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祥富路--莫干山路</w:t>
            </w:r>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1000</w:t>
            </w:r>
          </w:p>
        </w:tc>
        <w:tc>
          <w:tcPr>
            <w:tcW w:w="0" w:type="auto"/>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1755"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青年路</w:t>
            </w:r>
          </w:p>
        </w:tc>
        <w:tc>
          <w:tcPr>
            <w:tcW w:w="4245"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莫干山路--三墩路</w:t>
            </w:r>
          </w:p>
        </w:tc>
        <w:tc>
          <w:tcPr>
            <w:tcW w:w="165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新文路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西厍荡--莫干山路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大学生公寓道路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青年路--庙门前</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祥宏路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祥盛路--祥园路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祥园路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莫干山路--通益路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祥盛路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祥宏路--杭行路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祥茂路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祥富路--西厍荡</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湘望路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莫干山路--育苗路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花园岗南支路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旧货市场路--湖洲街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花园岗北支路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石祥路--育苗路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旧货市场路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杭行路--北支路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石祥路--余杭界</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庆隆路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俞家圩路--河边</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棠子桥路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庆隆河--学院北路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香郡路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杭行路--花园岗街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水涟苑路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长青路--长阳路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祥园北路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总管路--通益路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文岚街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通益路--小河路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通益路--吉如家园</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三德里</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文岚街--河边</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吉如街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小河路--通益路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水月街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丰潭路--学院北路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nil"/>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拱苑路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沁园路--水月街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富强路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丰潭路--拱苑路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祥富路东段</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杭行路--总管堂</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杨家浜路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祥园路--祥富路东段</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总管路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祥园北路--祥园路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红旗路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杭行路--祥茂路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7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北城街</w:t>
            </w:r>
          </w:p>
        </w:tc>
        <w:tc>
          <w:tcPr>
            <w:tcW w:w="42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西塘河--萍水东路</w:t>
            </w:r>
          </w:p>
        </w:tc>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w:t>
            </w:r>
          </w:p>
        </w:tc>
        <w:tc>
          <w:tcPr>
            <w:tcW w:w="17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热电路</w:t>
            </w:r>
          </w:p>
        </w:tc>
        <w:tc>
          <w:tcPr>
            <w:tcW w:w="42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隐秀路--正徳里街</w:t>
            </w:r>
          </w:p>
        </w:tc>
        <w:tc>
          <w:tcPr>
            <w:tcW w:w="16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490</w:t>
            </w:r>
          </w:p>
        </w:tc>
        <w:tc>
          <w:tcPr>
            <w:tcW w:w="0" w:type="auto"/>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755"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红旗路东段</w:t>
            </w:r>
          </w:p>
        </w:tc>
        <w:tc>
          <w:tcPr>
            <w:tcW w:w="4245"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杭印路--通益路</w:t>
            </w:r>
          </w:p>
        </w:tc>
        <w:tc>
          <w:tcPr>
            <w:tcW w:w="165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广运弄</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杭行路--广茂巷</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水月街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学院北路--丰潭路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兰里街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丰潭路--塘萍路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安康路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兰里街--方家北路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人文路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申花路--水月街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学文弄</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人文路--学院北路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安康路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润园街--水月街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润园街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莫干山路--丰潭路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59</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春雀街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工发路--夏萌巷</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夏萌巷</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莫干山路--花园岗街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288.3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61</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秋霞街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学院北路--花园岗街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523.2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冬泽巷</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石祥西路--秋霞街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福茹弄</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莫干山路--和睦路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64</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短浜巷</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福茹弄--短浜北路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短浜北路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莫干山路--和睦路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66</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桥弄街</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湖州街--通益路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67</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永固路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萍水街--棠子桥路</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丽晶湾路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祥符路--河边</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69</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郡庭路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隐秀路--正德里街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w:t>
            </w:r>
          </w:p>
        </w:tc>
        <w:tc>
          <w:tcPr>
            <w:tcW w:w="175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塘萍路</w:t>
            </w:r>
          </w:p>
        </w:tc>
        <w:tc>
          <w:tcPr>
            <w:tcW w:w="4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申花路--萍水街</w:t>
            </w:r>
          </w:p>
        </w:tc>
        <w:tc>
          <w:tcPr>
            <w:tcW w:w="16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71</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益乐路</w:t>
            </w:r>
          </w:p>
        </w:tc>
        <w:tc>
          <w:tcPr>
            <w:tcW w:w="4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水月街--沁园路</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72</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合计</w:t>
            </w:r>
          </w:p>
        </w:tc>
        <w:tc>
          <w:tcPr>
            <w:tcW w:w="4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83332.1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tbl>
      <w:tblPr>
        <w:tblStyle w:val="22"/>
        <w:tblW w:w="9585" w:type="dxa"/>
        <w:jc w:val="center"/>
        <w:tblLayout w:type="autofit"/>
        <w:tblCellMar>
          <w:top w:w="0" w:type="dxa"/>
          <w:left w:w="0" w:type="dxa"/>
          <w:bottom w:w="0" w:type="dxa"/>
          <w:right w:w="0" w:type="dxa"/>
        </w:tblCellMar>
      </w:tblPr>
      <w:tblGrid>
        <w:gridCol w:w="767"/>
        <w:gridCol w:w="2764"/>
        <w:gridCol w:w="3655"/>
        <w:gridCol w:w="1629"/>
        <w:gridCol w:w="770"/>
      </w:tblGrid>
      <w:tr>
        <w:tblPrEx>
          <w:tblCellMar>
            <w:top w:w="0" w:type="dxa"/>
            <w:left w:w="0" w:type="dxa"/>
            <w:bottom w:w="0" w:type="dxa"/>
            <w:right w:w="0" w:type="dxa"/>
          </w:tblCellMar>
        </w:tblPrEx>
        <w:trPr>
          <w:trHeight w:val="444" w:hRule="atLeast"/>
          <w:jc w:val="center"/>
        </w:trPr>
        <w:tc>
          <w:tcPr>
            <w:tcW w:w="958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拱墅区大关路以南部分道路（含运河游步道）非法涂写招贴广告清除范围</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环城北路－-大关路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湖墅路南片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环城北路－-大关桥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石灰坝--大关路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潮王路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莫干山路--潮王大酒店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文晖路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莫干山路--运河桥中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德胜路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湖墅南路-上塘河桥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环城北路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密渡桥路-莫干山路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文一路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莫干山路-湖墅南路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密渡桥路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环城北路-湖墅南路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密渡桥路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湖墅南路-莫干山路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教工路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登云路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余杭塘河-上塘路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湖墅北路-和睦路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景苑路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莫干山路-城管局</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香积寺路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上塘桥中-上塘路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大关路--香积寺巷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莫干山路--学院北路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学院北路--丰潭路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长乐路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大关路--仁和仓街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运河东侧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长板巷--大关桥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运河东侧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大关桥--北星桥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运河西侧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环城北路--大关桥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运河西侧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大关桥--北星桥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仁和仓街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丽水路--红建河西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41843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r>
        <w:rPr>
          <w:rFonts w:hint="eastAsia" w:ascii="宋体" w:hAnsi="宋体" w:eastAsia="宋体" w:cs="宋体"/>
          <w:b/>
          <w:color w:val="auto"/>
          <w:sz w:val="36"/>
          <w:highlight w:val="none"/>
        </w:rPr>
        <w:br w:type="page"/>
      </w:r>
    </w:p>
    <w:tbl>
      <w:tblPr>
        <w:tblStyle w:val="22"/>
        <w:tblW w:w="9555" w:type="dxa"/>
        <w:jc w:val="center"/>
        <w:tblLayout w:type="autofit"/>
        <w:tblCellMar>
          <w:top w:w="0" w:type="dxa"/>
          <w:left w:w="0" w:type="dxa"/>
          <w:bottom w:w="0" w:type="dxa"/>
          <w:right w:w="0" w:type="dxa"/>
        </w:tblCellMar>
      </w:tblPr>
      <w:tblGrid>
        <w:gridCol w:w="643"/>
        <w:gridCol w:w="2269"/>
        <w:gridCol w:w="3971"/>
        <w:gridCol w:w="1631"/>
        <w:gridCol w:w="1041"/>
      </w:tblGrid>
      <w:tr>
        <w:tblPrEx>
          <w:tblCellMar>
            <w:top w:w="0" w:type="dxa"/>
            <w:left w:w="0" w:type="dxa"/>
            <w:bottom w:w="0" w:type="dxa"/>
            <w:right w:w="0" w:type="dxa"/>
          </w:tblCellMar>
        </w:tblPrEx>
        <w:trPr>
          <w:trHeight w:val="540" w:hRule="atLeast"/>
          <w:jc w:val="center"/>
        </w:trPr>
        <w:tc>
          <w:tcPr>
            <w:tcW w:w="955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拱墅区大关路以北部分主要道路非法涂写招贴广告清除范围(西)</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大关路－和睦中转站</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1614</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和睦中转站-新文村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4086</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湖墅路北片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大关桥-小河路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1765</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温州路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丽水路口-上塘路口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682</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衢州街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丽水路口-上塘路口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宁波街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金华路口-丽水路口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266</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莫干山路--茶汤桥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3942</w:t>
            </w:r>
          </w:p>
        </w:tc>
        <w:tc>
          <w:tcPr>
            <w:tcW w:w="0" w:type="auto"/>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沈塘湾桥--上塘路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丰潭桥--申花路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申花路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2208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莫干山路--农居点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1795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育苗路--石祥路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1840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巨州路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通益路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登云路--石祥路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通益路--小河路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严家桥街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通益路--吉如村</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巨州路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石祥路--余杭界</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赵伍路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大关路--登云路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会安桥--长征桥</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丰登街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丰潭路--登云路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1194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北星桥--丰潭路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小河路--通益路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桥弄街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小河路--后横港路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小河路北段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昼锦街--湖州街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花园岗路--湖州街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学院北路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余杭塘路--留祥路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3767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永固巷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萍水街--棠子桥路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塘萍路--萍水街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塘萍路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丰登街--余杭塘路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正徳里街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莫干山路北大桥北侧--化工路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萍水东路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严家桥路--石祥路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塘萍路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申花路--萍水街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后横港巷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杭印路--连通港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三墩路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莫干山路--西湖区界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祥薄线--董家路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环镇北路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丰庆路--镇东路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长青路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丰庆路--古墩路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长青路东段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丰庆路--莫干山路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长阳路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董家路--西湖区界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环镇路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丰庆路--镇东河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益乐路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丰登街--方家北路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萍水路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莫干山路--通益路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育苗路东段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杭行路--花园岗北支路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灯彩街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丰庆路--河边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广业街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杭行路北段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申花路--石祥路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益乐路北段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丰登街--方家北路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益乐路南段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丰登街--余杭塘路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方家北路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丰潭路--东环河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花园岗街东段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通益路--小河路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严家桥路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短浜路--萍水路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短浜路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湖州街--严家桥路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祥薄线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莫干山路--西湖区界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董家路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丰庆路--西湖区界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花园岗街延伸段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育苗路--小河路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隐秀路东段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莫干山路--化工路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灯彩东街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莫干山路--丰庆路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秉祥巷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莫干山路--湖墅北路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益乐路--隐秀路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442.67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棠子桥路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沁园路--庆隆河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791.5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润园街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丰潭路--学院北路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工发路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秋霞路--学院北路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1132.6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88137.77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p>
    <w:tbl>
      <w:tblPr>
        <w:tblStyle w:val="22"/>
        <w:tblW w:w="9600" w:type="dxa"/>
        <w:jc w:val="center"/>
        <w:tblLayout w:type="autofit"/>
        <w:tblCellMar>
          <w:top w:w="0" w:type="dxa"/>
          <w:left w:w="0" w:type="dxa"/>
          <w:bottom w:w="0" w:type="dxa"/>
          <w:right w:w="0" w:type="dxa"/>
        </w:tblCellMar>
      </w:tblPr>
      <w:tblGrid>
        <w:gridCol w:w="614"/>
        <w:gridCol w:w="1889"/>
        <w:gridCol w:w="4661"/>
        <w:gridCol w:w="1404"/>
        <w:gridCol w:w="1032"/>
      </w:tblGrid>
      <w:tr>
        <w:tblPrEx>
          <w:tblCellMar>
            <w:top w:w="0" w:type="dxa"/>
            <w:left w:w="0" w:type="dxa"/>
            <w:bottom w:w="0" w:type="dxa"/>
            <w:right w:w="0" w:type="dxa"/>
          </w:tblCellMar>
        </w:tblPrEx>
        <w:trPr>
          <w:trHeight w:val="510" w:hRule="atLeast"/>
          <w:jc w:val="center"/>
        </w:trPr>
        <w:tc>
          <w:tcPr>
            <w:tcW w:w="960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拱墅区大关路以北部分主要道路非法涂写招贴广告清除范围（东）</w:t>
            </w: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茶汤桥--沈半路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1601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杭玻--半山桥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半山路--区委党校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临丁路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沈半路--临丁桥中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石祥路--半山路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舟山东路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北星桥--上塘河桥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杭玻路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沈半路--运河桥中</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杭枫路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天鹤路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笕丁路--鸡笼山</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同协路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广济路--进香桥中</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石桥路--笕丁路</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笕丁路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广济路--营门口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虎山路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青城路（碑坊）--上塘河（断头路）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华中路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广济路--建工路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建工路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广济路--华中路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青城路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广济路--虎山路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重工路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沈半路--西联桥中间</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丹青路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田园夏意苑幢东南侧--广济路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半山路--河畔路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河畔路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半山路--明园南路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上塘路北片</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大关路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上塘路--绍兴路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华中路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建工路--上塘河桥中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石塘路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杭枫路--余杭界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桃源街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沈半路--云锦路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萃锦路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丰源街--下塘河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秋悦路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桃源街--西塘河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夏莲路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桃源街--沈半路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永宁街--桃源街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拱康路--跨运河昌运桥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拱康路--永宁桥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766.5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茶汤路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石祥路--善贤路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嘉兴东路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上塘路--红建河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东教路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绍兴路--石祥路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2026.5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夏连璐2段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北秀街--桃源街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桃源街2段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金昌路--云锦路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云锦路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北秀街--沈半路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观桃路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北秀街--下塘河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绣锦街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北秀街--桃源街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丰源街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依锦路--下塘河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丁桥路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天鹤路--上塘河北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395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安潭路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运河路--顾杨路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西洋直街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康桥路--郁世门路（原前扬路）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蒋家桥路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康兴璐--拱康路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溪居路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金昌路--管家漾路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游龙港路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依水街--依山路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平安桥路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石祥路--公交南门</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西文街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沈半路--西联桥中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科院路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石祥路--湖州街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里杨路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后浜街--龙腾街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后浜街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下塘路--丽水北路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顾扬路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郁世门路--康桥路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郁世门路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下塘路--拱康路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1284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马桥路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拱康路--电厂热水河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1338.4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永宁路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金昌路--沈半路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2382.5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皇蒋路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康桥路--郁世门路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蒋扬路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顾扬路--皇蒋路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科祥街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拱康路--仲恺路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龙山路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半山东路--依山路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63645.5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p>
    <w:tbl>
      <w:tblPr>
        <w:tblStyle w:val="22"/>
        <w:tblW w:w="9901" w:type="dxa"/>
        <w:jc w:val="center"/>
        <w:tblLayout w:type="fixed"/>
        <w:tblCellMar>
          <w:top w:w="0" w:type="dxa"/>
          <w:left w:w="0" w:type="dxa"/>
          <w:bottom w:w="0" w:type="dxa"/>
          <w:right w:w="0" w:type="dxa"/>
        </w:tblCellMar>
      </w:tblPr>
      <w:tblGrid>
        <w:gridCol w:w="473"/>
        <w:gridCol w:w="1605"/>
        <w:gridCol w:w="1815"/>
        <w:gridCol w:w="3406"/>
        <w:gridCol w:w="1522"/>
        <w:gridCol w:w="1080"/>
      </w:tblGrid>
      <w:tr>
        <w:tblPrEx>
          <w:tblCellMar>
            <w:top w:w="0" w:type="dxa"/>
            <w:left w:w="0" w:type="dxa"/>
            <w:bottom w:w="0" w:type="dxa"/>
            <w:right w:w="0" w:type="dxa"/>
          </w:tblCellMar>
        </w:tblPrEx>
        <w:trPr>
          <w:trHeight w:val="285" w:hRule="atLeast"/>
          <w:jc w:val="center"/>
        </w:trPr>
        <w:tc>
          <w:tcPr>
            <w:tcW w:w="8821"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拱墅区半山街道非法涂写招贴广告清除范围</w:t>
            </w:r>
          </w:p>
        </w:tc>
        <w:tc>
          <w:tcPr>
            <w:tcW w:w="10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44" w:hRule="atLeast"/>
          <w:jc w:val="center"/>
        </w:trPr>
        <w:tc>
          <w:tcPr>
            <w:tcW w:w="47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序</w:t>
            </w:r>
          </w:p>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号</w:t>
            </w:r>
          </w:p>
        </w:tc>
        <w:tc>
          <w:tcPr>
            <w:tcW w:w="1605"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社区名称</w:t>
            </w:r>
          </w:p>
        </w:tc>
        <w:tc>
          <w:tcPr>
            <w:tcW w:w="1815" w:type="dxa"/>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小区名称</w:t>
            </w:r>
          </w:p>
        </w:tc>
        <w:tc>
          <w:tcPr>
            <w:tcW w:w="34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幢间</w:t>
            </w:r>
          </w:p>
        </w:tc>
        <w:tc>
          <w:tcPr>
            <w:tcW w:w="152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长度（m）</w:t>
            </w:r>
          </w:p>
        </w:tc>
        <w:tc>
          <w:tcPr>
            <w:tcW w:w="108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备注</w:t>
            </w:r>
          </w:p>
        </w:tc>
      </w:tr>
      <w:tr>
        <w:tblPrEx>
          <w:tblCellMar>
            <w:top w:w="0" w:type="dxa"/>
            <w:left w:w="0" w:type="dxa"/>
            <w:bottom w:w="0" w:type="dxa"/>
            <w:right w:w="0" w:type="dxa"/>
          </w:tblCellMar>
        </w:tblPrEx>
        <w:trPr>
          <w:trHeight w:val="28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1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w:t>
            </w: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田园社区之一</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宁和弄2幢（南）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宁和弄2幢（北）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宁和弄3幢（北）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宁和弄4幢（北）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宁和弄5幢（北）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宁和弄6幢（北）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宁和弄7幢（北）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宁和弄8幢（北）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宁和弄9幢（北）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宁和弄10幢（北）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宁和弄1-9幢（西）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宁和弄2-10幢（东）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宁和弄2-10幢（西）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田园社区之二</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田园公寓11幢（北）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田园公寓13幢（北）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田园公寓15幢（北）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田园公寓11—15幢（东）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田园公寓14幢（北）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田园公寓16幢（北）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田园公寓18、22幢（北）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田园公寓20、24幢（北）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田园公寓14-20幢（东）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宁和弄11幢（北）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宁和弄11幢（东）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57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山前横路(东:山前直路 西:半山村简易房)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57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山前路(东:社区东大门 西:社区西大门)</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9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山前直路北段(南:山前路 北:山脚边)</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60"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田园社区之三</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明园1幢（北）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明园2幢（北）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9"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明园3幢（北）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明园3幢（南）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明园4幢（北）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9"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明园5幢（北）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4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明园6幢（北）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9"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明园4、5、6幢（东）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明园1、2、3幢（东）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4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明园1-6幢（西）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1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w:t>
            </w: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田园社区之四</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半山2号楼(北)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田园公寓2幢(北)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田园公寓3幢(北)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田园公寓4幢(北)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田园公寓5幢(北)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田园公寓6幢(北)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田园公寓7幢(北)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田园公寓8幢(南、北)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田园公寓9幢(南、北)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田园公寓10幢(北)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田园公寓12幢(北)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田园3、5、7幢（东）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田园公寓2-12幢(南)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山前直路南段(南：半山路 北：山前路 )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宁和弄(南：半山路  北：山前路)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w:t>
            </w: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北苑社区之一</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北苑社区之二</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康健路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北苑社区之三</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19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25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26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27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北苑社区之四</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w:t>
            </w: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北苑社区之五</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37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北苑社区之六</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49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99</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龙王弄</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北苑社区之七</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59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69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109.3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北苑社区之八</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崇光路</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崇光路</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雨花弄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升平路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465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北苑社区之九</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79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80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北苑</w:t>
            </w:r>
            <w:r>
              <w:rPr>
                <w:rStyle w:val="36"/>
                <w:rFonts w:hint="eastAsia" w:ascii="宋体" w:hAnsi="宋体" w:eastAsia="宋体" w:cs="宋体"/>
                <w:color w:val="auto"/>
                <w:highlight w:val="none"/>
                <w:lang w:bidi="ar"/>
              </w:rPr>
              <w:t>81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w:t>
            </w: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南苑社区之一</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东塘东路</w:t>
            </w:r>
            <w:r>
              <w:rPr>
                <w:rStyle w:val="36"/>
                <w:rFonts w:hint="eastAsia" w:ascii="宋体" w:hAnsi="宋体" w:eastAsia="宋体" w:cs="宋体"/>
                <w:color w:val="auto"/>
                <w:highlight w:val="none"/>
                <w:lang w:bidi="ar"/>
              </w:rPr>
              <w:t xml:space="preserve">      (1</w:t>
            </w:r>
            <w:r>
              <w:rPr>
                <w:rFonts w:hint="eastAsia" w:ascii="宋体" w:hAnsi="宋体" w:eastAsia="宋体" w:cs="宋体"/>
                <w:color w:val="auto"/>
                <w:kern w:val="0"/>
                <w:sz w:val="24"/>
                <w:highlight w:val="none"/>
                <w:lang w:bidi="ar"/>
              </w:rPr>
              <w:t>号</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2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东塘路</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w:t>
            </w: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南苑社区之二</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12-15幢西幢间路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21</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22</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23</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24</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30</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31</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32</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南苑社区之三</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三家塘中心路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37</w:t>
            </w:r>
            <w:r>
              <w:rPr>
                <w:rFonts w:hint="eastAsia" w:ascii="宋体" w:hAnsi="宋体" w:eastAsia="宋体" w:cs="宋体"/>
                <w:color w:val="auto"/>
                <w:kern w:val="0"/>
                <w:sz w:val="24"/>
                <w:highlight w:val="none"/>
                <w:lang w:bidi="ar"/>
              </w:rPr>
              <w:t>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38</w:t>
            </w:r>
            <w:r>
              <w:rPr>
                <w:rFonts w:hint="eastAsia" w:ascii="宋体" w:hAnsi="宋体" w:eastAsia="宋体" w:cs="宋体"/>
                <w:color w:val="auto"/>
                <w:kern w:val="0"/>
                <w:sz w:val="24"/>
                <w:highlight w:val="none"/>
                <w:lang w:bidi="ar"/>
              </w:rPr>
              <w:t>幢南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45-46</w:t>
            </w:r>
            <w:r>
              <w:rPr>
                <w:rFonts w:hint="eastAsia" w:ascii="宋体" w:hAnsi="宋体" w:eastAsia="宋体" w:cs="宋体"/>
                <w:color w:val="auto"/>
                <w:kern w:val="0"/>
                <w:sz w:val="24"/>
                <w:highlight w:val="none"/>
                <w:lang w:bidi="ar"/>
              </w:rPr>
              <w:t>幢中间</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39</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40</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47</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48</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53-56幢东幢间路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53</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54</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55</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49</w:t>
            </w:r>
            <w:r>
              <w:rPr>
                <w:rFonts w:hint="eastAsia" w:ascii="宋体" w:hAnsi="宋体" w:eastAsia="宋体" w:cs="宋体"/>
                <w:color w:val="auto"/>
                <w:kern w:val="0"/>
                <w:sz w:val="24"/>
                <w:highlight w:val="none"/>
                <w:lang w:bidi="ar"/>
              </w:rPr>
              <w:t>幢北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南苑社区之四</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西塘中心路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64幢北</w:t>
            </w:r>
            <w:r>
              <w:rPr>
                <w:rStyle w:val="36"/>
                <w:rFonts w:hint="eastAsia" w:ascii="宋体" w:hAnsi="宋体" w:eastAsia="宋体" w:cs="宋体"/>
                <w:color w:val="auto"/>
                <w:highlight w:val="none"/>
                <w:lang w:bidi="ar"/>
              </w:rPr>
              <w:t>—63</w:t>
            </w:r>
            <w:r>
              <w:rPr>
                <w:rFonts w:hint="eastAsia" w:ascii="宋体" w:hAnsi="宋体" w:eastAsia="宋体" w:cs="宋体"/>
                <w:color w:val="auto"/>
                <w:kern w:val="0"/>
                <w:sz w:val="24"/>
                <w:highlight w:val="none"/>
                <w:lang w:bidi="ar"/>
              </w:rPr>
              <w:t>幢南西塘中路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57、</w:t>
            </w:r>
            <w:r>
              <w:rPr>
                <w:rStyle w:val="36"/>
                <w:rFonts w:hint="eastAsia" w:ascii="宋体" w:hAnsi="宋体" w:eastAsia="宋体" w:cs="宋体"/>
                <w:color w:val="auto"/>
                <w:highlight w:val="none"/>
                <w:lang w:bidi="ar"/>
              </w:rPr>
              <w:t>64</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68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南苑社区之五</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65幢东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西塘西路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18</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19</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17</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28</w:t>
            </w:r>
            <w:r>
              <w:rPr>
                <w:rFonts w:hint="eastAsia" w:ascii="宋体" w:hAnsi="宋体" w:eastAsia="宋体" w:cs="宋体"/>
                <w:color w:val="auto"/>
                <w:kern w:val="0"/>
                <w:sz w:val="24"/>
                <w:highlight w:val="none"/>
                <w:lang w:bidi="ar"/>
              </w:rPr>
              <w:t>幢北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w:t>
            </w: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南苑社区之五</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34</w:t>
            </w:r>
            <w:r>
              <w:rPr>
                <w:rFonts w:hint="eastAsia" w:ascii="宋体" w:hAnsi="宋体" w:eastAsia="宋体" w:cs="宋体"/>
                <w:color w:val="auto"/>
                <w:kern w:val="0"/>
                <w:sz w:val="24"/>
                <w:highlight w:val="none"/>
                <w:lang w:bidi="ar"/>
              </w:rPr>
              <w:t>幢北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35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7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42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w:t>
            </w:r>
            <w:r>
              <w:rPr>
                <w:rStyle w:val="36"/>
                <w:rFonts w:hint="eastAsia" w:ascii="宋体" w:hAnsi="宋体" w:eastAsia="宋体" w:cs="宋体"/>
                <w:color w:val="auto"/>
                <w:highlight w:val="none"/>
                <w:lang w:bidi="ar"/>
              </w:rPr>
              <w:t>51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44-52幢间路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43幢西幢间路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43幢东幢间路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南苑社区之六</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区内东西路</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585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西塘传达室</w:t>
            </w:r>
            <w:r>
              <w:rPr>
                <w:rStyle w:val="36"/>
                <w:rFonts w:hint="eastAsia" w:ascii="宋体" w:hAnsi="宋体" w:eastAsia="宋体" w:cs="宋体"/>
                <w:color w:val="auto"/>
                <w:highlight w:val="none"/>
                <w:lang w:bidi="ar"/>
              </w:rPr>
              <w:t>-20</w:t>
            </w:r>
            <w:r>
              <w:rPr>
                <w:rFonts w:hint="eastAsia" w:ascii="宋体" w:hAnsi="宋体" w:eastAsia="宋体" w:cs="宋体"/>
                <w:color w:val="auto"/>
                <w:kern w:val="0"/>
                <w:sz w:val="24"/>
                <w:highlight w:val="none"/>
                <w:lang w:bidi="ar"/>
              </w:rPr>
              <w:t>幢北</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阔板桥社区</w:t>
            </w: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阔板桥之一</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19</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26</w:t>
            </w:r>
            <w:r>
              <w:rPr>
                <w:rFonts w:hint="eastAsia" w:ascii="宋体" w:hAnsi="宋体" w:eastAsia="宋体" w:cs="宋体"/>
                <w:color w:val="auto"/>
                <w:kern w:val="0"/>
                <w:sz w:val="24"/>
                <w:highlight w:val="none"/>
                <w:lang w:bidi="ar"/>
              </w:rPr>
              <w:t>幢   (西)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19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阔板桥之二</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w:t>
            </w:r>
            <w:r>
              <w:rPr>
                <w:rStyle w:val="36"/>
                <w:rFonts w:hint="eastAsia" w:ascii="宋体" w:hAnsi="宋体" w:eastAsia="宋体" w:cs="宋体"/>
                <w:color w:val="auto"/>
                <w:highlight w:val="none"/>
                <w:lang w:bidi="ar"/>
              </w:rPr>
              <w:t>29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59"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2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137弄</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r>
              <w:rPr>
                <w:rStyle w:val="36"/>
                <w:rFonts w:hint="eastAsia" w:ascii="宋体" w:hAnsi="宋体" w:eastAsia="宋体" w:cs="宋体"/>
                <w:color w:val="auto"/>
                <w:highlight w:val="none"/>
                <w:lang w:bidi="ar"/>
              </w:rPr>
              <w:t>)</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16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西苑社区</w:t>
            </w: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中轧焦化区</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焦化</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196</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15</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w:t>
            </w:r>
            <w:r>
              <w:rPr>
                <w:rStyle w:val="36"/>
                <w:rFonts w:hint="eastAsia" w:ascii="宋体" w:hAnsi="宋体" w:eastAsia="宋体" w:cs="宋体"/>
                <w:color w:val="auto"/>
                <w:highlight w:val="none"/>
                <w:lang w:bidi="ar"/>
              </w:rPr>
              <w:t>15</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中轧营业房</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四食堂—中轧大门</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r>
              <w:rPr>
                <w:rStyle w:val="36"/>
                <w:rFonts w:hint="eastAsia" w:ascii="宋体" w:hAnsi="宋体" w:eastAsia="宋体" w:cs="宋体"/>
                <w:color w:val="auto"/>
                <w:highlight w:val="none"/>
                <w:lang w:bidi="ar"/>
              </w:rPr>
              <w:t xml:space="preserve">  </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电炉小区</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电炉文化中心—</w:t>
            </w:r>
            <w:r>
              <w:rPr>
                <w:rStyle w:val="36"/>
                <w:rFonts w:hint="eastAsia" w:ascii="宋体" w:hAnsi="宋体" w:eastAsia="宋体" w:cs="宋体"/>
                <w:color w:val="auto"/>
                <w:highlight w:val="none"/>
                <w:lang w:bidi="ar"/>
              </w:rPr>
              <w:t>20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20</w:t>
            </w:r>
            <w:r>
              <w:rPr>
                <w:rFonts w:hint="eastAsia" w:ascii="宋体" w:hAnsi="宋体" w:eastAsia="宋体" w:cs="宋体"/>
                <w:color w:val="auto"/>
                <w:kern w:val="0"/>
                <w:sz w:val="24"/>
                <w:highlight w:val="none"/>
                <w:lang w:bidi="ar"/>
              </w:rPr>
              <w:t>幢—光明小学</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（东）</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幼儿园—</w:t>
            </w:r>
            <w:r>
              <w:rPr>
                <w:rStyle w:val="36"/>
                <w:rFonts w:hint="eastAsia" w:ascii="宋体" w:hAnsi="宋体" w:eastAsia="宋体" w:cs="宋体"/>
                <w:color w:val="auto"/>
                <w:highlight w:val="none"/>
                <w:lang w:bidi="ar"/>
              </w:rPr>
              <w:t>13</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7</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8</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9</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10</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11</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3</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 xml:space="preserve">3 </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4</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 xml:space="preserve">  6</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1</w:t>
            </w:r>
            <w:r>
              <w:rPr>
                <w:rFonts w:hint="eastAsia" w:ascii="宋体" w:hAnsi="宋体" w:eastAsia="宋体" w:cs="宋体"/>
                <w:color w:val="auto"/>
                <w:kern w:val="0"/>
                <w:sz w:val="24"/>
                <w:highlight w:val="none"/>
                <w:lang w:bidi="ar"/>
              </w:rPr>
              <w:t>—</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南）</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 xml:space="preserve">1 </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电炉小车库</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（西）</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105</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电炉</w:t>
            </w:r>
            <w:r>
              <w:rPr>
                <w:rStyle w:val="36"/>
                <w:rFonts w:hint="eastAsia" w:ascii="宋体" w:hAnsi="宋体" w:eastAsia="宋体" w:cs="宋体"/>
                <w:color w:val="auto"/>
                <w:highlight w:val="none"/>
                <w:lang w:bidi="ar"/>
              </w:rPr>
              <w:t>12</w:t>
            </w:r>
            <w:r>
              <w:rPr>
                <w:rFonts w:hint="eastAsia" w:ascii="宋体" w:hAnsi="宋体" w:eastAsia="宋体" w:cs="宋体"/>
                <w:color w:val="auto"/>
                <w:kern w:val="0"/>
                <w:sz w:val="24"/>
                <w:highlight w:val="none"/>
                <w:lang w:bidi="ar"/>
              </w:rPr>
              <w:t>幢</w:t>
            </w:r>
            <w:r>
              <w:rPr>
                <w:rStyle w:val="36"/>
                <w:rFonts w:hint="eastAsia" w:ascii="宋体" w:hAnsi="宋体" w:eastAsia="宋体" w:cs="宋体"/>
                <w:color w:val="auto"/>
                <w:highlight w:val="none"/>
                <w:lang w:bidi="ar"/>
              </w:rPr>
              <w:t xml:space="preserve">     </w:t>
            </w:r>
            <w:r>
              <w:rPr>
                <w:rFonts w:hint="eastAsia" w:ascii="宋体" w:hAnsi="宋体" w:eastAsia="宋体" w:cs="宋体"/>
                <w:color w:val="auto"/>
                <w:kern w:val="0"/>
                <w:sz w:val="24"/>
                <w:highlight w:val="none"/>
                <w:lang w:bidi="ar"/>
              </w:rPr>
              <w:t>（北）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依山路1</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笕丁路-同协路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依山路2</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同协路—龙山路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依山路3  (含通福巷)</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依山路3：龙山路—广济路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center"/>
              <w:textAlignment w:val="top"/>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通福巷：建工路-上塘河（研究院附属小学门口）</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明园路</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半山路——山前路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653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1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明园南路\河畔路</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半山路-河畔路\半山路-明园南路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65"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丹青街</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田园春晓苑南-田园夏意苑东围墙</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田园春晓苑南-田园夏意苑东围墙</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758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阔板桥路</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半山路-沈半路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182</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游龙港路</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依水街--依山路</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508</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282" w:hRule="atLeast"/>
          <w:jc w:val="center"/>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石桥路</w:t>
            </w:r>
          </w:p>
        </w:tc>
        <w:tc>
          <w:tcPr>
            <w:tcW w:w="3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半山路--半山隧道南</w:t>
            </w:r>
          </w:p>
        </w:tc>
        <w:tc>
          <w:tcPr>
            <w:tcW w:w="1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440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525" w:hRule="atLeast"/>
          <w:jc w:val="center"/>
        </w:trPr>
        <w:tc>
          <w:tcPr>
            <w:tcW w:w="7299"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总长度</w:t>
            </w:r>
          </w:p>
        </w:tc>
        <w:tc>
          <w:tcPr>
            <w:tcW w:w="1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29480.7</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pPr>
    </w:p>
    <w:tbl>
      <w:tblPr>
        <w:tblStyle w:val="22"/>
        <w:tblW w:w="9690" w:type="dxa"/>
        <w:jc w:val="center"/>
        <w:tblLayout w:type="autofit"/>
        <w:tblCellMar>
          <w:top w:w="0" w:type="dxa"/>
          <w:left w:w="0" w:type="dxa"/>
          <w:bottom w:w="0" w:type="dxa"/>
          <w:right w:w="0" w:type="dxa"/>
        </w:tblCellMar>
      </w:tblPr>
      <w:tblGrid>
        <w:gridCol w:w="510"/>
        <w:gridCol w:w="1470"/>
        <w:gridCol w:w="5910"/>
        <w:gridCol w:w="1590"/>
        <w:gridCol w:w="512"/>
      </w:tblGrid>
      <w:tr>
        <w:tblPrEx>
          <w:tblCellMar>
            <w:top w:w="0" w:type="dxa"/>
            <w:left w:w="0" w:type="dxa"/>
            <w:bottom w:w="0" w:type="dxa"/>
            <w:right w:w="0" w:type="dxa"/>
          </w:tblCellMar>
        </w:tblPrEx>
        <w:trPr>
          <w:trHeight w:val="510" w:hRule="atLeast"/>
          <w:jc w:val="center"/>
        </w:trPr>
        <w:tc>
          <w:tcPr>
            <w:tcW w:w="969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拱墅区康桥街道非法涂写招贴广告清除范围</w:t>
            </w:r>
          </w:p>
        </w:tc>
      </w:tr>
      <w:tr>
        <w:tblPrEx>
          <w:tblCellMar>
            <w:top w:w="0" w:type="dxa"/>
            <w:left w:w="0" w:type="dxa"/>
            <w:bottom w:w="0" w:type="dxa"/>
            <w:right w:w="0"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道路名称</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道路起止点</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道路长度（m）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备注</w:t>
            </w: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康桥东路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宣杭铁路--杭钢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康桥西路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拱康路--跨运河大桥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康桥中路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宣杭铁路--拱康路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康兴路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康桥路--洋湾路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洋湾路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丽水路--康兴路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康桥路--洋湾路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w:t>
            </w:r>
          </w:p>
        </w:tc>
        <w:tc>
          <w:tcPr>
            <w:tcW w:w="0" w:type="auto"/>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庙浜内主干道</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东路：庙浜1号--庙浜71号、西路：庙浜4号--庙</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浜76号、中路：知足桥--庙浜1号、支路：东至</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2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及支路</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宣杭铁路、西至电厂河、南至庙浜中路、北至庙</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浜76号</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1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w:t>
            </w:r>
          </w:p>
        </w:tc>
        <w:tc>
          <w:tcPr>
            <w:tcW w:w="0" w:type="auto"/>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计家浜主干道</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东路：计家浜33号--计家浜25号、西路：铁路涵</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洞--杭钢河、北路：宣杭铁路--庙浜66号、中路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restar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及支路</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：铁路桥洞--杭钢围墙、支路：东至杭钢围墙、</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vMerge w:val="continue"/>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西至宣杭铁路、南至杭钢河、北至计家浜北路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电厂路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电厂北大门—北康桥路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王家门西路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电厂路—拱康路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康桥直街</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康桥直街4号—北康桥路153号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王家门东路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东康桥直街—西电厂路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学前路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南康桥路（康桥***）—北冯家塘18号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14</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康桥中学路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东康桥中学—西学前路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15</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平炼路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拱康路201号—炼油厂</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16</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朱家坝路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平炼路11号—朱家坝路23号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平安桥路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拱康路195号—平安桥路10号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吴家墩东苑</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康贤路以东，康中路以南，吴家墩河以西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吴家墩南苑</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南苑19号-南苑36号-南苑53号-南苑63号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770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吴家墩北苑</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北苑1号-北苑11号-北苑35号-北苑45号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吴家墩西苑</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康贤路以西，康政路以东，康中路以南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22</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东杨村路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康桥路263号对面—东杨村52号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23</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沉安潭中路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沉安潭3号—沉安潭35号-沉安潭25号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24</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西杨路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康兴路-西杨25号-前洋桥-莫世桥12号-康兴路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2820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25</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康兴支路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康桥路289号对面—莫世桥73号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曹家斗西路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曹家斗74号—曹家斗96号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600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义簖路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康桥路275号东—义簖桥坡前南40米</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900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28</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曹家斗南路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曹家斗44号－曹家斗1号</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500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29</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曹家斗</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东至义簖路、西至曹家斗西路、南至曹家斗南路</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4条支路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北至康桥路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后洋浜路</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丽水路延伸段--杭州方安电力设备安装有限公司</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1210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及北路</w:t>
            </w: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后洋浜北路：东恒石油对面--后洋浜34号</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31</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永和小区</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东路：康桥路111号--永和南路10号、北路：康</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1780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主干道及</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桥路96号--永和北路19号、康桥横街：康桥横街</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康桥横街</w:t>
            </w:r>
          </w:p>
        </w:tc>
        <w:tc>
          <w:tcPr>
            <w:tcW w:w="0" w:type="auto"/>
            <w:tcBorders>
              <w:top w:val="nil"/>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1号--康家桥东、中路：康桥路129号--康桥横街</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28号、南路：康桥横街7号--永和南路9号</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32</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w:t>
            </w:r>
          </w:p>
        </w:tc>
        <w:tc>
          <w:tcPr>
            <w:tcW w:w="5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公交南门-康桥路</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2700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丽水路延伸段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谢村路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拱康路77号富康大厦--丽水路延伸段（谢村桥村道口）</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800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金昌路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拱康路--跨运河“昌运桥”（余杭界）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拱康路延伸段</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康桥路--洋湾路（余杭界）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平马巷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马桥路--平炼路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268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拱馨弄</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拱康路--平马巷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181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新增</w:t>
            </w:r>
          </w:p>
        </w:tc>
      </w:tr>
      <w:tr>
        <w:tblPrEx>
          <w:tblCellMar>
            <w:top w:w="0" w:type="dxa"/>
            <w:left w:w="0" w:type="dxa"/>
            <w:bottom w:w="0" w:type="dxa"/>
            <w:right w:w="0" w:type="dxa"/>
          </w:tblCellMar>
        </w:tblPrEx>
        <w:trPr>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24"/>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bidi="ar"/>
              </w:rPr>
              <w:t>47724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auto"/>
                <w:sz w:val="24"/>
                <w:highlight w:val="none"/>
              </w:rPr>
            </w:pPr>
          </w:p>
        </w:tc>
      </w:tr>
    </w:tbl>
    <w:p>
      <w:pPr>
        <w:pStyle w:val="2"/>
        <w:ind w:left="0" w:leftChars="0" w:firstLine="0" w:firstLineChars="0"/>
        <w:rPr>
          <w:rFonts w:hint="eastAsia" w:ascii="宋体" w:hAnsi="宋体" w:eastAsia="宋体" w:cs="宋体"/>
          <w:b/>
          <w:color w:val="auto"/>
          <w:sz w:val="36"/>
          <w:highlight w:val="none"/>
        </w:rPr>
        <w:sectPr>
          <w:headerReference r:id="rId8" w:type="default"/>
          <w:footerReference r:id="rId9" w:type="default"/>
          <w:footerReference r:id="rId10" w:type="even"/>
          <w:pgSz w:w="11907" w:h="16840"/>
          <w:pgMar w:top="1418" w:right="1531" w:bottom="1418" w:left="1531" w:header="851" w:footer="851" w:gutter="0"/>
          <w:cols w:space="720" w:num="1"/>
          <w:docGrid w:type="lines" w:linePitch="312" w:charSpace="0"/>
        </w:sectPr>
      </w:pPr>
    </w:p>
    <w:p>
      <w:pPr>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第四章、采购合同的一般和特殊条款</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1．定义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 “合同”即由甲乙双方签订的合同格式中的文件，包括所有的附件、附录和组成合同部分的所有其他文件。</w:t>
      </w:r>
    </w:p>
    <w:p>
      <w:pPr>
        <w:spacing w:line="440" w:lineRule="exact"/>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合同将由杭州市拱墅区城市管理局（以下简称甲方）与经评审最终确定的中标人（以下简称乙方）结合本项目具体情况协商后签订。以下为采购单位提出涉及乙方的主要条款，投标人在投标文件中应对其进行确认或拒绝。如投标人在其投标文件中未做拒绝或提出修改要求的，采购单位将视作认同。中标人在收到中标通知书后，不得再提出实质性的修改意见。</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1.2 “合同价格”系指根据合同规定，在服务商全面正确地履行合同义务时，采购人应支付给服务商的款项。</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1.3 “服务”系指招标文件规定服务商须承担的作业道路人工保洁服务、技术协助以及其它类似的义务。</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1.4 “甲方”系指通过采购接受合同及服务的采购单位杭州市拱墅区城市管理局。</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1.5 “乙方”系指经评审最终确定的中标人。</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1.6 “现场”系指将要进行作业道路人工保洁的地点。</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1.7 “验收”系指采购人依据技术规范规定接受合同所依据的程序和条件。</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2．适用范围</w:t>
      </w:r>
    </w:p>
    <w:p>
      <w:pPr>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本合同条款适用于本次采购活动。项目实施范围详见附件——招标文件和投标文件及补充文件、承诺书等。</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3．服务期限：本次合同总的承包期限为二年。如按照考核办法三次不达标的，终止合同。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4、承包方式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乙方就本合同的作业内容的质量、管理、费用、安全等实行总承包。本合同作业不得转包和分包。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5、作业队伍</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投入本合同的作业人员自行组织，本作业合同在实施中，如发现作业管理、质量达不到要求的，甲方有权进行扣罚，有权要求其进行整改，乙方必须接受，对不接受和多次（三次）要求整改的，视作违约处理，直至终止合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6、作业承包价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本作业合同的年承包价为人民币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万元，实行固定总价包干。</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7、作业标准和质量</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乙方按照甲方提供的作业标准和质量要求进行管理和作业。</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8、设备和材料供应</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作业所用的设备和材料，由乙方自行解决。</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9、安全文明作业</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乙方应精心组织，按规定为作业人员落实“五金”，并加强对作业人员的管理和教育，做到安全文明作业，由于作业引起的安全及人身事故，全部由乙方负责，由此产生的费用全部由乙方承担。</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10、合同款的支付与结算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款采用先作业后拨付的方式，根据市、区财政经费下达通知后及时拨付给作业单位，并扣除具体考核扣分金额。中标单位结算合同经费须出具正规有效票据。合同经费中已包括人工经费、机械设备、工具、材料等生产业务费用、劳动防护费用、城市管理应急保障经费和作业人员“五金”等一切费用。</w:t>
      </w:r>
    </w:p>
    <w:p>
      <w:pPr>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11、履约保证金</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（1）乙方在签订作业合同时需向甲方提交一年中标金额5％的合同履约质量保证金；在承包期满后十天内退还（不计息）。如承包期内，乙方没按要求履行合同则保证金不予归还。</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（2）在承包期内如因乙方原因造成甲方财产损失的，甲方有权酌情在履约保证金中扣除。</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乙方如未按时交纳履约保证金，甲方有权撤销其中标资格，并根据评标委员会确定的中标候选人名单与下一顺序中标候选人商谈合同，或报请批准后另行采购。</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12、不可抗力</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13、本合同如遇不可抗拒的原因无法继续履行时，即自然终止，双方自行承担各自损失。</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14、本合同如有未尽事宜，双方可通过协商后签订补充协议。并报杭州市同级财政管理部门备案，补充协议与本合同有通同等法律效力。</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15、争议处理</w:t>
      </w:r>
    </w:p>
    <w:p>
      <w:pPr>
        <w:pStyle w:val="11"/>
        <w:spacing w:after="156"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szCs w:val="24"/>
          <w:highlight w:val="none"/>
        </w:rPr>
        <w:t>．1在本合同履行过程中发生争议，双方应当协商解决。双方不愿协商、调解解决或者协商、调解不成的，可按有关规定</w:t>
      </w:r>
      <w:r>
        <w:rPr>
          <w:rFonts w:hint="eastAsia" w:ascii="宋体" w:hAnsi="宋体" w:eastAsia="宋体" w:cs="宋体"/>
          <w:color w:val="auto"/>
          <w:sz w:val="24"/>
          <w:highlight w:val="none"/>
        </w:rPr>
        <w:t>向杭州仲裁委员会</w:t>
      </w:r>
      <w:r>
        <w:rPr>
          <w:rFonts w:hint="eastAsia" w:ascii="宋体" w:hAnsi="宋体" w:eastAsia="宋体" w:cs="宋体"/>
          <w:color w:val="auto"/>
          <w:sz w:val="24"/>
          <w:szCs w:val="24"/>
          <w:highlight w:val="none"/>
        </w:rPr>
        <w:t>提起仲裁。</w:t>
      </w:r>
    </w:p>
    <w:p>
      <w:pPr>
        <w:pStyle w:val="11"/>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szCs w:val="24"/>
          <w:highlight w:val="none"/>
        </w:rPr>
        <w:t>.2在仲裁期间，除正在进行仲裁的部分外，本合同其他部分应继续执行。</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16、其他</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16.1未经过甲方的书面同意，乙方不得转让其应履行的合同项下的义务，和将部分合同项下的义务分包给其他单位完成。</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16.2乙方不得参与可能与合同规定的与甲方的利益相冲突的任何活动。</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16.3乙方人员在甲方场地工作时，应遵守甲方相关规章、制度。</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合同任何一方给另一方的通知，都应以书面或传真的形式发送，而另一方应以书面形式确认并发送到对方明确的地址。</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16.5招标文件（编号： ）、投标文件及评标过程中形成的文字资料、询标纪要均作为本合同的组成部分，具有同等效力。</w:t>
      </w:r>
    </w:p>
    <w:p>
      <w:pPr>
        <w:pStyle w:val="11"/>
        <w:spacing w:line="500" w:lineRule="atLeas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16.6 本合同经甲乙双方法定代表人或其委托人签字盖章，由乙方向甲方缴纳一年中标金额5％为履约保证金，经报杭州市同级财政管理部门备案后生效。</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16.7本合同一式六份，甲方、乙方各执二份，浙江省成套工程有限公司一份，杭州市同级财政管理部门一份。</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16.8 适用法律：本合同应按照中华人民共和国的法律进行解释。</w:t>
      </w:r>
    </w:p>
    <w:p>
      <w:pPr>
        <w:pStyle w:val="11"/>
        <w:spacing w:line="500" w:lineRule="atLeast"/>
        <w:rPr>
          <w:rFonts w:hint="eastAsia" w:ascii="宋体" w:hAnsi="宋体" w:eastAsia="宋体" w:cs="宋体"/>
          <w:color w:val="auto"/>
          <w:sz w:val="24"/>
          <w:szCs w:val="24"/>
          <w:highlight w:val="none"/>
        </w:rPr>
      </w:pPr>
    </w:p>
    <w:tbl>
      <w:tblPr>
        <w:tblStyle w:val="22"/>
        <w:tblW w:w="9458" w:type="dxa"/>
        <w:tblInd w:w="0" w:type="dxa"/>
        <w:tblLayout w:type="autofit"/>
        <w:tblCellMar>
          <w:top w:w="0" w:type="dxa"/>
          <w:left w:w="108" w:type="dxa"/>
          <w:bottom w:w="0" w:type="dxa"/>
          <w:right w:w="108" w:type="dxa"/>
        </w:tblCellMar>
      </w:tblPr>
      <w:tblGrid>
        <w:gridCol w:w="4729"/>
        <w:gridCol w:w="4729"/>
      </w:tblGrid>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或授权委托人（签字）：</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或授权委托人（签字）：</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tblPrEx>
          <w:tblCellMar>
            <w:top w:w="0" w:type="dxa"/>
            <w:left w:w="108" w:type="dxa"/>
            <w:bottom w:w="0" w:type="dxa"/>
            <w:right w:w="108" w:type="dxa"/>
          </w:tblCellMar>
        </w:tblPrEx>
        <w:trPr>
          <w:wBefore w:w="0" w:type="dxa"/>
        </w:trPr>
        <w:tc>
          <w:tcPr>
            <w:tcW w:w="4729" w:type="dxa"/>
            <w:noWrap w:val="0"/>
            <w:vAlign w:val="top"/>
          </w:tcPr>
          <w:p>
            <w:pPr>
              <w:pStyle w:val="11"/>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729" w:type="dxa"/>
            <w:noWrap w:val="0"/>
            <w:vAlign w:val="top"/>
          </w:tcPr>
          <w:p>
            <w:pPr>
              <w:pStyle w:val="11"/>
              <w:spacing w:after="156"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bl>
    <w:p>
      <w:pPr>
        <w:spacing w:line="360" w:lineRule="auto"/>
        <w:jc w:val="left"/>
        <w:rPr>
          <w:rFonts w:hint="eastAsia" w:ascii="宋体" w:hAnsi="宋体" w:eastAsia="宋体" w:cs="宋体"/>
          <w:b/>
          <w:bCs/>
          <w:color w:val="auto"/>
          <w:sz w:val="36"/>
          <w:highlight w:val="none"/>
        </w:rPr>
        <w:sectPr>
          <w:pgSz w:w="11907" w:h="16840"/>
          <w:pgMar w:top="1418" w:right="1418" w:bottom="1418" w:left="1531" w:header="851" w:footer="851" w:gutter="0"/>
          <w:cols w:space="720" w:num="1"/>
          <w:docGrid w:type="lines" w:linePitch="312" w:charSpace="0"/>
        </w:sectPr>
      </w:pPr>
    </w:p>
    <w:p>
      <w:pPr>
        <w:spacing w:line="360" w:lineRule="auto"/>
        <w:jc w:val="cente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第五章  应提交的有关格式范例</w:t>
      </w:r>
    </w:p>
    <w:p>
      <w:pPr>
        <w:snapToGrid w:val="0"/>
        <w:spacing w:before="156" w:beforeLines="50" w:after="5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rPr>
        <w:t>附件1</w:t>
      </w:r>
      <w:r>
        <w:rPr>
          <w:rFonts w:hint="eastAsia" w:ascii="宋体" w:hAnsi="宋体" w:eastAsia="宋体" w:cs="宋体"/>
          <w:b/>
          <w:color w:val="auto"/>
          <w:sz w:val="30"/>
          <w:szCs w:val="30"/>
          <w:highlight w:val="none"/>
        </w:rPr>
        <w:t xml:space="preserve">：                                   </w:t>
      </w:r>
    </w:p>
    <w:p>
      <w:pPr>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312" w:beforeLines="100" w:line="240" w:lineRule="atLeast"/>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项目编号：（标项X）</w:t>
      </w:r>
    </w:p>
    <w:p>
      <w:pPr>
        <w:spacing w:after="100" w:afterAutospacing="1" w:line="800" w:lineRule="exact"/>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资格审查文件</w:t>
      </w: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投标单位名称：（加盖单位公章）</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投标单位地址：</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投标单位法人或法人授权代表姓名：</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投标单位联系方式：</w:t>
      </w:r>
    </w:p>
    <w:p>
      <w:pPr>
        <w:spacing w:line="360" w:lineRule="auto"/>
        <w:rPr>
          <w:rFonts w:hint="eastAsia" w:ascii="宋体" w:hAnsi="宋体" w:eastAsia="宋体" w:cs="宋体"/>
          <w:color w:val="auto"/>
          <w:sz w:val="32"/>
          <w:highlight w:val="none"/>
        </w:rPr>
      </w:pPr>
    </w:p>
    <w:p>
      <w:pPr>
        <w:pStyle w:val="11"/>
        <w:spacing w:line="360" w:lineRule="auto"/>
        <w:ind w:firstLine="640" w:firstLineChars="200"/>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 年  月  日</w:t>
      </w:r>
    </w:p>
    <w:p>
      <w:pPr>
        <w:snapToGrid w:val="0"/>
        <w:spacing w:line="300" w:lineRule="auto"/>
        <w:rPr>
          <w:rFonts w:hint="eastAsia" w:ascii="宋体" w:hAnsi="宋体" w:eastAsia="宋体" w:cs="宋体"/>
          <w:color w:val="auto"/>
          <w:kern w:val="0"/>
          <w:sz w:val="28"/>
          <w:szCs w:val="28"/>
          <w:highlight w:val="none"/>
        </w:rPr>
      </w:pPr>
      <w:r>
        <w:rPr>
          <w:rFonts w:hint="eastAsia" w:ascii="宋体" w:hAnsi="宋体" w:eastAsia="宋体" w:cs="宋体"/>
          <w:b/>
          <w:color w:val="auto"/>
          <w:sz w:val="36"/>
          <w:szCs w:val="36"/>
          <w:highlight w:val="none"/>
        </w:rPr>
        <w:br w:type="page"/>
      </w:r>
    </w:p>
    <w:p>
      <w:pPr>
        <w:pStyle w:val="4"/>
        <w:tabs>
          <w:tab w:val="left" w:pos="2985"/>
        </w:tabs>
        <w:spacing w:before="120"/>
        <w:rPr>
          <w:rFonts w:hint="eastAsia" w:ascii="宋体" w:hAnsi="宋体" w:eastAsia="宋体" w:cs="宋体"/>
          <w:color w:val="auto"/>
          <w:highlight w:val="none"/>
        </w:rPr>
      </w:pPr>
      <w:bookmarkStart w:id="11" w:name="_Toc345575549"/>
      <w:bookmarkStart w:id="12" w:name="_Toc184635147"/>
      <w:bookmarkStart w:id="13" w:name="_Toc230930642"/>
      <w:bookmarkStart w:id="14" w:name="_Toc303030576"/>
      <w:bookmarkStart w:id="15" w:name="_Toc335138374"/>
      <w:r>
        <w:rPr>
          <w:rFonts w:hint="eastAsia" w:ascii="宋体" w:hAnsi="宋体" w:eastAsia="宋体" w:cs="宋体"/>
          <w:color w:val="auto"/>
          <w:highlight w:val="none"/>
        </w:rPr>
        <w:t>一、资格审查资料</w:t>
      </w:r>
      <w:bookmarkEnd w:id="11"/>
      <w:bookmarkEnd w:id="12"/>
      <w:bookmarkEnd w:id="13"/>
      <w:bookmarkEnd w:id="14"/>
      <w:bookmarkEnd w:id="15"/>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bookmarkStart w:id="16" w:name="_Toc230930643"/>
      <w:bookmarkStart w:id="17" w:name="_Toc335138375"/>
      <w:bookmarkStart w:id="18" w:name="_Toc303030577"/>
      <w:r>
        <w:rPr>
          <w:rFonts w:hint="eastAsia" w:ascii="宋体" w:hAnsi="宋体" w:eastAsia="宋体" w:cs="宋体"/>
          <w:color w:val="auto"/>
          <w:kern w:val="0"/>
          <w:sz w:val="28"/>
          <w:szCs w:val="28"/>
          <w:highlight w:val="none"/>
        </w:rPr>
        <w:t>（一）资格审查须知</w:t>
      </w:r>
      <w:bookmarkEnd w:id="16"/>
      <w:bookmarkEnd w:id="17"/>
      <w:bookmarkEnd w:id="18"/>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1、投标人必须认真填写招标文件规定的所有表格，并对其真实性负责，采购人有权对其进行调查核实和要求澄清。</w:t>
      </w:r>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bookmarkStart w:id="19" w:name="_Toc179623472"/>
      <w:bookmarkStart w:id="20" w:name="_Toc335138376"/>
      <w:bookmarkStart w:id="21" w:name="_Toc208484561"/>
      <w:bookmarkStart w:id="22" w:name="_Toc208051215"/>
      <w:bookmarkStart w:id="23" w:name="_Toc204944488"/>
      <w:bookmarkStart w:id="24" w:name="_Toc227658251"/>
      <w:bookmarkStart w:id="25" w:name="_Toc191897610"/>
      <w:bookmarkStart w:id="26" w:name="_Toc179801514"/>
      <w:bookmarkStart w:id="27" w:name="_Toc303030578"/>
      <w:r>
        <w:rPr>
          <w:rFonts w:hint="eastAsia" w:ascii="宋体" w:hAnsi="宋体" w:eastAsia="宋体" w:cs="宋体"/>
          <w:color w:val="auto"/>
          <w:kern w:val="0"/>
          <w:sz w:val="28"/>
          <w:szCs w:val="28"/>
          <w:highlight w:val="none"/>
        </w:rPr>
        <w:t>（二）资格审查资料</w:t>
      </w:r>
      <w:bookmarkEnd w:id="19"/>
      <w:bookmarkEnd w:id="20"/>
      <w:bookmarkEnd w:id="21"/>
      <w:bookmarkEnd w:id="22"/>
      <w:bookmarkEnd w:id="23"/>
      <w:bookmarkEnd w:id="24"/>
      <w:bookmarkEnd w:id="25"/>
      <w:bookmarkEnd w:id="26"/>
      <w:bookmarkEnd w:id="27"/>
      <w:r>
        <w:rPr>
          <w:rFonts w:hint="eastAsia" w:ascii="宋体" w:hAnsi="宋体" w:eastAsia="宋体" w:cs="宋体"/>
          <w:color w:val="auto"/>
          <w:kern w:val="0"/>
          <w:sz w:val="28"/>
          <w:szCs w:val="28"/>
          <w:highlight w:val="none"/>
        </w:rPr>
        <w:t>格式</w:t>
      </w:r>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表1 强制性资格条件</w:t>
      </w:r>
    </w:p>
    <w:p>
      <w:pPr>
        <w:autoSpaceDE w:val="0"/>
        <w:autoSpaceDN w:val="0"/>
        <w:adjustRightInd w:val="0"/>
        <w:snapToGrid w:val="0"/>
        <w:spacing w:line="30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表附件</w:t>
      </w:r>
    </w:p>
    <w:p>
      <w:pPr>
        <w:snapToGrid w:val="0"/>
        <w:spacing w:line="300" w:lineRule="auto"/>
        <w:ind w:left="280" w:hanging="280" w:hangingChars="100"/>
        <w:jc w:val="center"/>
        <w:outlineLvl w:val="2"/>
        <w:rPr>
          <w:rFonts w:hint="eastAsia" w:ascii="宋体" w:hAnsi="宋体" w:eastAsia="宋体" w:cs="宋体"/>
          <w:b/>
          <w:bCs/>
          <w:color w:val="auto"/>
          <w:sz w:val="28"/>
          <w:szCs w:val="28"/>
          <w:highlight w:val="none"/>
        </w:rPr>
      </w:pPr>
      <w:bookmarkStart w:id="28" w:name="_Toc204944489"/>
      <w:bookmarkStart w:id="29" w:name="_Toc179801515"/>
      <w:bookmarkStart w:id="30" w:name="_Toc208484562"/>
      <w:bookmarkStart w:id="31" w:name="_Toc191897470"/>
      <w:bookmarkStart w:id="32" w:name="_Toc227658252"/>
      <w:bookmarkStart w:id="33" w:name="_Toc191897611"/>
      <w:bookmarkStart w:id="34" w:name="_Toc208051216"/>
      <w:r>
        <w:rPr>
          <w:rFonts w:hint="eastAsia" w:ascii="宋体" w:hAnsi="宋体" w:eastAsia="宋体" w:cs="宋体"/>
          <w:color w:val="auto"/>
          <w:sz w:val="28"/>
          <w:szCs w:val="28"/>
          <w:highlight w:val="none"/>
        </w:rPr>
        <w:br w:type="page"/>
      </w:r>
      <w:bookmarkEnd w:id="28"/>
      <w:bookmarkEnd w:id="29"/>
      <w:bookmarkEnd w:id="30"/>
      <w:bookmarkEnd w:id="31"/>
      <w:bookmarkEnd w:id="32"/>
      <w:bookmarkEnd w:id="33"/>
      <w:bookmarkEnd w:id="34"/>
      <w:r>
        <w:rPr>
          <w:rFonts w:hint="eastAsia" w:ascii="宋体" w:hAnsi="宋体" w:eastAsia="宋体" w:cs="宋体"/>
          <w:b/>
          <w:bCs/>
          <w:color w:val="auto"/>
          <w:sz w:val="28"/>
          <w:szCs w:val="28"/>
          <w:highlight w:val="none"/>
        </w:rPr>
        <w:t>表1：强制性资格条件表</w:t>
      </w:r>
    </w:p>
    <w:p>
      <w:pPr>
        <w:snapToGrid w:val="0"/>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kern w:val="0"/>
          <w:sz w:val="24"/>
          <w:highlight w:val="none"/>
        </w:rPr>
        <w:t>拱墅区清除非法涂写招贴广告作业项目</w:t>
      </w:r>
    </w:p>
    <w:p>
      <w:pPr>
        <w:snapToGrid w:val="0"/>
        <w:spacing w:line="30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项目编号：CTSC-2020-019</w:t>
      </w:r>
    </w:p>
    <w:p>
      <w:pPr>
        <w:pStyle w:val="77"/>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标项名称：</w:t>
      </w:r>
      <w:r>
        <w:rPr>
          <w:rFonts w:hint="eastAsia" w:ascii="宋体" w:hAnsi="宋体" w:eastAsia="宋体" w:cs="宋体"/>
          <w:bCs/>
          <w:color w:val="auto"/>
          <w:sz w:val="28"/>
          <w:szCs w:val="28"/>
          <w:highlight w:val="none"/>
        </w:rPr>
        <w:t xml:space="preserve"> </w:t>
      </w:r>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913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强制性资格条件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9138" w:type="dxa"/>
            <w:noWrap w:val="0"/>
            <w:vAlign w:val="center"/>
          </w:tcPr>
          <w:p>
            <w:pPr>
              <w:pStyle w:val="11"/>
              <w:snapToGrid w:val="0"/>
              <w:spacing w:line="400" w:lineRule="exact"/>
              <w:ind w:firstLine="562" w:firstLineChars="200"/>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一般要求：</w:t>
            </w:r>
          </w:p>
          <w:p>
            <w:pPr>
              <w:pStyle w:val="11"/>
              <w:snapToGrid w:val="0"/>
              <w:spacing w:line="40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符合《中华人民共和国政府采购法》第二十二条的规定；</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（3）具有履行合同所必需的设备和专业技术能力；</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（4）有依法缴纳税收和社会保障资金的良好记录；</w:t>
            </w:r>
          </w:p>
          <w:p>
            <w:pPr>
              <w:widowControl/>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（5）参加政府采购活动前三年内，在经营活动中没有重大违法记录；</w:t>
            </w:r>
          </w:p>
          <w:p>
            <w:pPr>
              <w:pStyle w:val="11"/>
              <w:snapToGrid w:val="0"/>
              <w:spacing w:line="400" w:lineRule="exact"/>
              <w:ind w:firstLine="562" w:firstLineChars="200"/>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特定资格条件：</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（1）单位负责人为同一人或者存在直接控股、管理关系的不同供应商，不得参加同一合同项下的政府采购活动；</w:t>
            </w:r>
          </w:p>
          <w:p>
            <w:pPr>
              <w:widowControl/>
              <w:adjustRightInd w:val="0"/>
              <w:snapToGrid w:val="0"/>
              <w:spacing w:line="4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（2）供应商未被列入失信被执行人名单、重大税收违法案件当事人名单、政府采购严重违法失信行为记录名单，信用信息以信用中国网站（www.creditchina.gov.cn）、中国政府采购网（www.ccgp.gov.cn）公布为准；</w:t>
            </w:r>
          </w:p>
          <w:p>
            <w:pPr>
              <w:pStyle w:val="11"/>
              <w:snapToGrid w:val="0"/>
              <w:spacing w:line="400" w:lineRule="exact"/>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0"/>
            <w:vAlign w:val="center"/>
          </w:tcPr>
          <w:p>
            <w:pPr>
              <w:snapToGrid w:val="0"/>
              <w:spacing w:line="300" w:lineRule="auto"/>
              <w:jc w:val="center"/>
              <w:rPr>
                <w:rFonts w:hint="eastAsia" w:ascii="宋体" w:hAnsi="宋体" w:eastAsia="宋体" w:cs="宋体"/>
                <w:color w:val="auto"/>
                <w:sz w:val="28"/>
                <w:szCs w:val="28"/>
                <w:highlight w:val="none"/>
              </w:rPr>
            </w:pPr>
          </w:p>
        </w:tc>
        <w:tc>
          <w:tcPr>
            <w:tcW w:w="913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证明资料附此表后（盖单位公章）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9138" w:type="dxa"/>
            <w:noWrap w:val="0"/>
            <w:vAlign w:val="center"/>
          </w:tcPr>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（1）法人或者其他组织的营业执照等能证明供应商具有独立承担民事责任的能力的证明文件；</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（2）财务状况报告（最近的财务报告）；</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（3）最近依法缴纳税收（税收缴纳凭证）和社会保障资金（社会保障资金缴纳凭证）的相关材料（依法免税或不需要缴纳社会保障资金的投标人，应提供相应文件证明其依法免税或不需要缴纳社会保障资金）；</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noWrap w:val="0"/>
            <w:vAlign w:val="center"/>
          </w:tcPr>
          <w:p>
            <w:pPr>
              <w:snapToGrid w:val="0"/>
              <w:spacing w:line="300" w:lineRule="auto"/>
              <w:jc w:val="center"/>
              <w:rPr>
                <w:rFonts w:hint="eastAsia" w:ascii="宋体" w:hAnsi="宋体" w:eastAsia="宋体" w:cs="宋体"/>
                <w:color w:val="auto"/>
                <w:sz w:val="28"/>
                <w:szCs w:val="28"/>
                <w:highlight w:val="none"/>
              </w:rPr>
            </w:pPr>
          </w:p>
        </w:tc>
        <w:tc>
          <w:tcPr>
            <w:tcW w:w="9138" w:type="dxa"/>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投标人对能达到程度的简述（投标人填写）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tcBorders>
              <w:bottom w:val="single" w:color="auto" w:sz="4" w:space="0"/>
            </w:tcBorders>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9138" w:type="dxa"/>
            <w:tcBorders>
              <w:bottom w:val="single" w:color="auto" w:sz="4" w:space="0"/>
            </w:tcBorders>
            <w:noWrap w:val="0"/>
            <w:vAlign w:val="center"/>
          </w:tcPr>
          <w:p>
            <w:pPr>
              <w:snapToGrid w:val="0"/>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w:t>
            </w:r>
          </w:p>
        </w:tc>
      </w:tr>
    </w:tbl>
    <w:p>
      <w:pPr>
        <w:snapToGrid w:val="0"/>
        <w:spacing w:line="300" w:lineRule="auto"/>
        <w:ind w:firstLine="56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注：1、证明材料复印件需齐全，不得缺页，否则证明无效。</w:t>
      </w:r>
    </w:p>
    <w:p>
      <w:pPr>
        <w:snapToGrid w:val="0"/>
        <w:spacing w:line="300" w:lineRule="auto"/>
        <w:ind w:firstLine="562" w:firstLineChars="20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2、证明材料因具备充分性，与要求相对应，否则由此产生的责任和风险投标人承担。</w:t>
      </w:r>
    </w:p>
    <w:p>
      <w:pPr>
        <w:snapToGrid w:val="0"/>
        <w:spacing w:line="300" w:lineRule="auto"/>
        <w:ind w:firstLine="560" w:firstLineChars="200"/>
        <w:rPr>
          <w:rFonts w:hint="eastAsia" w:ascii="宋体" w:hAnsi="宋体" w:eastAsia="宋体" w:cs="宋体"/>
          <w:color w:val="auto"/>
          <w:sz w:val="28"/>
          <w:szCs w:val="28"/>
          <w:highlight w:val="none"/>
        </w:rPr>
      </w:pPr>
      <w:bookmarkStart w:id="35" w:name="_Toc413337003"/>
    </w:p>
    <w:p>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投标人名称（电子签名）：</w:t>
      </w:r>
    </w:p>
    <w:p>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napToGrid w:val="0"/>
        <w:spacing w:line="300" w:lineRule="auto"/>
        <w:ind w:left="281" w:hanging="281" w:hangingChars="100"/>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相关证明资料</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（1）法人或者其他组织的营业执照等能证明供应商具有独立承担民事责任的能力的证明文件；</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（2）财务状况报告（最近的财务报告）；</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（3）最近依法缴纳税收（税收缴纳凭证）和社会保障资金（社会保障资金缴纳凭证）的相关材料（依法免税或不需要缴纳社会保障资金的投标人，应提供相应文件证明其依法免税或不需要缴纳社会保障资金）；</w:t>
      </w:r>
    </w:p>
    <w:p>
      <w:pPr>
        <w:snapToGrid w:val="0"/>
        <w:spacing w:line="30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（4）承诺函（附件一）；</w:t>
      </w:r>
    </w:p>
    <w:p>
      <w:pPr>
        <w:snapToGrid w:val="0"/>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End w:id="35"/>
    </w:p>
    <w:p>
      <w:pPr>
        <w:snapToGrid w:val="0"/>
        <w:spacing w:line="300" w:lineRule="auto"/>
        <w:ind w:left="281" w:hanging="281" w:hangingChars="100"/>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附件一：承诺函</w:t>
      </w:r>
    </w:p>
    <w:p>
      <w:pPr>
        <w:snapToGrid w:val="0"/>
        <w:spacing w:line="30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杭州市拱墅区城市管理局：</w:t>
      </w:r>
    </w:p>
    <w:p>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我方</w:t>
      </w:r>
      <w:r>
        <w:rPr>
          <w:rFonts w:hint="eastAsia" w:ascii="宋体" w:hAnsi="宋体" w:eastAsia="宋体" w:cs="宋体"/>
          <w:color w:val="auto"/>
          <w:sz w:val="28"/>
          <w:szCs w:val="28"/>
          <w:highlight w:val="none"/>
          <w:u w:val="single"/>
        </w:rPr>
        <w:t xml:space="preserve">        （供应商）             </w:t>
      </w:r>
      <w:r>
        <w:rPr>
          <w:rFonts w:hint="eastAsia" w:ascii="宋体" w:hAnsi="宋体" w:eastAsia="宋体" w:cs="宋体"/>
          <w:color w:val="auto"/>
          <w:sz w:val="28"/>
          <w:szCs w:val="28"/>
          <w:highlight w:val="none"/>
        </w:rPr>
        <w:t>具有良好的商业信誉，依法缴纳税收和社会保障资金，</w:t>
      </w:r>
      <w:r>
        <w:rPr>
          <w:rFonts w:hint="eastAsia" w:ascii="宋体" w:hAnsi="宋体" w:eastAsia="宋体" w:cs="宋体"/>
          <w:color w:val="auto"/>
          <w:kern w:val="0"/>
          <w:sz w:val="28"/>
          <w:szCs w:val="28"/>
          <w:highlight w:val="none"/>
        </w:rPr>
        <w:t>具有履行合同所必需的设备和专业技术能力，未被列入失信被执行人名单、重大税收违法案件当事人名单、政府采购严重违法失信行为记录名单，</w:t>
      </w:r>
      <w:r>
        <w:rPr>
          <w:rFonts w:hint="eastAsia" w:ascii="宋体" w:hAnsi="宋体" w:eastAsia="宋体" w:cs="宋体"/>
          <w:color w:val="auto"/>
          <w:sz w:val="28"/>
          <w:szCs w:val="28"/>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与其他供应商不存在单位负责人为同一人或者直接控股、管理关系</w:t>
      </w:r>
      <w:r>
        <w:rPr>
          <w:rFonts w:hint="eastAsia" w:ascii="宋体" w:hAnsi="宋体" w:eastAsia="宋体" w:cs="宋体"/>
          <w:color w:val="auto"/>
          <w:kern w:val="0"/>
          <w:sz w:val="28"/>
          <w:szCs w:val="28"/>
          <w:highlight w:val="none"/>
        </w:rPr>
        <w:t>。如有虚假，采购人可取消我方任何资格（投标/中标/签订合同），我方对此无任何异议。</w:t>
      </w:r>
    </w:p>
    <w:p>
      <w:pPr>
        <w:snapToGrid w:val="0"/>
        <w:spacing w:line="30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pPr>
        <w:snapToGrid w:val="0"/>
        <w:spacing w:line="300" w:lineRule="auto"/>
        <w:ind w:firstLine="560" w:firstLineChars="200"/>
        <w:rPr>
          <w:rFonts w:hint="eastAsia" w:ascii="宋体" w:hAnsi="宋体" w:eastAsia="宋体" w:cs="宋体"/>
          <w:color w:val="auto"/>
          <w:kern w:val="0"/>
          <w:sz w:val="28"/>
          <w:szCs w:val="28"/>
          <w:highlight w:val="none"/>
        </w:rPr>
      </w:pPr>
    </w:p>
    <w:p>
      <w:pPr>
        <w:snapToGrid w:val="0"/>
        <w:spacing w:line="30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投标人名称（电子签名）：</w:t>
      </w:r>
    </w:p>
    <w:p>
      <w:pPr>
        <w:snapToGrid w:val="0"/>
        <w:spacing w:line="300" w:lineRule="auto"/>
        <w:ind w:firstLine="640"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20"/>
          <w:sz w:val="28"/>
          <w:szCs w:val="28"/>
          <w:highlight w:val="none"/>
        </w:rPr>
        <w:t>日期：</w:t>
      </w:r>
      <w:r>
        <w:rPr>
          <w:rFonts w:hint="eastAsia" w:ascii="宋体" w:hAnsi="宋体" w:eastAsia="宋体" w:cs="宋体"/>
          <w:color w:val="auto"/>
          <w:sz w:val="28"/>
          <w:szCs w:val="28"/>
          <w:highlight w:val="none"/>
        </w:rPr>
        <w:t xml:space="preserve">   年  月  日</w:t>
      </w:r>
    </w:p>
    <w:p>
      <w:pPr>
        <w:ind w:right="-110"/>
        <w:jc w:val="center"/>
        <w:rPr>
          <w:rFonts w:hint="eastAsia" w:ascii="宋体" w:hAnsi="宋体" w:eastAsia="宋体" w:cs="宋体"/>
          <w:color w:val="auto"/>
          <w:spacing w:val="40"/>
          <w:sz w:val="52"/>
          <w:szCs w:val="52"/>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color w:val="auto"/>
          <w:spacing w:val="40"/>
          <w:sz w:val="52"/>
          <w:szCs w:val="52"/>
          <w:highlight w:val="none"/>
        </w:rPr>
        <w:t>项目名称</w:t>
      </w:r>
    </w:p>
    <w:p>
      <w:pPr>
        <w:spacing w:before="312" w:beforeLines="100" w:line="240" w:lineRule="atLeast"/>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项目编号：（标项X）</w:t>
      </w:r>
    </w:p>
    <w:p>
      <w:pPr>
        <w:spacing w:after="100" w:afterAutospacing="1" w:line="800" w:lineRule="exact"/>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商务报价文件</w:t>
      </w: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投标单位名称：（加盖单位公章）</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投标单位地址：</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投标单位法人或法人授权代表（签字或盖章）：</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投标单位联系方式：</w:t>
      </w:r>
    </w:p>
    <w:p>
      <w:pPr>
        <w:spacing w:line="360" w:lineRule="auto"/>
        <w:rPr>
          <w:rFonts w:hint="eastAsia" w:ascii="宋体" w:hAnsi="宋体" w:eastAsia="宋体" w:cs="宋体"/>
          <w:color w:val="auto"/>
          <w:sz w:val="32"/>
          <w:highlight w:val="none"/>
        </w:rPr>
      </w:pPr>
    </w:p>
    <w:p>
      <w:pPr>
        <w:pStyle w:val="11"/>
        <w:spacing w:line="360" w:lineRule="auto"/>
        <w:ind w:firstLine="640" w:firstLineChars="200"/>
        <w:jc w:val="center"/>
        <w:rPr>
          <w:rFonts w:hint="eastAsia" w:ascii="宋体" w:hAnsi="宋体" w:eastAsia="宋体" w:cs="宋体"/>
          <w:color w:val="auto"/>
          <w:sz w:val="32"/>
          <w:szCs w:val="24"/>
          <w:highlight w:val="none"/>
        </w:rPr>
      </w:pPr>
      <w:r>
        <w:rPr>
          <w:rFonts w:hint="eastAsia" w:ascii="宋体" w:hAnsi="宋体" w:eastAsia="宋体" w:cs="宋体"/>
          <w:color w:val="auto"/>
          <w:sz w:val="32"/>
          <w:szCs w:val="24"/>
          <w:highlight w:val="none"/>
        </w:rPr>
        <w:t xml:space="preserve"> 年  月  日</w:t>
      </w:r>
    </w:p>
    <w:p>
      <w:pPr>
        <w:pStyle w:val="11"/>
        <w:spacing w:line="360" w:lineRule="auto"/>
        <w:ind w:firstLine="723" w:firstLineChars="200"/>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商务报价部分</w:t>
      </w:r>
    </w:p>
    <w:p>
      <w:pPr>
        <w:pStyle w:val="11"/>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目  录</w:t>
      </w:r>
    </w:p>
    <w:p>
      <w:pPr>
        <w:pStyle w:val="11"/>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投标响应函…………………………………………………………………页码</w:t>
      </w:r>
    </w:p>
    <w:p>
      <w:pPr>
        <w:pStyle w:val="11"/>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投标（开标）一览表………………………………………………………页码</w:t>
      </w:r>
    </w:p>
    <w:p>
      <w:pPr>
        <w:pStyle w:val="11"/>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报价明细清单………………………………………………………………页码</w:t>
      </w:r>
    </w:p>
    <w:p>
      <w:pPr>
        <w:pStyle w:val="11"/>
        <w:numPr>
          <w:ilvl w:val="0"/>
          <w:numId w:val="6"/>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中小企业声明函、监狱企业声明函及其相关的充分的证明材料、残疾人福利性单位声明函…………………………………………………………………页码</w:t>
      </w:r>
    </w:p>
    <w:p>
      <w:pPr>
        <w:pStyle w:val="11"/>
        <w:spacing w:line="360" w:lineRule="auto"/>
        <w:ind w:left="720"/>
        <w:rPr>
          <w:rFonts w:hint="eastAsia" w:ascii="宋体" w:hAnsi="宋体" w:eastAsia="宋体" w:cs="宋体"/>
          <w:color w:val="auto"/>
          <w:sz w:val="24"/>
          <w:highlight w:val="none"/>
        </w:rPr>
      </w:pPr>
    </w:p>
    <w:p>
      <w:pPr>
        <w:pStyle w:val="11"/>
        <w:spacing w:line="360" w:lineRule="auto"/>
        <w:rPr>
          <w:rFonts w:hint="eastAsia" w:ascii="宋体" w:hAnsi="宋体" w:eastAsia="宋体" w:cs="宋体"/>
          <w:color w:val="auto"/>
          <w:sz w:val="24"/>
          <w:highlight w:val="none"/>
        </w:rPr>
      </w:pPr>
    </w:p>
    <w:p>
      <w:pPr>
        <w:ind w:firstLine="3000" w:firstLineChars="1250"/>
        <w:rPr>
          <w:rFonts w:hint="eastAsia" w:ascii="宋体" w:hAnsi="宋体" w:eastAsia="宋体" w:cs="宋体"/>
          <w:b/>
          <w:color w:val="auto"/>
          <w:sz w:val="36"/>
          <w:szCs w:val="36"/>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color w:val="auto"/>
          <w:sz w:val="36"/>
          <w:szCs w:val="36"/>
          <w:highlight w:val="none"/>
        </w:rPr>
        <w:t>一、投标响应函</w:t>
      </w:r>
    </w:p>
    <w:p>
      <w:pPr>
        <w:pStyle w:val="11"/>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杭州市拱墅区城市管理局</w:t>
      </w:r>
      <w:r>
        <w:rPr>
          <w:rFonts w:hint="eastAsia" w:ascii="宋体" w:hAnsi="宋体" w:eastAsia="宋体" w:cs="宋体"/>
          <w:color w:val="auto"/>
          <w:sz w:val="24"/>
          <w:szCs w:val="24"/>
          <w:highlight w:val="none"/>
        </w:rPr>
        <w:t>：</w:t>
      </w:r>
    </w:p>
    <w:p>
      <w:pPr>
        <w:pStyle w:val="11"/>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浙江省成套工程有限公司</w:t>
      </w:r>
      <w:r>
        <w:rPr>
          <w:rFonts w:hint="eastAsia" w:ascii="宋体" w:hAnsi="宋体" w:eastAsia="宋体" w:cs="宋体"/>
          <w:color w:val="auto"/>
          <w:sz w:val="24"/>
          <w:szCs w:val="24"/>
          <w:highlight w:val="none"/>
        </w:rPr>
        <w:t>：</w:t>
      </w:r>
    </w:p>
    <w:p>
      <w:pPr>
        <w:pStyle w:val="11"/>
        <w:adjustRightInd w:val="0"/>
        <w:snapToGrid w:val="0"/>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（投标人全称）参加你方组织的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CTSC-2020-019</w:t>
      </w:r>
      <w:r>
        <w:rPr>
          <w:rFonts w:hint="eastAsia" w:ascii="宋体" w:hAnsi="宋体" w:eastAsia="宋体" w:cs="宋体"/>
          <w:color w:val="auto"/>
          <w:sz w:val="24"/>
          <w:szCs w:val="24"/>
          <w:highlight w:val="none"/>
        </w:rPr>
        <w:t>（项目编号）招标的有关活动，并对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（标项名称）进行投标。为此我方：</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1、承诺在投标人</w:t>
      </w:r>
      <w:r>
        <w:rPr>
          <w:rFonts w:hint="eastAsia" w:ascii="宋体" w:hAnsi="宋体" w:eastAsia="宋体" w:cs="宋体"/>
          <w:color w:val="auto"/>
          <w:kern w:val="44"/>
          <w:sz w:val="24"/>
          <w:highlight w:val="none"/>
        </w:rPr>
        <w:t>须知</w:t>
      </w:r>
      <w:r>
        <w:rPr>
          <w:rFonts w:hint="eastAsia" w:ascii="宋体" w:hAnsi="宋体" w:eastAsia="宋体" w:cs="宋体"/>
          <w:color w:val="auto"/>
          <w:sz w:val="24"/>
          <w:highlight w:val="none"/>
        </w:rPr>
        <w:t>规定的投标截止日起遵守本投标文件中的承诺，且在投标有效期满之前均具有约束力。本投标文件的有效期为自投标截止时间起120天。</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2、承诺已经具备《中华人民共和国政府采购法》中规定的参加政府采购活动的投标人应当具备的条件及采购人规定的特定条件。</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3、已详细审核全部招标文件，包括招标文件补充（如果有）、参考资料及有关附件，确认无误。</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规定的全部投标文件。</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5、投标报价详见《开标一览表》。</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6、保证遵守招标文件中的其他有关规定。</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7、完全理解不一定接受最低价中标。</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9、保证忠实地执行双方所签订的合同，并承担合同规定的责任和义务。</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10、我方承诺不存在以下情况：</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a）提供虚假材料谋取中标、成交的；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b）采取不正当手段诋毁、排挤其他供应商的；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c）与采购人、其它供应商或者采购代理机构恶意串通的；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d）向采购人、采购代理机构行贿或者提供其他不正当利益的；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e）在招标采购过程中与采购人进行协商谈判的；</w:t>
      </w:r>
    </w:p>
    <w:p>
      <w:pPr>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f）拒绝有关部门监督检查或提供虚假情况的。</w:t>
      </w:r>
    </w:p>
    <w:p>
      <w:pPr>
        <w:pStyle w:val="11"/>
        <w:adjustRightInd w:val="0"/>
        <w:snapToGrid w:val="0"/>
        <w:spacing w:line="44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pStyle w:val="11"/>
        <w:adjustRightInd w:val="0"/>
        <w:snapToGrid w:val="0"/>
        <w:spacing w:line="44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kern w:val="0"/>
          <w:sz w:val="24"/>
          <w:szCs w:val="24"/>
          <w:highlight w:val="none"/>
        </w:rPr>
        <w:t xml:space="preserve">   年  月  日</w:t>
      </w:r>
    </w:p>
    <w:p>
      <w:pPr>
        <w:spacing w:line="440" w:lineRule="exact"/>
        <w:ind w:left="2"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单位地址：邮编：电话：传真：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highlight w:val="none"/>
        </w:rPr>
        <w:sectPr>
          <w:pgSz w:w="11907" w:h="16840"/>
          <w:pgMar w:top="1418" w:right="1418" w:bottom="1418" w:left="1531" w:header="851" w:footer="851" w:gutter="0"/>
          <w:cols w:space="720" w:num="1"/>
          <w:docGrid w:type="lines" w:linePitch="312" w:charSpace="0"/>
        </w:sect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二、投标（开标）一览表   </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杭州市拱墅区城市管理局：</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  按你方招标文件要求，我们，本标书签字方，谨此向你方发出要约如下：如你方接受本投标，我方承诺按照如下投标（开标）一览表的价格完成编号为</w:t>
      </w:r>
      <w:r>
        <w:rPr>
          <w:rFonts w:hint="eastAsia" w:ascii="宋体" w:hAnsi="宋体" w:eastAsia="宋体" w:cs="宋体"/>
          <w:b/>
          <w:color w:val="auto"/>
          <w:sz w:val="24"/>
          <w:highlight w:val="none"/>
        </w:rPr>
        <w:t>CTSC-2020-019</w:t>
      </w:r>
      <w:r>
        <w:rPr>
          <w:rFonts w:hint="eastAsia" w:ascii="宋体" w:hAnsi="宋体" w:eastAsia="宋体" w:cs="宋体"/>
          <w:color w:val="auto"/>
          <w:sz w:val="24"/>
          <w:highlight w:val="none"/>
        </w:rPr>
        <w:t>的招标文件[项目名称: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之标项的实施。</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标项名称：</w:t>
      </w:r>
      <w:r>
        <w:rPr>
          <w:rFonts w:hint="eastAsia" w:ascii="宋体" w:hAnsi="宋体" w:eastAsia="宋体" w:cs="宋体"/>
          <w:b/>
          <w:color w:val="auto"/>
          <w:sz w:val="24"/>
          <w:highlight w:val="none"/>
          <w:u w:val="single"/>
        </w:rPr>
        <w:t xml:space="preserve">标项                      </w:t>
      </w:r>
      <w:r>
        <w:rPr>
          <w:rFonts w:hint="eastAsia" w:ascii="宋体" w:hAnsi="宋体" w:eastAsia="宋体" w:cs="宋体"/>
          <w:b/>
          <w:color w:val="auto"/>
          <w:sz w:val="24"/>
          <w:highlight w:val="none"/>
        </w:rPr>
        <w:t xml:space="preserve">(单位均为人民币元)  </w:t>
      </w:r>
    </w:p>
    <w:tbl>
      <w:tblPr>
        <w:tblStyle w:val="22"/>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4097"/>
        <w:gridCol w:w="1445"/>
        <w:gridCol w:w="2895"/>
        <w:gridCol w:w="2601"/>
        <w:gridCol w:w="21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序号</w:t>
            </w:r>
          </w:p>
        </w:tc>
        <w:tc>
          <w:tcPr>
            <w:tcW w:w="145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项目名称</w:t>
            </w:r>
          </w:p>
        </w:tc>
        <w:tc>
          <w:tcPr>
            <w:tcW w:w="5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投标货币</w:t>
            </w:r>
          </w:p>
        </w:tc>
        <w:tc>
          <w:tcPr>
            <w:tcW w:w="1026"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投标单价（每年）</w:t>
            </w:r>
          </w:p>
        </w:tc>
        <w:tc>
          <w:tcPr>
            <w:tcW w:w="92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服务期限</w:t>
            </w:r>
          </w:p>
        </w:tc>
        <w:tc>
          <w:tcPr>
            <w:tcW w:w="773"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人员经费</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材料费用</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设备费用</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管理费用</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重大活动保障和整治经费</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6</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税率</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7</w:t>
            </w:r>
          </w:p>
        </w:tc>
        <w:tc>
          <w:tcPr>
            <w:tcW w:w="1452" w:type="pct"/>
            <w:noWrap w:val="0"/>
            <w:vAlign w:val="top"/>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利润</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31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8</w:t>
            </w:r>
          </w:p>
        </w:tc>
        <w:tc>
          <w:tcPr>
            <w:tcW w:w="1452" w:type="pct"/>
            <w:noWrap w:val="0"/>
            <w:vAlign w:val="center"/>
          </w:tcPr>
          <w:p>
            <w:pPr>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w:t>
            </w:r>
          </w:p>
        </w:tc>
        <w:tc>
          <w:tcPr>
            <w:tcW w:w="512" w:type="pct"/>
            <w:noWrap w:val="0"/>
            <w:vAlign w:val="center"/>
          </w:tcPr>
          <w:p>
            <w:pPr>
              <w:rPr>
                <w:rFonts w:hint="eastAsia" w:ascii="宋体" w:hAnsi="宋体" w:eastAsia="宋体" w:cs="宋体"/>
                <w:color w:val="auto"/>
                <w:spacing w:val="20"/>
                <w:highlight w:val="none"/>
              </w:rPr>
            </w:pPr>
          </w:p>
        </w:tc>
        <w:tc>
          <w:tcPr>
            <w:tcW w:w="1026" w:type="pct"/>
            <w:noWrap w:val="0"/>
            <w:vAlign w:val="center"/>
          </w:tcPr>
          <w:p>
            <w:pPr>
              <w:rPr>
                <w:rFonts w:hint="eastAsia" w:ascii="宋体" w:hAnsi="宋体" w:eastAsia="宋体" w:cs="宋体"/>
                <w:color w:val="auto"/>
                <w:spacing w:val="20"/>
                <w:highlight w:val="none"/>
              </w:rPr>
            </w:pPr>
          </w:p>
        </w:tc>
        <w:tc>
          <w:tcPr>
            <w:tcW w:w="922" w:type="pct"/>
            <w:noWrap w:val="0"/>
            <w:vAlign w:val="center"/>
          </w:tcPr>
          <w:p>
            <w:pPr>
              <w:rPr>
                <w:rFonts w:hint="eastAsia" w:ascii="宋体" w:hAnsi="宋体" w:eastAsia="宋体" w:cs="宋体"/>
                <w:color w:val="auto"/>
                <w:spacing w:val="20"/>
                <w:highlight w:val="none"/>
              </w:rPr>
            </w:pPr>
          </w:p>
        </w:tc>
        <w:tc>
          <w:tcPr>
            <w:tcW w:w="773" w:type="pct"/>
            <w:noWrap w:val="0"/>
            <w:vAlign w:val="center"/>
          </w:tcPr>
          <w:p>
            <w:pPr>
              <w:rPr>
                <w:rFonts w:hint="eastAsia" w:ascii="宋体" w:hAnsi="宋体" w:eastAsia="宋体" w:cs="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90" w:hRule="atLeast"/>
        </w:trPr>
        <w:tc>
          <w:tcPr>
            <w:tcW w:w="5000" w:type="pct"/>
            <w:gridSpan w:val="6"/>
            <w:noWrap w:val="0"/>
            <w:vAlign w:val="center"/>
          </w:tcPr>
          <w:p>
            <w:pPr>
              <w:rPr>
                <w:rFonts w:hint="eastAsia" w:ascii="宋体" w:hAnsi="宋体" w:eastAsia="宋体" w:cs="宋体"/>
                <w:color w:val="auto"/>
                <w:spacing w:val="20"/>
                <w:highlight w:val="none"/>
              </w:rPr>
            </w:pPr>
            <w:r>
              <w:rPr>
                <w:rFonts w:hint="eastAsia" w:ascii="宋体" w:hAnsi="宋体" w:eastAsia="宋体" w:cs="宋体"/>
                <w:b/>
                <w:color w:val="auto"/>
                <w:spacing w:val="20"/>
                <w:highlight w:val="none"/>
              </w:rPr>
              <w:t>合计投标价（每年）</w:t>
            </w:r>
            <w:r>
              <w:rPr>
                <w:rFonts w:hint="eastAsia" w:ascii="宋体" w:hAnsi="宋体" w:eastAsia="宋体" w:cs="宋体"/>
                <w:color w:val="auto"/>
                <w:spacing w:val="20"/>
                <w:highlight w:val="none"/>
              </w:rPr>
              <w:t>（人民币大写）</w:t>
            </w:r>
            <w:r>
              <w:rPr>
                <w:rFonts w:hint="eastAsia" w:ascii="宋体" w:hAnsi="宋体" w:eastAsia="宋体" w:cs="宋体"/>
                <w:b/>
                <w:color w:val="auto"/>
                <w:spacing w:val="20"/>
                <w:highlight w:val="none"/>
              </w:rPr>
              <w:t>：</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注：以上表格中各项可进一步细分，栏数不够可自加。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1、本应标文件及其所附文件涵盖了我方要约的全部内容。</w:t>
      </w:r>
    </w:p>
    <w:p>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我方要约有效期为自应标截止日起90天；</w:t>
      </w:r>
    </w:p>
    <w:p>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我方同意标期可作延长；</w:t>
      </w:r>
    </w:p>
    <w:p>
      <w:pPr>
        <w:numPr>
          <w:ilvl w:val="0"/>
          <w:numId w:val="7"/>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在标期内，我方受应标文件之价目表上我方要约金额的约束。</w:t>
      </w:r>
    </w:p>
    <w:p>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本应标文件，你方之接受函，包括条款栏，标的规格要求栏和其它有关文件在内的应标文件对我们双方均具约束力。</w:t>
      </w:r>
    </w:p>
    <w:p>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根据具体情况而拒绝任一或所有标书完全取决于你方，你方没有义务一定要接受最低报价的标书或某一特定标书，也不需为拒绝某一标书作出任何解释。</w:t>
      </w:r>
    </w:p>
    <w:p>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另外，我方承诺还将就你方所要求的进一步信息提供给你方。</w:t>
      </w:r>
    </w:p>
    <w:p>
      <w:pPr>
        <w:numPr>
          <w:ilvl w:val="0"/>
          <w:numId w:val="8"/>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如果我方中标，我方愿意提供如下优惠条件：</w:t>
      </w:r>
    </w:p>
    <w:p>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p>
    <w:p>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p>
    <w:p>
      <w:pPr>
        <w:spacing w:line="360" w:lineRule="auto"/>
        <w:ind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w:t>
      </w:r>
    </w:p>
    <w:p>
      <w:pPr>
        <w:tabs>
          <w:tab w:val="left" w:pos="4575"/>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联 系 电 话：</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传 真 号 码：</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i/>
          <w:color w:val="auto"/>
          <w:spacing w:val="20"/>
          <w:sz w:val="24"/>
          <w:highlight w:val="none"/>
        </w:rPr>
      </w:pPr>
    </w:p>
    <w:p>
      <w:pPr>
        <w:rPr>
          <w:rFonts w:hint="eastAsia" w:ascii="宋体" w:hAnsi="宋体" w:eastAsia="宋体" w:cs="宋体"/>
          <w:i/>
          <w:color w:val="auto"/>
          <w:spacing w:val="20"/>
          <w:sz w:val="24"/>
          <w:highlight w:val="none"/>
        </w:rPr>
      </w:pPr>
      <w:r>
        <w:rPr>
          <w:rFonts w:hint="eastAsia" w:ascii="宋体" w:hAnsi="宋体" w:eastAsia="宋体" w:cs="宋体"/>
          <w:i/>
          <w:color w:val="auto"/>
          <w:spacing w:val="20"/>
          <w:sz w:val="24"/>
          <w:highlight w:val="none"/>
        </w:rPr>
        <w:t>注：1、此表在不改变表式的情况下，可自行制作。</w:t>
      </w:r>
    </w:p>
    <w:p>
      <w:pPr>
        <w:ind w:firstLine="560" w:firstLineChars="200"/>
        <w:rPr>
          <w:rFonts w:hint="eastAsia" w:ascii="宋体" w:hAnsi="宋体" w:eastAsia="宋体" w:cs="宋体"/>
          <w:b/>
          <w:i/>
          <w:color w:val="auto"/>
          <w:spacing w:val="20"/>
          <w:sz w:val="24"/>
          <w:highlight w:val="none"/>
        </w:rPr>
      </w:pPr>
      <w:r>
        <w:rPr>
          <w:rFonts w:hint="eastAsia" w:ascii="宋体" w:hAnsi="宋体" w:eastAsia="宋体" w:cs="宋体"/>
          <w:b/>
          <w:i/>
          <w:color w:val="auto"/>
          <w:spacing w:val="20"/>
          <w:sz w:val="24"/>
          <w:highlight w:val="none"/>
        </w:rPr>
        <w:t>2、此表按标项填写，每个标项一张。</w:t>
      </w:r>
    </w:p>
    <w:p>
      <w:pPr>
        <w:ind w:firstLine="560" w:firstLineChars="200"/>
        <w:rPr>
          <w:rFonts w:hint="eastAsia" w:ascii="宋体" w:hAnsi="宋体" w:eastAsia="宋体" w:cs="宋体"/>
          <w:color w:val="auto"/>
          <w:spacing w:val="20"/>
          <w:sz w:val="24"/>
          <w:highlight w:val="none"/>
        </w:rPr>
        <w:sectPr>
          <w:pgSz w:w="16840" w:h="11907" w:orient="landscape"/>
          <w:pgMar w:top="1418" w:right="1418" w:bottom="1418" w:left="1531" w:header="851" w:footer="851" w:gutter="0"/>
          <w:cols w:space="720" w:num="1"/>
          <w:titlePg/>
          <w:docGrid w:type="linesAndChars" w:linePitch="312" w:charSpace="0"/>
        </w:sectPr>
      </w:pPr>
      <w:r>
        <w:rPr>
          <w:rFonts w:hint="eastAsia" w:ascii="宋体" w:hAnsi="宋体" w:eastAsia="宋体" w:cs="宋体"/>
          <w:color w:val="auto"/>
          <w:spacing w:val="20"/>
          <w:sz w:val="24"/>
          <w:highlight w:val="none"/>
        </w:rPr>
        <w:t xml:space="preserve">    </w:t>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三、报价明细清单</w:t>
      </w:r>
    </w:p>
    <w:p>
      <w:pPr>
        <w:rPr>
          <w:rFonts w:hint="eastAsia" w:ascii="宋体" w:hAnsi="宋体" w:eastAsia="宋体" w:cs="宋体"/>
          <w:color w:val="auto"/>
          <w:spacing w:val="20"/>
          <w:sz w:val="24"/>
          <w:highlight w:val="none"/>
        </w:rPr>
      </w:pPr>
    </w:p>
    <w:tbl>
      <w:tblPr>
        <w:tblStyle w:val="22"/>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1"/>
        <w:gridCol w:w="1696"/>
        <w:gridCol w:w="1074"/>
        <w:gridCol w:w="1448"/>
        <w:gridCol w:w="1081"/>
        <w:gridCol w:w="1440"/>
        <w:gridCol w:w="10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序号</w:t>
            </w:r>
          </w:p>
        </w:tc>
        <w:tc>
          <w:tcPr>
            <w:tcW w:w="948" w:type="pct"/>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名称</w:t>
            </w: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数量</w:t>
            </w: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单价</w:t>
            </w:r>
          </w:p>
        </w:tc>
        <w:tc>
          <w:tcPr>
            <w:tcW w:w="604" w:type="pct"/>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合计</w:t>
            </w:r>
          </w:p>
        </w:tc>
        <w:tc>
          <w:tcPr>
            <w:tcW w:w="805" w:type="pct"/>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价格组成要素明细</w:t>
            </w:r>
          </w:p>
        </w:tc>
        <w:tc>
          <w:tcPr>
            <w:tcW w:w="614" w:type="pct"/>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p>
        </w:tc>
        <w:tc>
          <w:tcPr>
            <w:tcW w:w="948" w:type="pct"/>
            <w:noWrap w:val="0"/>
            <w:vAlign w:val="center"/>
          </w:tcPr>
          <w:p>
            <w:pPr>
              <w:jc w:val="center"/>
              <w:rPr>
                <w:rFonts w:hint="eastAsia" w:ascii="宋体" w:hAnsi="宋体" w:eastAsia="宋体" w:cs="宋体"/>
                <w:color w:val="auto"/>
                <w:spacing w:val="20"/>
                <w:sz w:val="24"/>
                <w:highlight w:val="none"/>
              </w:rPr>
            </w:pP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604" w:type="pct"/>
            <w:noWrap w:val="0"/>
            <w:vAlign w:val="center"/>
          </w:tcPr>
          <w:p>
            <w:pPr>
              <w:jc w:val="center"/>
              <w:rPr>
                <w:rFonts w:hint="eastAsia" w:ascii="宋体" w:hAnsi="宋体" w:eastAsia="宋体" w:cs="宋体"/>
                <w:color w:val="auto"/>
                <w:spacing w:val="20"/>
                <w:sz w:val="24"/>
                <w:highlight w:val="none"/>
              </w:rPr>
            </w:pPr>
          </w:p>
        </w:tc>
        <w:tc>
          <w:tcPr>
            <w:tcW w:w="805" w:type="pct"/>
            <w:noWrap w:val="0"/>
            <w:vAlign w:val="center"/>
          </w:tcPr>
          <w:p>
            <w:pPr>
              <w:jc w:val="center"/>
              <w:rPr>
                <w:rFonts w:hint="eastAsia" w:ascii="宋体" w:hAnsi="宋体" w:eastAsia="宋体" w:cs="宋体"/>
                <w:color w:val="auto"/>
                <w:spacing w:val="20"/>
                <w:sz w:val="24"/>
                <w:highlight w:val="none"/>
              </w:rPr>
            </w:pPr>
          </w:p>
        </w:tc>
        <w:tc>
          <w:tcPr>
            <w:tcW w:w="614" w:type="pct"/>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p>
        </w:tc>
        <w:tc>
          <w:tcPr>
            <w:tcW w:w="948" w:type="pct"/>
            <w:noWrap w:val="0"/>
            <w:vAlign w:val="center"/>
          </w:tcPr>
          <w:p>
            <w:pPr>
              <w:jc w:val="center"/>
              <w:rPr>
                <w:rFonts w:hint="eastAsia" w:ascii="宋体" w:hAnsi="宋体" w:eastAsia="宋体" w:cs="宋体"/>
                <w:color w:val="auto"/>
                <w:spacing w:val="20"/>
                <w:sz w:val="24"/>
                <w:highlight w:val="none"/>
              </w:rPr>
            </w:pP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604" w:type="pct"/>
            <w:noWrap w:val="0"/>
            <w:vAlign w:val="center"/>
          </w:tcPr>
          <w:p>
            <w:pPr>
              <w:jc w:val="center"/>
              <w:rPr>
                <w:rFonts w:hint="eastAsia" w:ascii="宋体" w:hAnsi="宋体" w:eastAsia="宋体" w:cs="宋体"/>
                <w:color w:val="auto"/>
                <w:spacing w:val="20"/>
                <w:sz w:val="24"/>
                <w:highlight w:val="none"/>
              </w:rPr>
            </w:pPr>
          </w:p>
        </w:tc>
        <w:tc>
          <w:tcPr>
            <w:tcW w:w="805" w:type="pct"/>
            <w:noWrap w:val="0"/>
            <w:vAlign w:val="center"/>
          </w:tcPr>
          <w:p>
            <w:pPr>
              <w:jc w:val="center"/>
              <w:rPr>
                <w:rFonts w:hint="eastAsia" w:ascii="宋体" w:hAnsi="宋体" w:eastAsia="宋体" w:cs="宋体"/>
                <w:color w:val="auto"/>
                <w:spacing w:val="20"/>
                <w:sz w:val="24"/>
                <w:highlight w:val="none"/>
              </w:rPr>
            </w:pPr>
          </w:p>
        </w:tc>
        <w:tc>
          <w:tcPr>
            <w:tcW w:w="614" w:type="pct"/>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p>
        </w:tc>
        <w:tc>
          <w:tcPr>
            <w:tcW w:w="948" w:type="pct"/>
            <w:noWrap w:val="0"/>
            <w:vAlign w:val="center"/>
          </w:tcPr>
          <w:p>
            <w:pPr>
              <w:jc w:val="center"/>
              <w:rPr>
                <w:rFonts w:hint="eastAsia" w:ascii="宋体" w:hAnsi="宋体" w:eastAsia="宋体" w:cs="宋体"/>
                <w:color w:val="auto"/>
                <w:spacing w:val="20"/>
                <w:sz w:val="24"/>
                <w:highlight w:val="none"/>
              </w:rPr>
            </w:pP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604" w:type="pct"/>
            <w:noWrap w:val="0"/>
            <w:vAlign w:val="center"/>
          </w:tcPr>
          <w:p>
            <w:pPr>
              <w:jc w:val="center"/>
              <w:rPr>
                <w:rFonts w:hint="eastAsia" w:ascii="宋体" w:hAnsi="宋体" w:eastAsia="宋体" w:cs="宋体"/>
                <w:color w:val="auto"/>
                <w:spacing w:val="20"/>
                <w:sz w:val="24"/>
                <w:highlight w:val="none"/>
              </w:rPr>
            </w:pPr>
          </w:p>
        </w:tc>
        <w:tc>
          <w:tcPr>
            <w:tcW w:w="805" w:type="pct"/>
            <w:noWrap w:val="0"/>
            <w:vAlign w:val="center"/>
          </w:tcPr>
          <w:p>
            <w:pPr>
              <w:jc w:val="center"/>
              <w:rPr>
                <w:rFonts w:hint="eastAsia" w:ascii="宋体" w:hAnsi="宋体" w:eastAsia="宋体" w:cs="宋体"/>
                <w:color w:val="auto"/>
                <w:spacing w:val="20"/>
                <w:sz w:val="24"/>
                <w:highlight w:val="none"/>
              </w:rPr>
            </w:pPr>
          </w:p>
        </w:tc>
        <w:tc>
          <w:tcPr>
            <w:tcW w:w="614" w:type="pct"/>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p>
        </w:tc>
        <w:tc>
          <w:tcPr>
            <w:tcW w:w="948" w:type="pct"/>
            <w:noWrap w:val="0"/>
            <w:vAlign w:val="center"/>
          </w:tcPr>
          <w:p>
            <w:pPr>
              <w:jc w:val="center"/>
              <w:rPr>
                <w:rFonts w:hint="eastAsia" w:ascii="宋体" w:hAnsi="宋体" w:eastAsia="宋体" w:cs="宋体"/>
                <w:color w:val="auto"/>
                <w:spacing w:val="20"/>
                <w:sz w:val="24"/>
                <w:highlight w:val="none"/>
              </w:rPr>
            </w:pP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604" w:type="pct"/>
            <w:noWrap w:val="0"/>
            <w:vAlign w:val="center"/>
          </w:tcPr>
          <w:p>
            <w:pPr>
              <w:jc w:val="center"/>
              <w:rPr>
                <w:rFonts w:hint="eastAsia" w:ascii="宋体" w:hAnsi="宋体" w:eastAsia="宋体" w:cs="宋体"/>
                <w:color w:val="auto"/>
                <w:spacing w:val="20"/>
                <w:sz w:val="24"/>
                <w:highlight w:val="none"/>
              </w:rPr>
            </w:pPr>
          </w:p>
        </w:tc>
        <w:tc>
          <w:tcPr>
            <w:tcW w:w="805" w:type="pct"/>
            <w:noWrap w:val="0"/>
            <w:vAlign w:val="center"/>
          </w:tcPr>
          <w:p>
            <w:pPr>
              <w:jc w:val="center"/>
              <w:rPr>
                <w:rFonts w:hint="eastAsia" w:ascii="宋体" w:hAnsi="宋体" w:eastAsia="宋体" w:cs="宋体"/>
                <w:color w:val="auto"/>
                <w:spacing w:val="20"/>
                <w:sz w:val="24"/>
                <w:highlight w:val="none"/>
              </w:rPr>
            </w:pPr>
          </w:p>
        </w:tc>
        <w:tc>
          <w:tcPr>
            <w:tcW w:w="614" w:type="pct"/>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621" w:type="pct"/>
            <w:noWrap w:val="0"/>
            <w:vAlign w:val="center"/>
          </w:tcPr>
          <w:p>
            <w:pPr>
              <w:jc w:val="center"/>
              <w:rPr>
                <w:rFonts w:hint="eastAsia" w:ascii="宋体" w:hAnsi="宋体" w:eastAsia="宋体" w:cs="宋体"/>
                <w:color w:val="auto"/>
                <w:spacing w:val="20"/>
                <w:sz w:val="24"/>
                <w:highlight w:val="none"/>
              </w:rPr>
            </w:pPr>
          </w:p>
        </w:tc>
        <w:tc>
          <w:tcPr>
            <w:tcW w:w="948" w:type="pct"/>
            <w:noWrap w:val="0"/>
            <w:vAlign w:val="center"/>
          </w:tcPr>
          <w:p>
            <w:pPr>
              <w:jc w:val="center"/>
              <w:rPr>
                <w:rFonts w:hint="eastAsia" w:ascii="宋体" w:hAnsi="宋体" w:eastAsia="宋体" w:cs="宋体"/>
                <w:color w:val="auto"/>
                <w:spacing w:val="20"/>
                <w:sz w:val="24"/>
                <w:highlight w:val="none"/>
              </w:rPr>
            </w:pPr>
          </w:p>
        </w:tc>
        <w:tc>
          <w:tcPr>
            <w:tcW w:w="600" w:type="pct"/>
            <w:tcBorders>
              <w:righ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809" w:type="pct"/>
            <w:tcBorders>
              <w:left w:val="single" w:color="auto" w:sz="4" w:space="0"/>
            </w:tcBorders>
            <w:noWrap w:val="0"/>
            <w:vAlign w:val="center"/>
          </w:tcPr>
          <w:p>
            <w:pPr>
              <w:jc w:val="center"/>
              <w:rPr>
                <w:rFonts w:hint="eastAsia" w:ascii="宋体" w:hAnsi="宋体" w:eastAsia="宋体" w:cs="宋体"/>
                <w:color w:val="auto"/>
                <w:spacing w:val="20"/>
                <w:sz w:val="24"/>
                <w:highlight w:val="none"/>
              </w:rPr>
            </w:pPr>
          </w:p>
        </w:tc>
        <w:tc>
          <w:tcPr>
            <w:tcW w:w="604" w:type="pct"/>
            <w:noWrap w:val="0"/>
            <w:vAlign w:val="center"/>
          </w:tcPr>
          <w:p>
            <w:pPr>
              <w:jc w:val="center"/>
              <w:rPr>
                <w:rFonts w:hint="eastAsia" w:ascii="宋体" w:hAnsi="宋体" w:eastAsia="宋体" w:cs="宋体"/>
                <w:color w:val="auto"/>
                <w:spacing w:val="20"/>
                <w:sz w:val="24"/>
                <w:highlight w:val="none"/>
              </w:rPr>
            </w:pPr>
          </w:p>
        </w:tc>
        <w:tc>
          <w:tcPr>
            <w:tcW w:w="805" w:type="pct"/>
            <w:noWrap w:val="0"/>
            <w:vAlign w:val="center"/>
          </w:tcPr>
          <w:p>
            <w:pPr>
              <w:jc w:val="center"/>
              <w:rPr>
                <w:rFonts w:hint="eastAsia" w:ascii="宋体" w:hAnsi="宋体" w:eastAsia="宋体" w:cs="宋体"/>
                <w:color w:val="auto"/>
                <w:spacing w:val="20"/>
                <w:sz w:val="24"/>
                <w:highlight w:val="none"/>
              </w:rPr>
            </w:pPr>
          </w:p>
        </w:tc>
        <w:tc>
          <w:tcPr>
            <w:tcW w:w="614" w:type="pct"/>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1569" w:type="pct"/>
            <w:gridSpan w:val="2"/>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投标总价（小写）</w:t>
            </w:r>
          </w:p>
        </w:tc>
        <w:tc>
          <w:tcPr>
            <w:tcW w:w="3431" w:type="pct"/>
            <w:gridSpan w:val="5"/>
            <w:noWrap w:val="0"/>
            <w:vAlign w:val="center"/>
          </w:tcPr>
          <w:p>
            <w:pPr>
              <w:jc w:val="center"/>
              <w:rPr>
                <w:rFonts w:hint="eastAsia" w:ascii="宋体" w:hAnsi="宋体" w:eastAsia="宋体" w:cs="宋体"/>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1569" w:type="pct"/>
            <w:gridSpan w:val="2"/>
            <w:noWrap w:val="0"/>
            <w:vAlign w:val="center"/>
          </w:tcPr>
          <w:p>
            <w:pPr>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投标总价（大写）</w:t>
            </w:r>
          </w:p>
        </w:tc>
        <w:tc>
          <w:tcPr>
            <w:tcW w:w="3431" w:type="pct"/>
            <w:gridSpan w:val="5"/>
            <w:noWrap w:val="0"/>
            <w:vAlign w:val="center"/>
          </w:tcPr>
          <w:p>
            <w:pPr>
              <w:jc w:val="center"/>
              <w:rPr>
                <w:rFonts w:hint="eastAsia" w:ascii="宋体" w:hAnsi="宋体" w:eastAsia="宋体" w:cs="宋体"/>
                <w:color w:val="auto"/>
                <w:spacing w:val="20"/>
                <w:sz w:val="24"/>
                <w:highlight w:val="none"/>
              </w:rPr>
            </w:pPr>
          </w:p>
        </w:tc>
      </w:tr>
    </w:tbl>
    <w:p>
      <w:pPr>
        <w:spacing w:line="360" w:lineRule="auto"/>
        <w:rPr>
          <w:rFonts w:hint="eastAsia" w:ascii="宋体" w:hAnsi="宋体" w:eastAsia="宋体" w:cs="宋体"/>
          <w:i/>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注：</w:t>
      </w:r>
    </w:p>
    <w:p>
      <w:pPr>
        <w:spacing w:line="360" w:lineRule="auto"/>
        <w:ind w:firstLine="420" w:firstLineChars="1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1、要求细分项目及报价，包括：（1）作业成本经费。含人员工资、劳保用品费、清扫保洁易耗工具费。根据浙政办发〔2015〕30号和杭政办〔2008〕14号文件规定的工资标准，包含人员基础工资，环卫特殊岗位津贴、高温费、社会保险费、住房公积金、双休日及法定节假日加班费、医疗体检费等。其中人员基础工资不得低于最新出台的杭州市城镇职工最低工资标准的110%）同时考虑杭州市每年调整最低工资的因素。（2）合理利润及法规要求涉及的保障费用。含突发性及应急保障方面所发生的保洁费、由于重大活动引起保洁频次增加的费用。</w:t>
      </w: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   2、此表仅提供了表格形式，投标人应根据需要来填写完整的报价明细清单。</w:t>
      </w:r>
    </w:p>
    <w:p>
      <w:pPr>
        <w:spacing w:line="360" w:lineRule="auto"/>
        <w:rPr>
          <w:rFonts w:hint="eastAsia" w:ascii="宋体" w:hAnsi="宋体" w:eastAsia="宋体" w:cs="宋体"/>
          <w:color w:val="auto"/>
          <w:spacing w:val="20"/>
          <w:sz w:val="24"/>
          <w:highlight w:val="none"/>
        </w:rPr>
      </w:pPr>
    </w:p>
    <w:p>
      <w:pPr>
        <w:spacing w:line="360" w:lineRule="auto"/>
        <w:ind w:firstLine="4264" w:firstLineChars="1777"/>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ind w:firstLine="4415" w:firstLineChars="1577"/>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pStyle w:val="4"/>
        <w:tabs>
          <w:tab w:val="left" w:pos="2985"/>
        </w:tabs>
        <w:spacing w:before="120"/>
        <w:jc w:val="center"/>
        <w:rPr>
          <w:rFonts w:hint="eastAsia" w:ascii="宋体" w:hAnsi="宋体" w:eastAsia="宋体" w:cs="宋体"/>
          <w:color w:val="auto"/>
          <w:sz w:val="24"/>
          <w:szCs w:val="24"/>
          <w:highlight w:val="none"/>
        </w:rPr>
      </w:pPr>
      <w:r>
        <w:rPr>
          <w:rFonts w:hint="eastAsia" w:ascii="宋体" w:hAnsi="宋体" w:eastAsia="宋体" w:cs="宋体"/>
          <w:color w:val="auto"/>
          <w:spacing w:val="20"/>
          <w:sz w:val="24"/>
          <w:highlight w:val="none"/>
        </w:rPr>
        <w:br w:type="page"/>
      </w:r>
      <w:r>
        <w:rPr>
          <w:rFonts w:hint="eastAsia" w:ascii="宋体" w:hAnsi="宋体" w:eastAsia="宋体" w:cs="宋体"/>
          <w:color w:val="auto"/>
          <w:sz w:val="24"/>
          <w:szCs w:val="24"/>
          <w:highlight w:val="none"/>
        </w:rPr>
        <w:t>四、中小企业声明函、监狱企业声明函及其相关的充分的证明材料、残疾人福利性单位声明函</w:t>
      </w:r>
    </w:p>
    <w:p>
      <w:pPr>
        <w:spacing w:line="588" w:lineRule="exact"/>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中小企业声明函</w:t>
      </w:r>
    </w:p>
    <w:p>
      <w:pPr>
        <w:spacing w:before="312" w:beforeLines="100"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本公司郑重声明，根据《政府采购促进中小企业发展暂行办法》（财库〔2011〕181号）的规定，本公司为     （请填写：中型、小型、微型）企业。即，本公司同时满足以下条件：</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1．根据《工业和信息化部、国家统计局、国家发展和改革委员会、财政部关于印发中小企业划型标准规定的通知》（工信部联企业〔2011〕300号）规定的划分标准，本公司为     （请填写：中型、小型、微型）企业。</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p>
    <w:p>
      <w:pPr>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napToGrid w:val="0"/>
        <w:spacing w:line="360" w:lineRule="auto"/>
        <w:ind w:firstLine="5760" w:firstLineChars="2400"/>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8"/>
          <w:szCs w:val="28"/>
          <w:highlight w:val="none"/>
        </w:rPr>
        <w:t xml:space="preserve"> </w:t>
      </w: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附：国家企业信用信息公示系统——小微企业名录”开标前一周内页面查询结果并加盖公章</w:t>
      </w:r>
    </w:p>
    <w:p>
      <w:pPr>
        <w:snapToGrid w:val="0"/>
        <w:spacing w:before="156" w:beforeLines="50" w:after="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7日内，并加盖单位公章）。(注：未提供以上材料的，均不给予价格扣除）</w:t>
      </w:r>
    </w:p>
    <w:p>
      <w:pPr>
        <w:rPr>
          <w:rFonts w:hint="eastAsia" w:ascii="宋体" w:hAnsi="宋体" w:eastAsia="宋体" w:cs="宋体"/>
          <w:color w:val="auto"/>
          <w:highlight w:val="none"/>
        </w:rPr>
      </w:pPr>
      <w:r>
        <w:rPr>
          <w:rFonts w:hint="eastAsia" w:ascii="宋体" w:hAnsi="宋体" w:eastAsia="宋体" w:cs="宋体"/>
          <w:color w:val="auto"/>
          <w:sz w:val="30"/>
          <w:szCs w:val="30"/>
          <w:highlight w:val="none"/>
        </w:rPr>
        <w:br w:type="page"/>
      </w:r>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pPr>
        <w:spacing w:line="588" w:lineRule="exact"/>
        <w:rPr>
          <w:rFonts w:hint="eastAsia" w:ascii="宋体" w:hAnsi="宋体" w:eastAsia="宋体" w:cs="宋体"/>
          <w:b/>
          <w:color w:val="auto"/>
          <w:spacing w:val="6"/>
          <w:sz w:val="30"/>
          <w:szCs w:val="30"/>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napToGrid w:val="0"/>
        <w:spacing w:line="360" w:lineRule="auto"/>
        <w:ind w:firstLine="480" w:firstLineChars="200"/>
        <w:rPr>
          <w:rFonts w:hint="eastAsia" w:ascii="宋体" w:hAnsi="宋体" w:eastAsia="宋体" w:cs="宋体"/>
          <w:color w:val="auto"/>
          <w:sz w:val="24"/>
          <w:highlight w:val="none"/>
        </w:rPr>
      </w:pPr>
    </w:p>
    <w:p>
      <w:pPr>
        <w:spacing w:line="588" w:lineRule="exact"/>
        <w:ind w:firstLine="504" w:firstLineChars="200"/>
        <w:rPr>
          <w:rFonts w:hint="eastAsia" w:ascii="宋体" w:hAnsi="宋体" w:eastAsia="宋体" w:cs="宋体"/>
          <w:color w:val="auto"/>
          <w:spacing w:val="6"/>
          <w:sz w:val="24"/>
          <w:highlight w:val="none"/>
        </w:rPr>
      </w:pPr>
    </w:p>
    <w:p>
      <w:pPr>
        <w:snapToGrid w:val="0"/>
        <w:spacing w:line="36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投标人名称（电子签名）：</w:t>
      </w:r>
    </w:p>
    <w:p>
      <w:pPr>
        <w:spacing w:line="360" w:lineRule="auto"/>
        <w:ind w:firstLine="3547" w:firstLineChars="1478"/>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日  期：</w:t>
      </w:r>
    </w:p>
    <w:p>
      <w:pPr>
        <w:rPr>
          <w:rFonts w:hint="eastAsia" w:ascii="宋体" w:hAnsi="宋体" w:eastAsia="宋体" w:cs="宋体"/>
          <w:b/>
          <w:iCs/>
          <w:color w:val="auto"/>
          <w:spacing w:val="20"/>
          <w:sz w:val="24"/>
          <w:highlight w:val="none"/>
        </w:rPr>
      </w:pPr>
    </w:p>
    <w:p>
      <w:pPr>
        <w:spacing w:line="360" w:lineRule="auto"/>
        <w:rPr>
          <w:rFonts w:hint="eastAsia" w:ascii="宋体" w:hAnsi="宋体" w:eastAsia="宋体" w:cs="宋体"/>
          <w:b/>
          <w:color w:val="auto"/>
          <w:spacing w:val="20"/>
          <w:sz w:val="24"/>
          <w:highlight w:val="none"/>
        </w:rPr>
      </w:pPr>
    </w:p>
    <w:p>
      <w:pPr>
        <w:snapToGrid w:val="0"/>
        <w:spacing w:before="156" w:beforeLines="50" w:after="50"/>
        <w:rPr>
          <w:rFonts w:hint="eastAsia" w:ascii="宋体" w:hAnsi="宋体" w:eastAsia="宋体" w:cs="宋体"/>
          <w:b/>
          <w:color w:val="auto"/>
          <w:sz w:val="28"/>
          <w:szCs w:val="28"/>
          <w:highlight w:val="none"/>
        </w:rPr>
      </w:pPr>
    </w:p>
    <w:p>
      <w:pPr>
        <w:snapToGrid w:val="0"/>
        <w:spacing w:before="156" w:beforeLines="50" w:after="50"/>
        <w:rPr>
          <w:rFonts w:hint="eastAsia" w:ascii="宋体" w:hAnsi="宋体" w:eastAsia="宋体" w:cs="宋体"/>
          <w:b/>
          <w:color w:val="auto"/>
          <w:sz w:val="30"/>
          <w:szCs w:val="30"/>
          <w:highlight w:val="none"/>
        </w:rPr>
      </w:pPr>
      <w:r>
        <w:rPr>
          <w:rFonts w:hint="eastAsia" w:ascii="宋体" w:hAnsi="宋体" w:eastAsia="宋体" w:cs="宋体"/>
          <w:b/>
          <w:color w:val="auto"/>
          <w:sz w:val="28"/>
          <w:szCs w:val="28"/>
          <w:highlight w:val="none"/>
        </w:rPr>
        <w:br w:type="page"/>
      </w:r>
    </w:p>
    <w:p>
      <w:pPr>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312" w:beforeLines="100" w:line="240" w:lineRule="atLeast"/>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项目编号：（标项X）</w:t>
      </w:r>
    </w:p>
    <w:p>
      <w:pPr>
        <w:spacing w:after="100" w:afterAutospacing="1" w:line="800" w:lineRule="exact"/>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资信技术文件</w:t>
      </w:r>
    </w:p>
    <w:p>
      <w:pPr>
        <w:spacing w:line="500" w:lineRule="exact"/>
        <w:ind w:right="532"/>
        <w:jc w:val="center"/>
        <w:rPr>
          <w:rFonts w:hint="eastAsia" w:ascii="宋体" w:hAnsi="宋体" w:eastAsia="宋体" w:cs="宋体"/>
          <w:color w:val="auto"/>
          <w:sz w:val="36"/>
          <w:szCs w:val="36"/>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投标单位名称：（加盖单位公章）</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投标单位地址：</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投标单位法人或法人授权代表（签字或盖章）：</w:t>
      </w:r>
    </w:p>
    <w:p>
      <w:pPr>
        <w:spacing w:line="360" w:lineRule="auto"/>
        <w:ind w:firstLine="1280" w:firstLineChars="400"/>
        <w:rPr>
          <w:rFonts w:hint="eastAsia" w:ascii="宋体" w:hAnsi="宋体" w:eastAsia="宋体" w:cs="宋体"/>
          <w:color w:val="auto"/>
          <w:sz w:val="32"/>
          <w:highlight w:val="none"/>
        </w:rPr>
      </w:pPr>
      <w:r>
        <w:rPr>
          <w:rFonts w:hint="eastAsia" w:ascii="宋体" w:hAnsi="宋体" w:eastAsia="宋体" w:cs="宋体"/>
          <w:color w:val="auto"/>
          <w:sz w:val="32"/>
          <w:highlight w:val="none"/>
        </w:rPr>
        <w:t>投标单位联系方式：</w:t>
      </w:r>
    </w:p>
    <w:p>
      <w:pPr>
        <w:spacing w:line="360" w:lineRule="auto"/>
        <w:jc w:val="center"/>
        <w:rPr>
          <w:rFonts w:hint="eastAsia" w:ascii="宋体" w:hAnsi="宋体" w:eastAsia="宋体" w:cs="宋体"/>
          <w:color w:val="auto"/>
          <w:sz w:val="32"/>
          <w:highlight w:val="none"/>
        </w:rPr>
      </w:pPr>
    </w:p>
    <w:p>
      <w:pPr>
        <w:spacing w:line="360" w:lineRule="auto"/>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年  月  日</w:t>
      </w:r>
    </w:p>
    <w:p>
      <w:pPr>
        <w:spacing w:line="360" w:lineRule="auto"/>
        <w:jc w:val="center"/>
        <w:rPr>
          <w:rFonts w:hint="eastAsia" w:ascii="宋体" w:hAnsi="宋体" w:eastAsia="宋体" w:cs="宋体"/>
          <w:b/>
          <w:color w:val="auto"/>
          <w:spacing w:val="20"/>
          <w:sz w:val="36"/>
          <w:szCs w:val="36"/>
          <w:highlight w:val="none"/>
        </w:rPr>
      </w:pPr>
      <w:r>
        <w:rPr>
          <w:rFonts w:hint="eastAsia" w:ascii="宋体" w:hAnsi="宋体" w:eastAsia="宋体" w:cs="宋体"/>
          <w:b/>
          <w:color w:val="auto"/>
          <w:spacing w:val="20"/>
          <w:sz w:val="36"/>
          <w:szCs w:val="36"/>
          <w:highlight w:val="none"/>
        </w:rPr>
        <w:t>资信技术文件部分</w:t>
      </w:r>
    </w:p>
    <w:p>
      <w:pPr>
        <w:spacing w:line="360" w:lineRule="auto"/>
        <w:jc w:val="center"/>
        <w:rPr>
          <w:rFonts w:hint="eastAsia" w:ascii="宋体" w:hAnsi="宋体" w:eastAsia="宋体" w:cs="宋体"/>
          <w:b/>
          <w:color w:val="auto"/>
          <w:spacing w:val="20"/>
          <w:sz w:val="24"/>
          <w:highlight w:val="none"/>
        </w:rPr>
      </w:pPr>
    </w:p>
    <w:p>
      <w:pPr>
        <w:spacing w:line="360" w:lineRule="auto"/>
        <w:jc w:val="center"/>
        <w:rPr>
          <w:rFonts w:hint="eastAsia" w:ascii="宋体" w:hAnsi="宋体" w:eastAsia="宋体" w:cs="宋体"/>
          <w:b/>
          <w:color w:val="auto"/>
          <w:spacing w:val="20"/>
          <w:sz w:val="28"/>
          <w:szCs w:val="28"/>
          <w:highlight w:val="none"/>
        </w:rPr>
      </w:pPr>
      <w:r>
        <w:rPr>
          <w:rFonts w:hint="eastAsia" w:ascii="宋体" w:hAnsi="宋体" w:eastAsia="宋体" w:cs="宋体"/>
          <w:b/>
          <w:color w:val="auto"/>
          <w:spacing w:val="20"/>
          <w:sz w:val="28"/>
          <w:szCs w:val="28"/>
          <w:highlight w:val="none"/>
        </w:rPr>
        <w:t>目  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（1）法人授权委托书，法定代表人及授权委托人的身份证（复印件）；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（2）投标人的营业执照和资质证书等企业资质文件的复印件及公司介绍（投标人应对投标人的企业基本概况、经营理念、管理目标、竞争优势、已取得的业绩及企业资信情况等进行简要介绍和说明）；</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（3）银行出具的企业信用等级证书；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（4）投标人的相关业绩以及相应的证明文件（中标通知书、合同或业主证明，原件备查）；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（5）商务偏离说明表；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（6）年度清除非法涂写招贴广告作业计划方案；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（7）清除非法涂写招贴广告作业措施设想；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（8）内部考核制度和人员配置及管理情况方案；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（9）参与本项目的管理人员和主要技术骨干名单及简历（包括年龄、学历、职称或技术等级、执业证明等）；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（10）技术偏离说明表；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（11）关于对招标文件中有关条款的拒绝声明（如果有）；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（12）投标人认为需要的其他文件或说明；</w:t>
      </w:r>
    </w:p>
    <w:p>
      <w:pPr>
        <w:pStyle w:val="11"/>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eastAsia="宋体" w:cs="宋体"/>
          <w:color w:val="auto"/>
          <w:kern w:val="0"/>
          <w:sz w:val="24"/>
          <w:highlight w:val="none"/>
          <w:lang w:val="zh-CN"/>
        </w:rPr>
        <w:t>优惠条件及特殊承诺。</w:t>
      </w:r>
    </w:p>
    <w:p>
      <w:pPr>
        <w:spacing w:line="360" w:lineRule="auto"/>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注：以上目录是编制投标技术文件的基本格式要求，各投标人可根据自身情况进一步细化。</w:t>
      </w:r>
    </w:p>
    <w:p>
      <w:pPr>
        <w:spacing w:line="36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br w:type="page"/>
      </w:r>
      <w:r>
        <w:rPr>
          <w:rFonts w:hint="eastAsia" w:ascii="宋体" w:hAnsi="宋体" w:eastAsia="宋体" w:cs="宋体"/>
          <w:b/>
          <w:color w:val="auto"/>
          <w:spacing w:val="20"/>
          <w:sz w:val="24"/>
          <w:highlight w:val="none"/>
        </w:rPr>
        <w:t>一、授权委托书</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致：杭州市拱墅区城市管理局/浙江省成套工程有限公司</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    本授权书声明：注册于 </w:t>
      </w:r>
      <w:r>
        <w:rPr>
          <w:rFonts w:hint="eastAsia" w:ascii="宋体" w:hAnsi="宋体" w:eastAsia="宋体" w:cs="宋体"/>
          <w:color w:val="auto"/>
          <w:spacing w:val="20"/>
          <w:sz w:val="24"/>
          <w:highlight w:val="none"/>
          <w:u w:val="single"/>
        </w:rPr>
        <w:t>（</w:t>
      </w:r>
      <w:r>
        <w:rPr>
          <w:rFonts w:hint="eastAsia" w:ascii="宋体" w:hAnsi="宋体" w:eastAsia="宋体" w:cs="宋体"/>
          <w:i/>
          <w:color w:val="auto"/>
          <w:spacing w:val="20"/>
          <w:sz w:val="24"/>
          <w:highlight w:val="none"/>
          <w:u w:val="single"/>
        </w:rPr>
        <w:t>国家或地区的名称</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 xml:space="preserve">的 </w:t>
      </w:r>
      <w:r>
        <w:rPr>
          <w:rFonts w:hint="eastAsia" w:ascii="宋体" w:hAnsi="宋体" w:eastAsia="宋体" w:cs="宋体"/>
          <w:color w:val="auto"/>
          <w:spacing w:val="20"/>
          <w:sz w:val="24"/>
          <w:highlight w:val="none"/>
          <w:u w:val="single"/>
        </w:rPr>
        <w:t>（</w:t>
      </w:r>
      <w:r>
        <w:rPr>
          <w:rFonts w:hint="eastAsia" w:ascii="宋体" w:hAnsi="宋体" w:eastAsia="宋体" w:cs="宋体"/>
          <w:i/>
          <w:color w:val="auto"/>
          <w:spacing w:val="20"/>
          <w:sz w:val="24"/>
          <w:highlight w:val="none"/>
          <w:u w:val="single"/>
        </w:rPr>
        <w:t>公司名称</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 xml:space="preserve">                  的</w:t>
      </w:r>
      <w:r>
        <w:rPr>
          <w:rFonts w:hint="eastAsia" w:ascii="宋体" w:hAnsi="宋体" w:eastAsia="宋体" w:cs="宋体"/>
          <w:color w:val="auto"/>
          <w:spacing w:val="20"/>
          <w:sz w:val="24"/>
          <w:highlight w:val="none"/>
          <w:u w:val="single"/>
        </w:rPr>
        <w:t xml:space="preserve"> （</w:t>
      </w:r>
      <w:r>
        <w:rPr>
          <w:rFonts w:hint="eastAsia" w:ascii="宋体" w:hAnsi="宋体" w:eastAsia="宋体" w:cs="宋体"/>
          <w:i/>
          <w:color w:val="auto"/>
          <w:spacing w:val="20"/>
          <w:sz w:val="24"/>
          <w:highlight w:val="none"/>
          <w:u w:val="single"/>
        </w:rPr>
        <w:t>法人代表姓名、职务，身份证号码</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 xml:space="preserve"> 代表本公司授权  </w:t>
      </w:r>
      <w:r>
        <w:rPr>
          <w:rFonts w:hint="eastAsia" w:ascii="宋体" w:hAnsi="宋体" w:eastAsia="宋体" w:cs="宋体"/>
          <w:color w:val="auto"/>
          <w:spacing w:val="20"/>
          <w:sz w:val="24"/>
          <w:highlight w:val="none"/>
          <w:u w:val="single"/>
        </w:rPr>
        <w:t>（</w:t>
      </w:r>
      <w:r>
        <w:rPr>
          <w:rFonts w:hint="eastAsia" w:ascii="宋体" w:hAnsi="宋体" w:eastAsia="宋体" w:cs="宋体"/>
          <w:i/>
          <w:color w:val="auto"/>
          <w:spacing w:val="20"/>
          <w:sz w:val="24"/>
          <w:highlight w:val="none"/>
          <w:u w:val="single"/>
        </w:rPr>
        <w:t>单位名称</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 xml:space="preserve"> 的在下面签字的 </w:t>
      </w:r>
      <w:r>
        <w:rPr>
          <w:rFonts w:hint="eastAsia" w:ascii="宋体" w:hAnsi="宋体" w:eastAsia="宋体" w:cs="宋体"/>
          <w:color w:val="auto"/>
          <w:spacing w:val="20"/>
          <w:sz w:val="24"/>
          <w:highlight w:val="none"/>
          <w:u w:val="single"/>
        </w:rPr>
        <w:t>（</w:t>
      </w:r>
      <w:r>
        <w:rPr>
          <w:rFonts w:hint="eastAsia" w:ascii="宋体" w:hAnsi="宋体" w:eastAsia="宋体" w:cs="宋体"/>
          <w:i/>
          <w:color w:val="auto"/>
          <w:spacing w:val="20"/>
          <w:sz w:val="24"/>
          <w:highlight w:val="none"/>
          <w:u w:val="single"/>
        </w:rPr>
        <w:t>被授权人的姓名、职务，身份证号码</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为本公司的合法代理人，就</w:t>
      </w:r>
      <w:r>
        <w:rPr>
          <w:rFonts w:hint="eastAsia" w:ascii="宋体" w:hAnsi="宋体" w:eastAsia="宋体" w:cs="宋体"/>
          <w:color w:val="auto"/>
          <w:spacing w:val="20"/>
          <w:sz w:val="24"/>
          <w:highlight w:val="none"/>
          <w:u w:val="single"/>
        </w:rPr>
        <w:t>（</w:t>
      </w:r>
      <w:r>
        <w:rPr>
          <w:rFonts w:hint="eastAsia" w:ascii="宋体" w:hAnsi="宋体" w:eastAsia="宋体" w:cs="宋体"/>
          <w:i/>
          <w:color w:val="auto"/>
          <w:spacing w:val="20"/>
          <w:sz w:val="24"/>
          <w:highlight w:val="none"/>
          <w:u w:val="single"/>
        </w:rPr>
        <w:t>项目名称、招标编号</w:t>
      </w:r>
      <w:r>
        <w:rPr>
          <w:rFonts w:hint="eastAsia" w:ascii="宋体" w:hAnsi="宋体" w:eastAsia="宋体" w:cs="宋体"/>
          <w:color w:val="auto"/>
          <w:spacing w:val="20"/>
          <w:sz w:val="24"/>
          <w:highlight w:val="none"/>
          <w:u w:val="single"/>
        </w:rPr>
        <w:t>）</w:t>
      </w:r>
      <w:r>
        <w:rPr>
          <w:rFonts w:hint="eastAsia" w:ascii="宋体" w:hAnsi="宋体" w:eastAsia="宋体" w:cs="宋体"/>
          <w:color w:val="auto"/>
          <w:spacing w:val="20"/>
          <w:sz w:val="24"/>
          <w:highlight w:val="none"/>
        </w:rPr>
        <w:t>的投标，以本公司名义处理一切与之有关的事物。</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    本授权书于</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日签字生效，特此声明。</w:t>
      </w:r>
    </w:p>
    <w:p>
      <w:pPr>
        <w:spacing w:line="360" w:lineRule="auto"/>
        <w:rPr>
          <w:rFonts w:hint="eastAsia" w:ascii="宋体" w:hAnsi="宋体" w:eastAsia="宋体" w:cs="宋体"/>
          <w:color w:val="auto"/>
          <w:spacing w:val="20"/>
          <w:sz w:val="24"/>
          <w:highlight w:val="none"/>
        </w:rPr>
      </w:pPr>
    </w:p>
    <w:p>
      <w:pPr>
        <w:wordWrap w:val="0"/>
        <w:spacing w:line="360" w:lineRule="auto"/>
        <w:ind w:right="560" w:firstLine="4620" w:firstLineChars="16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  </w:t>
      </w:r>
      <w:r>
        <w:rPr>
          <w:rFonts w:hint="eastAsia" w:ascii="宋体" w:hAnsi="宋体" w:eastAsia="宋体" w:cs="宋体"/>
          <w:color w:val="auto"/>
          <w:sz w:val="24"/>
          <w:highlight w:val="none"/>
        </w:rPr>
        <w:t>投标人名称（电子签名）：</w:t>
      </w:r>
    </w:p>
    <w:p>
      <w:pPr>
        <w:wordWrap w:val="0"/>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签发日期：         </w:t>
      </w:r>
    </w:p>
    <w:p>
      <w:pPr>
        <w:spacing w:line="360" w:lineRule="auto"/>
        <w:rPr>
          <w:rFonts w:hint="eastAsia" w:ascii="宋体" w:hAnsi="宋体" w:eastAsia="宋体" w:cs="宋体"/>
          <w:color w:val="auto"/>
          <w:spacing w:val="20"/>
          <w:sz w:val="24"/>
          <w:highlight w:val="none"/>
          <w:u w:val="single"/>
        </w:rPr>
      </w:pPr>
    </w:p>
    <w:p>
      <w:pPr>
        <w:spacing w:line="360" w:lineRule="auto"/>
        <w:ind w:firstLine="2520" w:firstLineChars="900"/>
        <w:rPr>
          <w:rFonts w:hint="eastAsia" w:ascii="宋体" w:hAnsi="宋体" w:eastAsia="宋体" w:cs="宋体"/>
          <w:b/>
          <w:color w:val="auto"/>
          <w:spacing w:val="20"/>
          <w:sz w:val="24"/>
          <w:highlight w:val="none"/>
        </w:rPr>
      </w:pPr>
      <w:r>
        <w:rPr>
          <w:rFonts w:hint="eastAsia" w:ascii="宋体" w:hAnsi="宋体" w:eastAsia="宋体" w:cs="宋体"/>
          <w:color w:val="auto"/>
          <w:spacing w:val="20"/>
          <w:sz w:val="24"/>
          <w:highlight w:val="none"/>
          <w:u w:val="single"/>
        </w:rPr>
        <w:br w:type="page"/>
      </w:r>
      <w:r>
        <w:rPr>
          <w:rFonts w:hint="eastAsia" w:ascii="宋体" w:hAnsi="宋体" w:eastAsia="宋体" w:cs="宋体"/>
          <w:b/>
          <w:color w:val="auto"/>
          <w:spacing w:val="20"/>
          <w:sz w:val="24"/>
          <w:highlight w:val="none"/>
        </w:rPr>
        <w:t>二、法定代表人资格证明书</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单位名称：</w:t>
      </w:r>
      <w:r>
        <w:rPr>
          <w:rFonts w:hint="eastAsia" w:ascii="宋体" w:hAnsi="宋体" w:eastAsia="宋体" w:cs="宋体"/>
          <w:color w:val="auto"/>
          <w:spacing w:val="20"/>
          <w:sz w:val="24"/>
          <w:highlight w:val="none"/>
          <w:u w:val="single"/>
        </w:rPr>
        <w:t xml:space="preserve">                           </w:t>
      </w:r>
    </w:p>
    <w:p>
      <w:pPr>
        <w:spacing w:line="360" w:lineRule="auto"/>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地址：</w:t>
      </w:r>
      <w:r>
        <w:rPr>
          <w:rFonts w:hint="eastAsia" w:ascii="宋体" w:hAnsi="宋体" w:eastAsia="宋体" w:cs="宋体"/>
          <w:color w:val="auto"/>
          <w:spacing w:val="20"/>
          <w:sz w:val="24"/>
          <w:highlight w:val="none"/>
          <w:u w:val="single"/>
        </w:rPr>
        <w:t xml:space="preserve">                       </w:t>
      </w: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姓名：</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性别：</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年龄：</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职务：</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身份证号码：</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系</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的法定代表人，为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保洁，签署上述工程的投标文件，进行合同谈判、签署合同和处理与之有关的一切事宜。</w:t>
      </w:r>
    </w:p>
    <w:p>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特此证明。</w:t>
      </w:r>
    </w:p>
    <w:p>
      <w:pPr>
        <w:spacing w:line="360" w:lineRule="auto"/>
        <w:jc w:val="center"/>
        <w:rPr>
          <w:rFonts w:hint="eastAsia" w:ascii="宋体" w:hAnsi="宋体" w:eastAsia="宋体" w:cs="宋体"/>
          <w:b/>
          <w:color w:val="auto"/>
          <w:spacing w:val="20"/>
          <w:sz w:val="24"/>
          <w:highlight w:val="none"/>
        </w:rPr>
      </w:pPr>
    </w:p>
    <w:p>
      <w:pPr>
        <w:spacing w:line="360" w:lineRule="auto"/>
        <w:jc w:val="center"/>
        <w:rPr>
          <w:rFonts w:hint="eastAsia" w:ascii="宋体" w:hAnsi="宋体" w:eastAsia="宋体" w:cs="宋体"/>
          <w:b/>
          <w:color w:val="auto"/>
          <w:spacing w:val="20"/>
          <w:sz w:val="24"/>
          <w:highlight w:val="none"/>
        </w:rPr>
      </w:pPr>
    </w:p>
    <w:p>
      <w:pPr>
        <w:spacing w:line="360" w:lineRule="auto"/>
        <w:jc w:val="center"/>
        <w:rPr>
          <w:rFonts w:hint="eastAsia" w:ascii="宋体" w:hAnsi="宋体" w:eastAsia="宋体" w:cs="宋体"/>
          <w:b/>
          <w:color w:val="auto"/>
          <w:spacing w:val="20"/>
          <w:sz w:val="24"/>
          <w:highlight w:val="none"/>
        </w:rPr>
      </w:pPr>
    </w:p>
    <w:p>
      <w:pPr>
        <w:spacing w:line="36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三、法定代表人及授权委托人的身份证（复印件）</w:t>
      </w:r>
    </w:p>
    <w:p>
      <w:pPr>
        <w:spacing w:line="360" w:lineRule="auto"/>
        <w:jc w:val="center"/>
        <w:rPr>
          <w:rFonts w:hint="eastAsia" w:ascii="宋体" w:hAnsi="宋体" w:eastAsia="宋体" w:cs="宋体"/>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color w:val="auto"/>
          <w:spacing w:val="20"/>
          <w:sz w:val="24"/>
          <w:highlight w:val="none"/>
        </w:rPr>
        <w:br w:type="page"/>
      </w:r>
      <w:r>
        <w:rPr>
          <w:rFonts w:hint="eastAsia" w:ascii="宋体" w:hAnsi="宋体" w:eastAsia="宋体" w:cs="宋体"/>
          <w:b/>
          <w:color w:val="auto"/>
          <w:spacing w:val="20"/>
          <w:sz w:val="24"/>
          <w:highlight w:val="none"/>
        </w:rPr>
        <w:t>四、声明书</w:t>
      </w:r>
    </w:p>
    <w:p>
      <w:pPr>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杭州市拱墅区城市管理局、浙江省成套工程有限公司：</w:t>
      </w:r>
    </w:p>
    <w:p>
      <w:pPr>
        <w:spacing w:line="360" w:lineRule="auto"/>
        <w:ind w:firstLine="645"/>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本单位自愿参加“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采购项目”（编号：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）政府采购项目的投标，并保证投标文件中所列举的投标报价文件及相关资料和公司基本情况资料时真实的、合法的。</w:t>
      </w:r>
    </w:p>
    <w:p>
      <w:pPr>
        <w:spacing w:line="360" w:lineRule="auto"/>
        <w:ind w:firstLine="645"/>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同意此次招标文件中的各项内容。</w:t>
      </w:r>
    </w:p>
    <w:p>
      <w:pPr>
        <w:spacing w:line="360" w:lineRule="auto"/>
        <w:ind w:firstLine="645"/>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同意提供按照贵方可能要求的与投标有关的一切数据或资料等。</w:t>
      </w:r>
    </w:p>
    <w:p>
      <w:pPr>
        <w:spacing w:line="360" w:lineRule="auto"/>
        <w:ind w:firstLine="645"/>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本单位如中标，保证按照投标文件的承诺与贵方签订合同，保证履行合同条款并缴纳履约保证金。</w:t>
      </w:r>
    </w:p>
    <w:p>
      <w:pPr>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jc w:val="center"/>
        <w:rPr>
          <w:rFonts w:hint="eastAsia" w:ascii="宋体" w:hAnsi="宋体" w:eastAsia="宋体" w:cs="宋体"/>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五、有效的企业法人营业执照（复印件）</w:t>
      </w:r>
    </w:p>
    <w:p>
      <w:pPr>
        <w:jc w:val="center"/>
        <w:rPr>
          <w:rFonts w:hint="eastAsia" w:ascii="宋体" w:hAnsi="宋体" w:eastAsia="宋体" w:cs="宋体"/>
          <w:color w:val="auto"/>
          <w:spacing w:val="20"/>
          <w:sz w:val="24"/>
          <w:highlight w:val="none"/>
        </w:rPr>
      </w:pPr>
    </w:p>
    <w:p>
      <w:pPr>
        <w:jc w:val="center"/>
        <w:rPr>
          <w:rFonts w:hint="eastAsia" w:ascii="宋体" w:hAnsi="宋体" w:eastAsia="宋体" w:cs="宋体"/>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六、有效的税务登记证（复印件）</w:t>
      </w: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七、有效的社保登记证（复印件）</w:t>
      </w: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八、2019年下半年度资产负债表、损益表（复印件）</w:t>
      </w: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九、相关资质证书（复印件）</w:t>
      </w: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十、公司介绍</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（由投标人根据采购自行编制）</w:t>
      </w:r>
    </w:p>
    <w:p>
      <w:pPr>
        <w:jc w:val="center"/>
        <w:rPr>
          <w:rFonts w:hint="eastAsia" w:ascii="宋体" w:hAnsi="宋体" w:eastAsia="宋体" w:cs="宋体"/>
          <w:color w:val="auto"/>
          <w:spacing w:val="20"/>
          <w:sz w:val="24"/>
          <w:highlight w:val="none"/>
        </w:rPr>
      </w:pPr>
    </w:p>
    <w:p>
      <w:pP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十一、银行出具的企业信用等级证书</w:t>
      </w:r>
    </w:p>
    <w:p>
      <w:pP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十二、2016年1月1日至今主要业绩证明</w:t>
      </w:r>
    </w:p>
    <w:p>
      <w:pPr>
        <w:jc w:val="cente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附表：相关项目业绩一览表</w:t>
      </w:r>
    </w:p>
    <w:tbl>
      <w:tblPr>
        <w:tblStyle w:val="22"/>
        <w:tblW w:w="5132" w:type="pct"/>
        <w:tblInd w:w="0" w:type="dxa"/>
        <w:tblLayout w:type="autofit"/>
        <w:tblCellMar>
          <w:top w:w="0" w:type="dxa"/>
          <w:left w:w="108" w:type="dxa"/>
          <w:bottom w:w="0" w:type="dxa"/>
          <w:right w:w="108" w:type="dxa"/>
        </w:tblCellMar>
      </w:tblPr>
      <w:tblGrid>
        <w:gridCol w:w="1234"/>
        <w:gridCol w:w="1234"/>
        <w:gridCol w:w="1234"/>
        <w:gridCol w:w="1411"/>
        <w:gridCol w:w="1234"/>
        <w:gridCol w:w="2040"/>
        <w:gridCol w:w="796"/>
      </w:tblGrid>
      <w:tr>
        <w:tblPrEx>
          <w:tblCellMar>
            <w:top w:w="0" w:type="dxa"/>
            <w:left w:w="108" w:type="dxa"/>
            <w:bottom w:w="0" w:type="dxa"/>
            <w:right w:w="108" w:type="dxa"/>
          </w:tblCellMar>
        </w:tblPrEx>
        <w:trPr>
          <w:trHeight w:val="1177" w:hRule="atLeast"/>
        </w:trPr>
        <w:tc>
          <w:tcPr>
            <w:tcW w:w="6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采购单位</w:t>
            </w:r>
          </w:p>
        </w:tc>
        <w:tc>
          <w:tcPr>
            <w:tcW w:w="6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c>
        <w:tc>
          <w:tcPr>
            <w:tcW w:w="6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简要描述</w:t>
            </w:r>
          </w:p>
        </w:tc>
        <w:tc>
          <w:tcPr>
            <w:tcW w:w="768"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采购金额</w:t>
            </w:r>
          </w:p>
        </w:tc>
        <w:tc>
          <w:tcPr>
            <w:tcW w:w="672"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采购日期</w:t>
            </w:r>
          </w:p>
        </w:tc>
        <w:tc>
          <w:tcPr>
            <w:tcW w:w="1110"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采购单位与销售单位联系电话</w:t>
            </w:r>
          </w:p>
        </w:tc>
        <w:tc>
          <w:tcPr>
            <w:tcW w:w="433"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所在页码</w:t>
            </w:r>
          </w:p>
        </w:tc>
      </w:tr>
      <w:tr>
        <w:tblPrEx>
          <w:tblCellMar>
            <w:top w:w="0" w:type="dxa"/>
            <w:left w:w="108" w:type="dxa"/>
            <w:bottom w:w="0" w:type="dxa"/>
            <w:right w:w="108" w:type="dxa"/>
          </w:tblCellMar>
        </w:tblPrEx>
        <w:trPr>
          <w:trHeight w:val="535" w:hRule="atLeast"/>
        </w:trPr>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768"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1110"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433"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613" w:hRule="atLeast"/>
        </w:trPr>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768"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1110"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433"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606" w:hRule="atLeast"/>
        </w:trPr>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768"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1110"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433"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614" w:hRule="atLeast"/>
        </w:trPr>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768"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1110"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433"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r>
      <w:tr>
        <w:tblPrEx>
          <w:tblCellMar>
            <w:top w:w="0" w:type="dxa"/>
            <w:left w:w="108" w:type="dxa"/>
            <w:bottom w:w="0" w:type="dxa"/>
            <w:right w:w="108" w:type="dxa"/>
          </w:tblCellMar>
        </w:tblPrEx>
        <w:trPr>
          <w:trHeight w:val="595" w:hRule="atLeast"/>
        </w:trPr>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768"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672"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1110"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c>
          <w:tcPr>
            <w:tcW w:w="433" w:type="pct"/>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eastAsia="宋体" w:cs="宋体"/>
                <w:color w:val="auto"/>
                <w:spacing w:val="20"/>
                <w:sz w:val="24"/>
                <w:highlight w:val="none"/>
              </w:rPr>
            </w:pPr>
          </w:p>
        </w:tc>
      </w:tr>
    </w:tbl>
    <w:p>
      <w:pPr>
        <w:rPr>
          <w:rFonts w:hint="eastAsia" w:ascii="宋体" w:hAnsi="宋体" w:eastAsia="宋体" w:cs="宋体"/>
          <w:b/>
          <w:color w:val="auto"/>
          <w:spacing w:val="20"/>
          <w:szCs w:val="21"/>
          <w:highlight w:val="none"/>
        </w:rPr>
      </w:pPr>
      <w:r>
        <w:rPr>
          <w:rFonts w:hint="eastAsia" w:ascii="宋体" w:hAnsi="宋体" w:eastAsia="宋体" w:cs="宋体"/>
          <w:color w:val="auto"/>
          <w:spacing w:val="20"/>
          <w:szCs w:val="21"/>
          <w:highlight w:val="none"/>
        </w:rPr>
        <w:t>注：投标人可按上述格式自行编制，须随表提交相应的合同复印件或用户单位验收证明并注明所在投标商务文件页码</w:t>
      </w:r>
      <w:r>
        <w:rPr>
          <w:rFonts w:hint="eastAsia" w:ascii="宋体" w:hAnsi="宋体" w:eastAsia="宋体" w:cs="宋体"/>
          <w:b/>
          <w:color w:val="auto"/>
          <w:spacing w:val="20"/>
          <w:szCs w:val="21"/>
          <w:highlight w:val="none"/>
        </w:rPr>
        <w:t>。</w:t>
      </w:r>
    </w:p>
    <w:p>
      <w:pPr>
        <w:rPr>
          <w:rFonts w:hint="eastAsia" w:ascii="宋体" w:hAnsi="宋体" w:eastAsia="宋体" w:cs="宋体"/>
          <w:b/>
          <w:color w:val="auto"/>
          <w:spacing w:val="20"/>
          <w:sz w:val="24"/>
          <w:highlight w:val="none"/>
        </w:rPr>
      </w:pPr>
    </w:p>
    <w:p>
      <w:pPr>
        <w:rPr>
          <w:rFonts w:hint="eastAsia" w:ascii="宋体" w:hAnsi="宋体" w:eastAsia="宋体" w:cs="宋体"/>
          <w:b/>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br w:type="page"/>
      </w:r>
      <w:r>
        <w:rPr>
          <w:rFonts w:hint="eastAsia" w:ascii="宋体" w:hAnsi="宋体" w:eastAsia="宋体" w:cs="宋体"/>
          <w:b/>
          <w:color w:val="auto"/>
          <w:spacing w:val="20"/>
          <w:sz w:val="24"/>
          <w:highlight w:val="none"/>
        </w:rPr>
        <w:t>十三、商务偏离说明</w:t>
      </w:r>
    </w:p>
    <w:p>
      <w:pPr>
        <w:jc w:val="center"/>
        <w:rPr>
          <w:rFonts w:hint="eastAsia" w:ascii="宋体" w:hAnsi="宋体" w:eastAsia="宋体" w:cs="宋体"/>
          <w:b/>
          <w:color w:val="auto"/>
          <w:spacing w:val="20"/>
          <w:sz w:val="24"/>
          <w:highlight w:val="none"/>
        </w:rPr>
      </w:pPr>
    </w:p>
    <w:tbl>
      <w:tblPr>
        <w:tblStyle w:val="22"/>
        <w:tblW w:w="5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610"/>
        <w:gridCol w:w="257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招标文件条目号</w:t>
            </w:r>
          </w:p>
        </w:tc>
        <w:tc>
          <w:tcPr>
            <w:tcW w:w="1433"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招标文件商务条款</w:t>
            </w:r>
          </w:p>
        </w:tc>
        <w:tc>
          <w:tcPr>
            <w:tcW w:w="1414"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投标文件商务条款</w:t>
            </w:r>
          </w:p>
        </w:tc>
        <w:tc>
          <w:tcPr>
            <w:tcW w:w="926"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pct"/>
            <w:noWrap w:val="0"/>
            <w:vAlign w:val="top"/>
          </w:tcPr>
          <w:p>
            <w:pPr>
              <w:spacing w:line="360" w:lineRule="auto"/>
              <w:jc w:val="center"/>
              <w:rPr>
                <w:rFonts w:hint="eastAsia" w:ascii="宋体" w:hAnsi="宋体" w:eastAsia="宋体" w:cs="宋体"/>
                <w:color w:val="auto"/>
                <w:spacing w:val="20"/>
                <w:sz w:val="24"/>
                <w:highlight w:val="none"/>
              </w:rPr>
            </w:pPr>
          </w:p>
        </w:tc>
        <w:tc>
          <w:tcPr>
            <w:tcW w:w="1433" w:type="pct"/>
            <w:noWrap w:val="0"/>
            <w:vAlign w:val="top"/>
          </w:tcPr>
          <w:p>
            <w:pPr>
              <w:spacing w:line="360" w:lineRule="auto"/>
              <w:jc w:val="center"/>
              <w:rPr>
                <w:rFonts w:hint="eastAsia" w:ascii="宋体" w:hAnsi="宋体" w:eastAsia="宋体" w:cs="宋体"/>
                <w:color w:val="auto"/>
                <w:spacing w:val="20"/>
                <w:sz w:val="24"/>
                <w:highlight w:val="none"/>
              </w:rPr>
            </w:pPr>
          </w:p>
        </w:tc>
        <w:tc>
          <w:tcPr>
            <w:tcW w:w="1414" w:type="pct"/>
            <w:noWrap w:val="0"/>
            <w:vAlign w:val="top"/>
          </w:tcPr>
          <w:p>
            <w:pPr>
              <w:spacing w:line="360" w:lineRule="auto"/>
              <w:jc w:val="center"/>
              <w:rPr>
                <w:rFonts w:hint="eastAsia" w:ascii="宋体" w:hAnsi="宋体" w:eastAsia="宋体" w:cs="宋体"/>
                <w:color w:val="auto"/>
                <w:spacing w:val="20"/>
                <w:sz w:val="24"/>
                <w:highlight w:val="none"/>
              </w:rPr>
            </w:pPr>
          </w:p>
        </w:tc>
        <w:tc>
          <w:tcPr>
            <w:tcW w:w="926" w:type="pct"/>
            <w:noWrap w:val="0"/>
            <w:vAlign w:val="top"/>
          </w:tcPr>
          <w:p>
            <w:pPr>
              <w:spacing w:line="360" w:lineRule="auto"/>
              <w:jc w:val="center"/>
              <w:rPr>
                <w:rFonts w:hint="eastAsia" w:ascii="宋体" w:hAnsi="宋体" w:eastAsia="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pct"/>
            <w:noWrap w:val="0"/>
            <w:vAlign w:val="top"/>
          </w:tcPr>
          <w:p>
            <w:pPr>
              <w:spacing w:line="360" w:lineRule="auto"/>
              <w:jc w:val="center"/>
              <w:rPr>
                <w:rFonts w:hint="eastAsia" w:ascii="宋体" w:hAnsi="宋体" w:eastAsia="宋体" w:cs="宋体"/>
                <w:color w:val="auto"/>
                <w:spacing w:val="20"/>
                <w:sz w:val="24"/>
                <w:highlight w:val="none"/>
              </w:rPr>
            </w:pPr>
          </w:p>
        </w:tc>
        <w:tc>
          <w:tcPr>
            <w:tcW w:w="1433" w:type="pct"/>
            <w:noWrap w:val="0"/>
            <w:vAlign w:val="top"/>
          </w:tcPr>
          <w:p>
            <w:pPr>
              <w:spacing w:line="360" w:lineRule="auto"/>
              <w:jc w:val="center"/>
              <w:rPr>
                <w:rFonts w:hint="eastAsia" w:ascii="宋体" w:hAnsi="宋体" w:eastAsia="宋体" w:cs="宋体"/>
                <w:color w:val="auto"/>
                <w:spacing w:val="20"/>
                <w:sz w:val="24"/>
                <w:highlight w:val="none"/>
              </w:rPr>
            </w:pPr>
          </w:p>
        </w:tc>
        <w:tc>
          <w:tcPr>
            <w:tcW w:w="1414" w:type="pct"/>
            <w:noWrap w:val="0"/>
            <w:vAlign w:val="top"/>
          </w:tcPr>
          <w:p>
            <w:pPr>
              <w:spacing w:line="360" w:lineRule="auto"/>
              <w:jc w:val="center"/>
              <w:rPr>
                <w:rFonts w:hint="eastAsia" w:ascii="宋体" w:hAnsi="宋体" w:eastAsia="宋体" w:cs="宋体"/>
                <w:color w:val="auto"/>
                <w:spacing w:val="20"/>
                <w:sz w:val="24"/>
                <w:highlight w:val="none"/>
              </w:rPr>
            </w:pPr>
          </w:p>
        </w:tc>
        <w:tc>
          <w:tcPr>
            <w:tcW w:w="926" w:type="pct"/>
            <w:noWrap w:val="0"/>
            <w:vAlign w:val="top"/>
          </w:tcPr>
          <w:p>
            <w:pPr>
              <w:spacing w:line="360" w:lineRule="auto"/>
              <w:jc w:val="center"/>
              <w:rPr>
                <w:rFonts w:hint="eastAsia" w:ascii="宋体" w:hAnsi="宋体" w:eastAsia="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pct"/>
            <w:noWrap w:val="0"/>
            <w:vAlign w:val="top"/>
          </w:tcPr>
          <w:p>
            <w:pPr>
              <w:spacing w:line="360" w:lineRule="auto"/>
              <w:jc w:val="center"/>
              <w:rPr>
                <w:rFonts w:hint="eastAsia" w:ascii="宋体" w:hAnsi="宋体" w:eastAsia="宋体" w:cs="宋体"/>
                <w:color w:val="auto"/>
                <w:spacing w:val="20"/>
                <w:sz w:val="24"/>
                <w:highlight w:val="none"/>
              </w:rPr>
            </w:pPr>
          </w:p>
        </w:tc>
        <w:tc>
          <w:tcPr>
            <w:tcW w:w="1433" w:type="pct"/>
            <w:noWrap w:val="0"/>
            <w:vAlign w:val="top"/>
          </w:tcPr>
          <w:p>
            <w:pPr>
              <w:spacing w:line="360" w:lineRule="auto"/>
              <w:jc w:val="center"/>
              <w:rPr>
                <w:rFonts w:hint="eastAsia" w:ascii="宋体" w:hAnsi="宋体" w:eastAsia="宋体" w:cs="宋体"/>
                <w:color w:val="auto"/>
                <w:spacing w:val="20"/>
                <w:sz w:val="24"/>
                <w:highlight w:val="none"/>
              </w:rPr>
            </w:pPr>
          </w:p>
        </w:tc>
        <w:tc>
          <w:tcPr>
            <w:tcW w:w="1414" w:type="pct"/>
            <w:noWrap w:val="0"/>
            <w:vAlign w:val="top"/>
          </w:tcPr>
          <w:p>
            <w:pPr>
              <w:spacing w:line="360" w:lineRule="auto"/>
              <w:jc w:val="center"/>
              <w:rPr>
                <w:rFonts w:hint="eastAsia" w:ascii="宋体" w:hAnsi="宋体" w:eastAsia="宋体" w:cs="宋体"/>
                <w:color w:val="auto"/>
                <w:spacing w:val="20"/>
                <w:sz w:val="24"/>
                <w:highlight w:val="none"/>
              </w:rPr>
            </w:pPr>
          </w:p>
        </w:tc>
        <w:tc>
          <w:tcPr>
            <w:tcW w:w="926" w:type="pct"/>
            <w:noWrap w:val="0"/>
            <w:vAlign w:val="top"/>
          </w:tcPr>
          <w:p>
            <w:pPr>
              <w:spacing w:line="360" w:lineRule="auto"/>
              <w:jc w:val="center"/>
              <w:rPr>
                <w:rFonts w:hint="eastAsia" w:ascii="宋体" w:hAnsi="宋体" w:eastAsia="宋体" w:cs="宋体"/>
                <w:color w:val="auto"/>
                <w:spacing w:val="20"/>
                <w:sz w:val="24"/>
                <w:highlight w:val="none"/>
              </w:rPr>
            </w:pPr>
          </w:p>
        </w:tc>
      </w:tr>
    </w:tbl>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jc w:val="center"/>
        <w:rPr>
          <w:rFonts w:hint="eastAsia" w:ascii="宋体" w:hAnsi="宋体" w:eastAsia="宋体" w:cs="宋体"/>
          <w:b/>
          <w:color w:val="auto"/>
          <w:spacing w:val="20"/>
          <w:sz w:val="24"/>
          <w:highlight w:val="none"/>
        </w:rPr>
      </w:pPr>
    </w:p>
    <w:p>
      <w:pPr>
        <w:spacing w:line="480" w:lineRule="auto"/>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spacing w:line="48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十四、其他商务文件或说明</w:t>
      </w:r>
    </w:p>
    <w:p>
      <w:pPr>
        <w:spacing w:line="48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（由投标人根据采购需求自行编制）</w:t>
      </w: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jc w:val="center"/>
        <w:rPr>
          <w:rFonts w:hint="eastAsia" w:ascii="宋体" w:hAnsi="宋体" w:eastAsia="宋体" w:cs="宋体"/>
          <w:b/>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jc w:val="center"/>
        <w:rPr>
          <w:rFonts w:hint="eastAsia" w:ascii="宋体" w:hAnsi="宋体" w:eastAsia="宋体" w:cs="宋体"/>
          <w:b/>
          <w:color w:val="auto"/>
          <w:spacing w:val="20"/>
          <w:sz w:val="24"/>
          <w:highlight w:val="none"/>
        </w:rPr>
      </w:pPr>
    </w:p>
    <w:p>
      <w:pPr>
        <w:ind w:firstLine="2660" w:firstLineChars="950"/>
        <w:rPr>
          <w:rFonts w:hint="eastAsia" w:ascii="宋体" w:hAnsi="宋体" w:eastAsia="宋体" w:cs="宋体"/>
          <w:b/>
          <w:color w:val="auto"/>
          <w:spacing w:val="20"/>
          <w:sz w:val="24"/>
          <w:highlight w:val="none"/>
        </w:rPr>
      </w:pPr>
    </w:p>
    <w:p>
      <w:pPr>
        <w:spacing w:line="48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十五、清除非法涂写招贴广告作业计划方案</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（由投标人根据采购需求及招标文件要求编写）</w:t>
      </w:r>
    </w:p>
    <w:p>
      <w:pPr>
        <w:spacing w:line="360" w:lineRule="auto"/>
        <w:rPr>
          <w:rFonts w:hint="eastAsia" w:ascii="宋体" w:hAnsi="宋体" w:eastAsia="宋体" w:cs="宋体"/>
          <w:b/>
          <w:color w:val="auto"/>
          <w:spacing w:val="20"/>
          <w:sz w:val="24"/>
          <w:highlight w:val="none"/>
        </w:rPr>
      </w:pPr>
    </w:p>
    <w:p>
      <w:pPr>
        <w:spacing w:line="360" w:lineRule="auto"/>
        <w:rPr>
          <w:rFonts w:hint="eastAsia" w:ascii="宋体" w:hAnsi="宋体" w:eastAsia="宋体" w:cs="宋体"/>
          <w:b/>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rPr>
          <w:rFonts w:hint="eastAsia" w:ascii="宋体" w:hAnsi="宋体" w:eastAsia="宋体" w:cs="宋体"/>
          <w:b/>
          <w:color w:val="auto"/>
          <w:spacing w:val="20"/>
          <w:sz w:val="24"/>
          <w:highlight w:val="none"/>
        </w:rPr>
      </w:pPr>
    </w:p>
    <w:p>
      <w:pPr>
        <w:pStyle w:val="2"/>
        <w:rPr>
          <w:rFonts w:hint="eastAsia" w:ascii="宋体" w:hAnsi="宋体" w:eastAsia="宋体" w:cs="宋体"/>
          <w:color w:val="auto"/>
          <w:highlight w:val="none"/>
        </w:rPr>
      </w:pPr>
    </w:p>
    <w:p>
      <w:pPr>
        <w:spacing w:line="360" w:lineRule="auto"/>
        <w:rPr>
          <w:rFonts w:hint="eastAsia" w:ascii="宋体" w:hAnsi="宋体" w:eastAsia="宋体" w:cs="宋体"/>
          <w:b/>
          <w:color w:val="auto"/>
          <w:spacing w:val="20"/>
          <w:sz w:val="24"/>
          <w:highlight w:val="none"/>
        </w:rPr>
      </w:pPr>
    </w:p>
    <w:p>
      <w:pPr>
        <w:spacing w:line="360" w:lineRule="auto"/>
        <w:ind w:left="420"/>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十六、清除非法涂写招贴广告作业措施设想</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（由投标人根据采购需求及招标文件要求编写）</w:t>
      </w:r>
    </w:p>
    <w:p>
      <w:pPr>
        <w:spacing w:line="360" w:lineRule="auto"/>
        <w:jc w:val="right"/>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rPr>
          <w:rFonts w:hint="eastAsia" w:ascii="宋体" w:hAnsi="宋体" w:eastAsia="宋体" w:cs="宋体"/>
          <w:b/>
          <w:color w:val="auto"/>
          <w:spacing w:val="20"/>
          <w:sz w:val="24"/>
          <w:highlight w:val="none"/>
        </w:rPr>
      </w:pPr>
    </w:p>
    <w:p>
      <w:pPr>
        <w:spacing w:line="360" w:lineRule="auto"/>
        <w:rPr>
          <w:rFonts w:hint="eastAsia" w:ascii="宋体" w:hAnsi="宋体" w:eastAsia="宋体" w:cs="宋体"/>
          <w:b/>
          <w:color w:val="auto"/>
          <w:spacing w:val="20"/>
          <w:sz w:val="24"/>
          <w:highlight w:val="none"/>
        </w:rPr>
      </w:pPr>
    </w:p>
    <w:p>
      <w:pPr>
        <w:spacing w:line="360" w:lineRule="auto"/>
        <w:rPr>
          <w:rFonts w:hint="eastAsia" w:ascii="宋体" w:hAnsi="宋体" w:eastAsia="宋体" w:cs="宋体"/>
          <w:b/>
          <w:color w:val="auto"/>
          <w:spacing w:val="20"/>
          <w:sz w:val="24"/>
          <w:highlight w:val="none"/>
        </w:rPr>
      </w:pPr>
    </w:p>
    <w:p>
      <w:pPr>
        <w:spacing w:line="360" w:lineRule="auto"/>
        <w:ind w:left="420"/>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十七、内部考核制度和人员配置及管理情况方案</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（由投标人根据采购需求及招标文件要求编写）</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jc w:val="right"/>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p>
    <w:p>
      <w:pPr>
        <w:spacing w:line="360" w:lineRule="auto"/>
        <w:rPr>
          <w:rFonts w:hint="eastAsia" w:ascii="宋体" w:hAnsi="宋体" w:eastAsia="宋体" w:cs="宋体"/>
          <w:b/>
          <w:color w:val="auto"/>
          <w:spacing w:val="20"/>
          <w:sz w:val="24"/>
          <w:highlight w:val="none"/>
        </w:rPr>
      </w:pPr>
    </w:p>
    <w:p>
      <w:pPr>
        <w:spacing w:line="360" w:lineRule="auto"/>
        <w:ind w:left="420"/>
        <w:rPr>
          <w:rFonts w:hint="eastAsia" w:ascii="宋体" w:hAnsi="宋体" w:eastAsia="宋体" w:cs="宋体"/>
          <w:b/>
          <w:color w:val="auto"/>
          <w:spacing w:val="20"/>
          <w:sz w:val="24"/>
          <w:highlight w:val="none"/>
        </w:rPr>
      </w:pPr>
    </w:p>
    <w:p>
      <w:pPr>
        <w:spacing w:line="360" w:lineRule="auto"/>
        <w:ind w:left="420"/>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十八、参与本项目的管理人员和主要技术骨干名单及简历</w:t>
      </w:r>
    </w:p>
    <w:p>
      <w:pPr>
        <w:spacing w:line="360" w:lineRule="auto"/>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（包括年龄、学历、职称或技术等级、执业证明等）</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（由投标人根据采购需求及招标文件要求编写）</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附表A：拟派项目主要管理人员简历表</w:t>
      </w:r>
    </w:p>
    <w:tbl>
      <w:tblPr>
        <w:tblStyle w:val="22"/>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23"/>
        <w:gridCol w:w="1570"/>
        <w:gridCol w:w="1301"/>
        <w:gridCol w:w="1689"/>
        <w:gridCol w:w="1301"/>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0" w:hRule="atLeast"/>
        </w:trPr>
        <w:tc>
          <w:tcPr>
            <w:tcW w:w="692"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891"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958"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983"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trPr>
        <w:tc>
          <w:tcPr>
            <w:tcW w:w="692"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891"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958"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职  称</w:t>
            </w:r>
          </w:p>
        </w:tc>
        <w:tc>
          <w:tcPr>
            <w:tcW w:w="983"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692"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拟任职务</w:t>
            </w:r>
          </w:p>
        </w:tc>
        <w:tc>
          <w:tcPr>
            <w:tcW w:w="891"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现任职务</w:t>
            </w:r>
          </w:p>
        </w:tc>
        <w:tc>
          <w:tcPr>
            <w:tcW w:w="958"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相关</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工作年限</w:t>
            </w:r>
          </w:p>
        </w:tc>
        <w:tc>
          <w:tcPr>
            <w:tcW w:w="983"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692"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电  话</w:t>
            </w:r>
          </w:p>
        </w:tc>
        <w:tc>
          <w:tcPr>
            <w:tcW w:w="891"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手  机</w:t>
            </w:r>
          </w:p>
        </w:tc>
        <w:tc>
          <w:tcPr>
            <w:tcW w:w="958" w:type="pct"/>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p>
        </w:tc>
        <w:tc>
          <w:tcPr>
            <w:tcW w:w="983"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87"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相关工作经历</w:t>
            </w:r>
          </w:p>
        </w:tc>
        <w:tc>
          <w:tcPr>
            <w:tcW w:w="738" w:type="pct"/>
            <w:noWrap w:val="0"/>
            <w:vAlign w:val="center"/>
          </w:tcPr>
          <w:p>
            <w:pPr>
              <w:ind w:left="-140" w:leftChars="-67"/>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958" w:type="pct"/>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1721" w:type="pct"/>
            <w:gridSpan w:val="2"/>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个人荣誉情况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p>
        </w:tc>
        <w:tc>
          <w:tcPr>
            <w:tcW w:w="1187" w:type="pct"/>
            <w:gridSpan w:val="2"/>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（近三年从事相关工作经历）</w:t>
            </w:r>
          </w:p>
        </w:tc>
        <w:tc>
          <w:tcPr>
            <w:tcW w:w="738" w:type="pct"/>
            <w:noWrap w:val="0"/>
            <w:vAlign w:val="center"/>
          </w:tcPr>
          <w:p>
            <w:pPr>
              <w:jc w:val="center"/>
              <w:rPr>
                <w:rFonts w:hint="eastAsia" w:ascii="宋体" w:hAnsi="宋体" w:eastAsia="宋体" w:cs="宋体"/>
                <w:color w:val="auto"/>
                <w:highlight w:val="none"/>
              </w:rPr>
            </w:pPr>
          </w:p>
        </w:tc>
        <w:tc>
          <w:tcPr>
            <w:tcW w:w="958" w:type="pct"/>
            <w:noWrap w:val="0"/>
            <w:vAlign w:val="center"/>
          </w:tcPr>
          <w:p>
            <w:pPr>
              <w:jc w:val="center"/>
              <w:rPr>
                <w:rFonts w:hint="eastAsia" w:ascii="宋体" w:hAnsi="宋体" w:eastAsia="宋体" w:cs="宋体"/>
                <w:color w:val="auto"/>
                <w:highlight w:val="none"/>
              </w:rPr>
            </w:pPr>
          </w:p>
        </w:tc>
        <w:tc>
          <w:tcPr>
            <w:tcW w:w="1721" w:type="pct"/>
            <w:gridSpan w:val="2"/>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p>
        </w:tc>
        <w:tc>
          <w:tcPr>
            <w:tcW w:w="1187" w:type="pct"/>
            <w:gridSpan w:val="2"/>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p>
        </w:tc>
        <w:tc>
          <w:tcPr>
            <w:tcW w:w="958" w:type="pct"/>
            <w:noWrap w:val="0"/>
            <w:vAlign w:val="center"/>
          </w:tcPr>
          <w:p>
            <w:pPr>
              <w:jc w:val="center"/>
              <w:rPr>
                <w:rFonts w:hint="eastAsia" w:ascii="宋体" w:hAnsi="宋体" w:eastAsia="宋体" w:cs="宋体"/>
                <w:color w:val="auto"/>
                <w:highlight w:val="none"/>
              </w:rPr>
            </w:pPr>
          </w:p>
        </w:tc>
        <w:tc>
          <w:tcPr>
            <w:tcW w:w="1721" w:type="pct"/>
            <w:gridSpan w:val="2"/>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p>
        </w:tc>
        <w:tc>
          <w:tcPr>
            <w:tcW w:w="1187" w:type="pct"/>
            <w:gridSpan w:val="2"/>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p>
        </w:tc>
        <w:tc>
          <w:tcPr>
            <w:tcW w:w="958" w:type="pct"/>
            <w:noWrap w:val="0"/>
            <w:vAlign w:val="center"/>
          </w:tcPr>
          <w:p>
            <w:pPr>
              <w:jc w:val="center"/>
              <w:rPr>
                <w:rFonts w:hint="eastAsia" w:ascii="宋体" w:hAnsi="宋体" w:eastAsia="宋体" w:cs="宋体"/>
                <w:color w:val="auto"/>
                <w:highlight w:val="none"/>
              </w:rPr>
            </w:pPr>
          </w:p>
        </w:tc>
        <w:tc>
          <w:tcPr>
            <w:tcW w:w="1721" w:type="pct"/>
            <w:gridSpan w:val="2"/>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p>
        </w:tc>
        <w:tc>
          <w:tcPr>
            <w:tcW w:w="1187" w:type="pct"/>
            <w:gridSpan w:val="2"/>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p>
        </w:tc>
        <w:tc>
          <w:tcPr>
            <w:tcW w:w="958" w:type="pct"/>
            <w:noWrap w:val="0"/>
            <w:vAlign w:val="center"/>
          </w:tcPr>
          <w:p>
            <w:pPr>
              <w:jc w:val="center"/>
              <w:rPr>
                <w:rFonts w:hint="eastAsia" w:ascii="宋体" w:hAnsi="宋体" w:eastAsia="宋体" w:cs="宋体"/>
                <w:color w:val="auto"/>
                <w:highlight w:val="none"/>
              </w:rPr>
            </w:pPr>
          </w:p>
        </w:tc>
        <w:tc>
          <w:tcPr>
            <w:tcW w:w="1721" w:type="pct"/>
            <w:gridSpan w:val="2"/>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trPr>
        <w:tc>
          <w:tcPr>
            <w:tcW w:w="395" w:type="pct"/>
            <w:noWrap w:val="0"/>
            <w:vAlign w:val="center"/>
          </w:tcPr>
          <w:p>
            <w:pPr>
              <w:jc w:val="center"/>
              <w:rPr>
                <w:rFonts w:hint="eastAsia" w:ascii="宋体" w:hAnsi="宋体" w:eastAsia="宋体" w:cs="宋体"/>
                <w:color w:val="auto"/>
                <w:highlight w:val="none"/>
              </w:rPr>
            </w:pPr>
          </w:p>
        </w:tc>
        <w:tc>
          <w:tcPr>
            <w:tcW w:w="1187" w:type="pct"/>
            <w:gridSpan w:val="2"/>
            <w:noWrap w:val="0"/>
            <w:vAlign w:val="center"/>
          </w:tcPr>
          <w:p>
            <w:pPr>
              <w:jc w:val="center"/>
              <w:rPr>
                <w:rFonts w:hint="eastAsia" w:ascii="宋体" w:hAnsi="宋体" w:eastAsia="宋体" w:cs="宋体"/>
                <w:color w:val="auto"/>
                <w:highlight w:val="none"/>
              </w:rPr>
            </w:pPr>
          </w:p>
        </w:tc>
        <w:tc>
          <w:tcPr>
            <w:tcW w:w="738" w:type="pct"/>
            <w:noWrap w:val="0"/>
            <w:vAlign w:val="center"/>
          </w:tcPr>
          <w:p>
            <w:pPr>
              <w:jc w:val="center"/>
              <w:rPr>
                <w:rFonts w:hint="eastAsia" w:ascii="宋体" w:hAnsi="宋体" w:eastAsia="宋体" w:cs="宋体"/>
                <w:color w:val="auto"/>
                <w:highlight w:val="none"/>
              </w:rPr>
            </w:pPr>
          </w:p>
        </w:tc>
        <w:tc>
          <w:tcPr>
            <w:tcW w:w="958" w:type="pct"/>
            <w:noWrap w:val="0"/>
            <w:vAlign w:val="center"/>
          </w:tcPr>
          <w:p>
            <w:pPr>
              <w:jc w:val="center"/>
              <w:rPr>
                <w:rFonts w:hint="eastAsia" w:ascii="宋体" w:hAnsi="宋体" w:eastAsia="宋体" w:cs="宋体"/>
                <w:color w:val="auto"/>
                <w:highlight w:val="none"/>
              </w:rPr>
            </w:pPr>
          </w:p>
        </w:tc>
        <w:tc>
          <w:tcPr>
            <w:tcW w:w="1721" w:type="pct"/>
            <w:gridSpan w:val="2"/>
            <w:noWrap w:val="0"/>
            <w:vAlign w:val="center"/>
          </w:tcPr>
          <w:p>
            <w:pPr>
              <w:jc w:val="center"/>
              <w:rPr>
                <w:rFonts w:hint="eastAsia" w:ascii="宋体" w:hAnsi="宋体" w:eastAsia="宋体" w:cs="宋体"/>
                <w:color w:val="auto"/>
                <w:highlight w:val="none"/>
              </w:rPr>
            </w:pPr>
          </w:p>
        </w:tc>
      </w:tr>
    </w:tbl>
    <w:p>
      <w:pPr>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注：职称、学历、业绩等应附相应证明材料。</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附表B：主要技术人员配备情况表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351"/>
        <w:gridCol w:w="893"/>
        <w:gridCol w:w="1344"/>
        <w:gridCol w:w="1025"/>
        <w:gridCol w:w="197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68"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 号</w:t>
            </w:r>
          </w:p>
        </w:tc>
        <w:tc>
          <w:tcPr>
            <w:tcW w:w="755"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姓 名</w:t>
            </w:r>
          </w:p>
        </w:tc>
        <w:tc>
          <w:tcPr>
            <w:tcW w:w="499"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学历</w:t>
            </w:r>
          </w:p>
        </w:tc>
        <w:tc>
          <w:tcPr>
            <w:tcW w:w="751"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专业</w:t>
            </w:r>
          </w:p>
        </w:tc>
        <w:tc>
          <w:tcPr>
            <w:tcW w:w="573"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职称</w:t>
            </w:r>
          </w:p>
        </w:tc>
        <w:tc>
          <w:tcPr>
            <w:tcW w:w="1104"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职称证书编号</w:t>
            </w:r>
          </w:p>
        </w:tc>
        <w:tc>
          <w:tcPr>
            <w:tcW w:w="850" w:type="pct"/>
            <w:noWrap w:val="0"/>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68" w:type="pct"/>
            <w:noWrap w:val="0"/>
            <w:vAlign w:val="center"/>
          </w:tcPr>
          <w:p>
            <w:pPr>
              <w:jc w:val="center"/>
              <w:rPr>
                <w:rFonts w:hint="eastAsia" w:ascii="宋体" w:hAnsi="宋体" w:eastAsia="宋体" w:cs="宋体"/>
                <w:b/>
                <w:color w:val="auto"/>
                <w:highlight w:val="none"/>
              </w:rPr>
            </w:pPr>
          </w:p>
        </w:tc>
        <w:tc>
          <w:tcPr>
            <w:tcW w:w="755" w:type="pct"/>
            <w:noWrap w:val="0"/>
            <w:vAlign w:val="center"/>
          </w:tcPr>
          <w:p>
            <w:pPr>
              <w:jc w:val="center"/>
              <w:rPr>
                <w:rFonts w:hint="eastAsia" w:ascii="宋体" w:hAnsi="宋体" w:eastAsia="宋体" w:cs="宋体"/>
                <w:b/>
                <w:color w:val="auto"/>
                <w:highlight w:val="none"/>
              </w:rPr>
            </w:pPr>
          </w:p>
        </w:tc>
        <w:tc>
          <w:tcPr>
            <w:tcW w:w="499" w:type="pct"/>
            <w:noWrap w:val="0"/>
            <w:vAlign w:val="center"/>
          </w:tcPr>
          <w:p>
            <w:pPr>
              <w:jc w:val="center"/>
              <w:rPr>
                <w:rFonts w:hint="eastAsia" w:ascii="宋体" w:hAnsi="宋体" w:eastAsia="宋体" w:cs="宋体"/>
                <w:color w:val="auto"/>
                <w:highlight w:val="none"/>
              </w:rPr>
            </w:pPr>
          </w:p>
        </w:tc>
        <w:tc>
          <w:tcPr>
            <w:tcW w:w="751" w:type="pct"/>
            <w:noWrap w:val="0"/>
            <w:vAlign w:val="center"/>
          </w:tcPr>
          <w:p>
            <w:pPr>
              <w:jc w:val="center"/>
              <w:rPr>
                <w:rFonts w:hint="eastAsia" w:ascii="宋体" w:hAnsi="宋体" w:eastAsia="宋体" w:cs="宋体"/>
                <w:color w:val="auto"/>
                <w:highlight w:val="none"/>
              </w:rPr>
            </w:pPr>
          </w:p>
        </w:tc>
        <w:tc>
          <w:tcPr>
            <w:tcW w:w="573" w:type="pct"/>
            <w:noWrap w:val="0"/>
            <w:vAlign w:val="center"/>
          </w:tcPr>
          <w:p>
            <w:pPr>
              <w:jc w:val="center"/>
              <w:rPr>
                <w:rFonts w:hint="eastAsia" w:ascii="宋体" w:hAnsi="宋体" w:eastAsia="宋体" w:cs="宋体"/>
                <w:color w:val="auto"/>
                <w:highlight w:val="none"/>
              </w:rPr>
            </w:pPr>
          </w:p>
        </w:tc>
        <w:tc>
          <w:tcPr>
            <w:tcW w:w="1104" w:type="pct"/>
            <w:noWrap w:val="0"/>
            <w:vAlign w:val="center"/>
          </w:tcPr>
          <w:p>
            <w:pPr>
              <w:jc w:val="center"/>
              <w:rPr>
                <w:rFonts w:hint="eastAsia" w:ascii="宋体" w:hAnsi="宋体" w:eastAsia="宋体" w:cs="宋体"/>
                <w:color w:val="auto"/>
                <w:highlight w:val="none"/>
              </w:rPr>
            </w:pPr>
          </w:p>
        </w:tc>
        <w:tc>
          <w:tcPr>
            <w:tcW w:w="850"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68" w:type="pct"/>
            <w:noWrap w:val="0"/>
            <w:vAlign w:val="center"/>
          </w:tcPr>
          <w:p>
            <w:pPr>
              <w:jc w:val="center"/>
              <w:rPr>
                <w:rFonts w:hint="eastAsia" w:ascii="宋体" w:hAnsi="宋体" w:eastAsia="宋体" w:cs="宋体"/>
                <w:color w:val="auto"/>
                <w:highlight w:val="none"/>
              </w:rPr>
            </w:pPr>
          </w:p>
        </w:tc>
        <w:tc>
          <w:tcPr>
            <w:tcW w:w="755" w:type="pct"/>
            <w:noWrap w:val="0"/>
            <w:vAlign w:val="center"/>
          </w:tcPr>
          <w:p>
            <w:pPr>
              <w:jc w:val="center"/>
              <w:rPr>
                <w:rFonts w:hint="eastAsia" w:ascii="宋体" w:hAnsi="宋体" w:eastAsia="宋体" w:cs="宋体"/>
                <w:color w:val="auto"/>
                <w:highlight w:val="none"/>
              </w:rPr>
            </w:pPr>
          </w:p>
        </w:tc>
        <w:tc>
          <w:tcPr>
            <w:tcW w:w="499" w:type="pct"/>
            <w:noWrap w:val="0"/>
            <w:vAlign w:val="center"/>
          </w:tcPr>
          <w:p>
            <w:pPr>
              <w:jc w:val="center"/>
              <w:rPr>
                <w:rFonts w:hint="eastAsia" w:ascii="宋体" w:hAnsi="宋体" w:eastAsia="宋体" w:cs="宋体"/>
                <w:color w:val="auto"/>
                <w:highlight w:val="none"/>
              </w:rPr>
            </w:pPr>
          </w:p>
        </w:tc>
        <w:tc>
          <w:tcPr>
            <w:tcW w:w="751" w:type="pct"/>
            <w:noWrap w:val="0"/>
            <w:vAlign w:val="center"/>
          </w:tcPr>
          <w:p>
            <w:pPr>
              <w:jc w:val="center"/>
              <w:rPr>
                <w:rFonts w:hint="eastAsia" w:ascii="宋体" w:hAnsi="宋体" w:eastAsia="宋体" w:cs="宋体"/>
                <w:color w:val="auto"/>
                <w:highlight w:val="none"/>
              </w:rPr>
            </w:pPr>
          </w:p>
        </w:tc>
        <w:tc>
          <w:tcPr>
            <w:tcW w:w="573" w:type="pct"/>
            <w:noWrap w:val="0"/>
            <w:vAlign w:val="center"/>
          </w:tcPr>
          <w:p>
            <w:pPr>
              <w:jc w:val="center"/>
              <w:rPr>
                <w:rFonts w:hint="eastAsia" w:ascii="宋体" w:hAnsi="宋体" w:eastAsia="宋体" w:cs="宋体"/>
                <w:color w:val="auto"/>
                <w:highlight w:val="none"/>
              </w:rPr>
            </w:pPr>
          </w:p>
        </w:tc>
        <w:tc>
          <w:tcPr>
            <w:tcW w:w="1104" w:type="pct"/>
            <w:noWrap w:val="0"/>
            <w:vAlign w:val="center"/>
          </w:tcPr>
          <w:p>
            <w:pPr>
              <w:jc w:val="center"/>
              <w:rPr>
                <w:rFonts w:hint="eastAsia" w:ascii="宋体" w:hAnsi="宋体" w:eastAsia="宋体" w:cs="宋体"/>
                <w:color w:val="auto"/>
                <w:highlight w:val="none"/>
              </w:rPr>
            </w:pPr>
          </w:p>
        </w:tc>
        <w:tc>
          <w:tcPr>
            <w:tcW w:w="850"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68" w:type="pct"/>
            <w:noWrap w:val="0"/>
            <w:vAlign w:val="center"/>
          </w:tcPr>
          <w:p>
            <w:pPr>
              <w:jc w:val="center"/>
              <w:rPr>
                <w:rFonts w:hint="eastAsia" w:ascii="宋体" w:hAnsi="宋体" w:eastAsia="宋体" w:cs="宋体"/>
                <w:color w:val="auto"/>
                <w:highlight w:val="none"/>
              </w:rPr>
            </w:pPr>
          </w:p>
        </w:tc>
        <w:tc>
          <w:tcPr>
            <w:tcW w:w="755" w:type="pct"/>
            <w:noWrap w:val="0"/>
            <w:vAlign w:val="center"/>
          </w:tcPr>
          <w:p>
            <w:pPr>
              <w:jc w:val="center"/>
              <w:rPr>
                <w:rFonts w:hint="eastAsia" w:ascii="宋体" w:hAnsi="宋体" w:eastAsia="宋体" w:cs="宋体"/>
                <w:color w:val="auto"/>
                <w:highlight w:val="none"/>
              </w:rPr>
            </w:pPr>
          </w:p>
        </w:tc>
        <w:tc>
          <w:tcPr>
            <w:tcW w:w="499" w:type="pct"/>
            <w:noWrap w:val="0"/>
            <w:vAlign w:val="center"/>
          </w:tcPr>
          <w:p>
            <w:pPr>
              <w:jc w:val="center"/>
              <w:rPr>
                <w:rFonts w:hint="eastAsia" w:ascii="宋体" w:hAnsi="宋体" w:eastAsia="宋体" w:cs="宋体"/>
                <w:color w:val="auto"/>
                <w:highlight w:val="none"/>
              </w:rPr>
            </w:pPr>
          </w:p>
        </w:tc>
        <w:tc>
          <w:tcPr>
            <w:tcW w:w="751" w:type="pct"/>
            <w:noWrap w:val="0"/>
            <w:vAlign w:val="center"/>
          </w:tcPr>
          <w:p>
            <w:pPr>
              <w:jc w:val="center"/>
              <w:rPr>
                <w:rFonts w:hint="eastAsia" w:ascii="宋体" w:hAnsi="宋体" w:eastAsia="宋体" w:cs="宋体"/>
                <w:color w:val="auto"/>
                <w:highlight w:val="none"/>
              </w:rPr>
            </w:pPr>
          </w:p>
        </w:tc>
        <w:tc>
          <w:tcPr>
            <w:tcW w:w="573" w:type="pct"/>
            <w:noWrap w:val="0"/>
            <w:vAlign w:val="center"/>
          </w:tcPr>
          <w:p>
            <w:pPr>
              <w:jc w:val="center"/>
              <w:rPr>
                <w:rFonts w:hint="eastAsia" w:ascii="宋体" w:hAnsi="宋体" w:eastAsia="宋体" w:cs="宋体"/>
                <w:color w:val="auto"/>
                <w:highlight w:val="none"/>
              </w:rPr>
            </w:pPr>
          </w:p>
        </w:tc>
        <w:tc>
          <w:tcPr>
            <w:tcW w:w="1104" w:type="pct"/>
            <w:noWrap w:val="0"/>
            <w:vAlign w:val="center"/>
          </w:tcPr>
          <w:p>
            <w:pPr>
              <w:jc w:val="center"/>
              <w:rPr>
                <w:rFonts w:hint="eastAsia" w:ascii="宋体" w:hAnsi="宋体" w:eastAsia="宋体" w:cs="宋体"/>
                <w:color w:val="auto"/>
                <w:highlight w:val="none"/>
              </w:rPr>
            </w:pPr>
          </w:p>
        </w:tc>
        <w:tc>
          <w:tcPr>
            <w:tcW w:w="850" w:type="pct"/>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68" w:type="pct"/>
            <w:noWrap w:val="0"/>
            <w:vAlign w:val="center"/>
          </w:tcPr>
          <w:p>
            <w:pPr>
              <w:jc w:val="center"/>
              <w:rPr>
                <w:rFonts w:hint="eastAsia" w:ascii="宋体" w:hAnsi="宋体" w:eastAsia="宋体" w:cs="宋体"/>
                <w:color w:val="auto"/>
                <w:highlight w:val="none"/>
              </w:rPr>
            </w:pPr>
          </w:p>
        </w:tc>
        <w:tc>
          <w:tcPr>
            <w:tcW w:w="755" w:type="pct"/>
            <w:noWrap w:val="0"/>
            <w:vAlign w:val="center"/>
          </w:tcPr>
          <w:p>
            <w:pPr>
              <w:jc w:val="center"/>
              <w:rPr>
                <w:rFonts w:hint="eastAsia" w:ascii="宋体" w:hAnsi="宋体" w:eastAsia="宋体" w:cs="宋体"/>
                <w:color w:val="auto"/>
                <w:highlight w:val="none"/>
              </w:rPr>
            </w:pPr>
          </w:p>
        </w:tc>
        <w:tc>
          <w:tcPr>
            <w:tcW w:w="499" w:type="pct"/>
            <w:noWrap w:val="0"/>
            <w:vAlign w:val="center"/>
          </w:tcPr>
          <w:p>
            <w:pPr>
              <w:jc w:val="center"/>
              <w:rPr>
                <w:rFonts w:hint="eastAsia" w:ascii="宋体" w:hAnsi="宋体" w:eastAsia="宋体" w:cs="宋体"/>
                <w:color w:val="auto"/>
                <w:highlight w:val="none"/>
              </w:rPr>
            </w:pPr>
          </w:p>
        </w:tc>
        <w:tc>
          <w:tcPr>
            <w:tcW w:w="751" w:type="pct"/>
            <w:noWrap w:val="0"/>
            <w:vAlign w:val="center"/>
          </w:tcPr>
          <w:p>
            <w:pPr>
              <w:jc w:val="center"/>
              <w:rPr>
                <w:rFonts w:hint="eastAsia" w:ascii="宋体" w:hAnsi="宋体" w:eastAsia="宋体" w:cs="宋体"/>
                <w:color w:val="auto"/>
                <w:highlight w:val="none"/>
              </w:rPr>
            </w:pPr>
          </w:p>
        </w:tc>
        <w:tc>
          <w:tcPr>
            <w:tcW w:w="573" w:type="pct"/>
            <w:noWrap w:val="0"/>
            <w:vAlign w:val="center"/>
          </w:tcPr>
          <w:p>
            <w:pPr>
              <w:jc w:val="center"/>
              <w:rPr>
                <w:rFonts w:hint="eastAsia" w:ascii="宋体" w:hAnsi="宋体" w:eastAsia="宋体" w:cs="宋体"/>
                <w:color w:val="auto"/>
                <w:highlight w:val="none"/>
              </w:rPr>
            </w:pPr>
          </w:p>
        </w:tc>
        <w:tc>
          <w:tcPr>
            <w:tcW w:w="1104" w:type="pct"/>
            <w:noWrap w:val="0"/>
            <w:vAlign w:val="center"/>
          </w:tcPr>
          <w:p>
            <w:pPr>
              <w:jc w:val="center"/>
              <w:rPr>
                <w:rFonts w:hint="eastAsia" w:ascii="宋体" w:hAnsi="宋体" w:eastAsia="宋体" w:cs="宋体"/>
                <w:color w:val="auto"/>
                <w:highlight w:val="none"/>
              </w:rPr>
            </w:pPr>
          </w:p>
        </w:tc>
        <w:tc>
          <w:tcPr>
            <w:tcW w:w="850" w:type="pct"/>
            <w:noWrap w:val="0"/>
            <w:vAlign w:val="center"/>
          </w:tcPr>
          <w:p>
            <w:pPr>
              <w:jc w:val="center"/>
              <w:rPr>
                <w:rFonts w:hint="eastAsia" w:ascii="宋体" w:hAnsi="宋体" w:eastAsia="宋体" w:cs="宋体"/>
                <w:color w:val="auto"/>
                <w:highlight w:val="none"/>
              </w:rPr>
            </w:pPr>
          </w:p>
        </w:tc>
      </w:tr>
    </w:tbl>
    <w:p>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Cs w:val="21"/>
          <w:highlight w:val="none"/>
        </w:rPr>
        <w:t>注：职称、学历、业绩等应附相应证明材料。</w:t>
      </w:r>
    </w:p>
    <w:p>
      <w:pPr>
        <w:spacing w:line="360" w:lineRule="auto"/>
        <w:rPr>
          <w:rFonts w:hint="eastAsia" w:ascii="宋体" w:hAnsi="宋体" w:eastAsia="宋体" w:cs="宋体"/>
          <w:color w:val="auto"/>
          <w:spacing w:val="20"/>
          <w:sz w:val="24"/>
          <w:highlight w:val="none"/>
        </w:rPr>
      </w:pPr>
    </w:p>
    <w:p>
      <w:pPr>
        <w:spacing w:line="360" w:lineRule="auto"/>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rPr>
          <w:rFonts w:hint="eastAsia" w:ascii="宋体" w:hAnsi="宋体" w:eastAsia="宋体" w:cs="宋体"/>
          <w:b/>
          <w:color w:val="auto"/>
          <w:spacing w:val="20"/>
          <w:sz w:val="24"/>
          <w:highlight w:val="none"/>
        </w:rPr>
      </w:pPr>
    </w:p>
    <w:p>
      <w:pPr>
        <w:spacing w:line="360" w:lineRule="auto"/>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br w:type="page"/>
      </w:r>
    </w:p>
    <w:p>
      <w:pPr>
        <w:spacing w:line="360" w:lineRule="auto"/>
        <w:ind w:left="420"/>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十九、技术偏离说明表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662"/>
        <w:gridCol w:w="1789"/>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71"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名称</w:t>
            </w:r>
          </w:p>
        </w:tc>
        <w:tc>
          <w:tcPr>
            <w:tcW w:w="929"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采购要求</w:t>
            </w: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投标响应</w:t>
            </w: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偏离</w:t>
            </w:r>
          </w:p>
        </w:tc>
        <w:tc>
          <w:tcPr>
            <w:tcW w:w="1001" w:type="pct"/>
            <w:noWrap w:val="0"/>
            <w:vAlign w:val="top"/>
          </w:tcPr>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71" w:type="pct"/>
            <w:noWrap w:val="0"/>
            <w:vAlign w:val="top"/>
          </w:tcPr>
          <w:p>
            <w:pPr>
              <w:spacing w:line="360" w:lineRule="auto"/>
              <w:jc w:val="center"/>
              <w:rPr>
                <w:rFonts w:hint="eastAsia" w:ascii="宋体" w:hAnsi="宋体" w:eastAsia="宋体" w:cs="宋体"/>
                <w:color w:val="auto"/>
                <w:spacing w:val="20"/>
                <w:sz w:val="24"/>
                <w:highlight w:val="none"/>
              </w:rPr>
            </w:pPr>
          </w:p>
        </w:tc>
        <w:tc>
          <w:tcPr>
            <w:tcW w:w="929"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1" w:type="pct"/>
            <w:noWrap w:val="0"/>
            <w:vAlign w:val="top"/>
          </w:tcPr>
          <w:p>
            <w:pPr>
              <w:spacing w:line="360" w:lineRule="auto"/>
              <w:jc w:val="center"/>
              <w:rPr>
                <w:rFonts w:hint="eastAsia" w:ascii="宋体" w:hAnsi="宋体" w:eastAsia="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71" w:type="pct"/>
            <w:noWrap w:val="0"/>
            <w:vAlign w:val="top"/>
          </w:tcPr>
          <w:p>
            <w:pPr>
              <w:spacing w:line="360" w:lineRule="auto"/>
              <w:jc w:val="center"/>
              <w:rPr>
                <w:rFonts w:hint="eastAsia" w:ascii="宋体" w:hAnsi="宋体" w:eastAsia="宋体" w:cs="宋体"/>
                <w:color w:val="auto"/>
                <w:spacing w:val="20"/>
                <w:sz w:val="24"/>
                <w:highlight w:val="none"/>
              </w:rPr>
            </w:pPr>
          </w:p>
        </w:tc>
        <w:tc>
          <w:tcPr>
            <w:tcW w:w="929"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1" w:type="pct"/>
            <w:noWrap w:val="0"/>
            <w:vAlign w:val="top"/>
          </w:tcPr>
          <w:p>
            <w:pPr>
              <w:spacing w:line="360" w:lineRule="auto"/>
              <w:jc w:val="center"/>
              <w:rPr>
                <w:rFonts w:hint="eastAsia" w:ascii="宋体" w:hAnsi="宋体" w:eastAsia="宋体" w:cs="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071" w:type="pct"/>
            <w:noWrap w:val="0"/>
            <w:vAlign w:val="top"/>
          </w:tcPr>
          <w:p>
            <w:pPr>
              <w:spacing w:line="360" w:lineRule="auto"/>
              <w:jc w:val="center"/>
              <w:rPr>
                <w:rFonts w:hint="eastAsia" w:ascii="宋体" w:hAnsi="宋体" w:eastAsia="宋体" w:cs="宋体"/>
                <w:color w:val="auto"/>
                <w:spacing w:val="20"/>
                <w:sz w:val="24"/>
                <w:highlight w:val="none"/>
              </w:rPr>
            </w:pPr>
          </w:p>
        </w:tc>
        <w:tc>
          <w:tcPr>
            <w:tcW w:w="929"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0" w:type="pct"/>
            <w:noWrap w:val="0"/>
            <w:vAlign w:val="top"/>
          </w:tcPr>
          <w:p>
            <w:pPr>
              <w:spacing w:line="360" w:lineRule="auto"/>
              <w:jc w:val="center"/>
              <w:rPr>
                <w:rFonts w:hint="eastAsia" w:ascii="宋体" w:hAnsi="宋体" w:eastAsia="宋体" w:cs="宋体"/>
                <w:color w:val="auto"/>
                <w:spacing w:val="20"/>
                <w:sz w:val="24"/>
                <w:highlight w:val="none"/>
              </w:rPr>
            </w:pPr>
          </w:p>
        </w:tc>
        <w:tc>
          <w:tcPr>
            <w:tcW w:w="1001" w:type="pct"/>
            <w:noWrap w:val="0"/>
            <w:vAlign w:val="top"/>
          </w:tcPr>
          <w:p>
            <w:pPr>
              <w:spacing w:line="360" w:lineRule="auto"/>
              <w:jc w:val="center"/>
              <w:rPr>
                <w:rFonts w:hint="eastAsia" w:ascii="宋体" w:hAnsi="宋体" w:eastAsia="宋体" w:cs="宋体"/>
                <w:color w:val="auto"/>
                <w:spacing w:val="20"/>
                <w:sz w:val="24"/>
                <w:highlight w:val="none"/>
              </w:rPr>
            </w:pPr>
          </w:p>
        </w:tc>
      </w:tr>
    </w:tbl>
    <w:p>
      <w:pPr>
        <w:spacing w:line="360" w:lineRule="auto"/>
        <w:jc w:val="center"/>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b/>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ind w:left="420"/>
        <w:jc w:val="center"/>
        <w:rPr>
          <w:rFonts w:hint="eastAsia" w:ascii="宋体" w:hAnsi="宋体" w:eastAsia="宋体" w:cs="宋体"/>
          <w:b/>
          <w:color w:val="auto"/>
          <w:spacing w:val="20"/>
          <w:sz w:val="24"/>
          <w:highlight w:val="none"/>
        </w:rPr>
      </w:pPr>
    </w:p>
    <w:p>
      <w:pPr>
        <w:spacing w:line="360" w:lineRule="auto"/>
        <w:ind w:left="420"/>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二十、对招标文件中有关条款的拒绝声明</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（由投标人根据采购需求自行编制）</w:t>
      </w:r>
    </w:p>
    <w:p>
      <w:pPr>
        <w:spacing w:line="360" w:lineRule="auto"/>
        <w:jc w:val="center"/>
        <w:rPr>
          <w:rFonts w:hint="eastAsia" w:ascii="宋体" w:hAnsi="宋体" w:eastAsia="宋体" w:cs="宋体"/>
          <w:color w:val="auto"/>
          <w:spacing w:val="20"/>
          <w:sz w:val="24"/>
          <w:highlight w:val="none"/>
        </w:rPr>
      </w:pPr>
    </w:p>
    <w:p>
      <w:pPr>
        <w:spacing w:line="360" w:lineRule="auto"/>
        <w:jc w:val="center"/>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jc w:val="right"/>
        <w:rPr>
          <w:rFonts w:hint="eastAsia" w:ascii="宋体" w:hAnsi="宋体" w:eastAsia="宋体" w:cs="宋体"/>
          <w:color w:val="auto"/>
          <w:spacing w:val="20"/>
          <w:sz w:val="24"/>
          <w:highlight w:val="none"/>
        </w:rPr>
      </w:pPr>
    </w:p>
    <w:p>
      <w:pPr>
        <w:spacing w:line="360" w:lineRule="auto"/>
        <w:ind w:left="420"/>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二十一、其他技术文件或说明</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（由投标人根据采购需求自行编制）</w:t>
      </w:r>
    </w:p>
    <w:p>
      <w:pPr>
        <w:spacing w:line="360" w:lineRule="auto"/>
        <w:jc w:val="center"/>
        <w:rPr>
          <w:rFonts w:hint="eastAsia" w:ascii="宋体" w:hAnsi="宋体" w:eastAsia="宋体" w:cs="宋体"/>
          <w:color w:val="auto"/>
          <w:spacing w:val="20"/>
          <w:sz w:val="24"/>
          <w:highlight w:val="none"/>
        </w:rPr>
      </w:pPr>
    </w:p>
    <w:p>
      <w:pPr>
        <w:spacing w:line="360" w:lineRule="auto"/>
        <w:jc w:val="center"/>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spacing w:line="360" w:lineRule="auto"/>
        <w:rPr>
          <w:rFonts w:hint="eastAsia" w:ascii="宋体" w:hAnsi="宋体" w:eastAsia="宋体" w:cs="宋体"/>
          <w:b/>
          <w:color w:val="auto"/>
          <w:spacing w:val="20"/>
          <w:sz w:val="24"/>
          <w:highlight w:val="none"/>
        </w:rPr>
      </w:pPr>
    </w:p>
    <w:p>
      <w:pPr>
        <w:pStyle w:val="2"/>
        <w:ind w:firstLine="562"/>
        <w:rPr>
          <w:rFonts w:hint="eastAsia" w:ascii="宋体" w:hAnsi="宋体" w:eastAsia="宋体" w:cs="宋体"/>
          <w:b/>
          <w:color w:val="auto"/>
          <w:spacing w:val="20"/>
          <w:highlight w:val="none"/>
        </w:rPr>
      </w:pPr>
    </w:p>
    <w:p>
      <w:pPr>
        <w:spacing w:line="360" w:lineRule="auto"/>
        <w:ind w:left="420"/>
        <w:jc w:val="center"/>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二十二、优惠条件及特殊承诺</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（由投标人根据采购需求自行编制）</w:t>
      </w:r>
    </w:p>
    <w:p>
      <w:pPr>
        <w:spacing w:line="360" w:lineRule="auto"/>
        <w:ind w:right="280"/>
        <w:jc w:val="right"/>
        <w:rPr>
          <w:rFonts w:hint="eastAsia" w:ascii="宋体" w:hAnsi="宋体" w:eastAsia="宋体" w:cs="宋体"/>
          <w:color w:val="auto"/>
          <w:spacing w:val="20"/>
          <w:sz w:val="24"/>
          <w:highlight w:val="none"/>
        </w:rPr>
      </w:pP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投标人名称（电子签名）：</w:t>
      </w:r>
      <w:r>
        <w:rPr>
          <w:rFonts w:hint="eastAsia" w:ascii="宋体" w:hAnsi="宋体" w:eastAsia="宋体" w:cs="宋体"/>
          <w:color w:val="auto"/>
          <w:spacing w:val="20"/>
          <w:sz w:val="24"/>
          <w:highlight w:val="none"/>
        </w:rPr>
        <w:t xml:space="preserve">    </w:t>
      </w:r>
    </w:p>
    <w:p>
      <w:pPr>
        <w:spacing w:line="360" w:lineRule="auto"/>
        <w:jc w:val="righ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日期：2020年   月   日</w:t>
      </w:r>
    </w:p>
    <w:p>
      <w:pPr>
        <w:ind w:firstLine="3346" w:firstLineChars="1195"/>
        <w:rPr>
          <w:rFonts w:hint="eastAsia" w:ascii="宋体" w:hAnsi="宋体" w:eastAsia="宋体" w:cs="宋体"/>
          <w:b/>
          <w:color w:val="auto"/>
          <w:sz w:val="24"/>
          <w:highlight w:val="none"/>
        </w:rPr>
      </w:pPr>
      <w:r>
        <w:rPr>
          <w:rFonts w:hint="eastAsia" w:ascii="宋体" w:hAnsi="宋体" w:eastAsia="宋体" w:cs="宋体"/>
          <w:color w:val="auto"/>
          <w:spacing w:val="20"/>
          <w:sz w:val="24"/>
          <w:highlight w:val="none"/>
        </w:rPr>
        <w:t>二十三</w:t>
      </w:r>
      <w:r>
        <w:rPr>
          <w:rFonts w:hint="eastAsia" w:ascii="宋体" w:hAnsi="宋体" w:eastAsia="宋体" w:cs="宋体"/>
          <w:b/>
          <w:color w:val="auto"/>
          <w:spacing w:val="20"/>
          <w:sz w:val="24"/>
          <w:highlight w:val="none"/>
        </w:rPr>
        <w:t>、</w:t>
      </w:r>
      <w:r>
        <w:rPr>
          <w:rFonts w:hint="eastAsia" w:ascii="宋体" w:hAnsi="宋体" w:eastAsia="宋体" w:cs="宋体"/>
          <w:b/>
          <w:color w:val="auto"/>
          <w:sz w:val="24"/>
          <w:highlight w:val="none"/>
        </w:rPr>
        <w:t>廉政承诺书</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杭州市拱墅区城市管理局：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我单位响应你单位项目采购要求参加应标。在这次应标过程中以及成交后，我们将严格遵守国家法律法规要求，并郑重承诺：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一、不向项目有关人员及部门赠送礼金礼物、有价证券、回扣以及中介费、介绍费、咨询费等好处费；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二、不为项目有关人员及部门报销应由你方单位或个人支付的费用；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三、不向项目有关人员及部门提供有可能影响公正的宴请和健身娱乐等活动；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四、不为项目有关人员及部门出国（境）、旅游等提供方便；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五、不为项目有关人员个人装修住房、婚丧嫁娶、配偶子女工作安排等提供好处；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六、严格遵守政府采购法、招标投标法、合同法等法律，诚实守信，合法经营，坚决抵制各种违法违纪行为。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上述承诺，你单位有权立即取消我单位应标、成交或在建项目的建设资格，有权拒绝我单位在一定时期内进入你单位进行项目建设或其他经营活动，并通报市政府采购办。由此引起的相应损失均由我单位承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日期：2020年  月  日</w:t>
      </w:r>
    </w:p>
    <w:p>
      <w:pPr>
        <w:spacing w:line="360" w:lineRule="auto"/>
        <w:rPr>
          <w:rFonts w:hint="eastAsia" w:ascii="宋体" w:hAnsi="宋体" w:eastAsia="宋体" w:cs="宋体"/>
          <w:color w:val="auto"/>
          <w:highlight w:val="none"/>
        </w:rPr>
      </w:pPr>
    </w:p>
    <w:sectPr>
      <w:footerReference r:id="rId11" w:type="default"/>
      <w:pgSz w:w="11907" w:h="16840"/>
      <w:pgMar w:top="1440" w:right="1418" w:bottom="1440" w:left="175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ScalaSansLF-Regular">
    <w:altName w:val="Trebuchet MS"/>
    <w:panose1 w:val="02000503020000020003"/>
    <w:charset w:val="00"/>
    <w:family w:val="auto"/>
    <w:pitch w:val="default"/>
    <w:sig w:usb0="8000002F" w:usb1="4000004A"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2</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6</w:t>
    </w:r>
    <w:r>
      <w:fldChar w:fldCharType="end"/>
    </w:r>
  </w:p>
  <w:p>
    <w:pPr>
      <w:pStyle w:val="1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93</w:t>
    </w:r>
    <w:r>
      <w:fldChar w:fldCharType="end"/>
    </w:r>
  </w:p>
  <w:p>
    <w:pPr>
      <w:pStyle w:val="15"/>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sz w:val="21"/>
      </w:rPr>
    </w:pPr>
    <w:r>
      <w:rPr>
        <w:rFonts w:hint="eastAsia"/>
        <w:sz w:val="21"/>
      </w:rPr>
      <w:t>杭州市拱墅区城市管理局公开招标文件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sz w:val="21"/>
      </w:rPr>
      <w:t>杭州市拱墅区城市管理局公开招标文件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color w:val="FF0000"/>
        <w:sz w:val="21"/>
      </w:rPr>
    </w:pPr>
    <w:r>
      <w:rPr>
        <w:rFonts w:hint="eastAsia"/>
        <w:sz w:val="21"/>
      </w:rPr>
      <w:t>杭州市拱墅区城市管理局公开招标文件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D585C"/>
    <w:multiLevelType w:val="multilevel"/>
    <w:tmpl w:val="095D585C"/>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2E201F"/>
    <w:multiLevelType w:val="multilevel"/>
    <w:tmpl w:val="122E201F"/>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B0D988"/>
    <w:multiLevelType w:val="singleLevel"/>
    <w:tmpl w:val="14B0D988"/>
    <w:lvl w:ilvl="0" w:tentative="0">
      <w:start w:val="1"/>
      <w:numFmt w:val="decimal"/>
      <w:suff w:val="nothing"/>
      <w:lvlText w:val="（%1）"/>
      <w:lvlJc w:val="left"/>
    </w:lvl>
  </w:abstractNum>
  <w:abstractNum w:abstractNumId="3">
    <w:nsid w:val="38804EC8"/>
    <w:multiLevelType w:val="multilevel"/>
    <w:tmpl w:val="38804EC8"/>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3696677"/>
    <w:multiLevelType w:val="multilevel"/>
    <w:tmpl w:val="4369667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104524"/>
    <w:multiLevelType w:val="multilevel"/>
    <w:tmpl w:val="62104524"/>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71DD6F39"/>
    <w:multiLevelType w:val="multilevel"/>
    <w:tmpl w:val="71DD6F39"/>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7">
    <w:nsid w:val="7F2A34FB"/>
    <w:multiLevelType w:val="multilevel"/>
    <w:tmpl w:val="7F2A34FB"/>
    <w:lvl w:ilvl="0" w:tentative="0">
      <w:start w:val="1"/>
      <w:numFmt w:val="decimal"/>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5"/>
  </w:num>
  <w:num w:numId="4">
    <w:abstractNumId w:val="7"/>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5F"/>
    <w:rsid w:val="000014F7"/>
    <w:rsid w:val="00002CA2"/>
    <w:rsid w:val="00003E9A"/>
    <w:rsid w:val="00003FEF"/>
    <w:rsid w:val="00004E6D"/>
    <w:rsid w:val="000065E6"/>
    <w:rsid w:val="00006967"/>
    <w:rsid w:val="00006A19"/>
    <w:rsid w:val="000072D7"/>
    <w:rsid w:val="000100D0"/>
    <w:rsid w:val="000107B7"/>
    <w:rsid w:val="000137F1"/>
    <w:rsid w:val="0001393B"/>
    <w:rsid w:val="00013D8B"/>
    <w:rsid w:val="0001428F"/>
    <w:rsid w:val="00016983"/>
    <w:rsid w:val="00017211"/>
    <w:rsid w:val="0002009A"/>
    <w:rsid w:val="0002082D"/>
    <w:rsid w:val="00021CA3"/>
    <w:rsid w:val="00022B62"/>
    <w:rsid w:val="00023616"/>
    <w:rsid w:val="000237C2"/>
    <w:rsid w:val="00025300"/>
    <w:rsid w:val="0002734F"/>
    <w:rsid w:val="000277B8"/>
    <w:rsid w:val="000279D0"/>
    <w:rsid w:val="000302AE"/>
    <w:rsid w:val="00031042"/>
    <w:rsid w:val="0003119B"/>
    <w:rsid w:val="00031E08"/>
    <w:rsid w:val="00032427"/>
    <w:rsid w:val="0003257A"/>
    <w:rsid w:val="000325EB"/>
    <w:rsid w:val="000326F1"/>
    <w:rsid w:val="0003457D"/>
    <w:rsid w:val="00034A6E"/>
    <w:rsid w:val="00035F20"/>
    <w:rsid w:val="000364E9"/>
    <w:rsid w:val="000366E4"/>
    <w:rsid w:val="0003695E"/>
    <w:rsid w:val="00041115"/>
    <w:rsid w:val="000412AD"/>
    <w:rsid w:val="000425D6"/>
    <w:rsid w:val="00042D94"/>
    <w:rsid w:val="00046B35"/>
    <w:rsid w:val="0005008F"/>
    <w:rsid w:val="000508CA"/>
    <w:rsid w:val="00050BE7"/>
    <w:rsid w:val="00051ADC"/>
    <w:rsid w:val="00052B64"/>
    <w:rsid w:val="000532B7"/>
    <w:rsid w:val="00053751"/>
    <w:rsid w:val="0005403E"/>
    <w:rsid w:val="00054A10"/>
    <w:rsid w:val="00055AA7"/>
    <w:rsid w:val="00056324"/>
    <w:rsid w:val="00056339"/>
    <w:rsid w:val="0005688A"/>
    <w:rsid w:val="00056917"/>
    <w:rsid w:val="00056E4F"/>
    <w:rsid w:val="00057207"/>
    <w:rsid w:val="000578E5"/>
    <w:rsid w:val="00057DCA"/>
    <w:rsid w:val="000606D7"/>
    <w:rsid w:val="00062722"/>
    <w:rsid w:val="00063354"/>
    <w:rsid w:val="0006351F"/>
    <w:rsid w:val="000645FF"/>
    <w:rsid w:val="0006750B"/>
    <w:rsid w:val="00067ECF"/>
    <w:rsid w:val="000700CB"/>
    <w:rsid w:val="00070215"/>
    <w:rsid w:val="000702EB"/>
    <w:rsid w:val="0007164C"/>
    <w:rsid w:val="00071B9D"/>
    <w:rsid w:val="00072742"/>
    <w:rsid w:val="00074AEB"/>
    <w:rsid w:val="00074EA8"/>
    <w:rsid w:val="00075F4C"/>
    <w:rsid w:val="0007608D"/>
    <w:rsid w:val="000773C4"/>
    <w:rsid w:val="000773F4"/>
    <w:rsid w:val="00077880"/>
    <w:rsid w:val="00080D67"/>
    <w:rsid w:val="0008168D"/>
    <w:rsid w:val="00082425"/>
    <w:rsid w:val="00083069"/>
    <w:rsid w:val="00083A2F"/>
    <w:rsid w:val="00083B37"/>
    <w:rsid w:val="00083DA0"/>
    <w:rsid w:val="00083E84"/>
    <w:rsid w:val="00084FCD"/>
    <w:rsid w:val="0008587C"/>
    <w:rsid w:val="00087011"/>
    <w:rsid w:val="0008733F"/>
    <w:rsid w:val="00087F82"/>
    <w:rsid w:val="0009030E"/>
    <w:rsid w:val="000908E2"/>
    <w:rsid w:val="00090AB7"/>
    <w:rsid w:val="000914DD"/>
    <w:rsid w:val="000920B1"/>
    <w:rsid w:val="000936F5"/>
    <w:rsid w:val="0009406A"/>
    <w:rsid w:val="0009543C"/>
    <w:rsid w:val="00097682"/>
    <w:rsid w:val="00097FDA"/>
    <w:rsid w:val="000A0189"/>
    <w:rsid w:val="000A187A"/>
    <w:rsid w:val="000A20D2"/>
    <w:rsid w:val="000A2216"/>
    <w:rsid w:val="000A2316"/>
    <w:rsid w:val="000A2E64"/>
    <w:rsid w:val="000A3B8A"/>
    <w:rsid w:val="000A41B3"/>
    <w:rsid w:val="000A425A"/>
    <w:rsid w:val="000A45F7"/>
    <w:rsid w:val="000A472B"/>
    <w:rsid w:val="000A499C"/>
    <w:rsid w:val="000A4C67"/>
    <w:rsid w:val="000A561B"/>
    <w:rsid w:val="000A5704"/>
    <w:rsid w:val="000A5F96"/>
    <w:rsid w:val="000A607B"/>
    <w:rsid w:val="000A65B4"/>
    <w:rsid w:val="000A712F"/>
    <w:rsid w:val="000A76E4"/>
    <w:rsid w:val="000A7B68"/>
    <w:rsid w:val="000B0524"/>
    <w:rsid w:val="000B15CE"/>
    <w:rsid w:val="000B17A3"/>
    <w:rsid w:val="000B26A3"/>
    <w:rsid w:val="000B4846"/>
    <w:rsid w:val="000B4D19"/>
    <w:rsid w:val="000B54F8"/>
    <w:rsid w:val="000B55FF"/>
    <w:rsid w:val="000B5BD9"/>
    <w:rsid w:val="000B6CA7"/>
    <w:rsid w:val="000B7B85"/>
    <w:rsid w:val="000C093B"/>
    <w:rsid w:val="000C19D5"/>
    <w:rsid w:val="000C1E19"/>
    <w:rsid w:val="000C269A"/>
    <w:rsid w:val="000C2C82"/>
    <w:rsid w:val="000C2CAC"/>
    <w:rsid w:val="000C3E1F"/>
    <w:rsid w:val="000C4017"/>
    <w:rsid w:val="000C435F"/>
    <w:rsid w:val="000C4920"/>
    <w:rsid w:val="000C7B7C"/>
    <w:rsid w:val="000D0BDC"/>
    <w:rsid w:val="000D0D93"/>
    <w:rsid w:val="000D17F2"/>
    <w:rsid w:val="000D43A5"/>
    <w:rsid w:val="000D4FC6"/>
    <w:rsid w:val="000D6202"/>
    <w:rsid w:val="000D7874"/>
    <w:rsid w:val="000E1442"/>
    <w:rsid w:val="000E1843"/>
    <w:rsid w:val="000E1B98"/>
    <w:rsid w:val="000E2005"/>
    <w:rsid w:val="000E405F"/>
    <w:rsid w:val="000E45C7"/>
    <w:rsid w:val="000E4EE6"/>
    <w:rsid w:val="000E4FDE"/>
    <w:rsid w:val="000E612B"/>
    <w:rsid w:val="000E6577"/>
    <w:rsid w:val="000E6E12"/>
    <w:rsid w:val="000E6F02"/>
    <w:rsid w:val="000F1EC7"/>
    <w:rsid w:val="000F226C"/>
    <w:rsid w:val="000F2B3D"/>
    <w:rsid w:val="000F58D3"/>
    <w:rsid w:val="000F6F01"/>
    <w:rsid w:val="000F6FC7"/>
    <w:rsid w:val="000F71EF"/>
    <w:rsid w:val="000F7565"/>
    <w:rsid w:val="000F7D55"/>
    <w:rsid w:val="0010018E"/>
    <w:rsid w:val="00100EFA"/>
    <w:rsid w:val="00101279"/>
    <w:rsid w:val="00102010"/>
    <w:rsid w:val="0010333C"/>
    <w:rsid w:val="00103D8D"/>
    <w:rsid w:val="00104F5E"/>
    <w:rsid w:val="00105033"/>
    <w:rsid w:val="00106545"/>
    <w:rsid w:val="001067DF"/>
    <w:rsid w:val="00107335"/>
    <w:rsid w:val="0010756F"/>
    <w:rsid w:val="001103BE"/>
    <w:rsid w:val="00110749"/>
    <w:rsid w:val="00110774"/>
    <w:rsid w:val="00110A64"/>
    <w:rsid w:val="00111172"/>
    <w:rsid w:val="0011206C"/>
    <w:rsid w:val="00112D04"/>
    <w:rsid w:val="00112E08"/>
    <w:rsid w:val="0011319B"/>
    <w:rsid w:val="00114145"/>
    <w:rsid w:val="00114316"/>
    <w:rsid w:val="0011434F"/>
    <w:rsid w:val="00115B2E"/>
    <w:rsid w:val="001162D9"/>
    <w:rsid w:val="00117504"/>
    <w:rsid w:val="001177E8"/>
    <w:rsid w:val="00117987"/>
    <w:rsid w:val="00120E2A"/>
    <w:rsid w:val="00121B8B"/>
    <w:rsid w:val="001234E4"/>
    <w:rsid w:val="00123B16"/>
    <w:rsid w:val="00123D88"/>
    <w:rsid w:val="0012400A"/>
    <w:rsid w:val="0012480C"/>
    <w:rsid w:val="0012555D"/>
    <w:rsid w:val="0012573B"/>
    <w:rsid w:val="001258ED"/>
    <w:rsid w:val="00126380"/>
    <w:rsid w:val="00127B76"/>
    <w:rsid w:val="001304A3"/>
    <w:rsid w:val="0013096E"/>
    <w:rsid w:val="00131F25"/>
    <w:rsid w:val="00133345"/>
    <w:rsid w:val="00133FDE"/>
    <w:rsid w:val="00134C5A"/>
    <w:rsid w:val="00135A50"/>
    <w:rsid w:val="001366FF"/>
    <w:rsid w:val="0013699E"/>
    <w:rsid w:val="001372C2"/>
    <w:rsid w:val="0013740F"/>
    <w:rsid w:val="00137618"/>
    <w:rsid w:val="0013788E"/>
    <w:rsid w:val="0013794B"/>
    <w:rsid w:val="001400FB"/>
    <w:rsid w:val="00140EE3"/>
    <w:rsid w:val="0014194F"/>
    <w:rsid w:val="00141ABF"/>
    <w:rsid w:val="00142455"/>
    <w:rsid w:val="0014281E"/>
    <w:rsid w:val="00143ECE"/>
    <w:rsid w:val="0014429B"/>
    <w:rsid w:val="00145714"/>
    <w:rsid w:val="0014577E"/>
    <w:rsid w:val="00145AA2"/>
    <w:rsid w:val="001473F6"/>
    <w:rsid w:val="00151843"/>
    <w:rsid w:val="00151FDB"/>
    <w:rsid w:val="00152533"/>
    <w:rsid w:val="00153A6D"/>
    <w:rsid w:val="00153ACB"/>
    <w:rsid w:val="00154FEF"/>
    <w:rsid w:val="0015796A"/>
    <w:rsid w:val="00157CA3"/>
    <w:rsid w:val="00157F7B"/>
    <w:rsid w:val="00160AB2"/>
    <w:rsid w:val="00161FE8"/>
    <w:rsid w:val="0016379A"/>
    <w:rsid w:val="00163BA5"/>
    <w:rsid w:val="001667BA"/>
    <w:rsid w:val="00173DCB"/>
    <w:rsid w:val="0017426C"/>
    <w:rsid w:val="00174B24"/>
    <w:rsid w:val="00174E4C"/>
    <w:rsid w:val="00176727"/>
    <w:rsid w:val="001767D7"/>
    <w:rsid w:val="00177121"/>
    <w:rsid w:val="00177713"/>
    <w:rsid w:val="001800AF"/>
    <w:rsid w:val="00180806"/>
    <w:rsid w:val="00181475"/>
    <w:rsid w:val="00181589"/>
    <w:rsid w:val="00181DCA"/>
    <w:rsid w:val="001829A9"/>
    <w:rsid w:val="0018576E"/>
    <w:rsid w:val="00185DE6"/>
    <w:rsid w:val="00187906"/>
    <w:rsid w:val="00187C1A"/>
    <w:rsid w:val="00187FDE"/>
    <w:rsid w:val="00190022"/>
    <w:rsid w:val="00191531"/>
    <w:rsid w:val="0019175B"/>
    <w:rsid w:val="00192F27"/>
    <w:rsid w:val="00193C1D"/>
    <w:rsid w:val="00194F21"/>
    <w:rsid w:val="00196967"/>
    <w:rsid w:val="0019733D"/>
    <w:rsid w:val="001A1415"/>
    <w:rsid w:val="001A170E"/>
    <w:rsid w:val="001A383A"/>
    <w:rsid w:val="001A3B30"/>
    <w:rsid w:val="001A5360"/>
    <w:rsid w:val="001A56D4"/>
    <w:rsid w:val="001A6A02"/>
    <w:rsid w:val="001B007C"/>
    <w:rsid w:val="001B21FF"/>
    <w:rsid w:val="001B23D5"/>
    <w:rsid w:val="001B3D2B"/>
    <w:rsid w:val="001B4333"/>
    <w:rsid w:val="001B4C2C"/>
    <w:rsid w:val="001B4E2E"/>
    <w:rsid w:val="001B636F"/>
    <w:rsid w:val="001B6655"/>
    <w:rsid w:val="001B69E5"/>
    <w:rsid w:val="001B7A1E"/>
    <w:rsid w:val="001C0673"/>
    <w:rsid w:val="001C0703"/>
    <w:rsid w:val="001C0A60"/>
    <w:rsid w:val="001C2BAB"/>
    <w:rsid w:val="001C2FDD"/>
    <w:rsid w:val="001C3AA9"/>
    <w:rsid w:val="001C3C3E"/>
    <w:rsid w:val="001C51AD"/>
    <w:rsid w:val="001C6BFE"/>
    <w:rsid w:val="001C759C"/>
    <w:rsid w:val="001C7779"/>
    <w:rsid w:val="001D0F69"/>
    <w:rsid w:val="001D12E5"/>
    <w:rsid w:val="001D27A2"/>
    <w:rsid w:val="001D3F06"/>
    <w:rsid w:val="001D5ECC"/>
    <w:rsid w:val="001D6FBC"/>
    <w:rsid w:val="001D7DB7"/>
    <w:rsid w:val="001E149F"/>
    <w:rsid w:val="001E6D06"/>
    <w:rsid w:val="001E7669"/>
    <w:rsid w:val="001E7754"/>
    <w:rsid w:val="001E7AD8"/>
    <w:rsid w:val="001E7B20"/>
    <w:rsid w:val="001E7DF3"/>
    <w:rsid w:val="001F2453"/>
    <w:rsid w:val="001F3300"/>
    <w:rsid w:val="001F5392"/>
    <w:rsid w:val="001F601C"/>
    <w:rsid w:val="001F69C3"/>
    <w:rsid w:val="0020072D"/>
    <w:rsid w:val="00200797"/>
    <w:rsid w:val="00200C01"/>
    <w:rsid w:val="002010BA"/>
    <w:rsid w:val="00201483"/>
    <w:rsid w:val="00201B4A"/>
    <w:rsid w:val="002030D7"/>
    <w:rsid w:val="00203134"/>
    <w:rsid w:val="00204E69"/>
    <w:rsid w:val="002060B0"/>
    <w:rsid w:val="00206D7F"/>
    <w:rsid w:val="0020702C"/>
    <w:rsid w:val="0020705E"/>
    <w:rsid w:val="00207170"/>
    <w:rsid w:val="00207E69"/>
    <w:rsid w:val="0021384D"/>
    <w:rsid w:val="00214084"/>
    <w:rsid w:val="0021443F"/>
    <w:rsid w:val="0021508D"/>
    <w:rsid w:val="002152AF"/>
    <w:rsid w:val="00215ECB"/>
    <w:rsid w:val="0021727C"/>
    <w:rsid w:val="00220DA7"/>
    <w:rsid w:val="00220DA9"/>
    <w:rsid w:val="00221DE7"/>
    <w:rsid w:val="00222C0C"/>
    <w:rsid w:val="002234AE"/>
    <w:rsid w:val="002259C7"/>
    <w:rsid w:val="00225CF6"/>
    <w:rsid w:val="0022605C"/>
    <w:rsid w:val="0022660F"/>
    <w:rsid w:val="00226F2A"/>
    <w:rsid w:val="00227310"/>
    <w:rsid w:val="002273E0"/>
    <w:rsid w:val="002274D5"/>
    <w:rsid w:val="00230331"/>
    <w:rsid w:val="002305DD"/>
    <w:rsid w:val="00231E6E"/>
    <w:rsid w:val="00233C24"/>
    <w:rsid w:val="0023497C"/>
    <w:rsid w:val="0023528B"/>
    <w:rsid w:val="00235397"/>
    <w:rsid w:val="002376ED"/>
    <w:rsid w:val="00240879"/>
    <w:rsid w:val="0024110A"/>
    <w:rsid w:val="002413E9"/>
    <w:rsid w:val="002416FF"/>
    <w:rsid w:val="002417B5"/>
    <w:rsid w:val="0024326B"/>
    <w:rsid w:val="00244658"/>
    <w:rsid w:val="00244E83"/>
    <w:rsid w:val="00244FFF"/>
    <w:rsid w:val="00245743"/>
    <w:rsid w:val="00245F6F"/>
    <w:rsid w:val="00250526"/>
    <w:rsid w:val="00250AEF"/>
    <w:rsid w:val="00252485"/>
    <w:rsid w:val="002528C3"/>
    <w:rsid w:val="00253071"/>
    <w:rsid w:val="00254AAF"/>
    <w:rsid w:val="00255843"/>
    <w:rsid w:val="0025621E"/>
    <w:rsid w:val="0025640E"/>
    <w:rsid w:val="00256843"/>
    <w:rsid w:val="00256EE4"/>
    <w:rsid w:val="00256FA9"/>
    <w:rsid w:val="00257B05"/>
    <w:rsid w:val="00260FE2"/>
    <w:rsid w:val="00262E33"/>
    <w:rsid w:val="00264716"/>
    <w:rsid w:val="00266810"/>
    <w:rsid w:val="00267CAA"/>
    <w:rsid w:val="002701B3"/>
    <w:rsid w:val="00270539"/>
    <w:rsid w:val="00273FB1"/>
    <w:rsid w:val="00274F93"/>
    <w:rsid w:val="002771AC"/>
    <w:rsid w:val="00277489"/>
    <w:rsid w:val="00280F64"/>
    <w:rsid w:val="00281808"/>
    <w:rsid w:val="00281DE8"/>
    <w:rsid w:val="002820C9"/>
    <w:rsid w:val="002824AA"/>
    <w:rsid w:val="00283A2E"/>
    <w:rsid w:val="00285291"/>
    <w:rsid w:val="00285374"/>
    <w:rsid w:val="00285F98"/>
    <w:rsid w:val="00287346"/>
    <w:rsid w:val="00287A09"/>
    <w:rsid w:val="00290840"/>
    <w:rsid w:val="00291014"/>
    <w:rsid w:val="00292261"/>
    <w:rsid w:val="00292622"/>
    <w:rsid w:val="00293831"/>
    <w:rsid w:val="002939D8"/>
    <w:rsid w:val="00293A8E"/>
    <w:rsid w:val="002A1883"/>
    <w:rsid w:val="002A37BE"/>
    <w:rsid w:val="002A39FC"/>
    <w:rsid w:val="002A3E2F"/>
    <w:rsid w:val="002A42B0"/>
    <w:rsid w:val="002A4B6D"/>
    <w:rsid w:val="002A4B84"/>
    <w:rsid w:val="002A537A"/>
    <w:rsid w:val="002A6973"/>
    <w:rsid w:val="002B1D0E"/>
    <w:rsid w:val="002B3369"/>
    <w:rsid w:val="002B3A82"/>
    <w:rsid w:val="002B3F1B"/>
    <w:rsid w:val="002B4C5C"/>
    <w:rsid w:val="002B5102"/>
    <w:rsid w:val="002B5454"/>
    <w:rsid w:val="002B5D68"/>
    <w:rsid w:val="002B70E1"/>
    <w:rsid w:val="002B751A"/>
    <w:rsid w:val="002B7AAA"/>
    <w:rsid w:val="002C181B"/>
    <w:rsid w:val="002C2932"/>
    <w:rsid w:val="002C35E0"/>
    <w:rsid w:val="002C4041"/>
    <w:rsid w:val="002C4247"/>
    <w:rsid w:val="002C42E0"/>
    <w:rsid w:val="002C5630"/>
    <w:rsid w:val="002C5D8C"/>
    <w:rsid w:val="002C6044"/>
    <w:rsid w:val="002D1B15"/>
    <w:rsid w:val="002D34EB"/>
    <w:rsid w:val="002D5097"/>
    <w:rsid w:val="002E0C4B"/>
    <w:rsid w:val="002E29C8"/>
    <w:rsid w:val="002E3705"/>
    <w:rsid w:val="002E3F56"/>
    <w:rsid w:val="002E5171"/>
    <w:rsid w:val="002E612E"/>
    <w:rsid w:val="002E7755"/>
    <w:rsid w:val="002E784D"/>
    <w:rsid w:val="002E7B76"/>
    <w:rsid w:val="002F0297"/>
    <w:rsid w:val="002F0FE3"/>
    <w:rsid w:val="002F12B5"/>
    <w:rsid w:val="002F279A"/>
    <w:rsid w:val="002F443A"/>
    <w:rsid w:val="002F5223"/>
    <w:rsid w:val="002F5E5B"/>
    <w:rsid w:val="002F6AB5"/>
    <w:rsid w:val="002F6D4F"/>
    <w:rsid w:val="002F73C1"/>
    <w:rsid w:val="002F7651"/>
    <w:rsid w:val="002F7963"/>
    <w:rsid w:val="002F79B4"/>
    <w:rsid w:val="003008A8"/>
    <w:rsid w:val="0030353B"/>
    <w:rsid w:val="00304232"/>
    <w:rsid w:val="003052CA"/>
    <w:rsid w:val="003078BA"/>
    <w:rsid w:val="003100D4"/>
    <w:rsid w:val="00310ED5"/>
    <w:rsid w:val="003128DF"/>
    <w:rsid w:val="00312A13"/>
    <w:rsid w:val="00313DAD"/>
    <w:rsid w:val="00314CCF"/>
    <w:rsid w:val="00314E1F"/>
    <w:rsid w:val="00314F4D"/>
    <w:rsid w:val="003164A1"/>
    <w:rsid w:val="00316C3B"/>
    <w:rsid w:val="00324086"/>
    <w:rsid w:val="003246E2"/>
    <w:rsid w:val="0032539D"/>
    <w:rsid w:val="00325BF3"/>
    <w:rsid w:val="00326F98"/>
    <w:rsid w:val="00327220"/>
    <w:rsid w:val="00327C0B"/>
    <w:rsid w:val="00327E10"/>
    <w:rsid w:val="00327EDB"/>
    <w:rsid w:val="0033197E"/>
    <w:rsid w:val="00331F27"/>
    <w:rsid w:val="00332112"/>
    <w:rsid w:val="00332919"/>
    <w:rsid w:val="00332A7A"/>
    <w:rsid w:val="00333A11"/>
    <w:rsid w:val="00335294"/>
    <w:rsid w:val="00335781"/>
    <w:rsid w:val="00335E39"/>
    <w:rsid w:val="00336204"/>
    <w:rsid w:val="0034016F"/>
    <w:rsid w:val="00340220"/>
    <w:rsid w:val="0034027B"/>
    <w:rsid w:val="003411C0"/>
    <w:rsid w:val="00341BA0"/>
    <w:rsid w:val="0034228A"/>
    <w:rsid w:val="003436A3"/>
    <w:rsid w:val="00343EF7"/>
    <w:rsid w:val="00344BDE"/>
    <w:rsid w:val="00347743"/>
    <w:rsid w:val="003500CD"/>
    <w:rsid w:val="00351067"/>
    <w:rsid w:val="003511AC"/>
    <w:rsid w:val="0035165B"/>
    <w:rsid w:val="00352A91"/>
    <w:rsid w:val="00353D9A"/>
    <w:rsid w:val="003540B1"/>
    <w:rsid w:val="0035414F"/>
    <w:rsid w:val="00354D6E"/>
    <w:rsid w:val="003558E3"/>
    <w:rsid w:val="0035625E"/>
    <w:rsid w:val="00356755"/>
    <w:rsid w:val="00356780"/>
    <w:rsid w:val="003567E7"/>
    <w:rsid w:val="00357A40"/>
    <w:rsid w:val="003608B0"/>
    <w:rsid w:val="00360E22"/>
    <w:rsid w:val="00361E68"/>
    <w:rsid w:val="0036274D"/>
    <w:rsid w:val="0036519A"/>
    <w:rsid w:val="00367AEA"/>
    <w:rsid w:val="00370745"/>
    <w:rsid w:val="003721F3"/>
    <w:rsid w:val="00372C36"/>
    <w:rsid w:val="00372F51"/>
    <w:rsid w:val="003752F3"/>
    <w:rsid w:val="00376D29"/>
    <w:rsid w:val="00376E3C"/>
    <w:rsid w:val="00377C22"/>
    <w:rsid w:val="00380E4A"/>
    <w:rsid w:val="0038126E"/>
    <w:rsid w:val="00381B3D"/>
    <w:rsid w:val="003841B0"/>
    <w:rsid w:val="00384F59"/>
    <w:rsid w:val="00385002"/>
    <w:rsid w:val="003873F0"/>
    <w:rsid w:val="00390D04"/>
    <w:rsid w:val="0039175C"/>
    <w:rsid w:val="00391825"/>
    <w:rsid w:val="003926ED"/>
    <w:rsid w:val="00392796"/>
    <w:rsid w:val="003928EE"/>
    <w:rsid w:val="00392D93"/>
    <w:rsid w:val="00392FA4"/>
    <w:rsid w:val="0039313C"/>
    <w:rsid w:val="00393EFF"/>
    <w:rsid w:val="00394E25"/>
    <w:rsid w:val="00394EB7"/>
    <w:rsid w:val="00395B2B"/>
    <w:rsid w:val="00395F80"/>
    <w:rsid w:val="003960DD"/>
    <w:rsid w:val="003961AD"/>
    <w:rsid w:val="003964A9"/>
    <w:rsid w:val="00396688"/>
    <w:rsid w:val="00397DF5"/>
    <w:rsid w:val="003A0ACE"/>
    <w:rsid w:val="003A1C4A"/>
    <w:rsid w:val="003A1FD5"/>
    <w:rsid w:val="003A2E32"/>
    <w:rsid w:val="003A2F57"/>
    <w:rsid w:val="003A42AF"/>
    <w:rsid w:val="003A4501"/>
    <w:rsid w:val="003A460C"/>
    <w:rsid w:val="003A47F3"/>
    <w:rsid w:val="003A7103"/>
    <w:rsid w:val="003B1678"/>
    <w:rsid w:val="003B2977"/>
    <w:rsid w:val="003B29FF"/>
    <w:rsid w:val="003B37A9"/>
    <w:rsid w:val="003B39ED"/>
    <w:rsid w:val="003B3E88"/>
    <w:rsid w:val="003B4017"/>
    <w:rsid w:val="003B419F"/>
    <w:rsid w:val="003B4387"/>
    <w:rsid w:val="003B4550"/>
    <w:rsid w:val="003B4ABC"/>
    <w:rsid w:val="003B5013"/>
    <w:rsid w:val="003B5382"/>
    <w:rsid w:val="003B5A8C"/>
    <w:rsid w:val="003B5CBD"/>
    <w:rsid w:val="003B61F6"/>
    <w:rsid w:val="003C0ABE"/>
    <w:rsid w:val="003C0ACD"/>
    <w:rsid w:val="003C0C4D"/>
    <w:rsid w:val="003C0CB8"/>
    <w:rsid w:val="003C2609"/>
    <w:rsid w:val="003C3835"/>
    <w:rsid w:val="003C4278"/>
    <w:rsid w:val="003C42A4"/>
    <w:rsid w:val="003C44E2"/>
    <w:rsid w:val="003C6EFE"/>
    <w:rsid w:val="003C6F24"/>
    <w:rsid w:val="003C7B3D"/>
    <w:rsid w:val="003D0CA7"/>
    <w:rsid w:val="003D0E2C"/>
    <w:rsid w:val="003D15D8"/>
    <w:rsid w:val="003D165B"/>
    <w:rsid w:val="003D2595"/>
    <w:rsid w:val="003D377D"/>
    <w:rsid w:val="003D3CC5"/>
    <w:rsid w:val="003D4099"/>
    <w:rsid w:val="003D550D"/>
    <w:rsid w:val="003D5FBD"/>
    <w:rsid w:val="003D76F9"/>
    <w:rsid w:val="003D7B74"/>
    <w:rsid w:val="003E044D"/>
    <w:rsid w:val="003E0A87"/>
    <w:rsid w:val="003E11EC"/>
    <w:rsid w:val="003E151C"/>
    <w:rsid w:val="003E1BBE"/>
    <w:rsid w:val="003E1C4F"/>
    <w:rsid w:val="003E2B8A"/>
    <w:rsid w:val="003E2B99"/>
    <w:rsid w:val="003E3139"/>
    <w:rsid w:val="003E3E76"/>
    <w:rsid w:val="003E49ED"/>
    <w:rsid w:val="003E559C"/>
    <w:rsid w:val="003E574E"/>
    <w:rsid w:val="003F0719"/>
    <w:rsid w:val="003F165C"/>
    <w:rsid w:val="003F190D"/>
    <w:rsid w:val="003F1DE0"/>
    <w:rsid w:val="003F1EE3"/>
    <w:rsid w:val="003F3809"/>
    <w:rsid w:val="003F3A7D"/>
    <w:rsid w:val="003F7280"/>
    <w:rsid w:val="0040088E"/>
    <w:rsid w:val="0040103D"/>
    <w:rsid w:val="004025DC"/>
    <w:rsid w:val="004048F5"/>
    <w:rsid w:val="00405927"/>
    <w:rsid w:val="00405EA6"/>
    <w:rsid w:val="00405F38"/>
    <w:rsid w:val="004065EB"/>
    <w:rsid w:val="004069DD"/>
    <w:rsid w:val="004075F5"/>
    <w:rsid w:val="004079AB"/>
    <w:rsid w:val="00411D90"/>
    <w:rsid w:val="004124F1"/>
    <w:rsid w:val="00412A42"/>
    <w:rsid w:val="00413227"/>
    <w:rsid w:val="00413485"/>
    <w:rsid w:val="00415305"/>
    <w:rsid w:val="0041625D"/>
    <w:rsid w:val="004173C2"/>
    <w:rsid w:val="00417F27"/>
    <w:rsid w:val="004202FC"/>
    <w:rsid w:val="004206F4"/>
    <w:rsid w:val="00420B04"/>
    <w:rsid w:val="00420CE0"/>
    <w:rsid w:val="00422DF6"/>
    <w:rsid w:val="00423F72"/>
    <w:rsid w:val="004243B3"/>
    <w:rsid w:val="00424B7F"/>
    <w:rsid w:val="00425127"/>
    <w:rsid w:val="00426116"/>
    <w:rsid w:val="00426520"/>
    <w:rsid w:val="004268CD"/>
    <w:rsid w:val="00426A48"/>
    <w:rsid w:val="004278A1"/>
    <w:rsid w:val="00427F2F"/>
    <w:rsid w:val="0043017F"/>
    <w:rsid w:val="0043138B"/>
    <w:rsid w:val="004329A7"/>
    <w:rsid w:val="00433CDB"/>
    <w:rsid w:val="00434565"/>
    <w:rsid w:val="00435783"/>
    <w:rsid w:val="00436AA3"/>
    <w:rsid w:val="004371E8"/>
    <w:rsid w:val="00440EDD"/>
    <w:rsid w:val="00441581"/>
    <w:rsid w:val="004424D6"/>
    <w:rsid w:val="00442A32"/>
    <w:rsid w:val="00443CA6"/>
    <w:rsid w:val="0044467A"/>
    <w:rsid w:val="004455A2"/>
    <w:rsid w:val="00446F5C"/>
    <w:rsid w:val="004477C0"/>
    <w:rsid w:val="00447D04"/>
    <w:rsid w:val="004502C3"/>
    <w:rsid w:val="0045096D"/>
    <w:rsid w:val="00450AE7"/>
    <w:rsid w:val="00451ADB"/>
    <w:rsid w:val="00452DF2"/>
    <w:rsid w:val="00454B77"/>
    <w:rsid w:val="004555BB"/>
    <w:rsid w:val="00455B66"/>
    <w:rsid w:val="004565C9"/>
    <w:rsid w:val="00456867"/>
    <w:rsid w:val="004568AD"/>
    <w:rsid w:val="0045691F"/>
    <w:rsid w:val="00456FB7"/>
    <w:rsid w:val="00457FEE"/>
    <w:rsid w:val="00460D14"/>
    <w:rsid w:val="004615D2"/>
    <w:rsid w:val="0046197C"/>
    <w:rsid w:val="00461B84"/>
    <w:rsid w:val="00461DAA"/>
    <w:rsid w:val="00461EEF"/>
    <w:rsid w:val="00462051"/>
    <w:rsid w:val="0046242D"/>
    <w:rsid w:val="004625D0"/>
    <w:rsid w:val="00463C87"/>
    <w:rsid w:val="00463EF3"/>
    <w:rsid w:val="0046469D"/>
    <w:rsid w:val="00464E08"/>
    <w:rsid w:val="004650BD"/>
    <w:rsid w:val="00465A8D"/>
    <w:rsid w:val="00465F5E"/>
    <w:rsid w:val="0046678C"/>
    <w:rsid w:val="00466BE9"/>
    <w:rsid w:val="00467083"/>
    <w:rsid w:val="00467A97"/>
    <w:rsid w:val="00467AE0"/>
    <w:rsid w:val="004702A2"/>
    <w:rsid w:val="004712AF"/>
    <w:rsid w:val="00472BAB"/>
    <w:rsid w:val="00473A08"/>
    <w:rsid w:val="00473B00"/>
    <w:rsid w:val="00473D41"/>
    <w:rsid w:val="00474A4D"/>
    <w:rsid w:val="00474CDA"/>
    <w:rsid w:val="00476BAA"/>
    <w:rsid w:val="00477EA2"/>
    <w:rsid w:val="004802CA"/>
    <w:rsid w:val="00482244"/>
    <w:rsid w:val="00483C3C"/>
    <w:rsid w:val="00483C74"/>
    <w:rsid w:val="00485B59"/>
    <w:rsid w:val="00485C4F"/>
    <w:rsid w:val="0048643D"/>
    <w:rsid w:val="0048771E"/>
    <w:rsid w:val="004919D0"/>
    <w:rsid w:val="00492DB0"/>
    <w:rsid w:val="00493267"/>
    <w:rsid w:val="004933B1"/>
    <w:rsid w:val="004969EA"/>
    <w:rsid w:val="00497142"/>
    <w:rsid w:val="004A3CF1"/>
    <w:rsid w:val="004A4410"/>
    <w:rsid w:val="004A5DE0"/>
    <w:rsid w:val="004A5EB7"/>
    <w:rsid w:val="004A607E"/>
    <w:rsid w:val="004A6589"/>
    <w:rsid w:val="004A6900"/>
    <w:rsid w:val="004B2283"/>
    <w:rsid w:val="004B2BF0"/>
    <w:rsid w:val="004B3559"/>
    <w:rsid w:val="004B42D0"/>
    <w:rsid w:val="004C1B2D"/>
    <w:rsid w:val="004C2FF5"/>
    <w:rsid w:val="004C3372"/>
    <w:rsid w:val="004C5A1F"/>
    <w:rsid w:val="004C608F"/>
    <w:rsid w:val="004C6375"/>
    <w:rsid w:val="004C7742"/>
    <w:rsid w:val="004C777F"/>
    <w:rsid w:val="004C784A"/>
    <w:rsid w:val="004D1720"/>
    <w:rsid w:val="004D1D7C"/>
    <w:rsid w:val="004D3916"/>
    <w:rsid w:val="004D3D95"/>
    <w:rsid w:val="004D4727"/>
    <w:rsid w:val="004D5D12"/>
    <w:rsid w:val="004D7D25"/>
    <w:rsid w:val="004E00AE"/>
    <w:rsid w:val="004E0B87"/>
    <w:rsid w:val="004E1FCC"/>
    <w:rsid w:val="004E3201"/>
    <w:rsid w:val="004F1A46"/>
    <w:rsid w:val="004F28DA"/>
    <w:rsid w:val="004F2905"/>
    <w:rsid w:val="004F3040"/>
    <w:rsid w:val="004F33FC"/>
    <w:rsid w:val="004F34CA"/>
    <w:rsid w:val="004F3810"/>
    <w:rsid w:val="004F3856"/>
    <w:rsid w:val="004F3928"/>
    <w:rsid w:val="004F4660"/>
    <w:rsid w:val="004F4AD9"/>
    <w:rsid w:val="004F5512"/>
    <w:rsid w:val="004F568B"/>
    <w:rsid w:val="004F5B13"/>
    <w:rsid w:val="004F6320"/>
    <w:rsid w:val="004F639E"/>
    <w:rsid w:val="004F67D7"/>
    <w:rsid w:val="00500757"/>
    <w:rsid w:val="00500895"/>
    <w:rsid w:val="00501B64"/>
    <w:rsid w:val="00502956"/>
    <w:rsid w:val="005029A3"/>
    <w:rsid w:val="005044ED"/>
    <w:rsid w:val="00506092"/>
    <w:rsid w:val="0050691D"/>
    <w:rsid w:val="00506CC0"/>
    <w:rsid w:val="00507219"/>
    <w:rsid w:val="005073EE"/>
    <w:rsid w:val="005104AC"/>
    <w:rsid w:val="005105AD"/>
    <w:rsid w:val="005108A6"/>
    <w:rsid w:val="00510B94"/>
    <w:rsid w:val="00510D74"/>
    <w:rsid w:val="0051168B"/>
    <w:rsid w:val="0051281B"/>
    <w:rsid w:val="0051335D"/>
    <w:rsid w:val="005143E4"/>
    <w:rsid w:val="00515707"/>
    <w:rsid w:val="00516C26"/>
    <w:rsid w:val="005179DD"/>
    <w:rsid w:val="00517D88"/>
    <w:rsid w:val="00523810"/>
    <w:rsid w:val="00523A9C"/>
    <w:rsid w:val="005252F1"/>
    <w:rsid w:val="0052552F"/>
    <w:rsid w:val="005256A2"/>
    <w:rsid w:val="00525B15"/>
    <w:rsid w:val="0053018C"/>
    <w:rsid w:val="005303CC"/>
    <w:rsid w:val="0053227B"/>
    <w:rsid w:val="005335AA"/>
    <w:rsid w:val="00534A1E"/>
    <w:rsid w:val="00536C82"/>
    <w:rsid w:val="00537AE7"/>
    <w:rsid w:val="0054002A"/>
    <w:rsid w:val="00540822"/>
    <w:rsid w:val="00540E66"/>
    <w:rsid w:val="00540F65"/>
    <w:rsid w:val="00541988"/>
    <w:rsid w:val="00541F1D"/>
    <w:rsid w:val="005424FA"/>
    <w:rsid w:val="00542752"/>
    <w:rsid w:val="00542764"/>
    <w:rsid w:val="005427AB"/>
    <w:rsid w:val="00542DA5"/>
    <w:rsid w:val="00543FB1"/>
    <w:rsid w:val="00546873"/>
    <w:rsid w:val="00546AAD"/>
    <w:rsid w:val="00550484"/>
    <w:rsid w:val="00550DFD"/>
    <w:rsid w:val="00551A38"/>
    <w:rsid w:val="00552086"/>
    <w:rsid w:val="00552AA1"/>
    <w:rsid w:val="00553DA3"/>
    <w:rsid w:val="005547E9"/>
    <w:rsid w:val="00554902"/>
    <w:rsid w:val="00555696"/>
    <w:rsid w:val="00555B1E"/>
    <w:rsid w:val="00555E7B"/>
    <w:rsid w:val="00556122"/>
    <w:rsid w:val="00556415"/>
    <w:rsid w:val="00556A2F"/>
    <w:rsid w:val="0055750C"/>
    <w:rsid w:val="005611F1"/>
    <w:rsid w:val="00561832"/>
    <w:rsid w:val="00561D7E"/>
    <w:rsid w:val="005621F7"/>
    <w:rsid w:val="00564C50"/>
    <w:rsid w:val="00564C92"/>
    <w:rsid w:val="00564FC7"/>
    <w:rsid w:val="005650F6"/>
    <w:rsid w:val="00565895"/>
    <w:rsid w:val="00566BF8"/>
    <w:rsid w:val="0056737C"/>
    <w:rsid w:val="0056737E"/>
    <w:rsid w:val="0057006F"/>
    <w:rsid w:val="005706D1"/>
    <w:rsid w:val="005707E3"/>
    <w:rsid w:val="00572AE9"/>
    <w:rsid w:val="005745E2"/>
    <w:rsid w:val="005759B4"/>
    <w:rsid w:val="00575ABA"/>
    <w:rsid w:val="00575CC7"/>
    <w:rsid w:val="0057627B"/>
    <w:rsid w:val="00580239"/>
    <w:rsid w:val="0058051D"/>
    <w:rsid w:val="00582B1F"/>
    <w:rsid w:val="0058411B"/>
    <w:rsid w:val="005843B8"/>
    <w:rsid w:val="00584C25"/>
    <w:rsid w:val="00585970"/>
    <w:rsid w:val="00586AE4"/>
    <w:rsid w:val="0058724D"/>
    <w:rsid w:val="00590876"/>
    <w:rsid w:val="00590F6B"/>
    <w:rsid w:val="0059189B"/>
    <w:rsid w:val="00592733"/>
    <w:rsid w:val="005927DC"/>
    <w:rsid w:val="00592DA1"/>
    <w:rsid w:val="005962A8"/>
    <w:rsid w:val="005962EC"/>
    <w:rsid w:val="005967FE"/>
    <w:rsid w:val="005974CB"/>
    <w:rsid w:val="00597B44"/>
    <w:rsid w:val="005A0378"/>
    <w:rsid w:val="005A0F6F"/>
    <w:rsid w:val="005A3E98"/>
    <w:rsid w:val="005A52D5"/>
    <w:rsid w:val="005A6798"/>
    <w:rsid w:val="005B40FB"/>
    <w:rsid w:val="005B596C"/>
    <w:rsid w:val="005B67AE"/>
    <w:rsid w:val="005B6999"/>
    <w:rsid w:val="005C019D"/>
    <w:rsid w:val="005C0CEA"/>
    <w:rsid w:val="005C1B70"/>
    <w:rsid w:val="005C1FCB"/>
    <w:rsid w:val="005C2BD0"/>
    <w:rsid w:val="005C3198"/>
    <w:rsid w:val="005C592F"/>
    <w:rsid w:val="005C5F19"/>
    <w:rsid w:val="005C6A37"/>
    <w:rsid w:val="005D0CAC"/>
    <w:rsid w:val="005D0FF3"/>
    <w:rsid w:val="005D12ED"/>
    <w:rsid w:val="005D1AAF"/>
    <w:rsid w:val="005D3704"/>
    <w:rsid w:val="005D4230"/>
    <w:rsid w:val="005D4A96"/>
    <w:rsid w:val="005D5892"/>
    <w:rsid w:val="005D5D55"/>
    <w:rsid w:val="005E0CCD"/>
    <w:rsid w:val="005E1AE9"/>
    <w:rsid w:val="005E29F7"/>
    <w:rsid w:val="005E2F65"/>
    <w:rsid w:val="005E3441"/>
    <w:rsid w:val="005E4159"/>
    <w:rsid w:val="005E4F33"/>
    <w:rsid w:val="005E5260"/>
    <w:rsid w:val="005E746C"/>
    <w:rsid w:val="005E7826"/>
    <w:rsid w:val="005F059F"/>
    <w:rsid w:val="005F0603"/>
    <w:rsid w:val="005F1144"/>
    <w:rsid w:val="005F1C4F"/>
    <w:rsid w:val="005F5290"/>
    <w:rsid w:val="005F5635"/>
    <w:rsid w:val="005F59A9"/>
    <w:rsid w:val="005F5EA3"/>
    <w:rsid w:val="005F5FC8"/>
    <w:rsid w:val="005F6F75"/>
    <w:rsid w:val="006019CA"/>
    <w:rsid w:val="00601B7A"/>
    <w:rsid w:val="00601EC8"/>
    <w:rsid w:val="00602915"/>
    <w:rsid w:val="0060292B"/>
    <w:rsid w:val="00602D6F"/>
    <w:rsid w:val="0060379E"/>
    <w:rsid w:val="00603CE7"/>
    <w:rsid w:val="00604086"/>
    <w:rsid w:val="00604A04"/>
    <w:rsid w:val="00606E52"/>
    <w:rsid w:val="0060757B"/>
    <w:rsid w:val="0060791C"/>
    <w:rsid w:val="00611C51"/>
    <w:rsid w:val="00611CEE"/>
    <w:rsid w:val="0061247D"/>
    <w:rsid w:val="00612E9E"/>
    <w:rsid w:val="00613D7D"/>
    <w:rsid w:val="00614548"/>
    <w:rsid w:val="00614DDF"/>
    <w:rsid w:val="00615AAE"/>
    <w:rsid w:val="006167C1"/>
    <w:rsid w:val="00616A5F"/>
    <w:rsid w:val="00617399"/>
    <w:rsid w:val="0061790F"/>
    <w:rsid w:val="00620615"/>
    <w:rsid w:val="006211FD"/>
    <w:rsid w:val="00621FA1"/>
    <w:rsid w:val="00622551"/>
    <w:rsid w:val="00626AAE"/>
    <w:rsid w:val="00627330"/>
    <w:rsid w:val="00627DFC"/>
    <w:rsid w:val="00630017"/>
    <w:rsid w:val="00631566"/>
    <w:rsid w:val="006317EC"/>
    <w:rsid w:val="00631C92"/>
    <w:rsid w:val="00633545"/>
    <w:rsid w:val="00634519"/>
    <w:rsid w:val="00637A31"/>
    <w:rsid w:val="00637CB7"/>
    <w:rsid w:val="0064134E"/>
    <w:rsid w:val="00641BA5"/>
    <w:rsid w:val="00642939"/>
    <w:rsid w:val="00644A7F"/>
    <w:rsid w:val="00644BDE"/>
    <w:rsid w:val="00644F91"/>
    <w:rsid w:val="00645772"/>
    <w:rsid w:val="006459BA"/>
    <w:rsid w:val="0064654A"/>
    <w:rsid w:val="006466D9"/>
    <w:rsid w:val="0064679B"/>
    <w:rsid w:val="006475C9"/>
    <w:rsid w:val="006503A3"/>
    <w:rsid w:val="00651105"/>
    <w:rsid w:val="00651376"/>
    <w:rsid w:val="006518CF"/>
    <w:rsid w:val="006524B4"/>
    <w:rsid w:val="00653738"/>
    <w:rsid w:val="00653B5D"/>
    <w:rsid w:val="00655CB6"/>
    <w:rsid w:val="00656772"/>
    <w:rsid w:val="0065759C"/>
    <w:rsid w:val="00660377"/>
    <w:rsid w:val="00661324"/>
    <w:rsid w:val="006614ED"/>
    <w:rsid w:val="00661A6A"/>
    <w:rsid w:val="00662D34"/>
    <w:rsid w:val="006643DE"/>
    <w:rsid w:val="00665291"/>
    <w:rsid w:val="00666587"/>
    <w:rsid w:val="00666A1D"/>
    <w:rsid w:val="00667017"/>
    <w:rsid w:val="00667E6A"/>
    <w:rsid w:val="0067057C"/>
    <w:rsid w:val="0067251A"/>
    <w:rsid w:val="006740C0"/>
    <w:rsid w:val="006746A5"/>
    <w:rsid w:val="00674890"/>
    <w:rsid w:val="0067497A"/>
    <w:rsid w:val="00674B8F"/>
    <w:rsid w:val="00675B45"/>
    <w:rsid w:val="0067696E"/>
    <w:rsid w:val="00676B8F"/>
    <w:rsid w:val="0067776C"/>
    <w:rsid w:val="0067777C"/>
    <w:rsid w:val="006802F0"/>
    <w:rsid w:val="0068317A"/>
    <w:rsid w:val="00683AD2"/>
    <w:rsid w:val="00684768"/>
    <w:rsid w:val="006848F0"/>
    <w:rsid w:val="0068491D"/>
    <w:rsid w:val="00684F9C"/>
    <w:rsid w:val="00685EEA"/>
    <w:rsid w:val="00686CAD"/>
    <w:rsid w:val="0069075D"/>
    <w:rsid w:val="00691CAB"/>
    <w:rsid w:val="00691EB7"/>
    <w:rsid w:val="0069298C"/>
    <w:rsid w:val="00693250"/>
    <w:rsid w:val="00694166"/>
    <w:rsid w:val="0069428A"/>
    <w:rsid w:val="006945FD"/>
    <w:rsid w:val="0069583C"/>
    <w:rsid w:val="00695998"/>
    <w:rsid w:val="00696F5A"/>
    <w:rsid w:val="006977F7"/>
    <w:rsid w:val="006978BF"/>
    <w:rsid w:val="00697D37"/>
    <w:rsid w:val="006A1299"/>
    <w:rsid w:val="006A21AC"/>
    <w:rsid w:val="006A2225"/>
    <w:rsid w:val="006A22AC"/>
    <w:rsid w:val="006A279A"/>
    <w:rsid w:val="006A3027"/>
    <w:rsid w:val="006A32D4"/>
    <w:rsid w:val="006A387A"/>
    <w:rsid w:val="006A3B51"/>
    <w:rsid w:val="006A4439"/>
    <w:rsid w:val="006A46AD"/>
    <w:rsid w:val="006A49B6"/>
    <w:rsid w:val="006A56E7"/>
    <w:rsid w:val="006A574A"/>
    <w:rsid w:val="006B15B7"/>
    <w:rsid w:val="006B1AEF"/>
    <w:rsid w:val="006B3E6B"/>
    <w:rsid w:val="006B3FF4"/>
    <w:rsid w:val="006B49E3"/>
    <w:rsid w:val="006B5BFF"/>
    <w:rsid w:val="006B622F"/>
    <w:rsid w:val="006C0387"/>
    <w:rsid w:val="006C0700"/>
    <w:rsid w:val="006C0BD1"/>
    <w:rsid w:val="006C3FB0"/>
    <w:rsid w:val="006C47BC"/>
    <w:rsid w:val="006C4DF8"/>
    <w:rsid w:val="006C5718"/>
    <w:rsid w:val="006C5E74"/>
    <w:rsid w:val="006C6008"/>
    <w:rsid w:val="006C660C"/>
    <w:rsid w:val="006D0DE3"/>
    <w:rsid w:val="006D13EB"/>
    <w:rsid w:val="006D24AD"/>
    <w:rsid w:val="006D3A5E"/>
    <w:rsid w:val="006D45E2"/>
    <w:rsid w:val="006D4EA4"/>
    <w:rsid w:val="006D614A"/>
    <w:rsid w:val="006D6688"/>
    <w:rsid w:val="006D754C"/>
    <w:rsid w:val="006D7BC2"/>
    <w:rsid w:val="006E07CF"/>
    <w:rsid w:val="006E1374"/>
    <w:rsid w:val="006E27CA"/>
    <w:rsid w:val="006E3AB4"/>
    <w:rsid w:val="006E4835"/>
    <w:rsid w:val="006E490C"/>
    <w:rsid w:val="006E4F55"/>
    <w:rsid w:val="006E518F"/>
    <w:rsid w:val="006E7392"/>
    <w:rsid w:val="006E7AAC"/>
    <w:rsid w:val="006F3426"/>
    <w:rsid w:val="006F3DFE"/>
    <w:rsid w:val="006F4C29"/>
    <w:rsid w:val="006F504C"/>
    <w:rsid w:val="006F62F2"/>
    <w:rsid w:val="006F63EF"/>
    <w:rsid w:val="006F67BF"/>
    <w:rsid w:val="006F6A87"/>
    <w:rsid w:val="006F756A"/>
    <w:rsid w:val="006F7830"/>
    <w:rsid w:val="0070085A"/>
    <w:rsid w:val="0070133B"/>
    <w:rsid w:val="00701AB6"/>
    <w:rsid w:val="00701FE6"/>
    <w:rsid w:val="00702033"/>
    <w:rsid w:val="00702ADF"/>
    <w:rsid w:val="007040DA"/>
    <w:rsid w:val="00705721"/>
    <w:rsid w:val="00705DB0"/>
    <w:rsid w:val="007066F9"/>
    <w:rsid w:val="007068C0"/>
    <w:rsid w:val="00707A65"/>
    <w:rsid w:val="0071087A"/>
    <w:rsid w:val="00710EC9"/>
    <w:rsid w:val="00710FE0"/>
    <w:rsid w:val="007112AF"/>
    <w:rsid w:val="00712AFA"/>
    <w:rsid w:val="00712F2A"/>
    <w:rsid w:val="00713B36"/>
    <w:rsid w:val="00713D8C"/>
    <w:rsid w:val="007143ED"/>
    <w:rsid w:val="00715265"/>
    <w:rsid w:val="007155B1"/>
    <w:rsid w:val="00716008"/>
    <w:rsid w:val="007164E1"/>
    <w:rsid w:val="00716B5A"/>
    <w:rsid w:val="0072066B"/>
    <w:rsid w:val="00720DE4"/>
    <w:rsid w:val="00723C35"/>
    <w:rsid w:val="00724E3D"/>
    <w:rsid w:val="00725398"/>
    <w:rsid w:val="00725748"/>
    <w:rsid w:val="007258D5"/>
    <w:rsid w:val="00727C43"/>
    <w:rsid w:val="007302D3"/>
    <w:rsid w:val="00730CFA"/>
    <w:rsid w:val="00731595"/>
    <w:rsid w:val="0073283C"/>
    <w:rsid w:val="00733237"/>
    <w:rsid w:val="00734D06"/>
    <w:rsid w:val="0073514A"/>
    <w:rsid w:val="007359FD"/>
    <w:rsid w:val="00737548"/>
    <w:rsid w:val="0074019E"/>
    <w:rsid w:val="00740ED5"/>
    <w:rsid w:val="00741E86"/>
    <w:rsid w:val="007422C0"/>
    <w:rsid w:val="007430D5"/>
    <w:rsid w:val="007443A7"/>
    <w:rsid w:val="00744528"/>
    <w:rsid w:val="00745820"/>
    <w:rsid w:val="007458C4"/>
    <w:rsid w:val="00745EEF"/>
    <w:rsid w:val="007465F2"/>
    <w:rsid w:val="007472C5"/>
    <w:rsid w:val="00750184"/>
    <w:rsid w:val="0075059C"/>
    <w:rsid w:val="007510E7"/>
    <w:rsid w:val="007536ED"/>
    <w:rsid w:val="00753718"/>
    <w:rsid w:val="00753D71"/>
    <w:rsid w:val="007543D0"/>
    <w:rsid w:val="00754F85"/>
    <w:rsid w:val="007552DD"/>
    <w:rsid w:val="00755848"/>
    <w:rsid w:val="007573AB"/>
    <w:rsid w:val="00757F29"/>
    <w:rsid w:val="007606AB"/>
    <w:rsid w:val="00761E7D"/>
    <w:rsid w:val="00763FAD"/>
    <w:rsid w:val="00764D51"/>
    <w:rsid w:val="00764D9A"/>
    <w:rsid w:val="00765EAC"/>
    <w:rsid w:val="00766061"/>
    <w:rsid w:val="00766334"/>
    <w:rsid w:val="0076658A"/>
    <w:rsid w:val="00770669"/>
    <w:rsid w:val="0077365F"/>
    <w:rsid w:val="007739B1"/>
    <w:rsid w:val="00774496"/>
    <w:rsid w:val="00774FD8"/>
    <w:rsid w:val="0077504B"/>
    <w:rsid w:val="00775917"/>
    <w:rsid w:val="00775EAA"/>
    <w:rsid w:val="00776563"/>
    <w:rsid w:val="007771F6"/>
    <w:rsid w:val="007808FE"/>
    <w:rsid w:val="00780F07"/>
    <w:rsid w:val="00781199"/>
    <w:rsid w:val="00781F2C"/>
    <w:rsid w:val="007821C3"/>
    <w:rsid w:val="00782EEF"/>
    <w:rsid w:val="00785229"/>
    <w:rsid w:val="00785809"/>
    <w:rsid w:val="00786384"/>
    <w:rsid w:val="00786C9A"/>
    <w:rsid w:val="007870AF"/>
    <w:rsid w:val="00787539"/>
    <w:rsid w:val="007900E3"/>
    <w:rsid w:val="007907A8"/>
    <w:rsid w:val="00790B5E"/>
    <w:rsid w:val="00790E5C"/>
    <w:rsid w:val="007913A2"/>
    <w:rsid w:val="00791611"/>
    <w:rsid w:val="0079174A"/>
    <w:rsid w:val="00792B02"/>
    <w:rsid w:val="00792F0E"/>
    <w:rsid w:val="0079424C"/>
    <w:rsid w:val="0079439F"/>
    <w:rsid w:val="00794BB6"/>
    <w:rsid w:val="00796ADE"/>
    <w:rsid w:val="00797181"/>
    <w:rsid w:val="007971B8"/>
    <w:rsid w:val="007A06FC"/>
    <w:rsid w:val="007A1106"/>
    <w:rsid w:val="007A19A2"/>
    <w:rsid w:val="007A409E"/>
    <w:rsid w:val="007A4332"/>
    <w:rsid w:val="007A4B2B"/>
    <w:rsid w:val="007A4C71"/>
    <w:rsid w:val="007A5026"/>
    <w:rsid w:val="007A5998"/>
    <w:rsid w:val="007A661E"/>
    <w:rsid w:val="007A7F08"/>
    <w:rsid w:val="007B03E0"/>
    <w:rsid w:val="007B06B3"/>
    <w:rsid w:val="007B1616"/>
    <w:rsid w:val="007B1D44"/>
    <w:rsid w:val="007B2B8A"/>
    <w:rsid w:val="007B4F0D"/>
    <w:rsid w:val="007B5558"/>
    <w:rsid w:val="007B5FB6"/>
    <w:rsid w:val="007B6EF8"/>
    <w:rsid w:val="007B7A4E"/>
    <w:rsid w:val="007C065B"/>
    <w:rsid w:val="007C229F"/>
    <w:rsid w:val="007C24B5"/>
    <w:rsid w:val="007C2D9A"/>
    <w:rsid w:val="007C4321"/>
    <w:rsid w:val="007C4374"/>
    <w:rsid w:val="007C4B1B"/>
    <w:rsid w:val="007C4E38"/>
    <w:rsid w:val="007C54C6"/>
    <w:rsid w:val="007C6A5A"/>
    <w:rsid w:val="007C74E7"/>
    <w:rsid w:val="007D05D1"/>
    <w:rsid w:val="007D0C91"/>
    <w:rsid w:val="007D0F9B"/>
    <w:rsid w:val="007D113A"/>
    <w:rsid w:val="007D29BA"/>
    <w:rsid w:val="007D3D2B"/>
    <w:rsid w:val="007D41C4"/>
    <w:rsid w:val="007D45F2"/>
    <w:rsid w:val="007D4FBD"/>
    <w:rsid w:val="007D5D1B"/>
    <w:rsid w:val="007D68EC"/>
    <w:rsid w:val="007D6B1D"/>
    <w:rsid w:val="007D6E7D"/>
    <w:rsid w:val="007D779D"/>
    <w:rsid w:val="007D7BEE"/>
    <w:rsid w:val="007E13BD"/>
    <w:rsid w:val="007E4079"/>
    <w:rsid w:val="007E4D44"/>
    <w:rsid w:val="007E6485"/>
    <w:rsid w:val="007E73A5"/>
    <w:rsid w:val="007E75AB"/>
    <w:rsid w:val="007E793A"/>
    <w:rsid w:val="007F01DC"/>
    <w:rsid w:val="007F02F3"/>
    <w:rsid w:val="007F1075"/>
    <w:rsid w:val="007F4930"/>
    <w:rsid w:val="007F5336"/>
    <w:rsid w:val="007F54B7"/>
    <w:rsid w:val="00800434"/>
    <w:rsid w:val="00800C19"/>
    <w:rsid w:val="008056B8"/>
    <w:rsid w:val="00805AD2"/>
    <w:rsid w:val="008071FB"/>
    <w:rsid w:val="008076D0"/>
    <w:rsid w:val="008101FC"/>
    <w:rsid w:val="00810D05"/>
    <w:rsid w:val="00811625"/>
    <w:rsid w:val="00811C6A"/>
    <w:rsid w:val="00812C9F"/>
    <w:rsid w:val="008132D9"/>
    <w:rsid w:val="00813457"/>
    <w:rsid w:val="008137A2"/>
    <w:rsid w:val="00813A20"/>
    <w:rsid w:val="00816B18"/>
    <w:rsid w:val="00816E9B"/>
    <w:rsid w:val="008204EA"/>
    <w:rsid w:val="00821648"/>
    <w:rsid w:val="0082259A"/>
    <w:rsid w:val="008231FB"/>
    <w:rsid w:val="008253A5"/>
    <w:rsid w:val="00825891"/>
    <w:rsid w:val="00825C9E"/>
    <w:rsid w:val="00826A93"/>
    <w:rsid w:val="00827C83"/>
    <w:rsid w:val="0083003A"/>
    <w:rsid w:val="00830350"/>
    <w:rsid w:val="00830F3A"/>
    <w:rsid w:val="008311AA"/>
    <w:rsid w:val="00833213"/>
    <w:rsid w:val="00833614"/>
    <w:rsid w:val="00833EDA"/>
    <w:rsid w:val="00834C2B"/>
    <w:rsid w:val="00835CB8"/>
    <w:rsid w:val="00837722"/>
    <w:rsid w:val="008377DD"/>
    <w:rsid w:val="00837B32"/>
    <w:rsid w:val="00840831"/>
    <w:rsid w:val="00842F83"/>
    <w:rsid w:val="00843032"/>
    <w:rsid w:val="0084308A"/>
    <w:rsid w:val="00843743"/>
    <w:rsid w:val="00844CB8"/>
    <w:rsid w:val="008520A0"/>
    <w:rsid w:val="0085375C"/>
    <w:rsid w:val="00853F80"/>
    <w:rsid w:val="008562D0"/>
    <w:rsid w:val="008600B9"/>
    <w:rsid w:val="008603E9"/>
    <w:rsid w:val="0086050F"/>
    <w:rsid w:val="00860A81"/>
    <w:rsid w:val="0086312F"/>
    <w:rsid w:val="0086354A"/>
    <w:rsid w:val="008641CF"/>
    <w:rsid w:val="00864BEA"/>
    <w:rsid w:val="00864CDC"/>
    <w:rsid w:val="00865027"/>
    <w:rsid w:val="008654C9"/>
    <w:rsid w:val="008659C7"/>
    <w:rsid w:val="00865AA7"/>
    <w:rsid w:val="00866C07"/>
    <w:rsid w:val="00867F97"/>
    <w:rsid w:val="008705E0"/>
    <w:rsid w:val="00870DD9"/>
    <w:rsid w:val="0087370E"/>
    <w:rsid w:val="00873CE4"/>
    <w:rsid w:val="00873DAD"/>
    <w:rsid w:val="0087579C"/>
    <w:rsid w:val="00875C1A"/>
    <w:rsid w:val="00876F4A"/>
    <w:rsid w:val="00877562"/>
    <w:rsid w:val="008814CC"/>
    <w:rsid w:val="0088169C"/>
    <w:rsid w:val="0088205B"/>
    <w:rsid w:val="00883819"/>
    <w:rsid w:val="00883869"/>
    <w:rsid w:val="00883DA3"/>
    <w:rsid w:val="00884A72"/>
    <w:rsid w:val="008858BE"/>
    <w:rsid w:val="0088615D"/>
    <w:rsid w:val="0088705D"/>
    <w:rsid w:val="008871A5"/>
    <w:rsid w:val="008901B2"/>
    <w:rsid w:val="008903DB"/>
    <w:rsid w:val="00890BEE"/>
    <w:rsid w:val="00891030"/>
    <w:rsid w:val="008924BA"/>
    <w:rsid w:val="00892744"/>
    <w:rsid w:val="00892A28"/>
    <w:rsid w:val="00893BEF"/>
    <w:rsid w:val="00894809"/>
    <w:rsid w:val="008950CE"/>
    <w:rsid w:val="00895415"/>
    <w:rsid w:val="00897FF6"/>
    <w:rsid w:val="008A03C3"/>
    <w:rsid w:val="008A0E4A"/>
    <w:rsid w:val="008A22B6"/>
    <w:rsid w:val="008A3074"/>
    <w:rsid w:val="008A30A1"/>
    <w:rsid w:val="008A32C4"/>
    <w:rsid w:val="008A357F"/>
    <w:rsid w:val="008A35BF"/>
    <w:rsid w:val="008A4F7E"/>
    <w:rsid w:val="008A534E"/>
    <w:rsid w:val="008A549B"/>
    <w:rsid w:val="008A56AF"/>
    <w:rsid w:val="008A66F9"/>
    <w:rsid w:val="008A67DC"/>
    <w:rsid w:val="008A7381"/>
    <w:rsid w:val="008B0A8E"/>
    <w:rsid w:val="008B1A23"/>
    <w:rsid w:val="008B23C7"/>
    <w:rsid w:val="008B2C6E"/>
    <w:rsid w:val="008B367C"/>
    <w:rsid w:val="008B3F6E"/>
    <w:rsid w:val="008B4599"/>
    <w:rsid w:val="008B4ADE"/>
    <w:rsid w:val="008B4B8A"/>
    <w:rsid w:val="008B4D78"/>
    <w:rsid w:val="008B63CA"/>
    <w:rsid w:val="008B761F"/>
    <w:rsid w:val="008B7628"/>
    <w:rsid w:val="008C0BFC"/>
    <w:rsid w:val="008C0E34"/>
    <w:rsid w:val="008C31C2"/>
    <w:rsid w:val="008C367E"/>
    <w:rsid w:val="008C47E3"/>
    <w:rsid w:val="008C4F67"/>
    <w:rsid w:val="008C4FA3"/>
    <w:rsid w:val="008C5BF6"/>
    <w:rsid w:val="008C6965"/>
    <w:rsid w:val="008D05D8"/>
    <w:rsid w:val="008D0F35"/>
    <w:rsid w:val="008D2240"/>
    <w:rsid w:val="008D26F5"/>
    <w:rsid w:val="008D2C75"/>
    <w:rsid w:val="008D2EAF"/>
    <w:rsid w:val="008D31B5"/>
    <w:rsid w:val="008D31BE"/>
    <w:rsid w:val="008D5817"/>
    <w:rsid w:val="008D666A"/>
    <w:rsid w:val="008D71A2"/>
    <w:rsid w:val="008D7961"/>
    <w:rsid w:val="008E07E5"/>
    <w:rsid w:val="008E170A"/>
    <w:rsid w:val="008E1C92"/>
    <w:rsid w:val="008E20A9"/>
    <w:rsid w:val="008E222B"/>
    <w:rsid w:val="008E2EDF"/>
    <w:rsid w:val="008E312C"/>
    <w:rsid w:val="008E535F"/>
    <w:rsid w:val="008E53DF"/>
    <w:rsid w:val="008E595A"/>
    <w:rsid w:val="008E72C1"/>
    <w:rsid w:val="008F0339"/>
    <w:rsid w:val="008F16AC"/>
    <w:rsid w:val="008F227E"/>
    <w:rsid w:val="008F22C3"/>
    <w:rsid w:val="008F29F0"/>
    <w:rsid w:val="008F2F7F"/>
    <w:rsid w:val="008F6869"/>
    <w:rsid w:val="008F70DF"/>
    <w:rsid w:val="00900798"/>
    <w:rsid w:val="00900B0A"/>
    <w:rsid w:val="00900D63"/>
    <w:rsid w:val="00901385"/>
    <w:rsid w:val="00901D98"/>
    <w:rsid w:val="00901F59"/>
    <w:rsid w:val="0090450E"/>
    <w:rsid w:val="00905FF9"/>
    <w:rsid w:val="00906466"/>
    <w:rsid w:val="00906705"/>
    <w:rsid w:val="00906752"/>
    <w:rsid w:val="00906BD1"/>
    <w:rsid w:val="00906BE7"/>
    <w:rsid w:val="00907292"/>
    <w:rsid w:val="009104CC"/>
    <w:rsid w:val="00910A1E"/>
    <w:rsid w:val="009118BF"/>
    <w:rsid w:val="0091252C"/>
    <w:rsid w:val="00914D05"/>
    <w:rsid w:val="00915378"/>
    <w:rsid w:val="00915BE2"/>
    <w:rsid w:val="0091640D"/>
    <w:rsid w:val="009177AB"/>
    <w:rsid w:val="00917B76"/>
    <w:rsid w:val="00917DF4"/>
    <w:rsid w:val="0092047D"/>
    <w:rsid w:val="009215BE"/>
    <w:rsid w:val="0092170A"/>
    <w:rsid w:val="00921EF9"/>
    <w:rsid w:val="00923A5F"/>
    <w:rsid w:val="00924965"/>
    <w:rsid w:val="0092517B"/>
    <w:rsid w:val="0093042B"/>
    <w:rsid w:val="00930521"/>
    <w:rsid w:val="009319D6"/>
    <w:rsid w:val="009327E1"/>
    <w:rsid w:val="00932F3E"/>
    <w:rsid w:val="009347C0"/>
    <w:rsid w:val="00934931"/>
    <w:rsid w:val="00934F89"/>
    <w:rsid w:val="00937782"/>
    <w:rsid w:val="0094011F"/>
    <w:rsid w:val="0094083F"/>
    <w:rsid w:val="00940B3F"/>
    <w:rsid w:val="00941313"/>
    <w:rsid w:val="00942001"/>
    <w:rsid w:val="00942185"/>
    <w:rsid w:val="00942B8A"/>
    <w:rsid w:val="00942BF6"/>
    <w:rsid w:val="00943309"/>
    <w:rsid w:val="0094392D"/>
    <w:rsid w:val="00944151"/>
    <w:rsid w:val="0094786E"/>
    <w:rsid w:val="00947AE4"/>
    <w:rsid w:val="0095287E"/>
    <w:rsid w:val="009544E6"/>
    <w:rsid w:val="009545D6"/>
    <w:rsid w:val="00954A80"/>
    <w:rsid w:val="00956648"/>
    <w:rsid w:val="00956FA9"/>
    <w:rsid w:val="00960019"/>
    <w:rsid w:val="0096052B"/>
    <w:rsid w:val="00960BF6"/>
    <w:rsid w:val="00962253"/>
    <w:rsid w:val="009633E7"/>
    <w:rsid w:val="00963A0C"/>
    <w:rsid w:val="00963BE9"/>
    <w:rsid w:val="009648F8"/>
    <w:rsid w:val="00964E6E"/>
    <w:rsid w:val="009659C4"/>
    <w:rsid w:val="00965EE7"/>
    <w:rsid w:val="0096708A"/>
    <w:rsid w:val="009671BE"/>
    <w:rsid w:val="00971468"/>
    <w:rsid w:val="009722E4"/>
    <w:rsid w:val="00972FB3"/>
    <w:rsid w:val="00974D51"/>
    <w:rsid w:val="00975319"/>
    <w:rsid w:val="0097563D"/>
    <w:rsid w:val="00976674"/>
    <w:rsid w:val="009768B2"/>
    <w:rsid w:val="009800F2"/>
    <w:rsid w:val="0098062F"/>
    <w:rsid w:val="00981024"/>
    <w:rsid w:val="009826BF"/>
    <w:rsid w:val="00983573"/>
    <w:rsid w:val="00983877"/>
    <w:rsid w:val="00984049"/>
    <w:rsid w:val="00985DBD"/>
    <w:rsid w:val="009862E1"/>
    <w:rsid w:val="00986B4A"/>
    <w:rsid w:val="00986CC5"/>
    <w:rsid w:val="00986D7C"/>
    <w:rsid w:val="009874FB"/>
    <w:rsid w:val="009876ED"/>
    <w:rsid w:val="00987806"/>
    <w:rsid w:val="0099044D"/>
    <w:rsid w:val="00990C32"/>
    <w:rsid w:val="009912F6"/>
    <w:rsid w:val="00991F7C"/>
    <w:rsid w:val="00992CE8"/>
    <w:rsid w:val="0099553F"/>
    <w:rsid w:val="009A0111"/>
    <w:rsid w:val="009A0854"/>
    <w:rsid w:val="009A0EAD"/>
    <w:rsid w:val="009A0EBE"/>
    <w:rsid w:val="009A1362"/>
    <w:rsid w:val="009A1A0C"/>
    <w:rsid w:val="009A21A4"/>
    <w:rsid w:val="009A2E4D"/>
    <w:rsid w:val="009A31AD"/>
    <w:rsid w:val="009A324E"/>
    <w:rsid w:val="009A3440"/>
    <w:rsid w:val="009A3506"/>
    <w:rsid w:val="009A368D"/>
    <w:rsid w:val="009A3830"/>
    <w:rsid w:val="009A38E9"/>
    <w:rsid w:val="009A636A"/>
    <w:rsid w:val="009A6C14"/>
    <w:rsid w:val="009A6DED"/>
    <w:rsid w:val="009A7524"/>
    <w:rsid w:val="009A7B2B"/>
    <w:rsid w:val="009B0882"/>
    <w:rsid w:val="009B1A6B"/>
    <w:rsid w:val="009B1B92"/>
    <w:rsid w:val="009B299D"/>
    <w:rsid w:val="009B29EF"/>
    <w:rsid w:val="009B467F"/>
    <w:rsid w:val="009B7A7A"/>
    <w:rsid w:val="009C110B"/>
    <w:rsid w:val="009C15CD"/>
    <w:rsid w:val="009C1B43"/>
    <w:rsid w:val="009C2936"/>
    <w:rsid w:val="009C32DD"/>
    <w:rsid w:val="009C3895"/>
    <w:rsid w:val="009C3AF3"/>
    <w:rsid w:val="009C463C"/>
    <w:rsid w:val="009C4BC7"/>
    <w:rsid w:val="009C4F3D"/>
    <w:rsid w:val="009C523F"/>
    <w:rsid w:val="009C5403"/>
    <w:rsid w:val="009D1251"/>
    <w:rsid w:val="009D1496"/>
    <w:rsid w:val="009D2411"/>
    <w:rsid w:val="009D2EBE"/>
    <w:rsid w:val="009D3B5D"/>
    <w:rsid w:val="009D4E88"/>
    <w:rsid w:val="009D518B"/>
    <w:rsid w:val="009D555E"/>
    <w:rsid w:val="009E0C75"/>
    <w:rsid w:val="009E0F29"/>
    <w:rsid w:val="009E406E"/>
    <w:rsid w:val="009E59A3"/>
    <w:rsid w:val="009E6917"/>
    <w:rsid w:val="009E6DD2"/>
    <w:rsid w:val="009F0545"/>
    <w:rsid w:val="009F13AB"/>
    <w:rsid w:val="009F2FCB"/>
    <w:rsid w:val="009F4543"/>
    <w:rsid w:val="009F50E6"/>
    <w:rsid w:val="009F520E"/>
    <w:rsid w:val="009F5B1C"/>
    <w:rsid w:val="009F6579"/>
    <w:rsid w:val="009F6A4B"/>
    <w:rsid w:val="009F6FB2"/>
    <w:rsid w:val="009F7E5A"/>
    <w:rsid w:val="00A000EF"/>
    <w:rsid w:val="00A003A1"/>
    <w:rsid w:val="00A00F4B"/>
    <w:rsid w:val="00A0107F"/>
    <w:rsid w:val="00A010DC"/>
    <w:rsid w:val="00A037C7"/>
    <w:rsid w:val="00A04342"/>
    <w:rsid w:val="00A044AE"/>
    <w:rsid w:val="00A04CAC"/>
    <w:rsid w:val="00A05002"/>
    <w:rsid w:val="00A051F8"/>
    <w:rsid w:val="00A062CF"/>
    <w:rsid w:val="00A07EA3"/>
    <w:rsid w:val="00A10CA7"/>
    <w:rsid w:val="00A11527"/>
    <w:rsid w:val="00A123E9"/>
    <w:rsid w:val="00A12A85"/>
    <w:rsid w:val="00A12CF4"/>
    <w:rsid w:val="00A13437"/>
    <w:rsid w:val="00A13B22"/>
    <w:rsid w:val="00A14456"/>
    <w:rsid w:val="00A177F7"/>
    <w:rsid w:val="00A204A2"/>
    <w:rsid w:val="00A20D34"/>
    <w:rsid w:val="00A22DF0"/>
    <w:rsid w:val="00A2301D"/>
    <w:rsid w:val="00A2346E"/>
    <w:rsid w:val="00A236DD"/>
    <w:rsid w:val="00A24539"/>
    <w:rsid w:val="00A2473A"/>
    <w:rsid w:val="00A2533F"/>
    <w:rsid w:val="00A256E5"/>
    <w:rsid w:val="00A25904"/>
    <w:rsid w:val="00A25CAF"/>
    <w:rsid w:val="00A26663"/>
    <w:rsid w:val="00A26A46"/>
    <w:rsid w:val="00A26BEA"/>
    <w:rsid w:val="00A27876"/>
    <w:rsid w:val="00A303A5"/>
    <w:rsid w:val="00A3109D"/>
    <w:rsid w:val="00A3135E"/>
    <w:rsid w:val="00A31361"/>
    <w:rsid w:val="00A3174E"/>
    <w:rsid w:val="00A32D6B"/>
    <w:rsid w:val="00A34202"/>
    <w:rsid w:val="00A34382"/>
    <w:rsid w:val="00A35508"/>
    <w:rsid w:val="00A37152"/>
    <w:rsid w:val="00A37253"/>
    <w:rsid w:val="00A40719"/>
    <w:rsid w:val="00A4268E"/>
    <w:rsid w:val="00A43C8C"/>
    <w:rsid w:val="00A43CAC"/>
    <w:rsid w:val="00A43FEF"/>
    <w:rsid w:val="00A445EC"/>
    <w:rsid w:val="00A44C9F"/>
    <w:rsid w:val="00A45494"/>
    <w:rsid w:val="00A46984"/>
    <w:rsid w:val="00A473FC"/>
    <w:rsid w:val="00A51418"/>
    <w:rsid w:val="00A51AE8"/>
    <w:rsid w:val="00A542A4"/>
    <w:rsid w:val="00A55116"/>
    <w:rsid w:val="00A5614C"/>
    <w:rsid w:val="00A56EED"/>
    <w:rsid w:val="00A57396"/>
    <w:rsid w:val="00A60E52"/>
    <w:rsid w:val="00A6181A"/>
    <w:rsid w:val="00A620FD"/>
    <w:rsid w:val="00A62528"/>
    <w:rsid w:val="00A62EC2"/>
    <w:rsid w:val="00A6427A"/>
    <w:rsid w:val="00A645B7"/>
    <w:rsid w:val="00A6474D"/>
    <w:rsid w:val="00A65122"/>
    <w:rsid w:val="00A67942"/>
    <w:rsid w:val="00A70434"/>
    <w:rsid w:val="00A70967"/>
    <w:rsid w:val="00A71AC0"/>
    <w:rsid w:val="00A7320F"/>
    <w:rsid w:val="00A73635"/>
    <w:rsid w:val="00A73B96"/>
    <w:rsid w:val="00A73E5C"/>
    <w:rsid w:val="00A743B8"/>
    <w:rsid w:val="00A74AE1"/>
    <w:rsid w:val="00A75910"/>
    <w:rsid w:val="00A76548"/>
    <w:rsid w:val="00A76715"/>
    <w:rsid w:val="00A773CA"/>
    <w:rsid w:val="00A81B0C"/>
    <w:rsid w:val="00A82322"/>
    <w:rsid w:val="00A82946"/>
    <w:rsid w:val="00A83898"/>
    <w:rsid w:val="00A83B78"/>
    <w:rsid w:val="00A848BF"/>
    <w:rsid w:val="00A848FD"/>
    <w:rsid w:val="00A84E23"/>
    <w:rsid w:val="00A84E93"/>
    <w:rsid w:val="00A84EE3"/>
    <w:rsid w:val="00A85D54"/>
    <w:rsid w:val="00A85E17"/>
    <w:rsid w:val="00A86006"/>
    <w:rsid w:val="00A87209"/>
    <w:rsid w:val="00A874F6"/>
    <w:rsid w:val="00A901EF"/>
    <w:rsid w:val="00A903C4"/>
    <w:rsid w:val="00A904BD"/>
    <w:rsid w:val="00A90F84"/>
    <w:rsid w:val="00A90FCC"/>
    <w:rsid w:val="00A9171A"/>
    <w:rsid w:val="00A91796"/>
    <w:rsid w:val="00A92CE8"/>
    <w:rsid w:val="00A942C1"/>
    <w:rsid w:val="00A943B6"/>
    <w:rsid w:val="00A94485"/>
    <w:rsid w:val="00A94632"/>
    <w:rsid w:val="00A946CE"/>
    <w:rsid w:val="00A94703"/>
    <w:rsid w:val="00A96125"/>
    <w:rsid w:val="00A96407"/>
    <w:rsid w:val="00A967E1"/>
    <w:rsid w:val="00A9731D"/>
    <w:rsid w:val="00AA0051"/>
    <w:rsid w:val="00AA0C8C"/>
    <w:rsid w:val="00AA2604"/>
    <w:rsid w:val="00AA3F1C"/>
    <w:rsid w:val="00AA5DC4"/>
    <w:rsid w:val="00AA62A7"/>
    <w:rsid w:val="00AA756B"/>
    <w:rsid w:val="00AA75C8"/>
    <w:rsid w:val="00AA7D40"/>
    <w:rsid w:val="00AB0F38"/>
    <w:rsid w:val="00AB10BA"/>
    <w:rsid w:val="00AB11AE"/>
    <w:rsid w:val="00AB177C"/>
    <w:rsid w:val="00AB239C"/>
    <w:rsid w:val="00AB536C"/>
    <w:rsid w:val="00AB54D4"/>
    <w:rsid w:val="00AB59F2"/>
    <w:rsid w:val="00AB664C"/>
    <w:rsid w:val="00AB6E8E"/>
    <w:rsid w:val="00AB708C"/>
    <w:rsid w:val="00AB75FB"/>
    <w:rsid w:val="00AB7B43"/>
    <w:rsid w:val="00AB7E4B"/>
    <w:rsid w:val="00AC0095"/>
    <w:rsid w:val="00AC04BA"/>
    <w:rsid w:val="00AC0589"/>
    <w:rsid w:val="00AC130B"/>
    <w:rsid w:val="00AC2834"/>
    <w:rsid w:val="00AC2F1C"/>
    <w:rsid w:val="00AC425F"/>
    <w:rsid w:val="00AC4EAC"/>
    <w:rsid w:val="00AC6FCB"/>
    <w:rsid w:val="00AC7162"/>
    <w:rsid w:val="00AD0060"/>
    <w:rsid w:val="00AD06DF"/>
    <w:rsid w:val="00AD0958"/>
    <w:rsid w:val="00AD0BEE"/>
    <w:rsid w:val="00AD0EB4"/>
    <w:rsid w:val="00AD0F05"/>
    <w:rsid w:val="00AD393A"/>
    <w:rsid w:val="00AD413A"/>
    <w:rsid w:val="00AD42E0"/>
    <w:rsid w:val="00AD5CA6"/>
    <w:rsid w:val="00AD6DBD"/>
    <w:rsid w:val="00AE0470"/>
    <w:rsid w:val="00AE3ADA"/>
    <w:rsid w:val="00AE4C31"/>
    <w:rsid w:val="00AE592A"/>
    <w:rsid w:val="00AE5A68"/>
    <w:rsid w:val="00AE6323"/>
    <w:rsid w:val="00AF2396"/>
    <w:rsid w:val="00AF2FC4"/>
    <w:rsid w:val="00AF38DE"/>
    <w:rsid w:val="00AF4882"/>
    <w:rsid w:val="00AF4F9D"/>
    <w:rsid w:val="00AF551E"/>
    <w:rsid w:val="00AF5D47"/>
    <w:rsid w:val="00B00647"/>
    <w:rsid w:val="00B022BF"/>
    <w:rsid w:val="00B033A0"/>
    <w:rsid w:val="00B04D70"/>
    <w:rsid w:val="00B04E03"/>
    <w:rsid w:val="00B062CD"/>
    <w:rsid w:val="00B1039A"/>
    <w:rsid w:val="00B118D5"/>
    <w:rsid w:val="00B140FE"/>
    <w:rsid w:val="00B14587"/>
    <w:rsid w:val="00B15F2F"/>
    <w:rsid w:val="00B15F94"/>
    <w:rsid w:val="00B15FA4"/>
    <w:rsid w:val="00B16906"/>
    <w:rsid w:val="00B17968"/>
    <w:rsid w:val="00B20A09"/>
    <w:rsid w:val="00B219D3"/>
    <w:rsid w:val="00B22125"/>
    <w:rsid w:val="00B23148"/>
    <w:rsid w:val="00B2379B"/>
    <w:rsid w:val="00B2379F"/>
    <w:rsid w:val="00B237EC"/>
    <w:rsid w:val="00B23959"/>
    <w:rsid w:val="00B24AC9"/>
    <w:rsid w:val="00B250FE"/>
    <w:rsid w:val="00B260DA"/>
    <w:rsid w:val="00B26BFA"/>
    <w:rsid w:val="00B26C1C"/>
    <w:rsid w:val="00B27E7D"/>
    <w:rsid w:val="00B32785"/>
    <w:rsid w:val="00B32FB9"/>
    <w:rsid w:val="00B338F8"/>
    <w:rsid w:val="00B33EB6"/>
    <w:rsid w:val="00B35810"/>
    <w:rsid w:val="00B35A68"/>
    <w:rsid w:val="00B35E29"/>
    <w:rsid w:val="00B35E35"/>
    <w:rsid w:val="00B36470"/>
    <w:rsid w:val="00B3660E"/>
    <w:rsid w:val="00B36C07"/>
    <w:rsid w:val="00B37697"/>
    <w:rsid w:val="00B376B8"/>
    <w:rsid w:val="00B379D3"/>
    <w:rsid w:val="00B37E71"/>
    <w:rsid w:val="00B414CA"/>
    <w:rsid w:val="00B41594"/>
    <w:rsid w:val="00B41ABE"/>
    <w:rsid w:val="00B41D07"/>
    <w:rsid w:val="00B41E15"/>
    <w:rsid w:val="00B43311"/>
    <w:rsid w:val="00B4496E"/>
    <w:rsid w:val="00B44A55"/>
    <w:rsid w:val="00B44F1A"/>
    <w:rsid w:val="00B4658D"/>
    <w:rsid w:val="00B469A8"/>
    <w:rsid w:val="00B50276"/>
    <w:rsid w:val="00B5114A"/>
    <w:rsid w:val="00B514F2"/>
    <w:rsid w:val="00B52028"/>
    <w:rsid w:val="00B52786"/>
    <w:rsid w:val="00B52EDE"/>
    <w:rsid w:val="00B54F41"/>
    <w:rsid w:val="00B551D9"/>
    <w:rsid w:val="00B57096"/>
    <w:rsid w:val="00B57640"/>
    <w:rsid w:val="00B57EC6"/>
    <w:rsid w:val="00B60C52"/>
    <w:rsid w:val="00B60EB9"/>
    <w:rsid w:val="00B610E4"/>
    <w:rsid w:val="00B615E8"/>
    <w:rsid w:val="00B624AF"/>
    <w:rsid w:val="00B62B7A"/>
    <w:rsid w:val="00B63762"/>
    <w:rsid w:val="00B63DAC"/>
    <w:rsid w:val="00B63F22"/>
    <w:rsid w:val="00B642BA"/>
    <w:rsid w:val="00B664C5"/>
    <w:rsid w:val="00B676AB"/>
    <w:rsid w:val="00B678F5"/>
    <w:rsid w:val="00B70BBD"/>
    <w:rsid w:val="00B70BE4"/>
    <w:rsid w:val="00B71350"/>
    <w:rsid w:val="00B718DA"/>
    <w:rsid w:val="00B71913"/>
    <w:rsid w:val="00B71C19"/>
    <w:rsid w:val="00B71C3C"/>
    <w:rsid w:val="00B72F5D"/>
    <w:rsid w:val="00B7354E"/>
    <w:rsid w:val="00B75304"/>
    <w:rsid w:val="00B75AFD"/>
    <w:rsid w:val="00B77268"/>
    <w:rsid w:val="00B77799"/>
    <w:rsid w:val="00B807D8"/>
    <w:rsid w:val="00B813F6"/>
    <w:rsid w:val="00B81C7C"/>
    <w:rsid w:val="00B83625"/>
    <w:rsid w:val="00B85105"/>
    <w:rsid w:val="00B8565C"/>
    <w:rsid w:val="00B85DAC"/>
    <w:rsid w:val="00B90283"/>
    <w:rsid w:val="00B90D50"/>
    <w:rsid w:val="00B91791"/>
    <w:rsid w:val="00B92045"/>
    <w:rsid w:val="00B92941"/>
    <w:rsid w:val="00B92961"/>
    <w:rsid w:val="00B92E21"/>
    <w:rsid w:val="00B93256"/>
    <w:rsid w:val="00B9352F"/>
    <w:rsid w:val="00B94ADD"/>
    <w:rsid w:val="00B94B1A"/>
    <w:rsid w:val="00B94E21"/>
    <w:rsid w:val="00B96E20"/>
    <w:rsid w:val="00B97268"/>
    <w:rsid w:val="00B973AD"/>
    <w:rsid w:val="00B9749B"/>
    <w:rsid w:val="00B97FD4"/>
    <w:rsid w:val="00BA1AC5"/>
    <w:rsid w:val="00BA30A5"/>
    <w:rsid w:val="00BA3AE1"/>
    <w:rsid w:val="00BA49F6"/>
    <w:rsid w:val="00BA4BEB"/>
    <w:rsid w:val="00BA4F12"/>
    <w:rsid w:val="00BA5194"/>
    <w:rsid w:val="00BA581E"/>
    <w:rsid w:val="00BA60FA"/>
    <w:rsid w:val="00BA67F6"/>
    <w:rsid w:val="00BA771C"/>
    <w:rsid w:val="00BB07EB"/>
    <w:rsid w:val="00BB0D19"/>
    <w:rsid w:val="00BB1F49"/>
    <w:rsid w:val="00BB35EE"/>
    <w:rsid w:val="00BB3D86"/>
    <w:rsid w:val="00BB5A96"/>
    <w:rsid w:val="00BB5B7E"/>
    <w:rsid w:val="00BB612A"/>
    <w:rsid w:val="00BB6599"/>
    <w:rsid w:val="00BB6845"/>
    <w:rsid w:val="00BB6AC5"/>
    <w:rsid w:val="00BB730D"/>
    <w:rsid w:val="00BB779B"/>
    <w:rsid w:val="00BC0560"/>
    <w:rsid w:val="00BC11C8"/>
    <w:rsid w:val="00BC1DDE"/>
    <w:rsid w:val="00BC36C6"/>
    <w:rsid w:val="00BC4970"/>
    <w:rsid w:val="00BC5C4A"/>
    <w:rsid w:val="00BC6DCE"/>
    <w:rsid w:val="00BC6F3F"/>
    <w:rsid w:val="00BD04EC"/>
    <w:rsid w:val="00BD1034"/>
    <w:rsid w:val="00BD228F"/>
    <w:rsid w:val="00BD2A38"/>
    <w:rsid w:val="00BD2FF4"/>
    <w:rsid w:val="00BD3AF6"/>
    <w:rsid w:val="00BD45F1"/>
    <w:rsid w:val="00BD503B"/>
    <w:rsid w:val="00BD548A"/>
    <w:rsid w:val="00BD5BAB"/>
    <w:rsid w:val="00BD78D6"/>
    <w:rsid w:val="00BE027C"/>
    <w:rsid w:val="00BE148C"/>
    <w:rsid w:val="00BE18CB"/>
    <w:rsid w:val="00BE274A"/>
    <w:rsid w:val="00BE2AC2"/>
    <w:rsid w:val="00BE3D6B"/>
    <w:rsid w:val="00BE465C"/>
    <w:rsid w:val="00BE5247"/>
    <w:rsid w:val="00BE64B2"/>
    <w:rsid w:val="00BE666C"/>
    <w:rsid w:val="00BE713B"/>
    <w:rsid w:val="00BE7925"/>
    <w:rsid w:val="00BE7C79"/>
    <w:rsid w:val="00BE7E2A"/>
    <w:rsid w:val="00BF0E15"/>
    <w:rsid w:val="00BF25EC"/>
    <w:rsid w:val="00BF27F2"/>
    <w:rsid w:val="00BF3131"/>
    <w:rsid w:val="00BF47F2"/>
    <w:rsid w:val="00BF4893"/>
    <w:rsid w:val="00BF4AB9"/>
    <w:rsid w:val="00BF5F29"/>
    <w:rsid w:val="00BF6322"/>
    <w:rsid w:val="00BF70CE"/>
    <w:rsid w:val="00BF7621"/>
    <w:rsid w:val="00C006FC"/>
    <w:rsid w:val="00C02087"/>
    <w:rsid w:val="00C02C29"/>
    <w:rsid w:val="00C02C75"/>
    <w:rsid w:val="00C03EAC"/>
    <w:rsid w:val="00C0501A"/>
    <w:rsid w:val="00C060C9"/>
    <w:rsid w:val="00C067A3"/>
    <w:rsid w:val="00C06C54"/>
    <w:rsid w:val="00C07D75"/>
    <w:rsid w:val="00C101A2"/>
    <w:rsid w:val="00C10AEC"/>
    <w:rsid w:val="00C10DFA"/>
    <w:rsid w:val="00C118B8"/>
    <w:rsid w:val="00C11DE2"/>
    <w:rsid w:val="00C11FF9"/>
    <w:rsid w:val="00C12A7E"/>
    <w:rsid w:val="00C13818"/>
    <w:rsid w:val="00C139DD"/>
    <w:rsid w:val="00C14223"/>
    <w:rsid w:val="00C145B8"/>
    <w:rsid w:val="00C154E0"/>
    <w:rsid w:val="00C15A50"/>
    <w:rsid w:val="00C16565"/>
    <w:rsid w:val="00C16640"/>
    <w:rsid w:val="00C16D97"/>
    <w:rsid w:val="00C175DE"/>
    <w:rsid w:val="00C20261"/>
    <w:rsid w:val="00C21275"/>
    <w:rsid w:val="00C21370"/>
    <w:rsid w:val="00C21657"/>
    <w:rsid w:val="00C2165C"/>
    <w:rsid w:val="00C22212"/>
    <w:rsid w:val="00C22788"/>
    <w:rsid w:val="00C23694"/>
    <w:rsid w:val="00C23DFE"/>
    <w:rsid w:val="00C25B8F"/>
    <w:rsid w:val="00C27963"/>
    <w:rsid w:val="00C302F0"/>
    <w:rsid w:val="00C3049D"/>
    <w:rsid w:val="00C30F14"/>
    <w:rsid w:val="00C31CA3"/>
    <w:rsid w:val="00C320A2"/>
    <w:rsid w:val="00C3213C"/>
    <w:rsid w:val="00C3215E"/>
    <w:rsid w:val="00C323F0"/>
    <w:rsid w:val="00C326A1"/>
    <w:rsid w:val="00C32EEA"/>
    <w:rsid w:val="00C33F12"/>
    <w:rsid w:val="00C34360"/>
    <w:rsid w:val="00C34631"/>
    <w:rsid w:val="00C353B2"/>
    <w:rsid w:val="00C369B8"/>
    <w:rsid w:val="00C37A4B"/>
    <w:rsid w:val="00C402B1"/>
    <w:rsid w:val="00C40561"/>
    <w:rsid w:val="00C40DDE"/>
    <w:rsid w:val="00C41359"/>
    <w:rsid w:val="00C41EB8"/>
    <w:rsid w:val="00C425C7"/>
    <w:rsid w:val="00C4381F"/>
    <w:rsid w:val="00C43AE2"/>
    <w:rsid w:val="00C44A1E"/>
    <w:rsid w:val="00C45C4C"/>
    <w:rsid w:val="00C45E75"/>
    <w:rsid w:val="00C462EA"/>
    <w:rsid w:val="00C465C1"/>
    <w:rsid w:val="00C46A49"/>
    <w:rsid w:val="00C511F4"/>
    <w:rsid w:val="00C526C2"/>
    <w:rsid w:val="00C53185"/>
    <w:rsid w:val="00C5387A"/>
    <w:rsid w:val="00C53963"/>
    <w:rsid w:val="00C54177"/>
    <w:rsid w:val="00C54410"/>
    <w:rsid w:val="00C5509B"/>
    <w:rsid w:val="00C5550A"/>
    <w:rsid w:val="00C55ECD"/>
    <w:rsid w:val="00C5613A"/>
    <w:rsid w:val="00C56C25"/>
    <w:rsid w:val="00C6020B"/>
    <w:rsid w:val="00C60C0B"/>
    <w:rsid w:val="00C60E1D"/>
    <w:rsid w:val="00C6102D"/>
    <w:rsid w:val="00C63E4D"/>
    <w:rsid w:val="00C64C5A"/>
    <w:rsid w:val="00C652B8"/>
    <w:rsid w:val="00C65408"/>
    <w:rsid w:val="00C65BAB"/>
    <w:rsid w:val="00C66328"/>
    <w:rsid w:val="00C6658B"/>
    <w:rsid w:val="00C666BC"/>
    <w:rsid w:val="00C6723D"/>
    <w:rsid w:val="00C7009F"/>
    <w:rsid w:val="00C716C8"/>
    <w:rsid w:val="00C71936"/>
    <w:rsid w:val="00C73398"/>
    <w:rsid w:val="00C733CA"/>
    <w:rsid w:val="00C73678"/>
    <w:rsid w:val="00C74F85"/>
    <w:rsid w:val="00C75211"/>
    <w:rsid w:val="00C7560D"/>
    <w:rsid w:val="00C75738"/>
    <w:rsid w:val="00C76CB4"/>
    <w:rsid w:val="00C77175"/>
    <w:rsid w:val="00C80082"/>
    <w:rsid w:val="00C80CF3"/>
    <w:rsid w:val="00C814C5"/>
    <w:rsid w:val="00C81F14"/>
    <w:rsid w:val="00C82435"/>
    <w:rsid w:val="00C82B91"/>
    <w:rsid w:val="00C82BBF"/>
    <w:rsid w:val="00C82C5D"/>
    <w:rsid w:val="00C82ED3"/>
    <w:rsid w:val="00C82F3B"/>
    <w:rsid w:val="00C84EA8"/>
    <w:rsid w:val="00C85244"/>
    <w:rsid w:val="00C867CA"/>
    <w:rsid w:val="00C86809"/>
    <w:rsid w:val="00C87223"/>
    <w:rsid w:val="00C87564"/>
    <w:rsid w:val="00C87C80"/>
    <w:rsid w:val="00C921FC"/>
    <w:rsid w:val="00C93CC3"/>
    <w:rsid w:val="00C9725F"/>
    <w:rsid w:val="00CA01FE"/>
    <w:rsid w:val="00CA0FF4"/>
    <w:rsid w:val="00CA1608"/>
    <w:rsid w:val="00CA2331"/>
    <w:rsid w:val="00CA29E1"/>
    <w:rsid w:val="00CA2FC4"/>
    <w:rsid w:val="00CA374E"/>
    <w:rsid w:val="00CA3DED"/>
    <w:rsid w:val="00CA5343"/>
    <w:rsid w:val="00CA6480"/>
    <w:rsid w:val="00CA687C"/>
    <w:rsid w:val="00CA6DBE"/>
    <w:rsid w:val="00CB0E82"/>
    <w:rsid w:val="00CB0F15"/>
    <w:rsid w:val="00CB12AE"/>
    <w:rsid w:val="00CB1524"/>
    <w:rsid w:val="00CB2499"/>
    <w:rsid w:val="00CB2849"/>
    <w:rsid w:val="00CB30BB"/>
    <w:rsid w:val="00CB31F3"/>
    <w:rsid w:val="00CB336C"/>
    <w:rsid w:val="00CB54FD"/>
    <w:rsid w:val="00CB7DC1"/>
    <w:rsid w:val="00CC0A17"/>
    <w:rsid w:val="00CC3345"/>
    <w:rsid w:val="00CC3DCA"/>
    <w:rsid w:val="00CC4BE8"/>
    <w:rsid w:val="00CC7EAA"/>
    <w:rsid w:val="00CD0687"/>
    <w:rsid w:val="00CD10BF"/>
    <w:rsid w:val="00CD1652"/>
    <w:rsid w:val="00CD26F5"/>
    <w:rsid w:val="00CD3BAC"/>
    <w:rsid w:val="00CD3E50"/>
    <w:rsid w:val="00CD445F"/>
    <w:rsid w:val="00CD4EDB"/>
    <w:rsid w:val="00CD5DBF"/>
    <w:rsid w:val="00CD65E0"/>
    <w:rsid w:val="00CD76FC"/>
    <w:rsid w:val="00CE0540"/>
    <w:rsid w:val="00CE1472"/>
    <w:rsid w:val="00CE1976"/>
    <w:rsid w:val="00CE20EF"/>
    <w:rsid w:val="00CE2B59"/>
    <w:rsid w:val="00CE3016"/>
    <w:rsid w:val="00CE52B7"/>
    <w:rsid w:val="00CE5587"/>
    <w:rsid w:val="00CE5EF8"/>
    <w:rsid w:val="00CE5FA7"/>
    <w:rsid w:val="00CE64CB"/>
    <w:rsid w:val="00CE7523"/>
    <w:rsid w:val="00CE7DEE"/>
    <w:rsid w:val="00CF02EB"/>
    <w:rsid w:val="00CF047F"/>
    <w:rsid w:val="00CF0D42"/>
    <w:rsid w:val="00CF211A"/>
    <w:rsid w:val="00CF21FE"/>
    <w:rsid w:val="00CF2817"/>
    <w:rsid w:val="00CF2FE5"/>
    <w:rsid w:val="00CF377D"/>
    <w:rsid w:val="00CF3C2E"/>
    <w:rsid w:val="00CF436B"/>
    <w:rsid w:val="00CF43F7"/>
    <w:rsid w:val="00CF4D93"/>
    <w:rsid w:val="00CF649F"/>
    <w:rsid w:val="00CF74CD"/>
    <w:rsid w:val="00D00D3D"/>
    <w:rsid w:val="00D014C0"/>
    <w:rsid w:val="00D01785"/>
    <w:rsid w:val="00D01E74"/>
    <w:rsid w:val="00D01F59"/>
    <w:rsid w:val="00D025F9"/>
    <w:rsid w:val="00D04261"/>
    <w:rsid w:val="00D04611"/>
    <w:rsid w:val="00D04BA0"/>
    <w:rsid w:val="00D04F8E"/>
    <w:rsid w:val="00D05681"/>
    <w:rsid w:val="00D066A4"/>
    <w:rsid w:val="00D07C0E"/>
    <w:rsid w:val="00D10877"/>
    <w:rsid w:val="00D11A69"/>
    <w:rsid w:val="00D13508"/>
    <w:rsid w:val="00D14D70"/>
    <w:rsid w:val="00D150B5"/>
    <w:rsid w:val="00D1560D"/>
    <w:rsid w:val="00D16DD4"/>
    <w:rsid w:val="00D20543"/>
    <w:rsid w:val="00D20BB1"/>
    <w:rsid w:val="00D215FB"/>
    <w:rsid w:val="00D2222D"/>
    <w:rsid w:val="00D2449F"/>
    <w:rsid w:val="00D24544"/>
    <w:rsid w:val="00D248DA"/>
    <w:rsid w:val="00D2768C"/>
    <w:rsid w:val="00D308C2"/>
    <w:rsid w:val="00D30E13"/>
    <w:rsid w:val="00D31137"/>
    <w:rsid w:val="00D31E05"/>
    <w:rsid w:val="00D31EFE"/>
    <w:rsid w:val="00D3200B"/>
    <w:rsid w:val="00D325EF"/>
    <w:rsid w:val="00D32A34"/>
    <w:rsid w:val="00D32ED4"/>
    <w:rsid w:val="00D34CB7"/>
    <w:rsid w:val="00D35EBD"/>
    <w:rsid w:val="00D360E6"/>
    <w:rsid w:val="00D36666"/>
    <w:rsid w:val="00D36F8E"/>
    <w:rsid w:val="00D41F0C"/>
    <w:rsid w:val="00D42119"/>
    <w:rsid w:val="00D44A03"/>
    <w:rsid w:val="00D44E34"/>
    <w:rsid w:val="00D46820"/>
    <w:rsid w:val="00D47CE1"/>
    <w:rsid w:val="00D501F9"/>
    <w:rsid w:val="00D51B63"/>
    <w:rsid w:val="00D53105"/>
    <w:rsid w:val="00D532F2"/>
    <w:rsid w:val="00D54063"/>
    <w:rsid w:val="00D551B8"/>
    <w:rsid w:val="00D552DA"/>
    <w:rsid w:val="00D55A45"/>
    <w:rsid w:val="00D56450"/>
    <w:rsid w:val="00D569D4"/>
    <w:rsid w:val="00D56EDA"/>
    <w:rsid w:val="00D5785D"/>
    <w:rsid w:val="00D57A83"/>
    <w:rsid w:val="00D6122E"/>
    <w:rsid w:val="00D61B42"/>
    <w:rsid w:val="00D66A54"/>
    <w:rsid w:val="00D7059D"/>
    <w:rsid w:val="00D7076F"/>
    <w:rsid w:val="00D71FBA"/>
    <w:rsid w:val="00D7204A"/>
    <w:rsid w:val="00D7344E"/>
    <w:rsid w:val="00D75904"/>
    <w:rsid w:val="00D75E2B"/>
    <w:rsid w:val="00D76922"/>
    <w:rsid w:val="00D7782E"/>
    <w:rsid w:val="00D806B9"/>
    <w:rsid w:val="00D80DC4"/>
    <w:rsid w:val="00D81556"/>
    <w:rsid w:val="00D81AD5"/>
    <w:rsid w:val="00D81C9B"/>
    <w:rsid w:val="00D8221C"/>
    <w:rsid w:val="00D8250B"/>
    <w:rsid w:val="00D83162"/>
    <w:rsid w:val="00D83D28"/>
    <w:rsid w:val="00D8434D"/>
    <w:rsid w:val="00D84EC2"/>
    <w:rsid w:val="00D86A48"/>
    <w:rsid w:val="00D874E8"/>
    <w:rsid w:val="00D8775E"/>
    <w:rsid w:val="00D91004"/>
    <w:rsid w:val="00D91974"/>
    <w:rsid w:val="00D92D80"/>
    <w:rsid w:val="00D932B3"/>
    <w:rsid w:val="00D942DA"/>
    <w:rsid w:val="00D94AF9"/>
    <w:rsid w:val="00D94C2A"/>
    <w:rsid w:val="00D95210"/>
    <w:rsid w:val="00D956D8"/>
    <w:rsid w:val="00D956FD"/>
    <w:rsid w:val="00DA0049"/>
    <w:rsid w:val="00DA0A51"/>
    <w:rsid w:val="00DA0FA1"/>
    <w:rsid w:val="00DA2CBA"/>
    <w:rsid w:val="00DA32F8"/>
    <w:rsid w:val="00DA4931"/>
    <w:rsid w:val="00DA4F0D"/>
    <w:rsid w:val="00DA5010"/>
    <w:rsid w:val="00DA51FE"/>
    <w:rsid w:val="00DA5C20"/>
    <w:rsid w:val="00DA798D"/>
    <w:rsid w:val="00DA7FCB"/>
    <w:rsid w:val="00DB0C77"/>
    <w:rsid w:val="00DB1397"/>
    <w:rsid w:val="00DB2BC1"/>
    <w:rsid w:val="00DB369D"/>
    <w:rsid w:val="00DB3FF2"/>
    <w:rsid w:val="00DB5864"/>
    <w:rsid w:val="00DB5BF8"/>
    <w:rsid w:val="00DB5C65"/>
    <w:rsid w:val="00DB71D8"/>
    <w:rsid w:val="00DB727F"/>
    <w:rsid w:val="00DB78D1"/>
    <w:rsid w:val="00DC031E"/>
    <w:rsid w:val="00DC03C3"/>
    <w:rsid w:val="00DC1F2F"/>
    <w:rsid w:val="00DC2982"/>
    <w:rsid w:val="00DC37D6"/>
    <w:rsid w:val="00DC48FA"/>
    <w:rsid w:val="00DC4E74"/>
    <w:rsid w:val="00DC5893"/>
    <w:rsid w:val="00DC793C"/>
    <w:rsid w:val="00DC79D3"/>
    <w:rsid w:val="00DD1D91"/>
    <w:rsid w:val="00DD29AC"/>
    <w:rsid w:val="00DD2EE7"/>
    <w:rsid w:val="00DD4C84"/>
    <w:rsid w:val="00DD4EB2"/>
    <w:rsid w:val="00DD570A"/>
    <w:rsid w:val="00DD64D3"/>
    <w:rsid w:val="00DD6FED"/>
    <w:rsid w:val="00DD7871"/>
    <w:rsid w:val="00DD7DDD"/>
    <w:rsid w:val="00DE028C"/>
    <w:rsid w:val="00DE043A"/>
    <w:rsid w:val="00DE046A"/>
    <w:rsid w:val="00DE091B"/>
    <w:rsid w:val="00DE2E44"/>
    <w:rsid w:val="00DE36EE"/>
    <w:rsid w:val="00DE37B1"/>
    <w:rsid w:val="00DE3D2C"/>
    <w:rsid w:val="00DE425D"/>
    <w:rsid w:val="00DE48FA"/>
    <w:rsid w:val="00DE49E5"/>
    <w:rsid w:val="00DE53CB"/>
    <w:rsid w:val="00DE7410"/>
    <w:rsid w:val="00DE7BA7"/>
    <w:rsid w:val="00DF0C86"/>
    <w:rsid w:val="00DF152E"/>
    <w:rsid w:val="00DF3022"/>
    <w:rsid w:val="00DF3461"/>
    <w:rsid w:val="00DF3ECD"/>
    <w:rsid w:val="00DF4333"/>
    <w:rsid w:val="00DF4349"/>
    <w:rsid w:val="00DF547E"/>
    <w:rsid w:val="00E00AC4"/>
    <w:rsid w:val="00E02ADD"/>
    <w:rsid w:val="00E04B29"/>
    <w:rsid w:val="00E0523A"/>
    <w:rsid w:val="00E06F9F"/>
    <w:rsid w:val="00E109D1"/>
    <w:rsid w:val="00E10B6F"/>
    <w:rsid w:val="00E10FC2"/>
    <w:rsid w:val="00E12CF1"/>
    <w:rsid w:val="00E12E7F"/>
    <w:rsid w:val="00E13C9F"/>
    <w:rsid w:val="00E15008"/>
    <w:rsid w:val="00E17E97"/>
    <w:rsid w:val="00E213BC"/>
    <w:rsid w:val="00E218CE"/>
    <w:rsid w:val="00E22B2C"/>
    <w:rsid w:val="00E22CCB"/>
    <w:rsid w:val="00E22FCF"/>
    <w:rsid w:val="00E23C76"/>
    <w:rsid w:val="00E23D2F"/>
    <w:rsid w:val="00E248F0"/>
    <w:rsid w:val="00E252B9"/>
    <w:rsid w:val="00E2577E"/>
    <w:rsid w:val="00E2626A"/>
    <w:rsid w:val="00E27F15"/>
    <w:rsid w:val="00E3144E"/>
    <w:rsid w:val="00E314F5"/>
    <w:rsid w:val="00E31A64"/>
    <w:rsid w:val="00E31CC9"/>
    <w:rsid w:val="00E31DE9"/>
    <w:rsid w:val="00E31EFE"/>
    <w:rsid w:val="00E33AAC"/>
    <w:rsid w:val="00E3414C"/>
    <w:rsid w:val="00E3569E"/>
    <w:rsid w:val="00E35833"/>
    <w:rsid w:val="00E35E68"/>
    <w:rsid w:val="00E3675B"/>
    <w:rsid w:val="00E37063"/>
    <w:rsid w:val="00E37687"/>
    <w:rsid w:val="00E404C1"/>
    <w:rsid w:val="00E41011"/>
    <w:rsid w:val="00E45B19"/>
    <w:rsid w:val="00E45EE4"/>
    <w:rsid w:val="00E4612E"/>
    <w:rsid w:val="00E471A6"/>
    <w:rsid w:val="00E47F2B"/>
    <w:rsid w:val="00E5049E"/>
    <w:rsid w:val="00E525DD"/>
    <w:rsid w:val="00E530C7"/>
    <w:rsid w:val="00E543A3"/>
    <w:rsid w:val="00E54437"/>
    <w:rsid w:val="00E556A0"/>
    <w:rsid w:val="00E56029"/>
    <w:rsid w:val="00E57033"/>
    <w:rsid w:val="00E61367"/>
    <w:rsid w:val="00E641F9"/>
    <w:rsid w:val="00E646A8"/>
    <w:rsid w:val="00E64E07"/>
    <w:rsid w:val="00E67BB4"/>
    <w:rsid w:val="00E71C48"/>
    <w:rsid w:val="00E7339D"/>
    <w:rsid w:val="00E7484E"/>
    <w:rsid w:val="00E769B8"/>
    <w:rsid w:val="00E7730D"/>
    <w:rsid w:val="00E77E5B"/>
    <w:rsid w:val="00E81F61"/>
    <w:rsid w:val="00E83406"/>
    <w:rsid w:val="00E8474A"/>
    <w:rsid w:val="00E854B8"/>
    <w:rsid w:val="00E8643B"/>
    <w:rsid w:val="00E8673C"/>
    <w:rsid w:val="00E86C90"/>
    <w:rsid w:val="00E90DFF"/>
    <w:rsid w:val="00E91179"/>
    <w:rsid w:val="00E91353"/>
    <w:rsid w:val="00E913C5"/>
    <w:rsid w:val="00E92AFA"/>
    <w:rsid w:val="00E92CC2"/>
    <w:rsid w:val="00E92E18"/>
    <w:rsid w:val="00E9323B"/>
    <w:rsid w:val="00E946D2"/>
    <w:rsid w:val="00E94FB3"/>
    <w:rsid w:val="00E979D8"/>
    <w:rsid w:val="00E97DDF"/>
    <w:rsid w:val="00EA00C0"/>
    <w:rsid w:val="00EA17E5"/>
    <w:rsid w:val="00EA3791"/>
    <w:rsid w:val="00EA3F5F"/>
    <w:rsid w:val="00EA552D"/>
    <w:rsid w:val="00EA59C1"/>
    <w:rsid w:val="00EA6859"/>
    <w:rsid w:val="00EB1410"/>
    <w:rsid w:val="00EB24DC"/>
    <w:rsid w:val="00EB25CC"/>
    <w:rsid w:val="00EB3FA5"/>
    <w:rsid w:val="00EB40F4"/>
    <w:rsid w:val="00EB4923"/>
    <w:rsid w:val="00EB4C2F"/>
    <w:rsid w:val="00EB7B50"/>
    <w:rsid w:val="00EC1155"/>
    <w:rsid w:val="00EC2171"/>
    <w:rsid w:val="00EC2E41"/>
    <w:rsid w:val="00EC4F91"/>
    <w:rsid w:val="00EC5141"/>
    <w:rsid w:val="00EC5D38"/>
    <w:rsid w:val="00EC62A1"/>
    <w:rsid w:val="00EC755E"/>
    <w:rsid w:val="00EC7FAF"/>
    <w:rsid w:val="00ED0D69"/>
    <w:rsid w:val="00ED1D54"/>
    <w:rsid w:val="00ED1E5C"/>
    <w:rsid w:val="00ED2159"/>
    <w:rsid w:val="00ED26C8"/>
    <w:rsid w:val="00ED2721"/>
    <w:rsid w:val="00ED3145"/>
    <w:rsid w:val="00ED3341"/>
    <w:rsid w:val="00ED40C9"/>
    <w:rsid w:val="00ED7D1C"/>
    <w:rsid w:val="00ED7D61"/>
    <w:rsid w:val="00EE23E0"/>
    <w:rsid w:val="00EE32B0"/>
    <w:rsid w:val="00EE3552"/>
    <w:rsid w:val="00EE36DC"/>
    <w:rsid w:val="00EE3B85"/>
    <w:rsid w:val="00EE4079"/>
    <w:rsid w:val="00EE474A"/>
    <w:rsid w:val="00EE47CC"/>
    <w:rsid w:val="00EF026C"/>
    <w:rsid w:val="00EF0444"/>
    <w:rsid w:val="00EF096D"/>
    <w:rsid w:val="00EF1BF9"/>
    <w:rsid w:val="00EF1C33"/>
    <w:rsid w:val="00EF3450"/>
    <w:rsid w:val="00EF3938"/>
    <w:rsid w:val="00EF475D"/>
    <w:rsid w:val="00EF602F"/>
    <w:rsid w:val="00EF6FC5"/>
    <w:rsid w:val="00EF75C9"/>
    <w:rsid w:val="00EF7649"/>
    <w:rsid w:val="00F0213D"/>
    <w:rsid w:val="00F02DE2"/>
    <w:rsid w:val="00F032A9"/>
    <w:rsid w:val="00F04AB2"/>
    <w:rsid w:val="00F0696E"/>
    <w:rsid w:val="00F077A4"/>
    <w:rsid w:val="00F101E9"/>
    <w:rsid w:val="00F10F98"/>
    <w:rsid w:val="00F11F4D"/>
    <w:rsid w:val="00F12812"/>
    <w:rsid w:val="00F12E68"/>
    <w:rsid w:val="00F133C5"/>
    <w:rsid w:val="00F147D5"/>
    <w:rsid w:val="00F14998"/>
    <w:rsid w:val="00F14B00"/>
    <w:rsid w:val="00F15BCF"/>
    <w:rsid w:val="00F1677D"/>
    <w:rsid w:val="00F17270"/>
    <w:rsid w:val="00F17715"/>
    <w:rsid w:val="00F20454"/>
    <w:rsid w:val="00F20536"/>
    <w:rsid w:val="00F219C1"/>
    <w:rsid w:val="00F234C2"/>
    <w:rsid w:val="00F25C88"/>
    <w:rsid w:val="00F264B8"/>
    <w:rsid w:val="00F27086"/>
    <w:rsid w:val="00F30047"/>
    <w:rsid w:val="00F301A6"/>
    <w:rsid w:val="00F32364"/>
    <w:rsid w:val="00F328EC"/>
    <w:rsid w:val="00F33DED"/>
    <w:rsid w:val="00F33EE3"/>
    <w:rsid w:val="00F3402D"/>
    <w:rsid w:val="00F346A9"/>
    <w:rsid w:val="00F35282"/>
    <w:rsid w:val="00F35EB4"/>
    <w:rsid w:val="00F40031"/>
    <w:rsid w:val="00F406D7"/>
    <w:rsid w:val="00F40DB4"/>
    <w:rsid w:val="00F427F1"/>
    <w:rsid w:val="00F42AE5"/>
    <w:rsid w:val="00F4324F"/>
    <w:rsid w:val="00F44049"/>
    <w:rsid w:val="00F4456B"/>
    <w:rsid w:val="00F44D30"/>
    <w:rsid w:val="00F45539"/>
    <w:rsid w:val="00F47BCD"/>
    <w:rsid w:val="00F50FA0"/>
    <w:rsid w:val="00F515C1"/>
    <w:rsid w:val="00F518B4"/>
    <w:rsid w:val="00F52B6A"/>
    <w:rsid w:val="00F531CE"/>
    <w:rsid w:val="00F55F75"/>
    <w:rsid w:val="00F569A7"/>
    <w:rsid w:val="00F56CEF"/>
    <w:rsid w:val="00F5723F"/>
    <w:rsid w:val="00F57B13"/>
    <w:rsid w:val="00F57EF9"/>
    <w:rsid w:val="00F607F7"/>
    <w:rsid w:val="00F60BA9"/>
    <w:rsid w:val="00F611E1"/>
    <w:rsid w:val="00F61C0A"/>
    <w:rsid w:val="00F6333C"/>
    <w:rsid w:val="00F653D4"/>
    <w:rsid w:val="00F6656F"/>
    <w:rsid w:val="00F66D54"/>
    <w:rsid w:val="00F71C87"/>
    <w:rsid w:val="00F72223"/>
    <w:rsid w:val="00F73BCD"/>
    <w:rsid w:val="00F7422E"/>
    <w:rsid w:val="00F745C5"/>
    <w:rsid w:val="00F751E3"/>
    <w:rsid w:val="00F76730"/>
    <w:rsid w:val="00F76A9B"/>
    <w:rsid w:val="00F77FFE"/>
    <w:rsid w:val="00F8091F"/>
    <w:rsid w:val="00F8195D"/>
    <w:rsid w:val="00F81D0B"/>
    <w:rsid w:val="00F8342F"/>
    <w:rsid w:val="00F844E3"/>
    <w:rsid w:val="00F85300"/>
    <w:rsid w:val="00F86024"/>
    <w:rsid w:val="00F87355"/>
    <w:rsid w:val="00F90FCC"/>
    <w:rsid w:val="00F91BAF"/>
    <w:rsid w:val="00F935A1"/>
    <w:rsid w:val="00F93678"/>
    <w:rsid w:val="00F94B73"/>
    <w:rsid w:val="00F95365"/>
    <w:rsid w:val="00F96C66"/>
    <w:rsid w:val="00F97EC3"/>
    <w:rsid w:val="00FA0ADE"/>
    <w:rsid w:val="00FA0F4A"/>
    <w:rsid w:val="00FA13ED"/>
    <w:rsid w:val="00FA4B75"/>
    <w:rsid w:val="00FA51F8"/>
    <w:rsid w:val="00FA56D3"/>
    <w:rsid w:val="00FA5A1E"/>
    <w:rsid w:val="00FA6BAE"/>
    <w:rsid w:val="00FA6E83"/>
    <w:rsid w:val="00FB074C"/>
    <w:rsid w:val="00FB15A1"/>
    <w:rsid w:val="00FB1F99"/>
    <w:rsid w:val="00FB3A5D"/>
    <w:rsid w:val="00FB3EAD"/>
    <w:rsid w:val="00FB4167"/>
    <w:rsid w:val="00FB4A2F"/>
    <w:rsid w:val="00FB5771"/>
    <w:rsid w:val="00FB6985"/>
    <w:rsid w:val="00FB7895"/>
    <w:rsid w:val="00FC0CE9"/>
    <w:rsid w:val="00FC20E8"/>
    <w:rsid w:val="00FC3777"/>
    <w:rsid w:val="00FC5402"/>
    <w:rsid w:val="00FC5B07"/>
    <w:rsid w:val="00FC6B68"/>
    <w:rsid w:val="00FC747A"/>
    <w:rsid w:val="00FC794D"/>
    <w:rsid w:val="00FC7BAB"/>
    <w:rsid w:val="00FD1DDF"/>
    <w:rsid w:val="00FD23C8"/>
    <w:rsid w:val="00FD391E"/>
    <w:rsid w:val="00FD5BAA"/>
    <w:rsid w:val="00FD73E9"/>
    <w:rsid w:val="00FE08BD"/>
    <w:rsid w:val="00FE0D41"/>
    <w:rsid w:val="00FE21E7"/>
    <w:rsid w:val="00FE258C"/>
    <w:rsid w:val="00FE25DD"/>
    <w:rsid w:val="00FE2606"/>
    <w:rsid w:val="00FE298C"/>
    <w:rsid w:val="00FE2E29"/>
    <w:rsid w:val="00FE4035"/>
    <w:rsid w:val="00FE40C6"/>
    <w:rsid w:val="00FE461F"/>
    <w:rsid w:val="00FE4D1B"/>
    <w:rsid w:val="00FE5C35"/>
    <w:rsid w:val="00FE5EEC"/>
    <w:rsid w:val="00FE68C0"/>
    <w:rsid w:val="00FE6F9E"/>
    <w:rsid w:val="00FE764A"/>
    <w:rsid w:val="00FE7DE7"/>
    <w:rsid w:val="00FE7E26"/>
    <w:rsid w:val="00FF146F"/>
    <w:rsid w:val="00FF2A40"/>
    <w:rsid w:val="00FF2E77"/>
    <w:rsid w:val="00FF4205"/>
    <w:rsid w:val="00FF42AD"/>
    <w:rsid w:val="00FF5859"/>
    <w:rsid w:val="00FF5AA8"/>
    <w:rsid w:val="00FF5AA9"/>
    <w:rsid w:val="00FF5FDD"/>
    <w:rsid w:val="00FF691A"/>
    <w:rsid w:val="00FF6CAD"/>
    <w:rsid w:val="04E8552F"/>
    <w:rsid w:val="05F45707"/>
    <w:rsid w:val="07A773E7"/>
    <w:rsid w:val="099317ED"/>
    <w:rsid w:val="0C6433D2"/>
    <w:rsid w:val="0C8E6CB5"/>
    <w:rsid w:val="13B91678"/>
    <w:rsid w:val="2043600B"/>
    <w:rsid w:val="274A2D02"/>
    <w:rsid w:val="2A7652AA"/>
    <w:rsid w:val="2B8B762D"/>
    <w:rsid w:val="329C2A51"/>
    <w:rsid w:val="3385084D"/>
    <w:rsid w:val="37266254"/>
    <w:rsid w:val="379A2A13"/>
    <w:rsid w:val="38434FAC"/>
    <w:rsid w:val="39BB2544"/>
    <w:rsid w:val="3A8A7A1A"/>
    <w:rsid w:val="3B7443D9"/>
    <w:rsid w:val="3C600150"/>
    <w:rsid w:val="3D0731FE"/>
    <w:rsid w:val="3FA571A5"/>
    <w:rsid w:val="44586D48"/>
    <w:rsid w:val="495A3F68"/>
    <w:rsid w:val="4E024C4C"/>
    <w:rsid w:val="4E396D93"/>
    <w:rsid w:val="4E792FB7"/>
    <w:rsid w:val="50B830C4"/>
    <w:rsid w:val="53C5318B"/>
    <w:rsid w:val="62631E2F"/>
    <w:rsid w:val="63EC1681"/>
    <w:rsid w:val="6BF56DBF"/>
    <w:rsid w:val="6F281E03"/>
    <w:rsid w:val="71446FAF"/>
    <w:rsid w:val="71F8139C"/>
    <w:rsid w:val="7C233E92"/>
    <w:rsid w:val="7F422B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00" w:after="200" w:line="360" w:lineRule="auto"/>
      <w:outlineLvl w:val="1"/>
    </w:pPr>
    <w:rPr>
      <w:rFonts w:ascii="楷体_GB2312" w:hAnsi="楷体_GB2312" w:eastAsia="楷体_GB2312"/>
      <w:b/>
      <w:bCs/>
      <w:kern w:val="0"/>
      <w:sz w:val="28"/>
      <w:szCs w:val="28"/>
    </w:rPr>
  </w:style>
  <w:style w:type="paragraph" w:styleId="5">
    <w:name w:val="heading 3"/>
    <w:basedOn w:val="1"/>
    <w:next w:val="1"/>
    <w:qFormat/>
    <w:uiPriority w:val="0"/>
    <w:pPr>
      <w:keepNext/>
      <w:keepLines/>
      <w:spacing w:before="200" w:after="200" w:line="360" w:lineRule="auto"/>
      <w:outlineLvl w:val="2"/>
    </w:pPr>
    <w:rPr>
      <w:rFonts w:ascii="Arial" w:hAnsi="Arial" w:cs="Arial"/>
      <w:b/>
      <w:color w:val="000000"/>
      <w:sz w:val="28"/>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2">
    <w:name w:val="Body Text Indent"/>
    <w:basedOn w:val="1"/>
    <w:uiPriority w:val="0"/>
    <w:pPr>
      <w:ind w:left="420" w:leftChars="200" w:firstLine="480" w:firstLineChars="200"/>
    </w:pPr>
    <w:rPr>
      <w:sz w:val="24"/>
    </w:rPr>
  </w:style>
  <w:style w:type="paragraph" w:styleId="7">
    <w:name w:val="Normal Indent"/>
    <w:basedOn w:val="1"/>
    <w:next w:val="1"/>
    <w:uiPriority w:val="0"/>
    <w:pPr>
      <w:spacing w:after="50" w:afterLines="50" w:line="360" w:lineRule="auto"/>
      <w:ind w:firstLine="200" w:firstLineChars="200"/>
    </w:pPr>
    <w:rPr>
      <w:sz w:val="24"/>
    </w:rPr>
  </w:style>
  <w:style w:type="paragraph" w:styleId="8">
    <w:name w:val="Document Map"/>
    <w:basedOn w:val="1"/>
    <w:semiHidden/>
    <w:uiPriority w:val="0"/>
    <w:pPr>
      <w:shd w:val="clear" w:color="auto" w:fill="000080"/>
    </w:pPr>
  </w:style>
  <w:style w:type="paragraph" w:styleId="9">
    <w:name w:val="Body Text 3"/>
    <w:basedOn w:val="1"/>
    <w:uiPriority w:val="0"/>
    <w:pPr>
      <w:spacing w:after="120"/>
    </w:pPr>
    <w:rPr>
      <w:sz w:val="16"/>
      <w:szCs w:val="16"/>
    </w:rPr>
  </w:style>
  <w:style w:type="paragraph" w:styleId="10">
    <w:name w:val="Body Text"/>
    <w:basedOn w:val="1"/>
    <w:uiPriority w:val="0"/>
    <w:pPr>
      <w:adjustRightInd w:val="0"/>
      <w:spacing w:line="315" w:lineRule="atLeast"/>
      <w:jc w:val="left"/>
      <w:textAlignment w:val="baseline"/>
    </w:pPr>
    <w:rPr>
      <w:rFonts w:ascii="仿宋_GB2312" w:eastAsia="仿宋_GB2312"/>
      <w:kern w:val="0"/>
      <w:sz w:val="28"/>
      <w:szCs w:val="20"/>
    </w:rPr>
  </w:style>
  <w:style w:type="paragraph" w:styleId="11">
    <w:name w:val="Plain Text"/>
    <w:basedOn w:val="1"/>
    <w:next w:val="12"/>
    <w:link w:val="41"/>
    <w:uiPriority w:val="0"/>
    <w:rPr>
      <w:rFonts w:ascii="宋体" w:hAnsi="Courier New"/>
      <w:szCs w:val="20"/>
    </w:rPr>
  </w:style>
  <w:style w:type="paragraph" w:styleId="12">
    <w:name w:val="Date"/>
    <w:basedOn w:val="1"/>
    <w:next w:val="1"/>
    <w:uiPriority w:val="0"/>
    <w:pPr>
      <w:ind w:left="100" w:leftChars="2500"/>
    </w:pPr>
    <w:rPr>
      <w:sz w:val="24"/>
    </w:rPr>
  </w:style>
  <w:style w:type="paragraph" w:styleId="13">
    <w:name w:val="Body Text Indent 2"/>
    <w:basedOn w:val="1"/>
    <w:uiPriority w:val="0"/>
    <w:pPr>
      <w:ind w:firstLine="435"/>
    </w:pPr>
    <w:rPr>
      <w:sz w:val="24"/>
    </w:rPr>
  </w:style>
  <w:style w:type="paragraph" w:styleId="14">
    <w:name w:val="Balloon Text"/>
    <w:basedOn w:val="1"/>
    <w:semiHidden/>
    <w:uiPriority w:val="0"/>
    <w:rPr>
      <w:sz w:val="18"/>
      <w:szCs w:val="18"/>
    </w:rPr>
  </w:style>
  <w:style w:type="paragraph" w:styleId="15">
    <w:name w:val="footer"/>
    <w:basedOn w:val="1"/>
    <w:link w:val="35"/>
    <w:uiPriority w:val="99"/>
    <w:pPr>
      <w:tabs>
        <w:tab w:val="center" w:pos="4153"/>
        <w:tab w:val="right" w:pos="8306"/>
      </w:tabs>
      <w:adjustRightInd w:val="0"/>
      <w:spacing w:line="240" w:lineRule="atLeast"/>
      <w:jc w:val="left"/>
      <w:textAlignment w:val="baseline"/>
    </w:pPr>
    <w:rPr>
      <w:rFonts w:ascii="宋体"/>
      <w:kern w:val="0"/>
      <w:sz w:val="18"/>
      <w:szCs w:val="20"/>
    </w:rPr>
  </w:style>
  <w:style w:type="paragraph" w:styleId="16">
    <w:name w:val="header"/>
    <w:basedOn w:val="1"/>
    <w:link w:val="47"/>
    <w:uiPriority w:val="99"/>
    <w:pPr>
      <w:pBdr>
        <w:bottom w:val="single" w:color="auto" w:sz="6" w:space="1"/>
      </w:pBdr>
      <w:tabs>
        <w:tab w:val="center" w:pos="4819"/>
        <w:tab w:val="right" w:pos="9071"/>
      </w:tabs>
      <w:adjustRightInd w:val="0"/>
      <w:spacing w:line="240" w:lineRule="atLeast"/>
      <w:jc w:val="center"/>
      <w:textAlignment w:val="baseline"/>
    </w:pPr>
    <w:rPr>
      <w:rFonts w:ascii="宋体"/>
      <w:kern w:val="0"/>
      <w:sz w:val="18"/>
      <w:szCs w:val="20"/>
    </w:rPr>
  </w:style>
  <w:style w:type="paragraph" w:styleId="17">
    <w:name w:val="toc 1"/>
    <w:basedOn w:val="1"/>
    <w:next w:val="1"/>
    <w:semiHidden/>
    <w:uiPriority w:val="0"/>
    <w:rPr>
      <w:rFonts w:eastAsia="黑体"/>
      <w:b/>
      <w:bCs/>
      <w:sz w:val="28"/>
    </w:rPr>
  </w:style>
  <w:style w:type="paragraph" w:styleId="18">
    <w:name w:val="Body Text Indent 3"/>
    <w:basedOn w:val="1"/>
    <w:uiPriority w:val="0"/>
    <w:pPr>
      <w:widowControl/>
      <w:spacing w:line="360" w:lineRule="auto"/>
      <w:ind w:firstLine="540" w:firstLineChars="225"/>
      <w:jc w:val="left"/>
    </w:pPr>
    <w:rPr>
      <w:sz w:val="24"/>
      <w:szCs w:val="20"/>
    </w:rPr>
  </w:style>
  <w:style w:type="paragraph" w:styleId="19">
    <w:name w:val="Body Text 2"/>
    <w:basedOn w:val="1"/>
    <w:uiPriority w:val="0"/>
    <w:rPr>
      <w:b/>
      <w:bCs/>
    </w:rPr>
  </w:style>
  <w:style w:type="paragraph" w:styleId="2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uiPriority w:val="99"/>
    <w:pPr>
      <w:widowControl/>
      <w:spacing w:before="100" w:beforeAutospacing="1" w:after="100" w:afterAutospacing="1"/>
      <w:jc w:val="left"/>
    </w:pPr>
    <w:rPr>
      <w:rFonts w:ascii="宋体" w:hAnsi="宋体"/>
      <w:kern w:val="0"/>
      <w:sz w:val="24"/>
      <w:szCs w:val="20"/>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uiPriority w:val="0"/>
  </w:style>
  <w:style w:type="character" w:styleId="27">
    <w:name w:val="FollowedHyperlink"/>
    <w:basedOn w:val="24"/>
    <w:uiPriority w:val="99"/>
    <w:rPr>
      <w:color w:val="800080"/>
      <w:u w:val="single"/>
    </w:rPr>
  </w:style>
  <w:style w:type="character" w:styleId="28">
    <w:name w:val="Hyperlink"/>
    <w:basedOn w:val="24"/>
    <w:uiPriority w:val="99"/>
    <w:rPr>
      <w:color w:val="574D31"/>
      <w:u w:val="none"/>
    </w:rPr>
  </w:style>
  <w:style w:type="character" w:customStyle="1" w:styleId="29">
    <w:name w:val="wz1"/>
    <w:basedOn w:val="24"/>
    <w:uiPriority w:val="0"/>
  </w:style>
  <w:style w:type="character" w:customStyle="1" w:styleId="30">
    <w:name w:val="search_content1"/>
    <w:basedOn w:val="24"/>
    <w:uiPriority w:val="0"/>
    <w:rPr>
      <w:sz w:val="20"/>
      <w:szCs w:val="20"/>
    </w:rPr>
  </w:style>
  <w:style w:type="character" w:customStyle="1" w:styleId="31">
    <w:name w:val="正文2 Char Char"/>
    <w:link w:val="32"/>
    <w:uiPriority w:val="0"/>
    <w:rPr>
      <w:kern w:val="2"/>
      <w:sz w:val="24"/>
    </w:rPr>
  </w:style>
  <w:style w:type="paragraph" w:customStyle="1" w:styleId="32">
    <w:name w:val="正文2"/>
    <w:basedOn w:val="1"/>
    <w:link w:val="31"/>
    <w:uiPriority w:val="0"/>
    <w:pPr>
      <w:adjustRightInd w:val="0"/>
      <w:spacing w:before="156" w:line="360" w:lineRule="auto"/>
      <w:ind w:firstLine="510" w:firstLineChars="200"/>
    </w:pPr>
    <w:rPr>
      <w:sz w:val="24"/>
      <w:szCs w:val="20"/>
    </w:rPr>
  </w:style>
  <w:style w:type="character" w:customStyle="1" w:styleId="33">
    <w:name w:val="l17"/>
    <w:basedOn w:val="24"/>
    <w:uiPriority w:val="0"/>
  </w:style>
  <w:style w:type="character" w:customStyle="1" w:styleId="34">
    <w:name w:val="button1"/>
    <w:basedOn w:val="24"/>
    <w:uiPriority w:val="0"/>
    <w:rPr>
      <w:rFonts w:hint="default" w:ascii="Verdana" w:hAnsi="Verdana"/>
      <w:b/>
      <w:bCs/>
      <w:sz w:val="20"/>
      <w:szCs w:val="20"/>
    </w:rPr>
  </w:style>
  <w:style w:type="character" w:customStyle="1" w:styleId="35">
    <w:name w:val="页脚 Char"/>
    <w:basedOn w:val="24"/>
    <w:link w:val="15"/>
    <w:uiPriority w:val="99"/>
    <w:rPr>
      <w:rFonts w:ascii="宋体"/>
      <w:sz w:val="18"/>
    </w:rPr>
  </w:style>
  <w:style w:type="character" w:customStyle="1" w:styleId="36">
    <w:name w:val="font41"/>
    <w:basedOn w:val="24"/>
    <w:uiPriority w:val="0"/>
    <w:rPr>
      <w:rFonts w:hint="default" w:ascii="Times New Roman" w:hAnsi="Times New Roman" w:cs="Times New Roman"/>
      <w:color w:val="000000"/>
      <w:sz w:val="24"/>
      <w:szCs w:val="24"/>
      <w:u w:val="none"/>
    </w:rPr>
  </w:style>
  <w:style w:type="character" w:customStyle="1" w:styleId="37">
    <w:name w:val="普通文字 Char1"/>
    <w:aliases w:val="纯文本 Char Char Char,纯文本 Char Char1,普通文字 Char Char Char Char1,普通文字 Char Char Char Char Char Char,普通文字 Char Char1,普通文字 Char Char Char1,普通文字 Char Char Char Char Char,Plain Text Char,Texte Char,普通文字1 Char,普通文字2 Char,普通文字3 Char,普通文字4 Char,普通文字5 Cha"/>
    <w:basedOn w:val="24"/>
    <w:uiPriority w:val="0"/>
    <w:rPr>
      <w:rFonts w:ascii="宋体" w:hAnsi="Courier New" w:eastAsia="宋体"/>
      <w:kern w:val="2"/>
      <w:sz w:val="21"/>
      <w:lang w:val="en-US" w:eastAsia="zh-CN" w:bidi="ar-SA"/>
    </w:rPr>
  </w:style>
  <w:style w:type="character" w:customStyle="1" w:styleId="38">
    <w:name w:val="style8"/>
    <w:basedOn w:val="24"/>
    <w:uiPriority w:val="0"/>
  </w:style>
  <w:style w:type="character" w:customStyle="1" w:styleId="39">
    <w:name w:val="unnamed1"/>
    <w:basedOn w:val="24"/>
    <w:uiPriority w:val="0"/>
  </w:style>
  <w:style w:type="character" w:customStyle="1" w:styleId="40">
    <w:name w:val="font01"/>
    <w:basedOn w:val="24"/>
    <w:uiPriority w:val="0"/>
    <w:rPr>
      <w:rFonts w:hint="eastAsia" w:ascii="宋体" w:hAnsi="宋体" w:eastAsia="宋体" w:cs="宋体"/>
      <w:b/>
      <w:color w:val="000000"/>
      <w:sz w:val="24"/>
      <w:szCs w:val="24"/>
      <w:u w:val="none"/>
    </w:rPr>
  </w:style>
  <w:style w:type="character" w:customStyle="1" w:styleId="41">
    <w:name w:val="纯文本 Char"/>
    <w:basedOn w:val="24"/>
    <w:link w:val="11"/>
    <w:uiPriority w:val="0"/>
    <w:rPr>
      <w:rFonts w:ascii="宋体" w:hAnsi="Courier New" w:eastAsia="宋体"/>
      <w:kern w:val="2"/>
      <w:sz w:val="21"/>
      <w:lang w:val="en-US" w:eastAsia="zh-CN" w:bidi="ar-SA"/>
    </w:rPr>
  </w:style>
  <w:style w:type="character" w:customStyle="1" w:styleId="42">
    <w:name w:val="huei12b1"/>
    <w:basedOn w:val="24"/>
    <w:uiPriority w:val="0"/>
    <w:rPr>
      <w:b/>
      <w:bCs/>
      <w:color w:val="333333"/>
      <w:sz w:val="20"/>
      <w:szCs w:val="20"/>
    </w:rPr>
  </w:style>
  <w:style w:type="character" w:customStyle="1" w:styleId="43">
    <w:name w:val="font11"/>
    <w:basedOn w:val="24"/>
    <w:uiPriority w:val="0"/>
    <w:rPr>
      <w:rFonts w:hint="eastAsia" w:ascii="宋体" w:hAnsi="宋体" w:eastAsia="宋体" w:cs="宋体"/>
      <w:color w:val="000000"/>
      <w:sz w:val="24"/>
      <w:szCs w:val="24"/>
      <w:u w:val="none"/>
    </w:rPr>
  </w:style>
  <w:style w:type="character" w:customStyle="1" w:styleId="44">
    <w:name w:val="s"/>
    <w:basedOn w:val="24"/>
    <w:uiPriority w:val="0"/>
  </w:style>
  <w:style w:type="character" w:customStyle="1" w:styleId="45">
    <w:name w:val="hei16b1"/>
    <w:basedOn w:val="24"/>
    <w:uiPriority w:val="0"/>
    <w:rPr>
      <w:rFonts w:hint="default" w:ascii="Arial" w:hAnsi="Arial" w:cs="Arial"/>
      <w:b/>
      <w:bCs/>
      <w:color w:val="000000"/>
      <w:sz w:val="24"/>
      <w:szCs w:val="24"/>
    </w:rPr>
  </w:style>
  <w:style w:type="character" w:customStyle="1" w:styleId="46">
    <w:name w:val="脚注文本 Char2"/>
    <w:uiPriority w:val="0"/>
    <w:rPr>
      <w:kern w:val="2"/>
      <w:sz w:val="18"/>
      <w:szCs w:val="18"/>
    </w:rPr>
  </w:style>
  <w:style w:type="character" w:customStyle="1" w:styleId="47">
    <w:name w:val="页眉 Char"/>
    <w:basedOn w:val="24"/>
    <w:link w:val="16"/>
    <w:uiPriority w:val="99"/>
    <w:rPr>
      <w:rFonts w:ascii="宋体"/>
      <w:sz w:val="18"/>
    </w:rPr>
  </w:style>
  <w:style w:type="character" w:customStyle="1" w:styleId="48">
    <w:name w:val="content"/>
    <w:basedOn w:val="24"/>
    <w:uiPriority w:val="0"/>
  </w:style>
  <w:style w:type="character" w:customStyle="1" w:styleId="49">
    <w:name w:val="style1"/>
    <w:basedOn w:val="24"/>
    <w:uiPriority w:val="0"/>
  </w:style>
  <w:style w:type="character" w:customStyle="1" w:styleId="50">
    <w:name w:val="body001"/>
    <w:basedOn w:val="24"/>
    <w:uiPriority w:val="0"/>
    <w:rPr>
      <w:rFonts w:hint="default" w:ascii="ˎ̥" w:hAnsi="ˎ̥"/>
      <w:color w:val="333333"/>
      <w:sz w:val="18"/>
      <w:szCs w:val="18"/>
    </w:rPr>
  </w:style>
  <w:style w:type="character" w:customStyle="1" w:styleId="51">
    <w:name w:val="标题 1 Char"/>
    <w:basedOn w:val="24"/>
    <w:link w:val="3"/>
    <w:uiPriority w:val="0"/>
    <w:rPr>
      <w:b/>
      <w:bCs/>
      <w:kern w:val="44"/>
      <w:sz w:val="44"/>
      <w:szCs w:val="44"/>
    </w:rPr>
  </w:style>
  <w:style w:type="paragraph" w:customStyle="1" w:styleId="52">
    <w:name w:val=" Char1"/>
    <w:basedOn w:val="8"/>
    <w:uiPriority w:val="0"/>
    <w:rPr>
      <w:rFonts w:ascii="Tahoma" w:hAnsi="Tahoma"/>
      <w:sz w:val="24"/>
    </w:rPr>
  </w:style>
  <w:style w:type="paragraph" w:customStyle="1" w:styleId="53">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1"/>
    <w:basedOn w:val="1"/>
    <w:next w:val="21"/>
    <w:uiPriority w:val="0"/>
    <w:pPr>
      <w:widowControl/>
      <w:spacing w:before="100" w:beforeAutospacing="1" w:after="100" w:afterAutospacing="1"/>
      <w:jc w:val="left"/>
    </w:pPr>
    <w:rPr>
      <w:rFonts w:hint="eastAsia" w:ascii="宋体" w:hAnsi="宋体"/>
      <w:kern w:val="0"/>
      <w:sz w:val="24"/>
    </w:rPr>
  </w:style>
  <w:style w:type="paragraph" w:customStyle="1" w:styleId="55">
    <w:name w:val="p0"/>
    <w:basedOn w:val="1"/>
    <w:unhideWhenUsed/>
    <w:qFormat/>
    <w:uiPriority w:val="0"/>
    <w:pPr>
      <w:widowControl/>
    </w:pPr>
    <w:rPr>
      <w:rFonts w:hint="eastAsia"/>
    </w:rPr>
  </w:style>
  <w:style w:type="paragraph" w:customStyle="1" w:styleId="5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7">
    <w:name w:val="Char Char Char"/>
    <w:basedOn w:val="1"/>
    <w:uiPriority w:val="0"/>
    <w:rPr>
      <w:rFonts w:ascii="Tahoma" w:hAnsi="Tahoma"/>
      <w:sz w:val="24"/>
      <w:szCs w:val="20"/>
    </w:rPr>
  </w:style>
  <w:style w:type="paragraph" w:customStyle="1" w:styleId="58">
    <w:name w:val="样式1"/>
    <w:basedOn w:val="1"/>
    <w:qFormat/>
    <w:uiPriority w:val="0"/>
    <w:pPr>
      <w:spacing w:line="360" w:lineRule="exact"/>
      <w:ind w:firstLine="200" w:firstLineChars="200"/>
    </w:pPr>
  </w:style>
  <w:style w:type="paragraph" w:customStyle="1" w:styleId="59">
    <w:name w:val=" Char"/>
    <w:basedOn w:val="1"/>
    <w:uiPriority w:val="0"/>
    <w:rPr>
      <w:rFonts w:ascii="仿宋_GB2312" w:eastAsia="仿宋_GB2312"/>
      <w:b/>
      <w:sz w:val="32"/>
      <w:szCs w:val="32"/>
    </w:rPr>
  </w:style>
  <w:style w:type="paragraph" w:customStyle="1" w:styleId="60">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1">
    <w:name w:val="xl3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2">
    <w:name w:val="xl3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6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5">
    <w:name w:val="文字"/>
    <w:basedOn w:val="1"/>
    <w:uiPriority w:val="0"/>
    <w:pPr>
      <w:tabs>
        <w:tab w:val="left" w:pos="8520"/>
      </w:tabs>
      <w:spacing w:line="312" w:lineRule="auto"/>
      <w:ind w:right="-210" w:firstLine="556"/>
    </w:pPr>
    <w:rPr>
      <w:rFonts w:ascii="楷体_GB2312" w:eastAsia="楷体_GB2312"/>
      <w:sz w:val="28"/>
      <w:szCs w:val="20"/>
    </w:rPr>
  </w:style>
  <w:style w:type="paragraph" w:customStyle="1" w:styleId="66">
    <w:name w:val="Char"/>
    <w:basedOn w:val="1"/>
    <w:uiPriority w:val="0"/>
    <w:rPr>
      <w:rFonts w:ascii="仿宋_GB2312" w:hAnsi="Courier New" w:eastAsia="仿宋_GB2312" w:cs="Courier New"/>
      <w:b/>
      <w:color w:val="000000"/>
      <w:sz w:val="32"/>
      <w:szCs w:val="32"/>
    </w:rPr>
  </w:style>
  <w:style w:type="paragraph" w:customStyle="1" w:styleId="67">
    <w:name w:val="xl30"/>
    <w:basedOn w:val="1"/>
    <w:uiPriority w:val="0"/>
    <w:pPr>
      <w:widowControl/>
      <w:pBdr>
        <w:bottom w:val="single" w:color="auto" w:sz="4" w:space="0"/>
      </w:pBdr>
      <w:spacing w:before="100" w:beforeAutospacing="1" w:after="100" w:afterAutospacing="1"/>
      <w:jc w:val="center"/>
    </w:pPr>
    <w:rPr>
      <w:rFonts w:ascii="黑体" w:hAnsi="宋体" w:eastAsia="黑体" w:cs="宋体"/>
      <w:b/>
      <w:bCs/>
      <w:kern w:val="0"/>
      <w:sz w:val="32"/>
      <w:szCs w:val="32"/>
    </w:rPr>
  </w:style>
  <w:style w:type="paragraph" w:customStyle="1" w:styleId="68">
    <w:name w:val="Horizontal Bar"/>
    <w:basedOn w:val="1"/>
    <w:uiPriority w:val="0"/>
    <w:pPr>
      <w:kinsoku w:val="0"/>
      <w:overflowPunct w:val="0"/>
      <w:topLinePunct/>
      <w:spacing w:line="0" w:lineRule="atLeast"/>
      <w:jc w:val="left"/>
    </w:pPr>
    <w:rPr>
      <w:rFonts w:ascii="ScalaSansLF-Regular" w:hAnsi="ScalaSansLF-Regular" w:eastAsia="ScalaSansLF-Regular" w:cs="ScalaSansLF-Regular"/>
      <w:bCs/>
      <w:sz w:val="16"/>
      <w:szCs w:val="16"/>
      <w:lang w:eastAsia="ja-JP"/>
    </w:rPr>
  </w:style>
  <w:style w:type="paragraph" w:customStyle="1" w:styleId="69">
    <w:name w:val=" Char Char Char Char Char Char Char Char"/>
    <w:basedOn w:val="1"/>
    <w:uiPriority w:val="0"/>
    <w:pPr>
      <w:tabs>
        <w:tab w:val="left" w:pos="360"/>
      </w:tabs>
    </w:pPr>
    <w:rPr>
      <w:szCs w:val="20"/>
    </w:rPr>
  </w:style>
  <w:style w:type="paragraph" w:customStyle="1" w:styleId="70">
    <w:name w:val="xl3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3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4">
    <w:name w:val="正文缩进1"/>
    <w:basedOn w:val="1"/>
    <w:next w:val="2"/>
    <w:uiPriority w:val="0"/>
    <w:pPr>
      <w:autoSpaceDE w:val="0"/>
      <w:autoSpaceDN w:val="0"/>
      <w:adjustRightInd w:val="0"/>
      <w:snapToGrid w:val="0"/>
      <w:spacing w:after="120" w:line="360" w:lineRule="auto"/>
      <w:ind w:left="420" w:firstLine="480"/>
    </w:pPr>
    <w:rPr>
      <w:sz w:val="24"/>
      <w:szCs w:val="20"/>
    </w:rPr>
  </w:style>
  <w:style w:type="paragraph" w:customStyle="1" w:styleId="75">
    <w:name w:val="xl3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Normal Indent1"/>
    <w:basedOn w:val="1"/>
    <w:qFormat/>
    <w:uiPriority w:val="0"/>
    <w:pPr>
      <w:ind w:firstLine="420" w:firstLineChars="200"/>
    </w:pPr>
  </w:style>
  <w:style w:type="paragraph" w:customStyle="1" w:styleId="7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81">
    <w:name w:val="Char Char Char Char Char Char"/>
    <w:basedOn w:val="1"/>
    <w:uiPriority w:val="0"/>
    <w:pPr>
      <w:ind w:firstLine="200" w:firstLineChars="200"/>
    </w:pPr>
    <w:rPr>
      <w:rFonts w:ascii="Tahoma" w:hAnsi="Tahoma"/>
      <w:sz w:val="24"/>
      <w:szCs w:val="20"/>
    </w:rPr>
  </w:style>
  <w:style w:type="paragraph" w:customStyle="1" w:styleId="82">
    <w:name w:val="xl33"/>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3">
    <w:name w:val="xl4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4">
    <w:name w:val="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85">
    <w:name w:val="xl3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6">
    <w:name w:val="标题3"/>
    <w:basedOn w:val="5"/>
    <w:uiPriority w:val="0"/>
    <w:pPr>
      <w:spacing w:before="260" w:after="260" w:line="416" w:lineRule="auto"/>
    </w:pPr>
    <w:rPr>
      <w:rFonts w:ascii="宋体" w:hAnsi="宋体" w:cs="Times New Roman"/>
      <w:bCs/>
      <w:color w:val="auto"/>
      <w:szCs w:val="28"/>
    </w:rPr>
  </w:style>
  <w:style w:type="paragraph" w:customStyle="1" w:styleId="87">
    <w:name w:val="小标题2"/>
    <w:basedOn w:val="1"/>
    <w:next w:val="1"/>
    <w:uiPriority w:val="0"/>
    <w:pPr>
      <w:spacing w:before="20" w:beforeLines="20" w:after="20" w:afterLines="20" w:line="400" w:lineRule="exact"/>
      <w:ind w:firstLine="200" w:firstLineChars="200"/>
    </w:pPr>
    <w:rPr>
      <w:rFonts w:eastAsia="楷体_GB2312"/>
      <w:sz w:val="24"/>
    </w:rPr>
  </w:style>
  <w:style w:type="paragraph" w:customStyle="1" w:styleId="88">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90">
    <w:name w:val="xl2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Char Char Char Char Char Char Char Char"/>
    <w:basedOn w:val="1"/>
    <w:uiPriority w:val="0"/>
    <w:pPr>
      <w:tabs>
        <w:tab w:val="left" w:pos="360"/>
      </w:tabs>
    </w:pPr>
    <w:rPr>
      <w:szCs w:val="20"/>
    </w:rPr>
  </w:style>
  <w:style w:type="paragraph" w:customStyle="1" w:styleId="92">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 Char Char Char Char Char Char Char Char Char Char"/>
    <w:basedOn w:val="8"/>
    <w:uiPriority w:val="0"/>
    <w:rPr>
      <w:rFonts w:ascii="Tahoma" w:hAnsi="Tahoma"/>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9230</Words>
  <Characters>52617</Characters>
  <Lines>438</Lines>
  <Paragraphs>123</Paragraphs>
  <TotalTime>1</TotalTime>
  <ScaleCrop>false</ScaleCrop>
  <LinksUpToDate>false</LinksUpToDate>
  <CharactersWithSpaces>61724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2016-03-18T03:38:00Z</dcterms:created>
  <dc:creator>曹红</dc:creator>
  <cp:lastModifiedBy>WPS_1701756769</cp:lastModifiedBy>
  <cp:lastPrinted>2020-04-16T14:07:37Z</cp:lastPrinted>
  <dcterms:modified xsi:type="dcterms:W3CDTF">2024-02-23T01:07:56Z</dcterms:modified>
  <cp:revision>3</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56EBFF61A0644EE683DBA4A545737F6F_13</vt:lpwstr>
  </property>
</Properties>
</file>