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16" w:lineRule="auto"/>
        <w:jc w:val="center"/>
        <w:rPr>
          <w:rFonts w:hint="eastAsia" w:ascii="宋体" w:hAnsi="宋体" w:eastAsia="宋体" w:cs="宋体"/>
          <w:bCs/>
          <w:color w:val="auto"/>
          <w:sz w:val="72"/>
          <w:highlight w:val="none"/>
        </w:rPr>
      </w:pPr>
      <w:bookmarkStart w:id="36" w:name="_GoBack"/>
      <w:bookmarkEnd w:id="36"/>
    </w:p>
    <w:p>
      <w:pPr>
        <w:spacing w:line="216" w:lineRule="auto"/>
        <w:jc w:val="center"/>
        <w:rPr>
          <w:rFonts w:hint="eastAsia" w:ascii="宋体" w:hAnsi="宋体" w:eastAsia="宋体" w:cs="宋体"/>
          <w:bCs/>
          <w:color w:val="auto"/>
          <w:sz w:val="72"/>
          <w:highlight w:val="none"/>
        </w:rPr>
      </w:pPr>
    </w:p>
    <w:p>
      <w:pPr>
        <w:jc w:val="center"/>
        <w:rPr>
          <w:rFonts w:hint="eastAsia" w:ascii="宋体" w:hAnsi="宋体" w:eastAsia="宋体" w:cs="宋体"/>
          <w:b/>
          <w:color w:val="auto"/>
          <w:spacing w:val="30"/>
          <w:sz w:val="44"/>
          <w:szCs w:val="44"/>
          <w:highlight w:val="none"/>
        </w:rPr>
      </w:pPr>
      <w:r>
        <w:rPr>
          <w:rFonts w:hint="eastAsia" w:ascii="宋体" w:hAnsi="宋体" w:eastAsia="宋体" w:cs="宋体"/>
          <w:b/>
          <w:color w:val="auto"/>
          <w:spacing w:val="30"/>
          <w:sz w:val="44"/>
          <w:szCs w:val="44"/>
          <w:highlight w:val="none"/>
        </w:rPr>
        <w:t>拱墅区清除非法涂写招贴广告作业项目</w:t>
      </w:r>
    </w:p>
    <w:p>
      <w:pPr>
        <w:spacing w:line="360" w:lineRule="auto"/>
        <w:ind w:right="57"/>
        <w:jc w:val="center"/>
        <w:rPr>
          <w:rFonts w:hint="eastAsia" w:ascii="宋体" w:hAnsi="宋体" w:eastAsia="宋体" w:cs="宋体"/>
          <w:b/>
          <w:color w:val="auto"/>
          <w:spacing w:val="30"/>
          <w:sz w:val="52"/>
          <w:szCs w:val="52"/>
          <w:highlight w:val="none"/>
        </w:rPr>
      </w:pPr>
    </w:p>
    <w:p>
      <w:pPr>
        <w:spacing w:line="360" w:lineRule="auto"/>
        <w:ind w:right="57"/>
        <w:jc w:val="center"/>
        <w:rPr>
          <w:rFonts w:hint="eastAsia" w:ascii="宋体" w:hAnsi="宋体" w:eastAsia="宋体" w:cs="宋体"/>
          <w:b/>
          <w:color w:val="auto"/>
          <w:spacing w:val="30"/>
          <w:sz w:val="52"/>
          <w:szCs w:val="52"/>
          <w:highlight w:val="none"/>
        </w:rPr>
      </w:pPr>
    </w:p>
    <w:p>
      <w:pPr>
        <w:spacing w:before="240" w:beforeLines="100" w:line="360" w:lineRule="auto"/>
        <w:ind w:right="-108"/>
        <w:jc w:val="center"/>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项目编号：CTSC-2020-019</w:t>
      </w:r>
    </w:p>
    <w:p>
      <w:pPr>
        <w:spacing w:before="240" w:beforeLines="100" w:after="100" w:afterAutospacing="1" w:line="800" w:lineRule="exact"/>
        <w:ind w:right="-108"/>
        <w:jc w:val="center"/>
        <w:rPr>
          <w:rFonts w:hint="eastAsia" w:ascii="宋体" w:hAnsi="宋体" w:eastAsia="宋体" w:cs="宋体"/>
          <w:b/>
          <w:color w:val="auto"/>
          <w:spacing w:val="40"/>
          <w:sz w:val="84"/>
          <w:szCs w:val="84"/>
          <w:highlight w:val="none"/>
        </w:rPr>
      </w:pPr>
    </w:p>
    <w:p>
      <w:pPr>
        <w:spacing w:before="240" w:beforeLines="100" w:after="100" w:afterAutospacing="1" w:line="800" w:lineRule="exact"/>
        <w:ind w:right="-108"/>
        <w:jc w:val="center"/>
        <w:rPr>
          <w:rFonts w:hint="eastAsia" w:ascii="宋体" w:hAnsi="宋体" w:eastAsia="宋体" w:cs="宋体"/>
          <w:b/>
          <w:color w:val="auto"/>
          <w:spacing w:val="40"/>
          <w:sz w:val="84"/>
          <w:szCs w:val="84"/>
          <w:highlight w:val="none"/>
        </w:rPr>
      </w:pPr>
      <w:r>
        <w:rPr>
          <w:rFonts w:hint="eastAsia" w:ascii="宋体" w:hAnsi="宋体" w:eastAsia="宋体" w:cs="宋体"/>
          <w:b/>
          <w:color w:val="auto"/>
          <w:spacing w:val="40"/>
          <w:sz w:val="84"/>
          <w:szCs w:val="84"/>
          <w:highlight w:val="none"/>
        </w:rPr>
        <w:t>公开招标文件</w:t>
      </w:r>
    </w:p>
    <w:p>
      <w:pPr>
        <w:ind w:right="-110"/>
        <w:jc w:val="center"/>
        <w:rPr>
          <w:rFonts w:hint="eastAsia" w:ascii="宋体" w:hAnsi="宋体" w:eastAsia="宋体" w:cs="宋体"/>
          <w:color w:val="auto"/>
          <w:sz w:val="32"/>
          <w:szCs w:val="32"/>
          <w:highlight w:val="none"/>
        </w:rPr>
      </w:pPr>
      <w:r>
        <w:rPr>
          <w:rFonts w:hint="eastAsia" w:ascii="宋体" w:hAnsi="宋体" w:eastAsia="宋体" w:cs="宋体"/>
          <w:b/>
          <w:color w:val="auto"/>
          <w:sz w:val="36"/>
          <w:highlight w:val="none"/>
        </w:rPr>
        <w:t>（线上电子招投标）</w:t>
      </w:r>
    </w:p>
    <w:p>
      <w:pPr>
        <w:ind w:right="-110"/>
        <w:rPr>
          <w:rFonts w:hint="eastAsia" w:ascii="宋体" w:hAnsi="宋体" w:eastAsia="宋体" w:cs="宋体"/>
          <w:color w:val="auto"/>
          <w:sz w:val="32"/>
          <w:szCs w:val="32"/>
          <w:highlight w:val="none"/>
        </w:rPr>
      </w:pPr>
    </w:p>
    <w:p>
      <w:pPr>
        <w:ind w:right="-110"/>
        <w:rPr>
          <w:rFonts w:hint="eastAsia" w:ascii="宋体" w:hAnsi="宋体" w:eastAsia="宋体" w:cs="宋体"/>
          <w:color w:val="auto"/>
          <w:sz w:val="32"/>
          <w:szCs w:val="32"/>
          <w:highlight w:val="none"/>
        </w:rPr>
      </w:pPr>
    </w:p>
    <w:p>
      <w:pPr>
        <w:ind w:right="-110"/>
        <w:rPr>
          <w:rFonts w:hint="eastAsia" w:ascii="宋体" w:hAnsi="宋体" w:eastAsia="宋体" w:cs="宋体"/>
          <w:color w:val="auto"/>
          <w:sz w:val="32"/>
          <w:szCs w:val="32"/>
          <w:highlight w:val="none"/>
        </w:rPr>
      </w:pPr>
    </w:p>
    <w:p>
      <w:pPr>
        <w:ind w:right="-110"/>
        <w:rPr>
          <w:rFonts w:hint="eastAsia" w:ascii="宋体" w:hAnsi="宋体" w:eastAsia="宋体" w:cs="宋体"/>
          <w:color w:val="auto"/>
          <w:sz w:val="32"/>
          <w:szCs w:val="32"/>
          <w:highlight w:val="none"/>
        </w:rPr>
      </w:pPr>
    </w:p>
    <w:p>
      <w:pPr>
        <w:ind w:right="-110"/>
        <w:rPr>
          <w:rFonts w:hint="eastAsia" w:ascii="宋体" w:hAnsi="宋体" w:eastAsia="宋体" w:cs="宋体"/>
          <w:color w:val="auto"/>
          <w:sz w:val="32"/>
          <w:szCs w:val="32"/>
          <w:highlight w:val="none"/>
        </w:rPr>
      </w:pPr>
    </w:p>
    <w:p>
      <w:pPr>
        <w:ind w:right="-110"/>
        <w:rPr>
          <w:rFonts w:hint="eastAsia" w:ascii="宋体" w:hAnsi="宋体" w:eastAsia="宋体" w:cs="宋体"/>
          <w:color w:val="auto"/>
          <w:sz w:val="32"/>
          <w:szCs w:val="32"/>
          <w:highlight w:val="none"/>
        </w:rPr>
      </w:pPr>
    </w:p>
    <w:p>
      <w:pPr>
        <w:spacing w:line="500" w:lineRule="exact"/>
        <w:ind w:left="1981" w:leftChars="249" w:right="532" w:hanging="1458" w:hangingChars="405"/>
        <w:jc w:val="center"/>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采购人：杭州市拱墅区城市管理局</w:t>
      </w:r>
    </w:p>
    <w:p>
      <w:pPr>
        <w:spacing w:line="500" w:lineRule="exact"/>
        <w:ind w:right="532" w:firstLine="720"/>
        <w:jc w:val="center"/>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采购代理机构：浙江省成套工程有限公司</w:t>
      </w:r>
    </w:p>
    <w:p>
      <w:pPr>
        <w:spacing w:line="360" w:lineRule="auto"/>
        <w:jc w:val="center"/>
        <w:rPr>
          <w:rFonts w:hint="eastAsia" w:ascii="宋体" w:hAnsi="宋体" w:eastAsia="宋体" w:cs="宋体"/>
          <w:color w:val="auto"/>
          <w:sz w:val="30"/>
          <w:highlight w:val="none"/>
        </w:rPr>
      </w:pPr>
      <w:r>
        <w:rPr>
          <w:rFonts w:hint="eastAsia" w:ascii="宋体" w:hAnsi="宋体" w:eastAsia="宋体" w:cs="宋体"/>
          <w:color w:val="auto"/>
          <w:w w:val="95"/>
          <w:sz w:val="36"/>
          <w:szCs w:val="36"/>
          <w:highlight w:val="none"/>
        </w:rPr>
        <w:t>2020年4月</w:t>
      </w:r>
    </w:p>
    <w:p>
      <w:pPr>
        <w:jc w:val="center"/>
        <w:rPr>
          <w:rFonts w:hint="eastAsia" w:ascii="宋体" w:hAnsi="宋体" w:eastAsia="宋体" w:cs="宋体"/>
          <w:color w:val="auto"/>
          <w:sz w:val="30"/>
          <w:highlight w:val="none"/>
        </w:rPr>
      </w:pPr>
      <w:r>
        <w:rPr>
          <w:rFonts w:hint="eastAsia" w:ascii="宋体" w:hAnsi="宋体" w:eastAsia="宋体" w:cs="宋体"/>
          <w:color w:val="auto"/>
          <w:sz w:val="30"/>
          <w:highlight w:val="none"/>
        </w:rPr>
        <w:br w:type="page"/>
      </w:r>
    </w:p>
    <w:p>
      <w:pPr>
        <w:autoSpaceDE w:val="0"/>
        <w:autoSpaceDN w:val="0"/>
        <w:jc w:val="center"/>
        <w:textAlignment w:val="bottom"/>
        <w:outlineLvl w:val="0"/>
        <w:rPr>
          <w:rFonts w:hint="eastAsia" w:ascii="宋体" w:hAnsi="宋体" w:eastAsia="宋体" w:cs="宋体"/>
          <w:b/>
          <w:color w:val="auto"/>
          <w:sz w:val="52"/>
          <w:szCs w:val="52"/>
          <w:highlight w:val="none"/>
        </w:rPr>
      </w:pPr>
    </w:p>
    <w:p>
      <w:pPr>
        <w:autoSpaceDE w:val="0"/>
        <w:autoSpaceDN w:val="0"/>
        <w:jc w:val="center"/>
        <w:textAlignment w:val="bottom"/>
        <w:outlineLvl w:val="0"/>
        <w:rPr>
          <w:rFonts w:hint="eastAsia" w:ascii="宋体" w:hAnsi="宋体" w:eastAsia="宋体" w:cs="宋体"/>
          <w:b/>
          <w:color w:val="auto"/>
          <w:sz w:val="52"/>
          <w:szCs w:val="52"/>
          <w:highlight w:val="none"/>
        </w:rPr>
      </w:pPr>
      <w:r>
        <w:rPr>
          <w:rFonts w:hint="eastAsia" w:ascii="宋体" w:hAnsi="宋体" w:eastAsia="宋体" w:cs="宋体"/>
          <w:b/>
          <w:color w:val="auto"/>
          <w:sz w:val="52"/>
          <w:szCs w:val="52"/>
          <w:highlight w:val="none"/>
        </w:rPr>
        <w:t>目    录</w:t>
      </w:r>
    </w:p>
    <w:p>
      <w:pPr>
        <w:autoSpaceDE w:val="0"/>
        <w:autoSpaceDN w:val="0"/>
        <w:jc w:val="center"/>
        <w:textAlignment w:val="bottom"/>
        <w:outlineLvl w:val="0"/>
        <w:rPr>
          <w:rFonts w:hint="eastAsia" w:ascii="宋体" w:hAnsi="宋体" w:eastAsia="宋体" w:cs="宋体"/>
          <w:b/>
          <w:color w:val="auto"/>
          <w:sz w:val="44"/>
          <w:highlight w:val="none"/>
        </w:rPr>
      </w:pPr>
    </w:p>
    <w:p>
      <w:pPr>
        <w:rPr>
          <w:rFonts w:hint="eastAsia" w:ascii="宋体" w:hAnsi="宋体" w:eastAsia="宋体" w:cs="宋体"/>
          <w:b/>
          <w:bCs/>
          <w:color w:val="auto"/>
          <w:sz w:val="32"/>
          <w:highlight w:val="none"/>
        </w:rPr>
      </w:pPr>
    </w:p>
    <w:p>
      <w:pPr>
        <w:spacing w:line="360" w:lineRule="auto"/>
        <w:ind w:firstLine="1040" w:firstLineChars="325"/>
        <w:rPr>
          <w:rFonts w:hint="eastAsia" w:ascii="宋体" w:hAnsi="宋体" w:eastAsia="宋体" w:cs="宋体"/>
          <w:color w:val="auto"/>
          <w:sz w:val="32"/>
          <w:highlight w:val="none"/>
        </w:rPr>
      </w:pPr>
      <w:r>
        <w:rPr>
          <w:rFonts w:hint="eastAsia" w:ascii="宋体" w:hAnsi="宋体" w:eastAsia="宋体" w:cs="宋体"/>
          <w:color w:val="auto"/>
          <w:sz w:val="32"/>
          <w:highlight w:val="none"/>
        </w:rPr>
        <w:t>第一章      招标公告</w:t>
      </w:r>
    </w:p>
    <w:p>
      <w:pPr>
        <w:spacing w:line="360" w:lineRule="auto"/>
        <w:ind w:firstLine="1040" w:firstLineChars="325"/>
        <w:rPr>
          <w:rFonts w:hint="eastAsia" w:ascii="宋体" w:hAnsi="宋体" w:eastAsia="宋体" w:cs="宋体"/>
          <w:color w:val="auto"/>
          <w:sz w:val="32"/>
          <w:highlight w:val="none"/>
        </w:rPr>
      </w:pPr>
      <w:r>
        <w:rPr>
          <w:rFonts w:hint="eastAsia" w:ascii="宋体" w:hAnsi="宋体" w:eastAsia="宋体" w:cs="宋体"/>
          <w:color w:val="auto"/>
          <w:sz w:val="32"/>
          <w:highlight w:val="none"/>
        </w:rPr>
        <w:t>第二章      编制和提交采购响应文件须知</w:t>
      </w:r>
    </w:p>
    <w:p>
      <w:pPr>
        <w:spacing w:line="360" w:lineRule="auto"/>
        <w:ind w:firstLine="1040" w:firstLineChars="325"/>
        <w:rPr>
          <w:rFonts w:hint="eastAsia" w:ascii="宋体" w:hAnsi="宋体" w:eastAsia="宋体" w:cs="宋体"/>
          <w:color w:val="auto"/>
          <w:sz w:val="32"/>
          <w:highlight w:val="none"/>
        </w:rPr>
      </w:pPr>
      <w:r>
        <w:rPr>
          <w:rFonts w:hint="eastAsia" w:ascii="宋体" w:hAnsi="宋体" w:eastAsia="宋体" w:cs="宋体"/>
          <w:color w:val="auto"/>
          <w:sz w:val="32"/>
          <w:highlight w:val="none"/>
        </w:rPr>
        <w:t>第三章      项目技术规范和服务要求</w:t>
      </w:r>
    </w:p>
    <w:p>
      <w:pPr>
        <w:spacing w:line="360" w:lineRule="auto"/>
        <w:ind w:firstLine="1040" w:firstLineChars="325"/>
        <w:rPr>
          <w:rFonts w:hint="eastAsia" w:ascii="宋体" w:hAnsi="宋体" w:eastAsia="宋体" w:cs="宋体"/>
          <w:color w:val="auto"/>
          <w:sz w:val="32"/>
          <w:highlight w:val="none"/>
        </w:rPr>
      </w:pPr>
      <w:r>
        <w:rPr>
          <w:rFonts w:hint="eastAsia" w:ascii="宋体" w:hAnsi="宋体" w:eastAsia="宋体" w:cs="宋体"/>
          <w:color w:val="auto"/>
          <w:sz w:val="32"/>
          <w:highlight w:val="none"/>
        </w:rPr>
        <w:t>第四章      采购合同的一般和特殊条款</w:t>
      </w:r>
    </w:p>
    <w:p>
      <w:pPr>
        <w:spacing w:line="360" w:lineRule="auto"/>
        <w:ind w:firstLine="1040" w:firstLineChars="325"/>
        <w:rPr>
          <w:rFonts w:hint="eastAsia" w:ascii="宋体" w:hAnsi="宋体" w:eastAsia="宋体" w:cs="宋体"/>
          <w:color w:val="auto"/>
          <w:sz w:val="32"/>
          <w:highlight w:val="none"/>
        </w:rPr>
      </w:pPr>
      <w:r>
        <w:rPr>
          <w:rFonts w:hint="eastAsia" w:ascii="宋体" w:hAnsi="宋体" w:eastAsia="宋体" w:cs="宋体"/>
          <w:color w:val="auto"/>
          <w:sz w:val="32"/>
          <w:highlight w:val="none"/>
        </w:rPr>
        <w:t>第五章      应提交的有关格式范例</w:t>
      </w:r>
    </w:p>
    <w:p>
      <w:pPr>
        <w:widowControl/>
        <w:autoSpaceDE w:val="0"/>
        <w:autoSpaceDN w:val="0"/>
        <w:textAlignment w:val="bottom"/>
        <w:rPr>
          <w:rFonts w:hint="eastAsia" w:ascii="宋体" w:hAnsi="宋体" w:eastAsia="宋体" w:cs="宋体"/>
          <w:bCs/>
          <w:color w:val="auto"/>
          <w:sz w:val="44"/>
          <w:highlight w:val="none"/>
        </w:rPr>
      </w:pPr>
    </w:p>
    <w:p>
      <w:pPr>
        <w:widowControl/>
        <w:autoSpaceDE w:val="0"/>
        <w:autoSpaceDN w:val="0"/>
        <w:textAlignment w:val="bottom"/>
        <w:rPr>
          <w:rFonts w:hint="eastAsia" w:ascii="宋体" w:hAnsi="宋体" w:eastAsia="宋体" w:cs="宋体"/>
          <w:b/>
          <w:color w:val="auto"/>
          <w:sz w:val="44"/>
          <w:highlight w:val="none"/>
        </w:rPr>
        <w:sectPr>
          <w:headerReference r:id="rId4" w:type="first"/>
          <w:footerReference r:id="rId7" w:type="first"/>
          <w:headerReference r:id="rId3" w:type="default"/>
          <w:footerReference r:id="rId5" w:type="default"/>
          <w:footerReference r:id="rId6" w:type="even"/>
          <w:type w:val="nextColumn"/>
          <w:pgSz w:w="11906" w:h="16838"/>
          <w:pgMar w:top="1440" w:right="1474" w:bottom="1440" w:left="1474" w:header="851" w:footer="1247" w:gutter="284"/>
          <w:pgNumType w:start="1"/>
          <w:cols w:space="720" w:num="1"/>
          <w:docGrid w:linePitch="285" w:charSpace="0"/>
        </w:sectPr>
      </w:pPr>
    </w:p>
    <w:p>
      <w:pPr>
        <w:spacing w:line="312" w:lineRule="auto"/>
        <w:jc w:val="center"/>
        <w:rPr>
          <w:rFonts w:hint="eastAsia" w:ascii="宋体" w:hAnsi="宋体" w:eastAsia="宋体" w:cs="宋体"/>
          <w:b/>
          <w:color w:val="auto"/>
          <w:sz w:val="36"/>
          <w:highlight w:val="none"/>
        </w:rPr>
      </w:pPr>
      <w:r>
        <w:rPr>
          <w:rFonts w:hint="eastAsia" w:ascii="宋体" w:hAnsi="宋体" w:eastAsia="宋体" w:cs="宋体"/>
          <w:b/>
          <w:color w:val="auto"/>
          <w:sz w:val="36"/>
          <w:highlight w:val="none"/>
        </w:rPr>
        <w:t>第一章  招标公告</w:t>
      </w:r>
    </w:p>
    <w:p>
      <w:pPr>
        <w:spacing w:line="312" w:lineRule="auto"/>
        <w:jc w:val="center"/>
        <w:rPr>
          <w:rFonts w:hint="eastAsia" w:ascii="宋体" w:hAnsi="宋体" w:eastAsia="宋体" w:cs="宋体"/>
          <w:b/>
          <w:color w:val="auto"/>
          <w:sz w:val="24"/>
          <w:highlight w:val="none"/>
        </w:rPr>
      </w:pPr>
    </w:p>
    <w:p>
      <w:pPr>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根据《中华人民共和国政府采购法》等有关规定，经政府采购管理部门批准，</w:t>
      </w:r>
      <w:bookmarkStart w:id="0" w:name="B05_采购代理机构名称"/>
      <w:r>
        <w:rPr>
          <w:rFonts w:hint="eastAsia" w:ascii="宋体" w:hAnsi="宋体" w:eastAsia="宋体" w:cs="宋体"/>
          <w:color w:val="auto"/>
          <w:kern w:val="0"/>
          <w:sz w:val="24"/>
          <w:highlight w:val="none"/>
        </w:rPr>
        <w:t>浙江省成套工程有限公司</w:t>
      </w:r>
      <w:bookmarkEnd w:id="0"/>
      <w:r>
        <w:rPr>
          <w:rFonts w:hint="eastAsia" w:ascii="宋体" w:hAnsi="宋体" w:eastAsia="宋体" w:cs="宋体"/>
          <w:color w:val="auto"/>
          <w:kern w:val="0"/>
          <w:sz w:val="24"/>
          <w:highlight w:val="none"/>
        </w:rPr>
        <w:t>受杭州市拱墅区城市管理局委托，就拱墅区清除非法涂写招贴广告作业项目进行公开招标，欢迎</w:t>
      </w:r>
      <w:r>
        <w:rPr>
          <w:rFonts w:hint="eastAsia" w:ascii="宋体" w:hAnsi="宋体" w:eastAsia="宋体" w:cs="宋体"/>
          <w:color w:val="auto"/>
          <w:sz w:val="24"/>
          <w:highlight w:val="none"/>
        </w:rPr>
        <w:t>合格的服务商参加投标</w:t>
      </w:r>
      <w:r>
        <w:rPr>
          <w:rFonts w:hint="eastAsia" w:ascii="宋体" w:hAnsi="宋体" w:eastAsia="宋体" w:cs="宋体"/>
          <w:color w:val="auto"/>
          <w:kern w:val="0"/>
          <w:sz w:val="24"/>
          <w:highlight w:val="none"/>
        </w:rPr>
        <w:t>。</w:t>
      </w:r>
    </w:p>
    <w:p>
      <w:pPr>
        <w:widowControl/>
        <w:spacing w:before="80" w:after="80" w:line="360" w:lineRule="auto"/>
        <w:ind w:right="80"/>
        <w:jc w:val="left"/>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1、招标编号：</w:t>
      </w:r>
      <w:r>
        <w:rPr>
          <w:rFonts w:hint="eastAsia" w:ascii="宋体" w:hAnsi="宋体" w:eastAsia="宋体" w:cs="宋体"/>
          <w:color w:val="auto"/>
          <w:kern w:val="0"/>
          <w:sz w:val="24"/>
          <w:highlight w:val="none"/>
        </w:rPr>
        <w:t>CTSC-2020-019</w:t>
      </w:r>
    </w:p>
    <w:p>
      <w:pPr>
        <w:widowControl/>
        <w:spacing w:before="80" w:after="80" w:line="360" w:lineRule="auto"/>
        <w:ind w:right="80"/>
        <w:jc w:val="left"/>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2、项目名称：</w:t>
      </w:r>
      <w:r>
        <w:rPr>
          <w:rFonts w:hint="eastAsia" w:ascii="宋体" w:hAnsi="宋体" w:eastAsia="宋体" w:cs="宋体"/>
          <w:color w:val="auto"/>
          <w:kern w:val="0"/>
          <w:sz w:val="24"/>
          <w:highlight w:val="none"/>
        </w:rPr>
        <w:t>拱墅区清除非法涂写招贴广告作业项目</w:t>
      </w:r>
    </w:p>
    <w:p>
      <w:pPr>
        <w:spacing w:line="360" w:lineRule="auto"/>
        <w:jc w:val="left"/>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3、招标内容：</w:t>
      </w:r>
    </w:p>
    <w:tbl>
      <w:tblPr>
        <w:tblStyle w:val="22"/>
        <w:tblW w:w="10499" w:type="dxa"/>
        <w:jc w:val="center"/>
        <w:tblLayout w:type="fixed"/>
        <w:tblCellMar>
          <w:top w:w="0" w:type="dxa"/>
          <w:left w:w="0" w:type="dxa"/>
          <w:bottom w:w="0" w:type="dxa"/>
          <w:right w:w="0" w:type="dxa"/>
        </w:tblCellMar>
      </w:tblPr>
      <w:tblGrid>
        <w:gridCol w:w="615"/>
        <w:gridCol w:w="5606"/>
        <w:gridCol w:w="1230"/>
        <w:gridCol w:w="1050"/>
        <w:gridCol w:w="1998"/>
      </w:tblGrid>
      <w:tr>
        <w:tblPrEx>
          <w:tblCellMar>
            <w:top w:w="0" w:type="dxa"/>
            <w:left w:w="0" w:type="dxa"/>
            <w:bottom w:w="0" w:type="dxa"/>
            <w:right w:w="0" w:type="dxa"/>
          </w:tblCellMar>
        </w:tblPrEx>
        <w:trPr>
          <w:trHeight w:val="90"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标段</w:t>
            </w:r>
          </w:p>
        </w:tc>
        <w:tc>
          <w:tcPr>
            <w:tcW w:w="56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标项名称</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道路长度（米）</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预算金额（元）</w:t>
            </w:r>
          </w:p>
        </w:tc>
        <w:tc>
          <w:tcPr>
            <w:tcW w:w="19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备注</w:t>
            </w:r>
          </w:p>
        </w:tc>
      </w:tr>
      <w:tr>
        <w:tblPrEx>
          <w:tblCellMar>
            <w:top w:w="0" w:type="dxa"/>
            <w:left w:w="0" w:type="dxa"/>
            <w:bottom w:w="0" w:type="dxa"/>
            <w:right w:w="0" w:type="dxa"/>
          </w:tblCellMar>
        </w:tblPrEx>
        <w:trPr>
          <w:trHeight w:val="540"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w:t>
            </w:r>
          </w:p>
        </w:tc>
        <w:tc>
          <w:tcPr>
            <w:tcW w:w="56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拱墅区米市巷街道非法涂写招贴广告清除范围</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19710</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215000</w:t>
            </w:r>
          </w:p>
        </w:tc>
        <w:tc>
          <w:tcPr>
            <w:tcW w:w="199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w:t>
            </w:r>
            <w:r>
              <w:rPr>
                <w:rFonts w:hint="eastAsia" w:ascii="宋体" w:hAnsi="宋体" w:eastAsia="宋体" w:cs="宋体"/>
                <w:b/>
                <w:bCs/>
                <w:color w:val="auto"/>
                <w:kern w:val="0"/>
                <w:sz w:val="24"/>
                <w:szCs w:val="24"/>
                <w:highlight w:val="none"/>
              </w:rPr>
              <w:t>项目</w:t>
            </w:r>
            <w:r>
              <w:rPr>
                <w:rFonts w:hint="eastAsia" w:ascii="宋体" w:hAnsi="宋体" w:eastAsia="宋体" w:cs="宋体"/>
                <w:color w:val="auto"/>
                <w:kern w:val="0"/>
                <w:sz w:val="24"/>
                <w:szCs w:val="24"/>
                <w:highlight w:val="none"/>
              </w:rPr>
              <w:t>服务期二年，按照考核办法,考核合格的可续签一年，采购人接受投标人分标段投标，一个投标人在12个标段中最多只能被推荐二次第一中标候选人。具体要求详见采购文件第三章项目技术规范和服务要求。</w:t>
            </w:r>
          </w:p>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 xml:space="preserve"> </w:t>
            </w:r>
          </w:p>
        </w:tc>
      </w:tr>
      <w:tr>
        <w:tblPrEx>
          <w:tblCellMar>
            <w:top w:w="0" w:type="dxa"/>
            <w:left w:w="0" w:type="dxa"/>
            <w:bottom w:w="0" w:type="dxa"/>
            <w:right w:w="0" w:type="dxa"/>
          </w:tblCellMar>
        </w:tblPrEx>
        <w:trPr>
          <w:trHeight w:val="540"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2</w:t>
            </w:r>
          </w:p>
        </w:tc>
        <w:tc>
          <w:tcPr>
            <w:tcW w:w="56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拱墅区湖墅街道非法涂写招贴广告清除范围</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24506</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229400</w:t>
            </w:r>
          </w:p>
        </w:tc>
        <w:tc>
          <w:tcPr>
            <w:tcW w:w="1998"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szCs w:val="24"/>
                <w:highlight w:val="none"/>
              </w:rPr>
            </w:pPr>
          </w:p>
        </w:tc>
      </w:tr>
      <w:tr>
        <w:tblPrEx>
          <w:tblCellMar>
            <w:top w:w="0" w:type="dxa"/>
            <w:left w:w="0" w:type="dxa"/>
            <w:bottom w:w="0" w:type="dxa"/>
            <w:right w:w="0" w:type="dxa"/>
          </w:tblCellMar>
        </w:tblPrEx>
        <w:trPr>
          <w:trHeight w:val="540"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3</w:t>
            </w:r>
          </w:p>
        </w:tc>
        <w:tc>
          <w:tcPr>
            <w:tcW w:w="56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拱墅区小河街道加和睦街道小河街道非法涂写招贴广告清除范围</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22031</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245500</w:t>
            </w:r>
          </w:p>
        </w:tc>
        <w:tc>
          <w:tcPr>
            <w:tcW w:w="1998"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p>
        </w:tc>
      </w:tr>
      <w:tr>
        <w:tblPrEx>
          <w:tblCellMar>
            <w:top w:w="0" w:type="dxa"/>
            <w:left w:w="0" w:type="dxa"/>
            <w:bottom w:w="0" w:type="dxa"/>
            <w:right w:w="0" w:type="dxa"/>
          </w:tblCellMar>
        </w:tblPrEx>
        <w:trPr>
          <w:trHeight w:val="540"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4</w:t>
            </w:r>
          </w:p>
        </w:tc>
        <w:tc>
          <w:tcPr>
            <w:tcW w:w="56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拱墅区大关街道非法涂写招贴广告清除范围</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22179</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250000</w:t>
            </w:r>
          </w:p>
        </w:tc>
        <w:tc>
          <w:tcPr>
            <w:tcW w:w="1998"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szCs w:val="24"/>
                <w:highlight w:val="none"/>
              </w:rPr>
            </w:pPr>
          </w:p>
        </w:tc>
      </w:tr>
      <w:tr>
        <w:tblPrEx>
          <w:tblCellMar>
            <w:top w:w="0" w:type="dxa"/>
            <w:left w:w="0" w:type="dxa"/>
            <w:bottom w:w="0" w:type="dxa"/>
            <w:right w:w="0" w:type="dxa"/>
          </w:tblCellMar>
        </w:tblPrEx>
        <w:trPr>
          <w:trHeight w:val="580"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5</w:t>
            </w:r>
          </w:p>
        </w:tc>
        <w:tc>
          <w:tcPr>
            <w:tcW w:w="56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拱墅区拱宸桥街道非法涂写招贴广告清除范围</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32506</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320000</w:t>
            </w:r>
          </w:p>
        </w:tc>
        <w:tc>
          <w:tcPr>
            <w:tcW w:w="1998"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szCs w:val="24"/>
                <w:highlight w:val="none"/>
              </w:rPr>
            </w:pPr>
          </w:p>
        </w:tc>
      </w:tr>
      <w:tr>
        <w:tblPrEx>
          <w:tblCellMar>
            <w:top w:w="0" w:type="dxa"/>
            <w:left w:w="0" w:type="dxa"/>
            <w:bottom w:w="0" w:type="dxa"/>
            <w:right w:w="0" w:type="dxa"/>
          </w:tblCellMar>
        </w:tblPrEx>
        <w:trPr>
          <w:trHeight w:val="540"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6</w:t>
            </w:r>
          </w:p>
        </w:tc>
        <w:tc>
          <w:tcPr>
            <w:tcW w:w="56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拱墅区上塘街道非法涂写招贴广告清除范围</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44281</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400000</w:t>
            </w:r>
          </w:p>
        </w:tc>
        <w:tc>
          <w:tcPr>
            <w:tcW w:w="1998"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szCs w:val="24"/>
                <w:highlight w:val="none"/>
              </w:rPr>
            </w:pPr>
          </w:p>
        </w:tc>
      </w:tr>
      <w:tr>
        <w:tblPrEx>
          <w:tblCellMar>
            <w:top w:w="0" w:type="dxa"/>
            <w:left w:w="0" w:type="dxa"/>
            <w:bottom w:w="0" w:type="dxa"/>
            <w:right w:w="0" w:type="dxa"/>
          </w:tblCellMar>
        </w:tblPrEx>
        <w:trPr>
          <w:trHeight w:val="540"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7</w:t>
            </w:r>
          </w:p>
        </w:tc>
        <w:tc>
          <w:tcPr>
            <w:tcW w:w="56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拱墅区祥符街道非法涂写招贴广告清除范围</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83332.1</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680000</w:t>
            </w:r>
          </w:p>
        </w:tc>
        <w:tc>
          <w:tcPr>
            <w:tcW w:w="1998"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szCs w:val="24"/>
                <w:highlight w:val="none"/>
              </w:rPr>
            </w:pPr>
          </w:p>
        </w:tc>
      </w:tr>
      <w:tr>
        <w:tblPrEx>
          <w:tblCellMar>
            <w:top w:w="0" w:type="dxa"/>
            <w:left w:w="0" w:type="dxa"/>
            <w:bottom w:w="0" w:type="dxa"/>
            <w:right w:w="0" w:type="dxa"/>
          </w:tblCellMar>
        </w:tblPrEx>
        <w:trPr>
          <w:trHeight w:val="540"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8</w:t>
            </w:r>
          </w:p>
        </w:tc>
        <w:tc>
          <w:tcPr>
            <w:tcW w:w="56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拱墅区大关路以南部分主要道路（含运河游步道）非法涂写招贴广告清除范围</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41843</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495000</w:t>
            </w:r>
          </w:p>
        </w:tc>
        <w:tc>
          <w:tcPr>
            <w:tcW w:w="1998"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szCs w:val="24"/>
                <w:highlight w:val="none"/>
              </w:rPr>
            </w:pPr>
          </w:p>
        </w:tc>
      </w:tr>
      <w:tr>
        <w:tblPrEx>
          <w:tblCellMar>
            <w:top w:w="0" w:type="dxa"/>
            <w:left w:w="0" w:type="dxa"/>
            <w:bottom w:w="0" w:type="dxa"/>
            <w:right w:w="0" w:type="dxa"/>
          </w:tblCellMar>
        </w:tblPrEx>
        <w:trPr>
          <w:trHeight w:val="540"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9</w:t>
            </w:r>
          </w:p>
        </w:tc>
        <w:tc>
          <w:tcPr>
            <w:tcW w:w="56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拱墅区大关路以北部分主要道路非法涂写招贴广告清除范围</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88137.77</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900600</w:t>
            </w:r>
          </w:p>
        </w:tc>
        <w:tc>
          <w:tcPr>
            <w:tcW w:w="1998"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szCs w:val="24"/>
                <w:highlight w:val="none"/>
              </w:rPr>
            </w:pPr>
          </w:p>
        </w:tc>
      </w:tr>
      <w:tr>
        <w:tblPrEx>
          <w:tblCellMar>
            <w:top w:w="0" w:type="dxa"/>
            <w:left w:w="0" w:type="dxa"/>
            <w:bottom w:w="0" w:type="dxa"/>
            <w:right w:w="0" w:type="dxa"/>
          </w:tblCellMar>
        </w:tblPrEx>
        <w:trPr>
          <w:trHeight w:val="540"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10</w:t>
            </w:r>
          </w:p>
        </w:tc>
        <w:tc>
          <w:tcPr>
            <w:tcW w:w="56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拱墅区大关路以北部分主要道路非法涂写招贴广告清除范围（东）</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63645.5</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564500</w:t>
            </w:r>
          </w:p>
        </w:tc>
        <w:tc>
          <w:tcPr>
            <w:tcW w:w="1998"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szCs w:val="24"/>
                <w:highlight w:val="none"/>
              </w:rPr>
            </w:pPr>
          </w:p>
        </w:tc>
      </w:tr>
      <w:tr>
        <w:tblPrEx>
          <w:tblCellMar>
            <w:top w:w="0" w:type="dxa"/>
            <w:left w:w="0" w:type="dxa"/>
            <w:bottom w:w="0" w:type="dxa"/>
            <w:right w:w="0" w:type="dxa"/>
          </w:tblCellMar>
        </w:tblPrEx>
        <w:trPr>
          <w:trHeight w:val="540"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11</w:t>
            </w:r>
          </w:p>
        </w:tc>
        <w:tc>
          <w:tcPr>
            <w:tcW w:w="56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拱墅区半山街道非法涂写招贴广告清除范围</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29480.7</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255000</w:t>
            </w:r>
          </w:p>
        </w:tc>
        <w:tc>
          <w:tcPr>
            <w:tcW w:w="1998"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szCs w:val="24"/>
                <w:highlight w:val="none"/>
              </w:rPr>
            </w:pPr>
          </w:p>
        </w:tc>
      </w:tr>
      <w:tr>
        <w:tblPrEx>
          <w:tblCellMar>
            <w:top w:w="0" w:type="dxa"/>
            <w:left w:w="0" w:type="dxa"/>
            <w:bottom w:w="0" w:type="dxa"/>
            <w:right w:w="0" w:type="dxa"/>
          </w:tblCellMar>
        </w:tblPrEx>
        <w:trPr>
          <w:trHeight w:val="540"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12</w:t>
            </w:r>
          </w:p>
        </w:tc>
        <w:tc>
          <w:tcPr>
            <w:tcW w:w="56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拱墅区康桥街道非法涂写招贴广告清除范围</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47724</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445000</w:t>
            </w:r>
          </w:p>
        </w:tc>
        <w:tc>
          <w:tcPr>
            <w:tcW w:w="199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szCs w:val="24"/>
                <w:highlight w:val="none"/>
              </w:rPr>
            </w:pPr>
          </w:p>
        </w:tc>
      </w:tr>
    </w:tbl>
    <w:p>
      <w:pPr>
        <w:widowControl/>
        <w:spacing w:before="80" w:after="80" w:line="360" w:lineRule="auto"/>
        <w:ind w:right="80"/>
        <w:jc w:val="left"/>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4、合格的应标人应具备的资格要求</w:t>
      </w:r>
      <w:r>
        <w:rPr>
          <w:rFonts w:hint="eastAsia" w:ascii="宋体" w:hAnsi="宋体" w:eastAsia="宋体" w:cs="宋体"/>
          <w:color w:val="auto"/>
          <w:kern w:val="0"/>
          <w:sz w:val="24"/>
          <w:highlight w:val="none"/>
        </w:rPr>
        <w:t xml:space="preserve">： </w:t>
      </w:r>
    </w:p>
    <w:p>
      <w:pPr>
        <w:pStyle w:val="11"/>
        <w:snapToGrid w:val="0"/>
        <w:spacing w:line="400" w:lineRule="exact"/>
        <w:ind w:firstLine="482" w:firstLineChars="200"/>
        <w:contextualSpacing/>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一般要求：</w:t>
      </w:r>
    </w:p>
    <w:p>
      <w:pPr>
        <w:pStyle w:val="11"/>
        <w:snapToGrid w:val="0"/>
        <w:spacing w:line="400" w:lineRule="exact"/>
        <w:ind w:firstLine="480" w:firstLine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符合《中华人民共和国政府采购法》第二十二条的规定；</w:t>
      </w:r>
    </w:p>
    <w:p>
      <w:pPr>
        <w:widowControl/>
        <w:adjustRightInd w:val="0"/>
        <w:snapToGrid w:val="0"/>
        <w:spacing w:line="4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（1）具有独立承担民事责任的能力；</w:t>
      </w:r>
    </w:p>
    <w:p>
      <w:pPr>
        <w:widowControl/>
        <w:adjustRightInd w:val="0"/>
        <w:snapToGrid w:val="0"/>
        <w:spacing w:line="4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（2）具有良好的商业信誉和健全的财务会计制度；</w:t>
      </w:r>
    </w:p>
    <w:p>
      <w:pPr>
        <w:widowControl/>
        <w:adjustRightInd w:val="0"/>
        <w:snapToGrid w:val="0"/>
        <w:spacing w:line="4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（3）具有履行合同所必需的设备和专业技术能力；</w:t>
      </w:r>
    </w:p>
    <w:p>
      <w:pPr>
        <w:widowControl/>
        <w:adjustRightInd w:val="0"/>
        <w:snapToGrid w:val="0"/>
        <w:spacing w:line="4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（4）有依法缴纳税收和社会保障资金的良好记录；</w:t>
      </w:r>
    </w:p>
    <w:p>
      <w:pPr>
        <w:widowControl/>
        <w:snapToGrid w:val="0"/>
        <w:spacing w:line="4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（5）参加政府采购活动前三年内，在经营活动中没有重大违法记录；</w:t>
      </w:r>
    </w:p>
    <w:p>
      <w:pPr>
        <w:pStyle w:val="11"/>
        <w:snapToGrid w:val="0"/>
        <w:spacing w:line="400" w:lineRule="exact"/>
        <w:ind w:firstLine="482" w:firstLineChars="200"/>
        <w:contextualSpacing/>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特定资格条件：</w:t>
      </w:r>
    </w:p>
    <w:p>
      <w:pPr>
        <w:widowControl/>
        <w:adjustRightInd w:val="0"/>
        <w:snapToGrid w:val="0"/>
        <w:spacing w:line="4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（1）与参加同一合同项下政府采购活动的其他供应商不存在单位负责人为同一人或者存在直接控股、管理关系；</w:t>
      </w:r>
    </w:p>
    <w:p>
      <w:pPr>
        <w:widowControl/>
        <w:adjustRightInd w:val="0"/>
        <w:snapToGrid w:val="0"/>
        <w:spacing w:line="4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（2）供应商未被列入失信被执行人名单、重大税收违法案件当事人名单、政府采购严重违法失信行为记录名单，信用信息以信用中国网站（www.creditchina.gov.cn）、中国政府采购网（www.ccgp.gov.cn）公布为准；</w:t>
      </w:r>
    </w:p>
    <w:p>
      <w:pPr>
        <w:widowControl/>
        <w:spacing w:before="80" w:after="80" w:line="360" w:lineRule="auto"/>
        <w:ind w:right="80"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rPr>
        <w:t>3</w:t>
      </w:r>
      <w:r>
        <w:rPr>
          <w:rFonts w:hint="eastAsia" w:ascii="宋体" w:hAnsi="宋体" w:eastAsia="宋体" w:cs="宋体"/>
          <w:color w:val="auto"/>
          <w:kern w:val="0"/>
          <w:sz w:val="24"/>
          <w:highlight w:val="none"/>
          <w:lang w:val="zh-CN"/>
        </w:rPr>
        <w:t>）本项目不接受联合体投标。</w:t>
      </w:r>
    </w:p>
    <w:p>
      <w:pPr>
        <w:pStyle w:val="11"/>
        <w:adjustRightInd w:val="0"/>
        <w:snapToGrid w:val="0"/>
        <w:spacing w:line="400" w:lineRule="exact"/>
        <w:contextualSpacing/>
        <w:rPr>
          <w:rFonts w:hint="eastAsia" w:ascii="宋体" w:hAnsi="宋体" w:eastAsia="宋体" w:cs="宋体"/>
          <w:bCs/>
          <w:color w:val="auto"/>
          <w:sz w:val="24"/>
          <w:szCs w:val="24"/>
          <w:highlight w:val="none"/>
        </w:rPr>
      </w:pPr>
      <w:r>
        <w:rPr>
          <w:rFonts w:hint="eastAsia" w:ascii="宋体" w:hAnsi="宋体" w:eastAsia="宋体" w:cs="宋体"/>
          <w:b/>
          <w:color w:val="auto"/>
          <w:sz w:val="24"/>
          <w:szCs w:val="24"/>
          <w:highlight w:val="none"/>
        </w:rPr>
        <w:t>五、采购方式</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val="zh-CN"/>
        </w:rPr>
        <w:t>公开</w:t>
      </w:r>
      <w:r>
        <w:rPr>
          <w:rFonts w:hint="eastAsia" w:ascii="宋体" w:hAnsi="宋体" w:eastAsia="宋体" w:cs="宋体"/>
          <w:bCs/>
          <w:color w:val="auto"/>
          <w:sz w:val="24"/>
          <w:szCs w:val="24"/>
          <w:highlight w:val="none"/>
        </w:rPr>
        <w:t>招标。</w:t>
      </w:r>
    </w:p>
    <w:p>
      <w:pPr>
        <w:adjustRightInd w:val="0"/>
        <w:snapToGrid w:val="0"/>
        <w:spacing w:line="400" w:lineRule="exact"/>
        <w:contextualSpacing/>
        <w:rPr>
          <w:rFonts w:hint="eastAsia" w:ascii="宋体" w:hAnsi="宋体" w:eastAsia="宋体" w:cs="宋体"/>
          <w:bCs/>
          <w:color w:val="auto"/>
          <w:sz w:val="24"/>
          <w:highlight w:val="none"/>
        </w:rPr>
      </w:pPr>
      <w:r>
        <w:rPr>
          <w:rFonts w:hint="eastAsia" w:ascii="宋体" w:hAnsi="宋体" w:eastAsia="宋体" w:cs="宋体"/>
          <w:b/>
          <w:color w:val="auto"/>
          <w:sz w:val="24"/>
          <w:highlight w:val="none"/>
        </w:rPr>
        <w:t>六、采购组织类型：</w:t>
      </w:r>
      <w:r>
        <w:rPr>
          <w:rFonts w:hint="eastAsia" w:ascii="宋体" w:hAnsi="宋体" w:eastAsia="宋体" w:cs="宋体"/>
          <w:bCs/>
          <w:color w:val="auto"/>
          <w:sz w:val="24"/>
          <w:highlight w:val="none"/>
        </w:rPr>
        <w:t>分散采购委托代理</w:t>
      </w:r>
    </w:p>
    <w:p>
      <w:pPr>
        <w:widowControl/>
        <w:adjustRightInd w:val="0"/>
        <w:snapToGrid w:val="0"/>
        <w:spacing w:line="400" w:lineRule="exact"/>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七、获取招标文件的时间、地点：</w:t>
      </w:r>
    </w:p>
    <w:p>
      <w:pPr>
        <w:pStyle w:val="55"/>
        <w:spacing w:line="400" w:lineRule="exact"/>
        <w:rPr>
          <w:rFonts w:hint="eastAsia" w:ascii="宋体" w:hAnsi="宋体" w:eastAsia="宋体" w:cs="宋体"/>
          <w:b/>
          <w:bCs/>
          <w:color w:val="auto"/>
          <w:sz w:val="24"/>
          <w:highlight w:val="none"/>
          <w:lang w:val="zh-TW" w:eastAsia="zh-TW"/>
        </w:rPr>
      </w:pPr>
      <w:r>
        <w:rPr>
          <w:rFonts w:hint="eastAsia" w:ascii="宋体" w:hAnsi="宋体" w:eastAsia="宋体" w:cs="宋体"/>
          <w:b/>
          <w:bCs/>
          <w:color w:val="auto"/>
          <w:sz w:val="24"/>
          <w:highlight w:val="none"/>
          <w:lang w:val="zh-TW"/>
        </w:rPr>
        <w:t>（</w:t>
      </w:r>
      <w:r>
        <w:rPr>
          <w:rFonts w:hint="eastAsia" w:ascii="宋体" w:hAnsi="宋体" w:eastAsia="宋体" w:cs="宋体"/>
          <w:b/>
          <w:bCs/>
          <w:color w:val="auto"/>
          <w:sz w:val="24"/>
          <w:highlight w:val="none"/>
        </w:rPr>
        <w:t>1</w:t>
      </w:r>
      <w:r>
        <w:rPr>
          <w:rFonts w:hint="eastAsia" w:ascii="宋体" w:hAnsi="宋体" w:eastAsia="宋体" w:cs="宋体"/>
          <w:b/>
          <w:bCs/>
          <w:color w:val="auto"/>
          <w:sz w:val="24"/>
          <w:highlight w:val="none"/>
          <w:lang w:val="zh-TW"/>
        </w:rPr>
        <w:t>）</w:t>
      </w:r>
      <w:r>
        <w:rPr>
          <w:rFonts w:hint="eastAsia" w:ascii="宋体" w:hAnsi="宋体" w:eastAsia="宋体" w:cs="宋体"/>
          <w:b/>
          <w:bCs/>
          <w:color w:val="auto"/>
          <w:sz w:val="24"/>
          <w:highlight w:val="none"/>
          <w:lang w:val="zh-TW" w:eastAsia="zh-TW"/>
        </w:rPr>
        <w:t>本项目招标文件实行“政府采购云平台”在线获取，不提供招标文件纸质版。供应商获取招标文件前应先完成“政府采购云平台”的账号注册；</w:t>
      </w:r>
    </w:p>
    <w:p>
      <w:pPr>
        <w:pStyle w:val="55"/>
        <w:spacing w:line="400" w:lineRule="exact"/>
        <w:rPr>
          <w:rFonts w:hint="eastAsia" w:ascii="宋体" w:hAnsi="宋体" w:eastAsia="宋体" w:cs="宋体"/>
          <w:b/>
          <w:bCs/>
          <w:color w:val="auto"/>
          <w:sz w:val="24"/>
          <w:highlight w:val="none"/>
          <w:lang w:val="zh-TW" w:eastAsia="zh-TW"/>
        </w:rPr>
      </w:pPr>
      <w:r>
        <w:rPr>
          <w:rFonts w:hint="eastAsia" w:ascii="宋体" w:hAnsi="宋体" w:eastAsia="宋体" w:cs="宋体"/>
          <w:b/>
          <w:bCs/>
          <w:color w:val="auto"/>
          <w:sz w:val="24"/>
          <w:highlight w:val="none"/>
          <w:lang w:val="zh-TW"/>
        </w:rPr>
        <w:t>（</w:t>
      </w:r>
      <w:r>
        <w:rPr>
          <w:rFonts w:hint="eastAsia" w:ascii="宋体" w:hAnsi="宋体" w:eastAsia="宋体" w:cs="宋体"/>
          <w:b/>
          <w:bCs/>
          <w:color w:val="auto"/>
          <w:sz w:val="24"/>
          <w:highlight w:val="none"/>
        </w:rPr>
        <w:t>2</w:t>
      </w:r>
      <w:r>
        <w:rPr>
          <w:rFonts w:hint="eastAsia" w:ascii="宋体" w:hAnsi="宋体" w:eastAsia="宋体" w:cs="宋体"/>
          <w:b/>
          <w:bCs/>
          <w:color w:val="auto"/>
          <w:sz w:val="24"/>
          <w:highlight w:val="none"/>
          <w:lang w:val="zh-TW"/>
        </w:rPr>
        <w:t>）</w:t>
      </w:r>
      <w:r>
        <w:rPr>
          <w:rFonts w:hint="eastAsia" w:ascii="宋体" w:hAnsi="宋体" w:eastAsia="宋体" w:cs="宋体"/>
          <w:b/>
          <w:bCs/>
          <w:color w:val="auto"/>
          <w:sz w:val="24"/>
          <w:highlight w:val="none"/>
        </w:rPr>
        <w:t>获取时间：公告发布时间  至  投标截止时间</w:t>
      </w:r>
    </w:p>
    <w:p>
      <w:pPr>
        <w:pStyle w:val="55"/>
        <w:spacing w:line="400" w:lineRule="exact"/>
        <w:rPr>
          <w:rFonts w:hint="eastAsia" w:ascii="宋体" w:hAnsi="宋体" w:eastAsia="宋体" w:cs="宋体"/>
          <w:b/>
          <w:bCs/>
          <w:color w:val="auto"/>
          <w:sz w:val="24"/>
          <w:highlight w:val="none"/>
          <w:lang w:val="zh-TW" w:eastAsia="zh-TW"/>
        </w:rPr>
      </w:pPr>
      <w:r>
        <w:rPr>
          <w:rFonts w:hint="eastAsia" w:ascii="宋体" w:hAnsi="宋体" w:eastAsia="宋体" w:cs="宋体"/>
          <w:b/>
          <w:bCs/>
          <w:color w:val="auto"/>
          <w:sz w:val="24"/>
          <w:highlight w:val="none"/>
          <w:lang w:val="zh-TW" w:eastAsia="zh-TW"/>
        </w:rPr>
        <w:t>（</w:t>
      </w:r>
      <w:r>
        <w:rPr>
          <w:rFonts w:hint="eastAsia" w:ascii="宋体" w:hAnsi="宋体" w:eastAsia="宋体" w:cs="宋体"/>
          <w:b/>
          <w:bCs/>
          <w:color w:val="auto"/>
          <w:sz w:val="24"/>
          <w:highlight w:val="none"/>
          <w:lang w:eastAsia="zh-TW"/>
        </w:rPr>
        <w:t>3</w:t>
      </w:r>
      <w:r>
        <w:rPr>
          <w:rFonts w:hint="eastAsia" w:ascii="宋体" w:hAnsi="宋体" w:eastAsia="宋体" w:cs="宋体"/>
          <w:b/>
          <w:bCs/>
          <w:color w:val="auto"/>
          <w:sz w:val="24"/>
          <w:highlight w:val="none"/>
          <w:lang w:val="zh-TW" w:eastAsia="zh-TW"/>
        </w:rPr>
        <w:t>）地点：政采云平台（http://zfcg.czt.zj.gov.cn）；</w:t>
      </w:r>
    </w:p>
    <w:p>
      <w:pPr>
        <w:pStyle w:val="55"/>
        <w:spacing w:line="400" w:lineRule="exact"/>
        <w:rPr>
          <w:rFonts w:hint="eastAsia" w:ascii="宋体" w:hAnsi="宋体" w:eastAsia="宋体" w:cs="宋体"/>
          <w:b/>
          <w:bCs/>
          <w:color w:val="auto"/>
          <w:sz w:val="24"/>
          <w:highlight w:val="none"/>
          <w:lang w:val="zh-TW" w:eastAsia="zh-TW"/>
        </w:rPr>
      </w:pPr>
      <w:r>
        <w:rPr>
          <w:rFonts w:hint="eastAsia" w:ascii="宋体" w:hAnsi="宋体" w:eastAsia="宋体" w:cs="宋体"/>
          <w:b/>
          <w:bCs/>
          <w:color w:val="auto"/>
          <w:sz w:val="24"/>
          <w:highlight w:val="none"/>
          <w:lang w:val="zh-TW"/>
        </w:rPr>
        <w:t>（</w:t>
      </w:r>
      <w:r>
        <w:rPr>
          <w:rFonts w:hint="eastAsia" w:ascii="宋体" w:hAnsi="宋体" w:eastAsia="宋体" w:cs="宋体"/>
          <w:b/>
          <w:bCs/>
          <w:color w:val="auto"/>
          <w:sz w:val="24"/>
          <w:highlight w:val="none"/>
        </w:rPr>
        <w:t>4</w:t>
      </w:r>
      <w:r>
        <w:rPr>
          <w:rFonts w:hint="eastAsia" w:ascii="宋体" w:hAnsi="宋体" w:eastAsia="宋体" w:cs="宋体"/>
          <w:b/>
          <w:bCs/>
          <w:color w:val="auto"/>
          <w:sz w:val="24"/>
          <w:highlight w:val="none"/>
          <w:lang w:val="zh-TW"/>
        </w:rPr>
        <w:t>）</w:t>
      </w:r>
      <w:r>
        <w:rPr>
          <w:rFonts w:hint="eastAsia" w:ascii="宋体" w:hAnsi="宋体" w:eastAsia="宋体" w:cs="宋体"/>
          <w:b/>
          <w:bCs/>
          <w:color w:val="auto"/>
          <w:sz w:val="24"/>
          <w:highlight w:val="none"/>
          <w:lang w:val="zh-TW" w:eastAsia="zh-TW"/>
        </w:rPr>
        <w:t>方式：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pPr>
        <w:pStyle w:val="55"/>
        <w:spacing w:line="400" w:lineRule="exact"/>
        <w:rPr>
          <w:rFonts w:hint="eastAsia" w:ascii="宋体" w:hAnsi="宋体" w:eastAsia="宋体" w:cs="宋体"/>
          <w:b/>
          <w:bCs/>
          <w:color w:val="auto"/>
          <w:sz w:val="24"/>
          <w:highlight w:val="none"/>
          <w:lang w:val="zh-TW" w:eastAsia="zh-TW"/>
        </w:rPr>
      </w:pPr>
      <w:r>
        <w:rPr>
          <w:rFonts w:hint="eastAsia" w:ascii="宋体" w:hAnsi="宋体" w:eastAsia="宋体" w:cs="宋体"/>
          <w:b/>
          <w:bCs/>
          <w:color w:val="auto"/>
          <w:sz w:val="24"/>
          <w:highlight w:val="none"/>
          <w:lang w:val="zh-TW"/>
        </w:rPr>
        <w:t>（</w:t>
      </w:r>
      <w:r>
        <w:rPr>
          <w:rFonts w:hint="eastAsia" w:ascii="宋体" w:hAnsi="宋体" w:eastAsia="宋体" w:cs="宋体"/>
          <w:b/>
          <w:bCs/>
          <w:color w:val="auto"/>
          <w:sz w:val="24"/>
          <w:highlight w:val="none"/>
        </w:rPr>
        <w:t>5</w:t>
      </w:r>
      <w:r>
        <w:rPr>
          <w:rFonts w:hint="eastAsia" w:ascii="宋体" w:hAnsi="宋体" w:eastAsia="宋体" w:cs="宋体"/>
          <w:b/>
          <w:bCs/>
          <w:color w:val="auto"/>
          <w:sz w:val="24"/>
          <w:highlight w:val="none"/>
          <w:lang w:val="zh-TW"/>
        </w:rPr>
        <w:t>）</w:t>
      </w:r>
      <w:r>
        <w:rPr>
          <w:rFonts w:hint="eastAsia" w:ascii="宋体" w:hAnsi="宋体" w:eastAsia="宋体" w:cs="宋体"/>
          <w:b/>
          <w:bCs/>
          <w:color w:val="auto"/>
          <w:sz w:val="24"/>
          <w:highlight w:val="none"/>
          <w:lang w:val="zh-TW" w:eastAsia="zh-TW"/>
        </w:rPr>
        <w:t>供应商获取招标文件时须提交的文件资料：无；</w:t>
      </w:r>
    </w:p>
    <w:p>
      <w:pPr>
        <w:pStyle w:val="55"/>
        <w:spacing w:line="400" w:lineRule="exact"/>
        <w:rPr>
          <w:rFonts w:hint="eastAsia" w:ascii="宋体" w:hAnsi="宋体" w:eastAsia="宋体" w:cs="宋体"/>
          <w:b/>
          <w:bCs/>
          <w:color w:val="auto"/>
          <w:sz w:val="24"/>
          <w:highlight w:val="none"/>
          <w:lang w:val="zh-TW" w:eastAsia="zh-TW"/>
        </w:rPr>
      </w:pPr>
      <w:r>
        <w:rPr>
          <w:rFonts w:hint="eastAsia" w:ascii="宋体" w:hAnsi="宋体" w:eastAsia="宋体" w:cs="宋体"/>
          <w:b/>
          <w:bCs/>
          <w:color w:val="auto"/>
          <w:sz w:val="24"/>
          <w:highlight w:val="none"/>
          <w:lang w:val="zh-TW"/>
        </w:rPr>
        <w:t>（</w:t>
      </w:r>
      <w:r>
        <w:rPr>
          <w:rFonts w:hint="eastAsia" w:ascii="宋体" w:hAnsi="宋体" w:eastAsia="宋体" w:cs="宋体"/>
          <w:b/>
          <w:bCs/>
          <w:color w:val="auto"/>
          <w:sz w:val="24"/>
          <w:highlight w:val="none"/>
        </w:rPr>
        <w:t>6</w:t>
      </w:r>
      <w:r>
        <w:rPr>
          <w:rFonts w:hint="eastAsia" w:ascii="宋体" w:hAnsi="宋体" w:eastAsia="宋体" w:cs="宋体"/>
          <w:b/>
          <w:bCs/>
          <w:color w:val="auto"/>
          <w:sz w:val="24"/>
          <w:highlight w:val="none"/>
          <w:lang w:val="zh-TW"/>
        </w:rPr>
        <w:t>）</w:t>
      </w:r>
      <w:r>
        <w:rPr>
          <w:rFonts w:hint="eastAsia" w:ascii="宋体" w:hAnsi="宋体" w:eastAsia="宋体" w:cs="宋体"/>
          <w:b/>
          <w:bCs/>
          <w:color w:val="auto"/>
          <w:sz w:val="24"/>
          <w:highlight w:val="none"/>
          <w:lang w:val="zh-TW" w:eastAsia="zh-TW"/>
        </w:rPr>
        <w:t>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widowControl/>
        <w:adjustRightInd w:val="0"/>
        <w:snapToGrid w:val="0"/>
        <w:spacing w:line="400" w:lineRule="exact"/>
        <w:ind w:firstLine="482" w:firstLineChars="200"/>
        <w:jc w:val="left"/>
        <w:rPr>
          <w:rFonts w:hint="eastAsia" w:ascii="宋体" w:hAnsi="宋体" w:eastAsia="宋体" w:cs="宋体"/>
          <w:color w:val="auto"/>
          <w:sz w:val="24"/>
          <w:highlight w:val="none"/>
        </w:rPr>
      </w:pPr>
      <w:r>
        <w:rPr>
          <w:rFonts w:hint="eastAsia" w:ascii="宋体" w:hAnsi="宋体" w:eastAsia="宋体" w:cs="宋体"/>
          <w:b/>
          <w:bCs/>
          <w:color w:val="auto"/>
          <w:sz w:val="24"/>
          <w:highlight w:val="none"/>
          <w:lang w:val="zh-TW" w:eastAsia="zh-TW"/>
        </w:rPr>
        <w:t>注：请供应商按上述要求获取招标文件，如未在“政采云”系统内完成相关流程，引起的投标无效责任自负。</w:t>
      </w:r>
    </w:p>
    <w:p>
      <w:pPr>
        <w:widowControl/>
        <w:adjustRightInd w:val="0"/>
        <w:snapToGrid w:val="0"/>
        <w:spacing w:line="40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八、投标保证金：</w:t>
      </w:r>
      <w:r>
        <w:rPr>
          <w:rFonts w:hint="eastAsia" w:ascii="宋体" w:hAnsi="宋体" w:eastAsia="宋体" w:cs="宋体"/>
          <w:color w:val="auto"/>
          <w:kern w:val="0"/>
          <w:sz w:val="24"/>
          <w:highlight w:val="none"/>
        </w:rPr>
        <w:t>不需交纳投标保证金</w:t>
      </w:r>
      <w:r>
        <w:rPr>
          <w:rFonts w:hint="eastAsia" w:ascii="宋体" w:hAnsi="宋体" w:eastAsia="宋体" w:cs="宋体"/>
          <w:b/>
          <w:color w:val="auto"/>
          <w:sz w:val="24"/>
          <w:highlight w:val="none"/>
        </w:rPr>
        <w:t>。</w:t>
      </w:r>
    </w:p>
    <w:p>
      <w:pPr>
        <w:pStyle w:val="7"/>
        <w:spacing w:after="156" w:line="400" w:lineRule="exact"/>
        <w:ind w:firstLine="482"/>
        <w:contextualSpacing/>
        <w:rPr>
          <w:rFonts w:hint="eastAsia" w:ascii="宋体" w:hAnsi="宋体" w:eastAsia="宋体" w:cs="宋体"/>
          <w:bCs/>
          <w:color w:val="auto"/>
          <w:highlight w:val="none"/>
          <w:u w:val="single"/>
        </w:rPr>
      </w:pPr>
      <w:r>
        <w:rPr>
          <w:rFonts w:hint="eastAsia" w:ascii="宋体" w:hAnsi="宋体" w:eastAsia="宋体" w:cs="宋体"/>
          <w:b/>
          <w:color w:val="auto"/>
          <w:highlight w:val="none"/>
        </w:rPr>
        <w:t>九、递交投标文件截止时间：</w:t>
      </w:r>
      <w:r>
        <w:rPr>
          <w:rFonts w:hint="eastAsia" w:ascii="宋体" w:hAnsi="宋体" w:eastAsia="宋体" w:cs="宋体"/>
          <w:bCs/>
          <w:color w:val="auto"/>
          <w:highlight w:val="none"/>
          <w:u w:val="single"/>
        </w:rPr>
        <w:t>2020年</w:t>
      </w:r>
      <w:r>
        <w:rPr>
          <w:rFonts w:hint="eastAsia" w:ascii="宋体" w:hAnsi="宋体" w:eastAsia="宋体" w:cs="宋体"/>
          <w:bCs/>
          <w:color w:val="auto"/>
          <w:highlight w:val="none"/>
          <w:u w:val="single"/>
          <w:lang w:val="en-US" w:eastAsia="zh-CN"/>
        </w:rPr>
        <w:t>5</w:t>
      </w:r>
      <w:r>
        <w:rPr>
          <w:rFonts w:hint="eastAsia" w:ascii="宋体" w:hAnsi="宋体" w:eastAsia="宋体" w:cs="宋体"/>
          <w:bCs/>
          <w:color w:val="auto"/>
          <w:highlight w:val="none"/>
          <w:u w:val="single"/>
        </w:rPr>
        <w:t>月</w:t>
      </w:r>
      <w:r>
        <w:rPr>
          <w:rFonts w:hint="eastAsia" w:ascii="宋体" w:hAnsi="宋体" w:eastAsia="宋体" w:cs="宋体"/>
          <w:bCs/>
          <w:color w:val="auto"/>
          <w:highlight w:val="none"/>
          <w:u w:val="single"/>
          <w:lang w:val="en-US" w:eastAsia="zh-CN"/>
        </w:rPr>
        <w:t>1</w:t>
      </w:r>
      <w:r>
        <w:rPr>
          <w:rFonts w:hint="eastAsia" w:ascii="宋体" w:hAnsi="宋体" w:eastAsia="宋体" w:cs="宋体"/>
          <w:bCs/>
          <w:color w:val="auto"/>
          <w:highlight w:val="none"/>
          <w:u w:val="single"/>
          <w:lang w:val="en-US" w:eastAsia="zh-CN"/>
        </w:rPr>
        <w:t>3</w:t>
      </w:r>
      <w:r>
        <w:rPr>
          <w:rFonts w:hint="eastAsia" w:ascii="宋体" w:hAnsi="宋体" w:eastAsia="宋体" w:cs="宋体"/>
          <w:bCs/>
          <w:color w:val="auto"/>
          <w:highlight w:val="none"/>
          <w:u w:val="single"/>
        </w:rPr>
        <w:t>日9时00分前将“电子加密投标文件”上传递交至“政府采购云平台”。</w:t>
      </w:r>
    </w:p>
    <w:p>
      <w:pPr>
        <w:pStyle w:val="7"/>
        <w:spacing w:after="156" w:line="400" w:lineRule="exact"/>
        <w:ind w:firstLine="482"/>
        <w:contextualSpacing/>
        <w:rPr>
          <w:rFonts w:hint="eastAsia" w:ascii="宋体" w:hAnsi="宋体" w:eastAsia="宋体" w:cs="宋体"/>
          <w:bCs/>
          <w:color w:val="auto"/>
          <w:highlight w:val="none"/>
          <w:u w:val="single"/>
        </w:rPr>
      </w:pPr>
      <w:r>
        <w:rPr>
          <w:rFonts w:hint="eastAsia" w:ascii="宋体" w:hAnsi="宋体" w:eastAsia="宋体" w:cs="宋体"/>
          <w:b/>
          <w:color w:val="auto"/>
          <w:highlight w:val="none"/>
        </w:rPr>
        <w:t>十、开标时间与地点：</w:t>
      </w:r>
      <w:r>
        <w:rPr>
          <w:rFonts w:hint="eastAsia" w:ascii="宋体" w:hAnsi="宋体" w:eastAsia="宋体" w:cs="宋体"/>
          <w:bCs/>
          <w:color w:val="auto"/>
          <w:highlight w:val="none"/>
          <w:u w:val="single"/>
        </w:rPr>
        <w:t>2020年</w:t>
      </w:r>
      <w:r>
        <w:rPr>
          <w:rFonts w:hint="eastAsia" w:ascii="宋体" w:hAnsi="宋体" w:eastAsia="宋体" w:cs="宋体"/>
          <w:bCs/>
          <w:color w:val="auto"/>
          <w:highlight w:val="none"/>
          <w:u w:val="single"/>
          <w:lang w:val="en-US" w:eastAsia="zh-CN"/>
        </w:rPr>
        <w:t>5</w:t>
      </w:r>
      <w:r>
        <w:rPr>
          <w:rFonts w:hint="eastAsia" w:ascii="宋体" w:hAnsi="宋体" w:eastAsia="宋体" w:cs="宋体"/>
          <w:bCs/>
          <w:color w:val="auto"/>
          <w:highlight w:val="none"/>
          <w:u w:val="single"/>
        </w:rPr>
        <w:t>月</w:t>
      </w:r>
      <w:r>
        <w:rPr>
          <w:rFonts w:hint="eastAsia" w:ascii="宋体" w:hAnsi="宋体" w:eastAsia="宋体" w:cs="宋体"/>
          <w:bCs/>
          <w:color w:val="auto"/>
          <w:highlight w:val="none"/>
          <w:u w:val="single"/>
          <w:lang w:val="en-US" w:eastAsia="zh-CN"/>
        </w:rPr>
        <w:t>1</w:t>
      </w:r>
      <w:r>
        <w:rPr>
          <w:rFonts w:hint="eastAsia" w:ascii="宋体" w:hAnsi="宋体" w:eastAsia="宋体" w:cs="宋体"/>
          <w:bCs/>
          <w:color w:val="auto"/>
          <w:highlight w:val="none"/>
          <w:u w:val="single"/>
          <w:lang w:val="en-US" w:eastAsia="zh-CN"/>
        </w:rPr>
        <w:t>3</w:t>
      </w:r>
      <w:r>
        <w:rPr>
          <w:rFonts w:hint="eastAsia" w:ascii="宋体" w:hAnsi="宋体" w:eastAsia="宋体" w:cs="宋体"/>
          <w:bCs/>
          <w:color w:val="auto"/>
          <w:highlight w:val="none"/>
          <w:u w:val="single"/>
        </w:rPr>
        <w:t>日9时00分，</w:t>
      </w:r>
      <w:r>
        <w:rPr>
          <w:rFonts w:hint="eastAsia" w:ascii="宋体" w:hAnsi="宋体" w:eastAsia="宋体" w:cs="宋体"/>
          <w:bCs/>
          <w:color w:val="auto"/>
          <w:highlight w:val="none"/>
        </w:rPr>
        <w:t>地点为</w:t>
      </w:r>
      <w:r>
        <w:rPr>
          <w:rFonts w:hint="eastAsia" w:ascii="宋体" w:hAnsi="宋体" w:eastAsia="宋体" w:cs="宋体"/>
          <w:bCs/>
          <w:color w:val="auto"/>
          <w:highlight w:val="none"/>
          <w:u w:val="single"/>
        </w:rPr>
        <w:t xml:space="preserve"> 杭州市古墩路701号紫金广场A座15楼1501会议室。</w:t>
      </w:r>
    </w:p>
    <w:p>
      <w:pPr>
        <w:spacing w:line="40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十一、在线投标响应（电子投标）说明</w:t>
      </w:r>
    </w:p>
    <w:p>
      <w:pPr>
        <w:spacing w:line="400" w:lineRule="exact"/>
        <w:ind w:firstLine="424" w:firstLineChars="17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w:t>
      </w:r>
      <w:r>
        <w:rPr>
          <w:rFonts w:hint="eastAsia" w:ascii="宋体" w:hAnsi="宋体" w:eastAsia="宋体" w:cs="宋体"/>
          <w:b/>
          <w:color w:val="auto"/>
          <w:sz w:val="24"/>
          <w:highlight w:val="none"/>
          <w:u w:val="single"/>
        </w:rPr>
        <w:t>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r>
        <w:rPr>
          <w:rFonts w:hint="eastAsia" w:ascii="宋体" w:hAnsi="宋体" w:eastAsia="宋体" w:cs="宋体"/>
          <w:b/>
          <w:color w:val="auto"/>
          <w:sz w:val="24"/>
          <w:highlight w:val="none"/>
        </w:rPr>
        <w:t>。</w:t>
      </w:r>
    </w:p>
    <w:p>
      <w:pPr>
        <w:spacing w:line="400" w:lineRule="exact"/>
        <w:ind w:firstLine="424" w:firstLineChars="176"/>
        <w:rPr>
          <w:rFonts w:hint="eastAsia" w:ascii="宋体" w:hAnsi="宋体" w:eastAsia="宋体" w:cs="宋体"/>
          <w:b/>
          <w:color w:val="auto"/>
          <w:sz w:val="24"/>
          <w:highlight w:val="none"/>
          <w:u w:val="single"/>
        </w:rPr>
      </w:pPr>
      <w:r>
        <w:rPr>
          <w:rFonts w:hint="eastAsia" w:ascii="宋体" w:hAnsi="宋体" w:eastAsia="宋体" w:cs="宋体"/>
          <w:b/>
          <w:bCs/>
          <w:color w:val="auto"/>
          <w:sz w:val="24"/>
          <w:highlight w:val="none"/>
        </w:rPr>
        <w:t>“政采云电子交易客户端”请自行前往“浙江政府采购网-下载专区-电子交易客户端”进行下载；电子投标具体操作流程详见本公告附件《供应商项目采购-电子招投标操作指南》；</w:t>
      </w:r>
      <w:r>
        <w:rPr>
          <w:rFonts w:hint="eastAsia" w:ascii="宋体" w:hAnsi="宋体" w:eastAsia="宋体" w:cs="宋体"/>
          <w:b/>
          <w:color w:val="auto"/>
          <w:sz w:val="24"/>
          <w:highlight w:val="none"/>
        </w:rPr>
        <w:t>通过“政府采购云平台”参与在线投标时如遇平台技术问题详询400-881-7190。</w:t>
      </w:r>
    </w:p>
    <w:p>
      <w:pPr>
        <w:spacing w:line="400" w:lineRule="exact"/>
        <w:ind w:firstLine="424" w:firstLineChars="176"/>
        <w:rPr>
          <w:rFonts w:hint="eastAsia" w:ascii="宋体" w:hAnsi="宋体" w:eastAsia="宋体" w:cs="宋体"/>
          <w:b/>
          <w:bCs/>
          <w:color w:val="auto"/>
          <w:sz w:val="24"/>
          <w:highlight w:val="none"/>
        </w:rPr>
      </w:pPr>
      <w:r>
        <w:rPr>
          <w:rFonts w:hint="eastAsia" w:ascii="宋体" w:hAnsi="宋体" w:eastAsia="宋体" w:cs="宋体"/>
          <w:b/>
          <w:color w:val="auto"/>
          <w:sz w:val="24"/>
          <w:highlight w:val="none"/>
        </w:rPr>
        <w:t>2、</w:t>
      </w:r>
      <w:r>
        <w:rPr>
          <w:rFonts w:hint="eastAsia" w:ascii="宋体" w:hAnsi="宋体" w:eastAsia="宋体" w:cs="宋体"/>
          <w:b/>
          <w:color w:val="auto"/>
          <w:sz w:val="24"/>
          <w:highlight w:val="none"/>
          <w:u w:val="single"/>
        </w:rPr>
        <w:t>为确保网上操作合法、有效和安全，投标供应商应当在投标截止时间前完成在“政府采购云平台”的身份认证，确保在电子投标过程中能够对相关数据电文进行加密和使用电子签章</w:t>
      </w:r>
      <w:r>
        <w:rPr>
          <w:rFonts w:hint="eastAsia" w:ascii="宋体" w:hAnsi="宋体" w:eastAsia="宋体" w:cs="宋体"/>
          <w:b/>
          <w:color w:val="auto"/>
          <w:sz w:val="24"/>
          <w:highlight w:val="none"/>
        </w:rPr>
        <w:t>。</w:t>
      </w:r>
      <w:r>
        <w:rPr>
          <w:rFonts w:hint="eastAsia" w:ascii="宋体" w:hAnsi="宋体" w:eastAsia="宋体" w:cs="宋体"/>
          <w:b/>
          <w:bCs/>
          <w:color w:val="auto"/>
          <w:sz w:val="24"/>
          <w:highlight w:val="none"/>
        </w:rPr>
        <w:t>使用“政采云电子交易客户端”需要提前申领CA数字证书，申领流程请自行前往“浙江政府采购网-下载专区-电子交易客户端-</w:t>
      </w: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"http://www.zjzfcg.gov.cn/bidClientTemplate/2019-05-27/12945.html" \t "_blank" \o "CA驱动和申领流程" </w:instrText>
      </w:r>
      <w:r>
        <w:rPr>
          <w:rFonts w:hint="eastAsia" w:ascii="宋体" w:hAnsi="宋体" w:eastAsia="宋体" w:cs="宋体"/>
          <w:color w:val="auto"/>
          <w:sz w:val="24"/>
          <w:highlight w:val="none"/>
        </w:rPr>
        <w:fldChar w:fldCharType="separate"/>
      </w:r>
      <w:r>
        <w:rPr>
          <w:rFonts w:hint="eastAsia" w:ascii="宋体" w:hAnsi="宋体" w:eastAsia="宋体" w:cs="宋体"/>
          <w:b/>
          <w:bCs/>
          <w:color w:val="auto"/>
          <w:sz w:val="24"/>
          <w:highlight w:val="none"/>
        </w:rPr>
        <w:t>CA驱动和申领流程</w:t>
      </w:r>
      <w:r>
        <w:rPr>
          <w:rFonts w:hint="eastAsia" w:ascii="宋体" w:hAnsi="宋体" w:eastAsia="宋体" w:cs="宋体"/>
          <w:b/>
          <w:bCs/>
          <w:color w:val="auto"/>
          <w:sz w:val="24"/>
          <w:highlight w:val="none"/>
        </w:rPr>
        <w:fldChar w:fldCharType="end"/>
      </w:r>
      <w:r>
        <w:rPr>
          <w:rFonts w:hint="eastAsia" w:ascii="宋体" w:hAnsi="宋体" w:eastAsia="宋体" w:cs="宋体"/>
          <w:b/>
          <w:bCs/>
          <w:color w:val="auto"/>
          <w:sz w:val="24"/>
          <w:highlight w:val="none"/>
        </w:rPr>
        <w:t>”进行查阅；</w:t>
      </w:r>
    </w:p>
    <w:p>
      <w:pPr>
        <w:spacing w:line="400" w:lineRule="exact"/>
        <w:ind w:firstLine="424" w:firstLineChars="176"/>
        <w:rPr>
          <w:rFonts w:hint="eastAsia" w:ascii="宋体" w:hAnsi="宋体" w:eastAsia="宋体" w:cs="宋体"/>
          <w:color w:val="auto"/>
          <w:sz w:val="24"/>
          <w:highlight w:val="none"/>
        </w:rPr>
      </w:pPr>
      <w:r>
        <w:rPr>
          <w:rFonts w:hint="eastAsia" w:ascii="宋体" w:hAnsi="宋体" w:eastAsia="宋体" w:cs="宋体"/>
          <w:b/>
          <w:color w:val="auto"/>
          <w:sz w:val="24"/>
          <w:highlight w:val="none"/>
        </w:rPr>
        <w:t>3、</w:t>
      </w:r>
      <w:r>
        <w:rPr>
          <w:rFonts w:hint="eastAsia" w:ascii="宋体" w:hAnsi="宋体" w:eastAsia="宋体" w:cs="宋体"/>
          <w:b/>
          <w:color w:val="auto"/>
          <w:sz w:val="24"/>
          <w:highlight w:val="none"/>
          <w:u w:val="single"/>
        </w:rPr>
        <w:t>投标供应商应当在投标截止时间前，将生成的“电子加密投标文件”上传递交至“政府采购云平台”。投标截止时间以后上传递交的投标文件将被“政府采购云平台”拒收。</w:t>
      </w:r>
    </w:p>
    <w:p>
      <w:pPr>
        <w:spacing w:line="400" w:lineRule="exact"/>
        <w:ind w:firstLine="424" w:firstLineChars="17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4、</w:t>
      </w:r>
      <w:r>
        <w:rPr>
          <w:rFonts w:hint="eastAsia" w:ascii="宋体" w:hAnsi="宋体" w:eastAsia="宋体" w:cs="宋体"/>
          <w:b/>
          <w:color w:val="auto"/>
          <w:sz w:val="24"/>
          <w:highlight w:val="none"/>
          <w:u w:val="single"/>
        </w:rPr>
        <w:t>投标供应商在“政府采购云平台”完成“电子加密投标文件”的上传递交后，还可以（EMS邮寄形式）在投标截止时间前递交以介质（U盘）存储的数据电文形式的“备份投标文件”，“备份投标文件”应当密封包装并在包装上标注投标项目名称、投标单位名称并加盖公章</w:t>
      </w:r>
      <w:r>
        <w:rPr>
          <w:rFonts w:hint="eastAsia" w:ascii="宋体" w:hAnsi="宋体" w:eastAsia="宋体" w:cs="宋体"/>
          <w:b/>
          <w:color w:val="auto"/>
          <w:sz w:val="24"/>
          <w:highlight w:val="none"/>
        </w:rPr>
        <w:t>。</w:t>
      </w:r>
    </w:p>
    <w:p>
      <w:pPr>
        <w:spacing w:line="400" w:lineRule="exact"/>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5、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widowControl/>
        <w:adjustRightInd w:val="0"/>
        <w:snapToGrid w:val="0"/>
        <w:spacing w:line="40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十二、质疑和投诉：</w:t>
      </w:r>
    </w:p>
    <w:p>
      <w:pPr>
        <w:widowControl/>
        <w:adjustRightInd w:val="0"/>
        <w:snapToGrid w:val="0"/>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adjustRightInd w:val="0"/>
        <w:snapToGrid w:val="0"/>
        <w:spacing w:line="40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十三、其他：</w:t>
      </w:r>
    </w:p>
    <w:p>
      <w:pPr>
        <w:widowControl/>
        <w:adjustRightInd w:val="0"/>
        <w:snapToGrid w:val="0"/>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（1）招标公告期限：5个工作日；</w:t>
      </w:r>
    </w:p>
    <w:p>
      <w:pPr>
        <w:widowControl/>
        <w:adjustRightInd w:val="0"/>
        <w:snapToGrid w:val="0"/>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（2）未按招标公告要求获取招标文件的供应商参与本项目投标，将被拒绝；</w:t>
      </w:r>
    </w:p>
    <w:p>
      <w:pPr>
        <w:widowControl/>
        <w:adjustRightInd w:val="0"/>
        <w:snapToGrid w:val="0"/>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（3）潜在供应商可在浙江政府采购网（http://www.zjzfcg.gov.cn）进行免费注册，具体详见网站供应商注册要求；</w:t>
      </w:r>
    </w:p>
    <w:p>
      <w:pPr>
        <w:widowControl/>
        <w:adjustRightInd w:val="0"/>
        <w:snapToGrid w:val="0"/>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（4）对符合财政扶持政策的中小企业（小型、微型）、监狱企业、残疾人福利性单位给予价格优惠扶持；</w:t>
      </w:r>
    </w:p>
    <w:p>
      <w:pPr>
        <w:widowControl/>
        <w:adjustRightInd w:val="0"/>
        <w:snapToGrid w:val="0"/>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（5）采购信息发布媒介：浙江政府采购网；</w:t>
      </w:r>
    </w:p>
    <w:p>
      <w:pPr>
        <w:pStyle w:val="11"/>
        <w:snapToGrid w:val="0"/>
        <w:spacing w:line="400" w:lineRule="exact"/>
        <w:contextualSpacing/>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十四、联系方式：</w:t>
      </w:r>
    </w:p>
    <w:p>
      <w:pPr>
        <w:keepNext w:val="0"/>
        <w:keepLines w:val="0"/>
        <w:pageBreakBefore w:val="0"/>
        <w:widowControl/>
        <w:kinsoku/>
        <w:wordWrap/>
        <w:overflowPunct/>
        <w:topLinePunct w:val="0"/>
        <w:autoSpaceDE/>
        <w:autoSpaceDN/>
        <w:bidi w:val="0"/>
        <w:adjustRightInd/>
        <w:snapToGrid/>
        <w:spacing w:line="420" w:lineRule="exact"/>
        <w:ind w:firstLine="540"/>
        <w:jc w:val="left"/>
        <w:textAlignment w:val="auto"/>
        <w:rPr>
          <w:rFonts w:hint="eastAsia" w:ascii="宋体" w:hAnsi="宋体" w:eastAsia="宋体" w:cs="宋体"/>
          <w:bCs/>
          <w:color w:val="auto"/>
          <w:sz w:val="24"/>
          <w:highlight w:val="none"/>
        </w:rPr>
      </w:pPr>
      <w:bookmarkStart w:id="1" w:name="B30_其他事项"/>
      <w:bookmarkEnd w:id="1"/>
      <w:r>
        <w:rPr>
          <w:rFonts w:hint="eastAsia" w:ascii="宋体" w:hAnsi="宋体" w:eastAsia="宋体" w:cs="宋体"/>
          <w:bCs/>
          <w:color w:val="auto"/>
          <w:sz w:val="24"/>
          <w:highlight w:val="none"/>
        </w:rPr>
        <w:t>1．采购代理机构名称：浙江省成套工程有限公司（盖章）</w:t>
      </w:r>
    </w:p>
    <w:p>
      <w:pPr>
        <w:keepNext w:val="0"/>
        <w:keepLines w:val="0"/>
        <w:pageBreakBefore w:val="0"/>
        <w:widowControl/>
        <w:kinsoku/>
        <w:wordWrap/>
        <w:overflowPunct/>
        <w:topLinePunct w:val="0"/>
        <w:autoSpaceDE/>
        <w:autoSpaceDN/>
        <w:bidi w:val="0"/>
        <w:adjustRightInd/>
        <w:snapToGrid/>
        <w:spacing w:line="420" w:lineRule="exact"/>
        <w:ind w:firstLine="540"/>
        <w:jc w:val="left"/>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联系人：王超</w:t>
      </w:r>
    </w:p>
    <w:p>
      <w:pPr>
        <w:keepNext w:val="0"/>
        <w:keepLines w:val="0"/>
        <w:pageBreakBefore w:val="0"/>
        <w:widowControl/>
        <w:kinsoku/>
        <w:wordWrap/>
        <w:overflowPunct/>
        <w:topLinePunct w:val="0"/>
        <w:autoSpaceDE/>
        <w:autoSpaceDN/>
        <w:bidi w:val="0"/>
        <w:adjustRightInd/>
        <w:snapToGrid/>
        <w:spacing w:line="420" w:lineRule="exact"/>
        <w:ind w:firstLine="540"/>
        <w:jc w:val="left"/>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联系电话：15268124902</w:t>
      </w:r>
    </w:p>
    <w:p>
      <w:pPr>
        <w:keepNext w:val="0"/>
        <w:keepLines w:val="0"/>
        <w:pageBreakBefore w:val="0"/>
        <w:widowControl/>
        <w:kinsoku/>
        <w:wordWrap/>
        <w:overflowPunct/>
        <w:topLinePunct w:val="0"/>
        <w:autoSpaceDE/>
        <w:autoSpaceDN/>
        <w:bidi w:val="0"/>
        <w:adjustRightInd/>
        <w:snapToGrid/>
        <w:spacing w:line="420" w:lineRule="exact"/>
        <w:ind w:firstLine="540"/>
        <w:jc w:val="left"/>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地址：浙江省杭州市古墩路701号紫金广场A座1211室</w:t>
      </w:r>
    </w:p>
    <w:p>
      <w:pPr>
        <w:keepNext w:val="0"/>
        <w:keepLines w:val="0"/>
        <w:pageBreakBefore w:val="0"/>
        <w:widowControl/>
        <w:kinsoku/>
        <w:wordWrap/>
        <w:overflowPunct/>
        <w:topLinePunct w:val="0"/>
        <w:autoSpaceDE/>
        <w:autoSpaceDN/>
        <w:bidi w:val="0"/>
        <w:adjustRightInd/>
        <w:snapToGrid/>
        <w:spacing w:line="420" w:lineRule="exact"/>
        <w:ind w:firstLine="720" w:firstLineChars="300"/>
        <w:jc w:val="left"/>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采购代理机构质疑联系人：唐中宝</w:t>
      </w:r>
    </w:p>
    <w:p>
      <w:pPr>
        <w:keepNext w:val="0"/>
        <w:keepLines w:val="0"/>
        <w:pageBreakBefore w:val="0"/>
        <w:widowControl/>
        <w:kinsoku/>
        <w:wordWrap/>
        <w:overflowPunct/>
        <w:topLinePunct w:val="0"/>
        <w:autoSpaceDE/>
        <w:autoSpaceDN/>
        <w:bidi w:val="0"/>
        <w:adjustRightInd/>
        <w:snapToGrid/>
        <w:spacing w:line="420" w:lineRule="exact"/>
        <w:ind w:firstLine="720" w:firstLineChars="300"/>
        <w:jc w:val="left"/>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联系电话：13757153226</w:t>
      </w:r>
    </w:p>
    <w:p>
      <w:pPr>
        <w:keepNext w:val="0"/>
        <w:keepLines w:val="0"/>
        <w:pageBreakBefore w:val="0"/>
        <w:widowControl/>
        <w:kinsoku/>
        <w:wordWrap/>
        <w:overflowPunct/>
        <w:topLinePunct w:val="0"/>
        <w:autoSpaceDE/>
        <w:autoSpaceDN/>
        <w:bidi w:val="0"/>
        <w:adjustRightInd/>
        <w:snapToGrid/>
        <w:spacing w:line="420" w:lineRule="exact"/>
        <w:ind w:firstLine="720" w:firstLineChars="300"/>
        <w:jc w:val="left"/>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质疑人邮箱：</w:t>
      </w:r>
      <w:r>
        <w:rPr>
          <w:rFonts w:hint="eastAsia" w:ascii="宋体" w:hAnsi="宋体" w:eastAsia="宋体" w:cs="宋体"/>
          <w:bCs/>
          <w:color w:val="auto"/>
          <w:sz w:val="24"/>
          <w:highlight w:val="none"/>
          <w:lang w:val="en-US" w:eastAsia="zh-CN"/>
        </w:rPr>
        <w:t>1104640552</w:t>
      </w:r>
      <w:r>
        <w:rPr>
          <w:rFonts w:hint="eastAsia" w:ascii="宋体" w:hAnsi="宋体" w:eastAsia="宋体" w:cs="宋体"/>
          <w:bCs/>
          <w:color w:val="auto"/>
          <w:sz w:val="24"/>
          <w:highlight w:val="none"/>
        </w:rPr>
        <w:t>@qq.com</w:t>
      </w:r>
    </w:p>
    <w:p>
      <w:pPr>
        <w:keepNext w:val="0"/>
        <w:keepLines w:val="0"/>
        <w:pageBreakBefore w:val="0"/>
        <w:widowControl/>
        <w:kinsoku/>
        <w:wordWrap/>
        <w:overflowPunct/>
        <w:topLinePunct w:val="0"/>
        <w:autoSpaceDE/>
        <w:autoSpaceDN/>
        <w:bidi w:val="0"/>
        <w:adjustRightInd/>
        <w:snapToGrid/>
        <w:spacing w:line="420" w:lineRule="exact"/>
        <w:ind w:firstLine="540"/>
        <w:jc w:val="left"/>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2．采购人名称：杭州市拱墅区城市管理局（盖章）</w:t>
      </w:r>
    </w:p>
    <w:p>
      <w:pPr>
        <w:keepNext w:val="0"/>
        <w:keepLines w:val="0"/>
        <w:pageBreakBefore w:val="0"/>
        <w:widowControl/>
        <w:kinsoku/>
        <w:wordWrap/>
        <w:overflowPunct/>
        <w:topLinePunct w:val="0"/>
        <w:autoSpaceDE/>
        <w:autoSpaceDN/>
        <w:bidi w:val="0"/>
        <w:adjustRightInd/>
        <w:snapToGrid/>
        <w:spacing w:line="420" w:lineRule="exact"/>
        <w:ind w:firstLine="540"/>
        <w:jc w:val="left"/>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联系人：韩工</w:t>
      </w:r>
    </w:p>
    <w:p>
      <w:pPr>
        <w:keepNext w:val="0"/>
        <w:keepLines w:val="0"/>
        <w:pageBreakBefore w:val="0"/>
        <w:widowControl/>
        <w:kinsoku/>
        <w:wordWrap/>
        <w:overflowPunct/>
        <w:topLinePunct w:val="0"/>
        <w:autoSpaceDE/>
        <w:autoSpaceDN/>
        <w:bidi w:val="0"/>
        <w:adjustRightInd/>
        <w:snapToGrid/>
        <w:spacing w:line="420" w:lineRule="exact"/>
        <w:ind w:firstLine="540"/>
        <w:jc w:val="left"/>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联系电话：0571-87317198</w:t>
      </w:r>
    </w:p>
    <w:p>
      <w:pPr>
        <w:keepNext w:val="0"/>
        <w:keepLines w:val="0"/>
        <w:pageBreakBefore w:val="0"/>
        <w:widowControl/>
        <w:kinsoku/>
        <w:wordWrap/>
        <w:overflowPunct/>
        <w:topLinePunct w:val="0"/>
        <w:autoSpaceDE/>
        <w:autoSpaceDN/>
        <w:bidi w:val="0"/>
        <w:adjustRightInd/>
        <w:snapToGrid/>
        <w:spacing w:line="420" w:lineRule="exact"/>
        <w:ind w:firstLine="540"/>
        <w:jc w:val="left"/>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地址：杭州市拱墅区景苑路32号</w:t>
      </w:r>
    </w:p>
    <w:p>
      <w:pPr>
        <w:keepNext w:val="0"/>
        <w:keepLines w:val="0"/>
        <w:pageBreakBefore w:val="0"/>
        <w:widowControl/>
        <w:kinsoku/>
        <w:wordWrap/>
        <w:overflowPunct/>
        <w:topLinePunct w:val="0"/>
        <w:autoSpaceDE/>
        <w:autoSpaceDN/>
        <w:bidi w:val="0"/>
        <w:adjustRightInd/>
        <w:snapToGrid/>
        <w:spacing w:line="420" w:lineRule="exact"/>
        <w:ind w:firstLine="720" w:firstLineChars="300"/>
        <w:jc w:val="left"/>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rPr>
        <w:t>采购人质疑联系人：</w:t>
      </w:r>
      <w:r>
        <w:rPr>
          <w:rFonts w:hint="eastAsia" w:ascii="宋体" w:hAnsi="宋体" w:eastAsia="宋体" w:cs="宋体"/>
          <w:bCs/>
          <w:color w:val="auto"/>
          <w:sz w:val="24"/>
          <w:highlight w:val="none"/>
          <w:lang w:eastAsia="zh-CN"/>
        </w:rPr>
        <w:t>刘科</w:t>
      </w:r>
    </w:p>
    <w:p>
      <w:pPr>
        <w:keepNext w:val="0"/>
        <w:keepLines w:val="0"/>
        <w:pageBreakBefore w:val="0"/>
        <w:widowControl/>
        <w:kinsoku/>
        <w:wordWrap/>
        <w:overflowPunct/>
        <w:topLinePunct w:val="0"/>
        <w:autoSpaceDE/>
        <w:autoSpaceDN/>
        <w:bidi w:val="0"/>
        <w:adjustRightInd/>
        <w:snapToGrid/>
        <w:spacing w:line="420" w:lineRule="exact"/>
        <w:ind w:firstLine="720" w:firstLineChars="300"/>
        <w:jc w:val="left"/>
        <w:textAlignment w:val="auto"/>
        <w:rPr>
          <w:rFonts w:hint="default" w:ascii="宋体" w:hAnsi="宋体" w:eastAsia="宋体" w:cs="宋体"/>
          <w:bCs/>
          <w:color w:val="auto"/>
          <w:sz w:val="24"/>
          <w:highlight w:val="none"/>
          <w:lang w:val="en-US" w:eastAsia="zh-CN"/>
        </w:rPr>
      </w:pPr>
      <w:r>
        <w:rPr>
          <w:rFonts w:hint="eastAsia" w:ascii="宋体" w:hAnsi="宋体" w:eastAsia="宋体" w:cs="宋体"/>
          <w:bCs/>
          <w:color w:val="auto"/>
          <w:sz w:val="24"/>
          <w:highlight w:val="none"/>
        </w:rPr>
        <w:t>联系电话：0571-</w:t>
      </w:r>
      <w:r>
        <w:rPr>
          <w:rFonts w:hint="eastAsia" w:ascii="宋体" w:hAnsi="宋体" w:eastAsia="宋体" w:cs="宋体"/>
          <w:bCs/>
          <w:color w:val="auto"/>
          <w:sz w:val="24"/>
          <w:highlight w:val="none"/>
          <w:lang w:val="en-US" w:eastAsia="zh-CN"/>
        </w:rPr>
        <w:t>88809799</w:t>
      </w:r>
    </w:p>
    <w:p>
      <w:pPr>
        <w:keepNext w:val="0"/>
        <w:keepLines w:val="0"/>
        <w:pageBreakBefore w:val="0"/>
        <w:widowControl/>
        <w:kinsoku/>
        <w:wordWrap/>
        <w:overflowPunct/>
        <w:topLinePunct w:val="0"/>
        <w:autoSpaceDE/>
        <w:autoSpaceDN/>
        <w:bidi w:val="0"/>
        <w:adjustRightInd/>
        <w:snapToGrid/>
        <w:spacing w:line="420" w:lineRule="exact"/>
        <w:ind w:firstLine="540"/>
        <w:jc w:val="left"/>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3．同级政府采购监督管理部门：杭州市拱墅区财政局政府采购监管科</w:t>
      </w:r>
    </w:p>
    <w:p>
      <w:pPr>
        <w:keepNext w:val="0"/>
        <w:keepLines w:val="0"/>
        <w:pageBreakBefore w:val="0"/>
        <w:widowControl/>
        <w:kinsoku/>
        <w:wordWrap/>
        <w:overflowPunct/>
        <w:topLinePunct w:val="0"/>
        <w:autoSpaceDE/>
        <w:autoSpaceDN/>
        <w:bidi w:val="0"/>
        <w:adjustRightInd/>
        <w:snapToGrid/>
        <w:spacing w:line="420" w:lineRule="exact"/>
        <w:ind w:firstLine="540"/>
        <w:jc w:val="left"/>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联系人：张老师</w:t>
      </w:r>
    </w:p>
    <w:p>
      <w:pPr>
        <w:keepNext w:val="0"/>
        <w:keepLines w:val="0"/>
        <w:pageBreakBefore w:val="0"/>
        <w:widowControl/>
        <w:kinsoku/>
        <w:wordWrap/>
        <w:overflowPunct/>
        <w:topLinePunct w:val="0"/>
        <w:autoSpaceDE/>
        <w:autoSpaceDN/>
        <w:bidi w:val="0"/>
        <w:adjustRightInd/>
        <w:snapToGrid/>
        <w:spacing w:line="420" w:lineRule="exact"/>
        <w:ind w:firstLine="540"/>
        <w:jc w:val="left"/>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监督投诉电话：0571-88355301</w:t>
      </w:r>
    </w:p>
    <w:p>
      <w:pPr>
        <w:keepNext w:val="0"/>
        <w:keepLines w:val="0"/>
        <w:pageBreakBefore w:val="0"/>
        <w:widowControl/>
        <w:kinsoku/>
        <w:wordWrap/>
        <w:overflowPunct/>
        <w:topLinePunct w:val="0"/>
        <w:autoSpaceDE/>
        <w:autoSpaceDN/>
        <w:bidi w:val="0"/>
        <w:adjustRightInd/>
        <w:snapToGrid/>
        <w:spacing w:line="420" w:lineRule="exact"/>
        <w:ind w:firstLine="540"/>
        <w:jc w:val="left"/>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传真：0571-88355301</w:t>
      </w:r>
    </w:p>
    <w:p>
      <w:pPr>
        <w:keepNext w:val="0"/>
        <w:keepLines w:val="0"/>
        <w:pageBreakBefore w:val="0"/>
        <w:widowControl/>
        <w:kinsoku/>
        <w:wordWrap/>
        <w:overflowPunct/>
        <w:topLinePunct w:val="0"/>
        <w:autoSpaceDE/>
        <w:autoSpaceDN/>
        <w:bidi w:val="0"/>
        <w:adjustRightInd/>
        <w:snapToGrid/>
        <w:spacing w:before="80" w:after="80" w:line="420" w:lineRule="exact"/>
        <w:jc w:val="left"/>
        <w:textAlignment w:val="auto"/>
        <w:rPr>
          <w:rFonts w:hint="eastAsia" w:ascii="宋体" w:hAnsi="宋体" w:eastAsia="宋体" w:cs="宋体"/>
          <w:b/>
          <w:color w:val="auto"/>
          <w:kern w:val="0"/>
          <w:sz w:val="24"/>
          <w:highlight w:val="none"/>
        </w:rPr>
      </w:pPr>
      <w:r>
        <w:rPr>
          <w:rFonts w:hint="eastAsia" w:ascii="宋体" w:hAnsi="宋体" w:eastAsia="宋体" w:cs="宋体"/>
          <w:bCs/>
          <w:color w:val="auto"/>
          <w:sz w:val="24"/>
          <w:highlight w:val="none"/>
        </w:rPr>
        <w:t>     地址：杭州市拱墅区霞湾巷杭办大厦2号楼6楼</w:t>
      </w:r>
    </w:p>
    <w:p>
      <w:pPr>
        <w:autoSpaceDE w:val="0"/>
        <w:autoSpaceDN w:val="0"/>
        <w:spacing w:line="380" w:lineRule="exact"/>
        <w:jc w:val="right"/>
        <w:textAlignment w:val="bottom"/>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pacing w:line="36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br w:type="page"/>
      </w:r>
      <w:r>
        <w:rPr>
          <w:rFonts w:hint="eastAsia" w:ascii="宋体" w:hAnsi="宋体" w:eastAsia="宋体" w:cs="宋体"/>
          <w:b/>
          <w:color w:val="auto"/>
          <w:sz w:val="36"/>
          <w:szCs w:val="36"/>
          <w:highlight w:val="none"/>
        </w:rPr>
        <w:t>第二章、编制和提交投标文件须知</w:t>
      </w:r>
    </w:p>
    <w:p>
      <w:pPr>
        <w:spacing w:line="312" w:lineRule="auto"/>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前附表</w:t>
      </w:r>
    </w:p>
    <w:tbl>
      <w:tblPr>
        <w:tblStyle w:val="22"/>
        <w:tblW w:w="534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8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 w:type="pct"/>
            <w:noWrap w:val="0"/>
            <w:vAlign w:val="top"/>
          </w:tcPr>
          <w:p>
            <w:pPr>
              <w:pStyle w:val="11"/>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条款</w:t>
            </w:r>
          </w:p>
        </w:tc>
        <w:tc>
          <w:tcPr>
            <w:tcW w:w="4533" w:type="pct"/>
            <w:noWrap w:val="0"/>
            <w:vAlign w:val="center"/>
          </w:tcPr>
          <w:p>
            <w:pPr>
              <w:pStyle w:val="11"/>
              <w:spacing w:line="360" w:lineRule="auto"/>
              <w:ind w:firstLine="3120" w:firstLineChars="1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466" w:type="pct"/>
            <w:noWrap w:val="0"/>
            <w:vAlign w:val="center"/>
          </w:tcPr>
          <w:p>
            <w:pPr>
              <w:pStyle w:val="11"/>
              <w:spacing w:line="48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4533" w:type="pct"/>
            <w:noWrap w:val="0"/>
            <w:vAlign w:val="center"/>
          </w:tcPr>
          <w:p>
            <w:pPr>
              <w:pStyle w:val="74"/>
              <w:spacing w:line="400" w:lineRule="exact"/>
              <w:ind w:left="0" w:firstLine="0"/>
              <w:rPr>
                <w:rFonts w:hint="eastAsia" w:ascii="宋体" w:hAnsi="宋体" w:eastAsia="宋体" w:cs="宋体"/>
                <w:color w:val="auto"/>
                <w:kern w:val="0"/>
                <w:szCs w:val="24"/>
                <w:highlight w:val="none"/>
              </w:rPr>
            </w:pPr>
            <w:r>
              <w:rPr>
                <w:rFonts w:hint="eastAsia" w:ascii="宋体" w:hAnsi="宋体" w:eastAsia="宋体" w:cs="宋体"/>
                <w:b/>
                <w:color w:val="auto"/>
                <w:szCs w:val="24"/>
                <w:highlight w:val="none"/>
              </w:rPr>
              <w:t>项目名称：</w:t>
            </w:r>
            <w:r>
              <w:rPr>
                <w:rFonts w:hint="eastAsia" w:ascii="宋体" w:hAnsi="宋体" w:eastAsia="宋体" w:cs="宋体"/>
                <w:color w:val="auto"/>
                <w:kern w:val="0"/>
                <w:szCs w:val="24"/>
                <w:highlight w:val="none"/>
              </w:rPr>
              <w:t>拱墅区清除非法涂写招贴广告作业项目</w:t>
            </w:r>
          </w:p>
          <w:p>
            <w:pPr>
              <w:pStyle w:val="74"/>
              <w:spacing w:after="0" w:line="380" w:lineRule="exact"/>
              <w:ind w:left="0" w:firstLine="0"/>
              <w:rPr>
                <w:rFonts w:hint="eastAsia" w:ascii="宋体" w:hAnsi="宋体" w:eastAsia="宋体" w:cs="宋体"/>
                <w:color w:val="auto"/>
                <w:szCs w:val="24"/>
                <w:highlight w:val="none"/>
              </w:rPr>
            </w:pPr>
            <w:r>
              <w:rPr>
                <w:rFonts w:hint="eastAsia" w:ascii="宋体" w:hAnsi="宋体" w:eastAsia="宋体" w:cs="宋体"/>
                <w:b/>
                <w:bCs/>
                <w:color w:val="auto"/>
                <w:szCs w:val="24"/>
                <w:highlight w:val="none"/>
                <w:lang w:val="zh-CN"/>
              </w:rPr>
              <w:t>项目概述：</w:t>
            </w:r>
            <w:r>
              <w:rPr>
                <w:rFonts w:hint="eastAsia" w:ascii="宋体" w:hAnsi="宋体" w:eastAsia="宋体" w:cs="宋体"/>
                <w:color w:val="auto"/>
                <w:szCs w:val="24"/>
                <w:highlight w:val="none"/>
              </w:rPr>
              <w:t>根据杭州市人民政府办公厅《转发市城管办财政局关于杭州市区非法涂写招贴广告集中整治工作方案的通知》（杭政办函[2006]226号）和《关于在主城区范围推广西湖区实行非法涂写招贴广告整治市场化运作的通知》（杭城管景发[2006]120号）及《转发区城管办区财政局关于拱墅区非法涂写招贴广告清除工作市场化运作方案的通知》（拱政办发[2006]83号）精神，为进一步提高非法涂写招贴广告清除的质量，提升城区环境品位，招标单位决定对清除非法涂写招贴广告作业实行招标。</w:t>
            </w:r>
          </w:p>
          <w:p>
            <w:pPr>
              <w:pStyle w:val="74"/>
              <w:spacing w:after="0" w:line="380" w:lineRule="exact"/>
              <w:ind w:left="0" w:firstLine="0"/>
              <w:jc w:val="left"/>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作业地段、数量及每个标项预算控制金额：</w:t>
            </w:r>
          </w:p>
          <w:tbl>
            <w:tblPr>
              <w:tblStyle w:val="22"/>
              <w:tblW w:w="8248" w:type="dxa"/>
              <w:jc w:val="center"/>
              <w:tblLayout w:type="fixed"/>
              <w:tblCellMar>
                <w:top w:w="0" w:type="dxa"/>
                <w:left w:w="0" w:type="dxa"/>
                <w:bottom w:w="0" w:type="dxa"/>
                <w:right w:w="0" w:type="dxa"/>
              </w:tblCellMar>
            </w:tblPr>
            <w:tblGrid>
              <w:gridCol w:w="913"/>
              <w:gridCol w:w="4925"/>
              <w:gridCol w:w="1035"/>
              <w:gridCol w:w="1375"/>
            </w:tblGrid>
            <w:tr>
              <w:tblPrEx>
                <w:tblCellMar>
                  <w:top w:w="0" w:type="dxa"/>
                  <w:left w:w="0" w:type="dxa"/>
                  <w:bottom w:w="0" w:type="dxa"/>
                  <w:right w:w="0" w:type="dxa"/>
                </w:tblCellMar>
              </w:tblPrEx>
              <w:trPr>
                <w:trHeight w:val="90" w:hRule="atLeast"/>
                <w:jc w:val="center"/>
              </w:trPr>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标段</w:t>
                  </w:r>
                </w:p>
              </w:tc>
              <w:tc>
                <w:tcPr>
                  <w:tcW w:w="4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标项名称</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道路长度（米）</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预算金额</w:t>
                  </w:r>
                </w:p>
                <w:p>
                  <w:pPr>
                    <w:widowControl/>
                    <w:jc w:val="center"/>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（最高限价）</w:t>
                  </w:r>
                </w:p>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（元）</w:t>
                  </w:r>
                </w:p>
              </w:tc>
            </w:tr>
            <w:tr>
              <w:tblPrEx>
                <w:tblCellMar>
                  <w:top w:w="0" w:type="dxa"/>
                  <w:left w:w="0" w:type="dxa"/>
                  <w:bottom w:w="0" w:type="dxa"/>
                  <w:right w:w="0" w:type="dxa"/>
                </w:tblCellMar>
              </w:tblPrEx>
              <w:trPr>
                <w:trHeight w:val="540" w:hRule="atLeast"/>
                <w:jc w:val="center"/>
              </w:trPr>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w:t>
                  </w:r>
                </w:p>
              </w:tc>
              <w:tc>
                <w:tcPr>
                  <w:tcW w:w="4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拱墅区米市巷街道非法涂写招贴广告清除范围</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19710</w:t>
                  </w: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215000</w:t>
                  </w:r>
                </w:p>
              </w:tc>
            </w:tr>
            <w:tr>
              <w:tblPrEx>
                <w:tblCellMar>
                  <w:top w:w="0" w:type="dxa"/>
                  <w:left w:w="0" w:type="dxa"/>
                  <w:bottom w:w="0" w:type="dxa"/>
                  <w:right w:w="0" w:type="dxa"/>
                </w:tblCellMar>
              </w:tblPrEx>
              <w:trPr>
                <w:trHeight w:val="540" w:hRule="atLeast"/>
                <w:jc w:val="center"/>
              </w:trPr>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2</w:t>
                  </w:r>
                </w:p>
              </w:tc>
              <w:tc>
                <w:tcPr>
                  <w:tcW w:w="4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拱墅区湖墅街道非法涂写招贴广告清除范围</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24506</w:t>
                  </w: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229400</w:t>
                  </w:r>
                </w:p>
              </w:tc>
            </w:tr>
            <w:tr>
              <w:tblPrEx>
                <w:tblCellMar>
                  <w:top w:w="0" w:type="dxa"/>
                  <w:left w:w="0" w:type="dxa"/>
                  <w:bottom w:w="0" w:type="dxa"/>
                  <w:right w:w="0" w:type="dxa"/>
                </w:tblCellMar>
              </w:tblPrEx>
              <w:trPr>
                <w:trHeight w:val="540" w:hRule="atLeast"/>
                <w:jc w:val="center"/>
              </w:trPr>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3</w:t>
                  </w:r>
                </w:p>
              </w:tc>
              <w:tc>
                <w:tcPr>
                  <w:tcW w:w="4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拱墅区小河街道加和睦街道小河街道非法涂写招贴广告清除范围</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22031</w:t>
                  </w: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245500</w:t>
                  </w:r>
                </w:p>
              </w:tc>
            </w:tr>
            <w:tr>
              <w:tblPrEx>
                <w:tblCellMar>
                  <w:top w:w="0" w:type="dxa"/>
                  <w:left w:w="0" w:type="dxa"/>
                  <w:bottom w:w="0" w:type="dxa"/>
                  <w:right w:w="0" w:type="dxa"/>
                </w:tblCellMar>
              </w:tblPrEx>
              <w:trPr>
                <w:trHeight w:val="540" w:hRule="atLeast"/>
                <w:jc w:val="center"/>
              </w:trPr>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4</w:t>
                  </w:r>
                </w:p>
              </w:tc>
              <w:tc>
                <w:tcPr>
                  <w:tcW w:w="4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拱墅区大关街道非法涂写招贴广告清除范围</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22179</w:t>
                  </w: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250000</w:t>
                  </w:r>
                </w:p>
              </w:tc>
            </w:tr>
            <w:tr>
              <w:tblPrEx>
                <w:tblCellMar>
                  <w:top w:w="0" w:type="dxa"/>
                  <w:left w:w="0" w:type="dxa"/>
                  <w:bottom w:w="0" w:type="dxa"/>
                  <w:right w:w="0" w:type="dxa"/>
                </w:tblCellMar>
              </w:tblPrEx>
              <w:trPr>
                <w:trHeight w:val="540" w:hRule="atLeast"/>
                <w:jc w:val="center"/>
              </w:trPr>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5</w:t>
                  </w:r>
                </w:p>
              </w:tc>
              <w:tc>
                <w:tcPr>
                  <w:tcW w:w="4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拱墅区拱宸桥街道非法涂写招贴广告清除范围</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32506</w:t>
                  </w: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320000</w:t>
                  </w:r>
                </w:p>
              </w:tc>
            </w:tr>
            <w:tr>
              <w:tblPrEx>
                <w:tblCellMar>
                  <w:top w:w="0" w:type="dxa"/>
                  <w:left w:w="0" w:type="dxa"/>
                  <w:bottom w:w="0" w:type="dxa"/>
                  <w:right w:w="0" w:type="dxa"/>
                </w:tblCellMar>
              </w:tblPrEx>
              <w:trPr>
                <w:trHeight w:val="540" w:hRule="atLeast"/>
                <w:jc w:val="center"/>
              </w:trPr>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6</w:t>
                  </w:r>
                </w:p>
              </w:tc>
              <w:tc>
                <w:tcPr>
                  <w:tcW w:w="4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拱墅区上塘街道非法涂写招贴广告清除范围</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44281</w:t>
                  </w: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400000</w:t>
                  </w:r>
                </w:p>
              </w:tc>
            </w:tr>
            <w:tr>
              <w:tblPrEx>
                <w:tblCellMar>
                  <w:top w:w="0" w:type="dxa"/>
                  <w:left w:w="0" w:type="dxa"/>
                  <w:bottom w:w="0" w:type="dxa"/>
                  <w:right w:w="0" w:type="dxa"/>
                </w:tblCellMar>
              </w:tblPrEx>
              <w:trPr>
                <w:trHeight w:val="540" w:hRule="atLeast"/>
                <w:jc w:val="center"/>
              </w:trPr>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7</w:t>
                  </w:r>
                </w:p>
              </w:tc>
              <w:tc>
                <w:tcPr>
                  <w:tcW w:w="4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拱墅区祥符街道非法涂写招贴广告清除范围</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83332.1</w:t>
                  </w: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680000</w:t>
                  </w:r>
                </w:p>
              </w:tc>
            </w:tr>
            <w:tr>
              <w:tblPrEx>
                <w:tblCellMar>
                  <w:top w:w="0" w:type="dxa"/>
                  <w:left w:w="0" w:type="dxa"/>
                  <w:bottom w:w="0" w:type="dxa"/>
                  <w:right w:w="0" w:type="dxa"/>
                </w:tblCellMar>
              </w:tblPrEx>
              <w:trPr>
                <w:trHeight w:val="540" w:hRule="atLeast"/>
                <w:jc w:val="center"/>
              </w:trPr>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8</w:t>
                  </w:r>
                </w:p>
              </w:tc>
              <w:tc>
                <w:tcPr>
                  <w:tcW w:w="4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拱墅区大关路以南部分主要道路（含运河游步道）非法涂写招贴广告清除范围</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41843</w:t>
                  </w: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495000</w:t>
                  </w:r>
                </w:p>
              </w:tc>
            </w:tr>
            <w:tr>
              <w:tblPrEx>
                <w:tblCellMar>
                  <w:top w:w="0" w:type="dxa"/>
                  <w:left w:w="0" w:type="dxa"/>
                  <w:bottom w:w="0" w:type="dxa"/>
                  <w:right w:w="0" w:type="dxa"/>
                </w:tblCellMar>
              </w:tblPrEx>
              <w:trPr>
                <w:trHeight w:val="540" w:hRule="atLeast"/>
                <w:jc w:val="center"/>
              </w:trPr>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9</w:t>
                  </w:r>
                </w:p>
              </w:tc>
              <w:tc>
                <w:tcPr>
                  <w:tcW w:w="4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拱墅区大关路以北部分主要道路非法涂写招贴广告清除范围</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88137.77</w:t>
                  </w: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900600</w:t>
                  </w:r>
                </w:p>
              </w:tc>
            </w:tr>
            <w:tr>
              <w:tblPrEx>
                <w:tblCellMar>
                  <w:top w:w="0" w:type="dxa"/>
                  <w:left w:w="0" w:type="dxa"/>
                  <w:bottom w:w="0" w:type="dxa"/>
                  <w:right w:w="0" w:type="dxa"/>
                </w:tblCellMar>
              </w:tblPrEx>
              <w:trPr>
                <w:trHeight w:val="540" w:hRule="atLeast"/>
                <w:jc w:val="center"/>
              </w:trPr>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10</w:t>
                  </w:r>
                </w:p>
              </w:tc>
              <w:tc>
                <w:tcPr>
                  <w:tcW w:w="4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拱墅区大关路以北部分主要道路非法涂写招贴广告清除范围（东）</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63645.5</w:t>
                  </w: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564500</w:t>
                  </w:r>
                </w:p>
              </w:tc>
            </w:tr>
            <w:tr>
              <w:tblPrEx>
                <w:tblCellMar>
                  <w:top w:w="0" w:type="dxa"/>
                  <w:left w:w="0" w:type="dxa"/>
                  <w:bottom w:w="0" w:type="dxa"/>
                  <w:right w:w="0" w:type="dxa"/>
                </w:tblCellMar>
              </w:tblPrEx>
              <w:trPr>
                <w:trHeight w:val="540" w:hRule="atLeast"/>
                <w:jc w:val="center"/>
              </w:trPr>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11</w:t>
                  </w:r>
                </w:p>
              </w:tc>
              <w:tc>
                <w:tcPr>
                  <w:tcW w:w="4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拱墅区半山街道非法涂写招贴广告清除范围</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29480.7</w:t>
                  </w: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255000</w:t>
                  </w:r>
                </w:p>
              </w:tc>
            </w:tr>
            <w:tr>
              <w:tblPrEx>
                <w:tblCellMar>
                  <w:top w:w="0" w:type="dxa"/>
                  <w:left w:w="0" w:type="dxa"/>
                  <w:bottom w:w="0" w:type="dxa"/>
                  <w:right w:w="0" w:type="dxa"/>
                </w:tblCellMar>
              </w:tblPrEx>
              <w:trPr>
                <w:trHeight w:val="540" w:hRule="atLeast"/>
                <w:jc w:val="center"/>
              </w:trPr>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12</w:t>
                  </w:r>
                </w:p>
              </w:tc>
              <w:tc>
                <w:tcPr>
                  <w:tcW w:w="4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拱墅区康桥街道非法涂写招贴广告清除范围</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47724</w:t>
                  </w: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445000</w:t>
                  </w:r>
                </w:p>
              </w:tc>
            </w:tr>
          </w:tbl>
          <w:p>
            <w:pPr>
              <w:tabs>
                <w:tab w:val="left" w:pos="720"/>
              </w:tabs>
              <w:spacing w:line="400" w:lineRule="exact"/>
              <w:rPr>
                <w:rFonts w:hint="eastAsia" w:ascii="宋体" w:hAnsi="宋体" w:eastAsia="宋体" w:cs="宋体"/>
                <w:color w:val="auto"/>
                <w:sz w:val="24"/>
                <w:highlight w:val="none"/>
              </w:rPr>
            </w:pPr>
            <w:r>
              <w:rPr>
                <w:rFonts w:hint="eastAsia" w:ascii="宋体" w:hAnsi="宋体" w:eastAsia="宋体" w:cs="宋体"/>
                <w:b/>
                <w:color w:val="auto"/>
                <w:sz w:val="24"/>
                <w:highlight w:val="none"/>
              </w:rPr>
              <w:t>报价要求：</w:t>
            </w:r>
            <w:r>
              <w:rPr>
                <w:rFonts w:hint="eastAsia" w:ascii="宋体" w:hAnsi="宋体" w:eastAsia="宋体" w:cs="宋体"/>
                <w:color w:val="auto"/>
                <w:sz w:val="24"/>
                <w:highlight w:val="none"/>
              </w:rPr>
              <w:t>明确合理，本次标的按人工预算价进行报价。</w:t>
            </w:r>
          </w:p>
          <w:p>
            <w:pPr>
              <w:tabs>
                <w:tab w:val="left" w:pos="720"/>
              </w:tabs>
              <w:spacing w:line="40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承包方式：</w:t>
            </w:r>
          </w:p>
          <w:p>
            <w:pPr>
              <w:tabs>
                <w:tab w:val="left" w:pos="720"/>
              </w:tabs>
              <w:spacing w:line="4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1、承包人就本合同的作业内容的质量、管理、费用、安全等实行总承包。</w:t>
            </w:r>
          </w:p>
          <w:p>
            <w:pPr>
              <w:tabs>
                <w:tab w:val="left" w:pos="720"/>
              </w:tabs>
              <w:spacing w:line="4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2、承包人一律不得将本项目分包、转包及内部经济承包及变相经济转承包；一经发现立即取消承包资格，作违约处理，并承担由此引起的法律责任及一切经济损失。</w:t>
            </w:r>
          </w:p>
          <w:p>
            <w:pPr>
              <w:tabs>
                <w:tab w:val="left" w:pos="720"/>
              </w:tabs>
              <w:spacing w:line="4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3、承包人要优先录用原环卫所及原作业单位的合同制环卫工人，并保证录用的原合同工在原合同期内：①、工资待遇不低于原作业单位提供的工资待遇：②、岗位不变：③、不得无故终止原合同或无故不续签合同，否则按劳动法实行补偿或赔偿。</w:t>
            </w:r>
          </w:p>
          <w:p>
            <w:pPr>
              <w:tabs>
                <w:tab w:val="left" w:pos="720"/>
              </w:tabs>
              <w:spacing w:line="400" w:lineRule="exact"/>
              <w:rPr>
                <w:rFonts w:hint="eastAsia" w:ascii="宋体" w:hAnsi="宋体" w:eastAsia="宋体" w:cs="宋体"/>
                <w:color w:val="auto"/>
                <w:sz w:val="24"/>
                <w:highlight w:val="none"/>
              </w:rPr>
            </w:pPr>
            <w:r>
              <w:rPr>
                <w:rFonts w:hint="eastAsia" w:ascii="宋体" w:hAnsi="宋体" w:eastAsia="宋体" w:cs="宋体"/>
                <w:b/>
                <w:color w:val="auto"/>
                <w:sz w:val="24"/>
                <w:highlight w:val="none"/>
              </w:rPr>
              <w:t>主要质量、管理要求：</w:t>
            </w:r>
            <w:r>
              <w:rPr>
                <w:rFonts w:hint="eastAsia" w:ascii="宋体" w:hAnsi="宋体" w:eastAsia="宋体" w:cs="宋体"/>
                <w:color w:val="auto"/>
                <w:sz w:val="24"/>
                <w:highlight w:val="none"/>
              </w:rPr>
              <w:t>详见第三章项目技术规范和服务要求。</w:t>
            </w:r>
          </w:p>
          <w:p>
            <w:pPr>
              <w:tabs>
                <w:tab w:val="left" w:pos="720"/>
              </w:tabs>
              <w:spacing w:line="40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服务期限：本次合同总的承包期限为二年。按照考核办法,考核合格的可续签一年，如按照考核办法三次不达标的，终止合同。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6" w:type="pct"/>
            <w:noWrap w:val="0"/>
            <w:vAlign w:val="center"/>
          </w:tcPr>
          <w:p>
            <w:pPr>
              <w:tabs>
                <w:tab w:val="left" w:pos="3780"/>
              </w:tabs>
              <w:snapToGrid w:val="0"/>
              <w:spacing w:line="30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4533" w:type="pct"/>
            <w:noWrap w:val="0"/>
            <w:vAlign w:val="center"/>
          </w:tcPr>
          <w:p>
            <w:pPr>
              <w:tabs>
                <w:tab w:val="left" w:pos="3780"/>
              </w:tabs>
              <w:snapToGrid w:val="0"/>
              <w:spacing w:line="300" w:lineRule="auto"/>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合同名称：</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rPr>
              <w:t>拱墅区清除非法涂写招贴广告作业项目</w:t>
            </w:r>
            <w:r>
              <w:rPr>
                <w:rFonts w:hint="eastAsia" w:ascii="宋体" w:hAnsi="宋体" w:eastAsia="宋体" w:cs="宋体"/>
                <w:color w:val="auto"/>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6" w:type="pct"/>
            <w:noWrap w:val="0"/>
            <w:vAlign w:val="center"/>
          </w:tcPr>
          <w:p>
            <w:pPr>
              <w:tabs>
                <w:tab w:val="left" w:pos="3780"/>
              </w:tabs>
              <w:snapToGrid w:val="0"/>
              <w:spacing w:line="30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4533" w:type="pct"/>
            <w:noWrap w:val="0"/>
            <w:vAlign w:val="center"/>
          </w:tcPr>
          <w:p>
            <w:pPr>
              <w:adjustRightInd w:val="0"/>
              <w:snapToGrid w:val="0"/>
              <w:spacing w:line="300" w:lineRule="auto"/>
              <w:contextualSpacing/>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投标报价及费用：</w:t>
            </w:r>
          </w:p>
          <w:p>
            <w:pPr>
              <w:adjustRightInd w:val="0"/>
              <w:snapToGrid w:val="0"/>
              <w:spacing w:line="300" w:lineRule="auto"/>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（1）本项目投标应以人民币报价；</w:t>
            </w:r>
          </w:p>
          <w:p>
            <w:pPr>
              <w:adjustRightInd w:val="0"/>
              <w:snapToGrid w:val="0"/>
              <w:spacing w:line="300" w:lineRule="auto"/>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（2）不论投标结果如何，投标报价包括为完成本项目可能发生的全部费用；</w:t>
            </w:r>
          </w:p>
          <w:p>
            <w:pPr>
              <w:adjustRightInd w:val="0"/>
              <w:snapToGrid w:val="0"/>
              <w:spacing w:line="300" w:lineRule="auto"/>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（3）不论投标结果如何，投标人均应自行承担所有与投标有关的全部费用（采购文件有相关规定除外）。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6" w:type="pct"/>
            <w:noWrap w:val="0"/>
            <w:vAlign w:val="center"/>
          </w:tcPr>
          <w:p>
            <w:pPr>
              <w:tabs>
                <w:tab w:val="left" w:pos="3780"/>
              </w:tabs>
              <w:snapToGrid w:val="0"/>
              <w:spacing w:line="30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4533" w:type="pct"/>
            <w:noWrap w:val="0"/>
            <w:vAlign w:val="center"/>
          </w:tcPr>
          <w:p>
            <w:pPr>
              <w:snapToGrid w:val="0"/>
              <w:spacing w:line="300" w:lineRule="auto"/>
              <w:rPr>
                <w:rFonts w:hint="eastAsia" w:ascii="宋体" w:hAnsi="宋体" w:eastAsia="宋体" w:cs="宋体"/>
                <w:color w:val="auto"/>
                <w:sz w:val="24"/>
                <w:highlight w:val="none"/>
              </w:rPr>
            </w:pPr>
            <w:r>
              <w:rPr>
                <w:rFonts w:hint="eastAsia" w:ascii="宋体" w:hAnsi="宋体" w:eastAsia="宋体" w:cs="宋体"/>
                <w:b/>
                <w:bCs/>
                <w:color w:val="auto"/>
                <w:sz w:val="24"/>
                <w:highlight w:val="none"/>
                <w:lang w:val="zh-CN"/>
              </w:rPr>
              <w:t>合格的投标人：</w:t>
            </w:r>
            <w:r>
              <w:rPr>
                <w:rFonts w:hint="eastAsia" w:ascii="宋体" w:hAnsi="宋体" w:eastAsia="宋体" w:cs="宋体"/>
                <w:color w:val="auto"/>
                <w:sz w:val="24"/>
                <w:highlight w:val="none"/>
              </w:rPr>
              <w:t>符合招标公告“四、合格的投标人应具备的资格要求”的供应商。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6" w:type="pct"/>
            <w:noWrap w:val="0"/>
            <w:vAlign w:val="center"/>
          </w:tcPr>
          <w:p>
            <w:pPr>
              <w:tabs>
                <w:tab w:val="left" w:pos="3780"/>
              </w:tabs>
              <w:snapToGrid w:val="0"/>
              <w:spacing w:line="30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4533" w:type="pct"/>
            <w:noWrap w:val="0"/>
            <w:vAlign w:val="center"/>
          </w:tcPr>
          <w:p>
            <w:pPr>
              <w:tabs>
                <w:tab w:val="left" w:pos="3780"/>
              </w:tabs>
              <w:snapToGrid w:val="0"/>
              <w:spacing w:line="300" w:lineRule="auto"/>
              <w:rPr>
                <w:rFonts w:hint="eastAsia" w:ascii="宋体" w:hAnsi="宋体" w:eastAsia="宋体" w:cs="宋体"/>
                <w:color w:val="auto"/>
                <w:sz w:val="24"/>
                <w:highlight w:val="none"/>
              </w:rPr>
            </w:pPr>
            <w:r>
              <w:rPr>
                <w:rFonts w:hint="eastAsia" w:ascii="宋体" w:hAnsi="宋体" w:eastAsia="宋体" w:cs="宋体"/>
                <w:b/>
                <w:bCs/>
                <w:color w:val="auto"/>
                <w:sz w:val="24"/>
                <w:highlight w:val="none"/>
                <w:lang w:val="zh-CN"/>
              </w:rPr>
              <w:t>投标</w:t>
            </w:r>
            <w:r>
              <w:rPr>
                <w:rFonts w:hint="eastAsia" w:ascii="宋体" w:hAnsi="宋体" w:eastAsia="宋体" w:cs="宋体"/>
                <w:b/>
                <w:bCs/>
                <w:color w:val="auto"/>
                <w:sz w:val="24"/>
                <w:highlight w:val="none"/>
              </w:rPr>
              <w:t>有效期：</w:t>
            </w:r>
            <w:r>
              <w:rPr>
                <w:rFonts w:hint="eastAsia" w:ascii="宋体" w:hAnsi="宋体" w:eastAsia="宋体" w:cs="宋体"/>
                <w:color w:val="auto"/>
                <w:sz w:val="24"/>
                <w:highlight w:val="none"/>
              </w:rPr>
              <w:t>自投标截止日起</w:t>
            </w:r>
            <w:r>
              <w:rPr>
                <w:rFonts w:hint="eastAsia" w:ascii="宋体" w:hAnsi="宋体" w:eastAsia="宋体" w:cs="宋体"/>
                <w:color w:val="auto"/>
                <w:sz w:val="24"/>
                <w:highlight w:val="none"/>
                <w:u w:val="single"/>
              </w:rPr>
              <w:t>120</w:t>
            </w:r>
            <w:r>
              <w:rPr>
                <w:rFonts w:hint="eastAsia" w:ascii="宋体" w:hAnsi="宋体" w:eastAsia="宋体" w:cs="宋体"/>
                <w:color w:val="auto"/>
                <w:sz w:val="24"/>
                <w:highlight w:val="none"/>
              </w:rPr>
              <w:t>天。如招标人认为必要，可适当延长。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6" w:type="pct"/>
            <w:tcBorders>
              <w:bottom w:val="single" w:color="auto" w:sz="4" w:space="0"/>
            </w:tcBorders>
            <w:noWrap w:val="0"/>
            <w:vAlign w:val="center"/>
          </w:tcPr>
          <w:p>
            <w:pPr>
              <w:tabs>
                <w:tab w:val="left" w:pos="3780"/>
              </w:tabs>
              <w:snapToGrid w:val="0"/>
              <w:spacing w:line="30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4533" w:type="pct"/>
            <w:tcBorders>
              <w:bottom w:val="single" w:color="auto" w:sz="4" w:space="0"/>
            </w:tcBorders>
            <w:noWrap w:val="0"/>
            <w:vAlign w:val="center"/>
          </w:tcPr>
          <w:p>
            <w:pPr>
              <w:pStyle w:val="11"/>
              <w:snapToGrid w:val="0"/>
              <w:spacing w:line="300" w:lineRule="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投标保证金数额：不需交纳投标保证金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2" w:hRule="atLeast"/>
          <w:jc w:val="center"/>
        </w:trPr>
        <w:tc>
          <w:tcPr>
            <w:tcW w:w="466" w:type="pct"/>
            <w:tcBorders>
              <w:top w:val="single" w:color="auto" w:sz="4" w:space="0"/>
            </w:tcBorders>
            <w:noWrap w:val="0"/>
            <w:vAlign w:val="center"/>
          </w:tcPr>
          <w:p>
            <w:pPr>
              <w:tabs>
                <w:tab w:val="left" w:pos="3780"/>
              </w:tabs>
              <w:snapToGrid w:val="0"/>
              <w:spacing w:line="30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4533" w:type="pct"/>
            <w:tcBorders>
              <w:top w:val="single" w:color="auto" w:sz="4" w:space="0"/>
            </w:tcBorders>
            <w:noWrap w:val="0"/>
            <w:vAlign w:val="center"/>
          </w:tcPr>
          <w:p>
            <w:pPr>
              <w:tabs>
                <w:tab w:val="left" w:pos="3780"/>
              </w:tabs>
              <w:snapToGrid w:val="0"/>
              <w:spacing w:line="30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投标文件的组成：完整的《投标文件》投标文件由资格审查文件、资信技术文件、报价文件三个部分组成。注：每个标项分别制作并上传“政府采购云平台”。</w:t>
            </w:r>
          </w:p>
          <w:p>
            <w:pPr>
              <w:tabs>
                <w:tab w:val="left" w:pos="3780"/>
              </w:tabs>
              <w:snapToGrid w:val="0"/>
              <w:spacing w:line="30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投标文件份数：（1）“电子加密投标文件”：在“政府采购云平台”上传递交、一份。（2）“备份投标文件”：密封包装后（EMS邮寄形式）投标截止时间前递交、一份（邮寄地址：杭州市西湖区古墩路701号紫金广场A座12楼1211室王超收）。</w:t>
            </w:r>
          </w:p>
          <w:p>
            <w:pPr>
              <w:tabs>
                <w:tab w:val="left" w:pos="3780"/>
              </w:tabs>
              <w:snapToGrid w:val="0"/>
              <w:spacing w:line="300" w:lineRule="auto"/>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注：中标结果公告发出后，中标单位递交纸质投标文件3份至招标人处。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6" w:type="pct"/>
            <w:tcBorders>
              <w:top w:val="single" w:color="auto" w:sz="4" w:space="0"/>
            </w:tcBorders>
            <w:noWrap w:val="0"/>
            <w:vAlign w:val="center"/>
          </w:tcPr>
          <w:p>
            <w:pPr>
              <w:tabs>
                <w:tab w:val="left" w:pos="3780"/>
              </w:tabs>
              <w:snapToGrid w:val="0"/>
              <w:spacing w:line="30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4533" w:type="pct"/>
            <w:tcBorders>
              <w:top w:val="single" w:color="auto" w:sz="4" w:space="0"/>
            </w:tcBorders>
            <w:noWrap w:val="0"/>
            <w:vAlign w:val="center"/>
          </w:tcPr>
          <w:p>
            <w:pPr>
              <w:tabs>
                <w:tab w:val="left" w:pos="3780"/>
              </w:tabs>
              <w:snapToGrid w:val="0"/>
              <w:spacing w:line="30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投标文件的编制及盖章：电子投标文件投标人应根据“政采云供应商项目采购-电子招投标操作指南”及本招标文件规定的格式和顺序编制电子投标文件并进行关联定位。电子投标文件中所须加盖公章部分均采用CA签章，本招标文件所涉及法定代表人或其委托代理人的签字或盖章的内容，投标单位须盖法人电子签章，如果投标单位没有法人电子签章，涉及到法定代表人或其委托代理人的签字或盖章的内容，投标单位可以线下签字或盖章后扫描上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6" w:type="pct"/>
            <w:tcBorders>
              <w:top w:val="single" w:color="auto" w:sz="4" w:space="0"/>
            </w:tcBorders>
            <w:noWrap w:val="0"/>
            <w:vAlign w:val="center"/>
          </w:tcPr>
          <w:p>
            <w:pPr>
              <w:tabs>
                <w:tab w:val="left" w:pos="3780"/>
              </w:tabs>
              <w:snapToGrid w:val="0"/>
              <w:spacing w:line="30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4533" w:type="pct"/>
            <w:tcBorders>
              <w:top w:val="single" w:color="auto" w:sz="4" w:space="0"/>
            </w:tcBorders>
            <w:noWrap w:val="0"/>
            <w:vAlign w:val="center"/>
          </w:tcPr>
          <w:p>
            <w:pPr>
              <w:tabs>
                <w:tab w:val="left" w:pos="3780"/>
              </w:tabs>
              <w:snapToGrid w:val="0"/>
              <w:spacing w:line="30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投标文件的形式：☑电子投标文件（包括“电子加密投标文件”和“备份投标文件”，在投标文件编制完成后同时生成）；</w:t>
            </w:r>
          </w:p>
          <w:p>
            <w:pPr>
              <w:tabs>
                <w:tab w:val="left" w:pos="3780"/>
              </w:tabs>
              <w:snapToGrid w:val="0"/>
              <w:spacing w:line="30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（1）“电子加密投标文件”是指通过“政采云电子交易客户端”完成投标文件编制后生成并加密的数据电文形式的投标文件。</w:t>
            </w:r>
          </w:p>
          <w:p>
            <w:pPr>
              <w:tabs>
                <w:tab w:val="left" w:pos="3780"/>
              </w:tabs>
              <w:snapToGrid w:val="0"/>
              <w:spacing w:line="30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（2）“备份投标文件”是指与“电子加密投标文件”同时生成的数据电文形式的电子文件（备份标书），其他方式编制的备份投标文件视为无效备份投标文件。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6" w:type="pct"/>
            <w:tcBorders>
              <w:top w:val="single" w:color="auto" w:sz="4" w:space="0"/>
            </w:tcBorders>
            <w:noWrap w:val="0"/>
            <w:vAlign w:val="center"/>
          </w:tcPr>
          <w:p>
            <w:pPr>
              <w:tabs>
                <w:tab w:val="left" w:pos="3780"/>
              </w:tabs>
              <w:snapToGrid w:val="0"/>
              <w:spacing w:line="30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p>
        </w:tc>
        <w:tc>
          <w:tcPr>
            <w:tcW w:w="4533" w:type="pct"/>
            <w:tcBorders>
              <w:top w:val="single" w:color="auto" w:sz="4" w:space="0"/>
            </w:tcBorders>
            <w:noWrap w:val="0"/>
            <w:vAlign w:val="center"/>
          </w:tcPr>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投标文件的上传和递交：</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（1）“电子加密投标文件”的上传、递交：</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a.投标供应商应在投标截止时间前将“电子加密投标文件”成功上传递交至“政府采购云平台”，否则投标无效。</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b.“电子加密投标文件”成功上传递交后，供应商可自行打印投标文件接收回执。</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（2）“备份投标文件”的密封包装、递交：</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a.投标供应商在“政府采购云平台”完成“电子加密投标文件”的上传递交后，还可以（EMS邮寄形式）在投标截止时间前递交以介质（U盘）存储的 “备份投标文件”（一份）；</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b.“备份投标文件”应当密封包装，并在包装上标注投标项目名称、投标单位名称并加盖公章。没有密封包装或者逾期邮寄送达至投标地点的“备份投标文件”将不予接收；</w:t>
            </w:r>
          </w:p>
          <w:p>
            <w:pPr>
              <w:tabs>
                <w:tab w:val="left" w:pos="3780"/>
              </w:tabs>
              <w:snapToGrid w:val="0"/>
              <w:spacing w:line="300" w:lineRule="auto"/>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6" w:type="pct"/>
            <w:tcBorders>
              <w:top w:val="single" w:color="auto" w:sz="4" w:space="0"/>
            </w:tcBorders>
            <w:noWrap w:val="0"/>
            <w:vAlign w:val="center"/>
          </w:tcPr>
          <w:p>
            <w:pPr>
              <w:tabs>
                <w:tab w:val="left" w:pos="3780"/>
              </w:tabs>
              <w:snapToGrid w:val="0"/>
              <w:spacing w:line="30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11</w:t>
            </w:r>
          </w:p>
        </w:tc>
        <w:tc>
          <w:tcPr>
            <w:tcW w:w="4533" w:type="pct"/>
            <w:tcBorders>
              <w:top w:val="single" w:color="auto" w:sz="4" w:space="0"/>
            </w:tcBorders>
            <w:noWrap w:val="0"/>
            <w:vAlign w:val="center"/>
          </w:tcPr>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电子加密投标文件的解密和异常情况处理：</w:t>
            </w:r>
          </w:p>
          <w:p>
            <w:pPr>
              <w:numPr>
                <w:ilvl w:val="0"/>
                <w:numId w:val="1"/>
              </w:numPr>
              <w:spacing w:line="360" w:lineRule="auto"/>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开标时，电子交易平台按开标时间自动提取所有投标文件。采购机构依托电子交易平台发起开始解密指令，投标人按照平台提示和招标文件的规定在</w:t>
            </w:r>
            <w:r>
              <w:rPr>
                <w:rFonts w:hint="eastAsia" w:ascii="宋体" w:hAnsi="宋体" w:eastAsia="宋体" w:cs="宋体"/>
                <w:b/>
                <w:bCs/>
                <w:color w:val="auto"/>
                <w:sz w:val="24"/>
                <w:highlight w:val="green"/>
              </w:rPr>
              <w:t>半小时</w:t>
            </w:r>
            <w:r>
              <w:rPr>
                <w:rFonts w:hint="eastAsia" w:ascii="宋体" w:hAnsi="宋体" w:eastAsia="宋体" w:cs="宋体"/>
                <w:b/>
                <w:bCs/>
                <w:color w:val="auto"/>
                <w:sz w:val="24"/>
                <w:highlight w:val="none"/>
              </w:rPr>
              <w:t>内完成在线解密。</w:t>
            </w:r>
          </w:p>
          <w:p>
            <w:pPr>
              <w:numPr>
                <w:ilvl w:val="0"/>
                <w:numId w:val="1"/>
              </w:num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tabs>
                <w:tab w:val="left" w:pos="3780"/>
              </w:tabs>
              <w:snapToGrid w:val="0"/>
              <w:spacing w:line="30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（3）投标截止时间前，投标供应商仅递交了“备份投标文件”而未将电子加密投标文件上传至“政府采购云平台”的，投标无效。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6" w:type="pct"/>
            <w:noWrap w:val="0"/>
            <w:vAlign w:val="center"/>
          </w:tcPr>
          <w:p>
            <w:pPr>
              <w:tabs>
                <w:tab w:val="left" w:pos="3780"/>
              </w:tabs>
              <w:snapToGrid w:val="0"/>
              <w:spacing w:line="30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12</w:t>
            </w:r>
          </w:p>
        </w:tc>
        <w:tc>
          <w:tcPr>
            <w:tcW w:w="4533" w:type="pct"/>
            <w:noWrap w:val="0"/>
            <w:vAlign w:val="center"/>
          </w:tcPr>
          <w:p>
            <w:pPr>
              <w:tabs>
                <w:tab w:val="left" w:pos="3780"/>
              </w:tabs>
              <w:snapToGrid w:val="0"/>
              <w:spacing w:line="30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投标截止时间、开标时间：</w:t>
            </w:r>
            <w:r>
              <w:rPr>
                <w:rFonts w:hint="eastAsia" w:ascii="宋体" w:hAnsi="宋体" w:eastAsia="宋体" w:cs="宋体"/>
                <w:color w:val="auto"/>
                <w:sz w:val="24"/>
                <w:highlight w:val="none"/>
              </w:rPr>
              <w:t>按招标公告规定。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6" w:type="pct"/>
            <w:noWrap w:val="0"/>
            <w:vAlign w:val="center"/>
          </w:tcPr>
          <w:p>
            <w:pPr>
              <w:tabs>
                <w:tab w:val="left" w:pos="3780"/>
              </w:tabs>
              <w:snapToGrid w:val="0"/>
              <w:spacing w:line="30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13</w:t>
            </w:r>
          </w:p>
        </w:tc>
        <w:tc>
          <w:tcPr>
            <w:tcW w:w="4533" w:type="pct"/>
            <w:noWrap w:val="0"/>
            <w:vAlign w:val="center"/>
          </w:tcPr>
          <w:p>
            <w:pPr>
              <w:spacing w:line="400" w:lineRule="exact"/>
              <w:rPr>
                <w:rFonts w:hint="eastAsia" w:ascii="宋体" w:hAnsi="宋体" w:eastAsia="宋体" w:cs="宋体"/>
                <w:color w:val="auto"/>
                <w:sz w:val="24"/>
                <w:highlight w:val="none"/>
              </w:rPr>
            </w:pPr>
            <w:r>
              <w:rPr>
                <w:rFonts w:hint="eastAsia" w:ascii="宋体" w:hAnsi="宋体" w:eastAsia="宋体" w:cs="宋体"/>
                <w:b/>
                <w:color w:val="auto"/>
                <w:sz w:val="24"/>
                <w:highlight w:val="none"/>
              </w:rPr>
              <w:t>开标地点：</w:t>
            </w:r>
            <w:r>
              <w:rPr>
                <w:rFonts w:hint="eastAsia" w:ascii="宋体" w:hAnsi="宋体" w:eastAsia="宋体" w:cs="宋体"/>
                <w:color w:val="auto"/>
                <w:sz w:val="24"/>
                <w:highlight w:val="none"/>
              </w:rPr>
              <w:t>杭州市古墩路701号紫金广场A座15楼1501会议室。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6" w:type="pct"/>
            <w:noWrap w:val="0"/>
            <w:vAlign w:val="center"/>
          </w:tcPr>
          <w:p>
            <w:pPr>
              <w:tabs>
                <w:tab w:val="left" w:pos="3780"/>
              </w:tabs>
              <w:snapToGrid w:val="0"/>
              <w:spacing w:line="30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14</w:t>
            </w:r>
          </w:p>
        </w:tc>
        <w:tc>
          <w:tcPr>
            <w:tcW w:w="4533" w:type="pct"/>
            <w:noWrap w:val="0"/>
            <w:vAlign w:val="center"/>
          </w:tcPr>
          <w:p>
            <w:pPr>
              <w:tabs>
                <w:tab w:val="left" w:pos="3780"/>
              </w:tabs>
              <w:snapToGrid w:val="0"/>
              <w:spacing w:line="300" w:lineRule="auto"/>
              <w:rPr>
                <w:rFonts w:hint="eastAsia" w:ascii="宋体" w:hAnsi="宋体" w:eastAsia="宋体" w:cs="宋体"/>
                <w:b/>
                <w:color w:val="auto"/>
                <w:sz w:val="24"/>
                <w:highlight w:val="none"/>
              </w:rPr>
            </w:pPr>
            <w:r>
              <w:rPr>
                <w:rFonts w:hint="eastAsia" w:ascii="宋体" w:hAnsi="宋体" w:eastAsia="宋体" w:cs="宋体"/>
                <w:b/>
                <w:color w:val="auto"/>
                <w:kern w:val="10"/>
                <w:sz w:val="24"/>
                <w:highlight w:val="none"/>
              </w:rPr>
              <w:t>评标办法：</w:t>
            </w:r>
            <w:r>
              <w:rPr>
                <w:rFonts w:hint="eastAsia" w:ascii="宋体" w:hAnsi="宋体" w:eastAsia="宋体" w:cs="宋体"/>
                <w:color w:val="auto"/>
                <w:kern w:val="10"/>
                <w:sz w:val="24"/>
                <w:highlight w:val="none"/>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6" w:type="pct"/>
            <w:noWrap w:val="0"/>
            <w:vAlign w:val="center"/>
          </w:tcPr>
          <w:p>
            <w:pPr>
              <w:tabs>
                <w:tab w:val="left" w:pos="3780"/>
              </w:tabs>
              <w:snapToGrid w:val="0"/>
              <w:spacing w:line="30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15</w:t>
            </w:r>
          </w:p>
        </w:tc>
        <w:tc>
          <w:tcPr>
            <w:tcW w:w="4533" w:type="pct"/>
            <w:noWrap w:val="0"/>
            <w:vAlign w:val="center"/>
          </w:tcPr>
          <w:p>
            <w:pPr>
              <w:tabs>
                <w:tab w:val="left" w:pos="3780"/>
              </w:tabs>
              <w:snapToGrid w:val="0"/>
              <w:spacing w:line="300" w:lineRule="auto"/>
              <w:rPr>
                <w:rFonts w:hint="eastAsia" w:ascii="宋体" w:hAnsi="宋体" w:eastAsia="宋体" w:cs="宋体"/>
                <w:color w:val="auto"/>
                <w:sz w:val="24"/>
                <w:highlight w:val="none"/>
              </w:rPr>
            </w:pPr>
            <w:r>
              <w:rPr>
                <w:rFonts w:hint="eastAsia" w:ascii="宋体" w:hAnsi="宋体" w:eastAsia="宋体" w:cs="宋体"/>
                <w:b/>
                <w:color w:val="auto"/>
                <w:kern w:val="10"/>
                <w:sz w:val="24"/>
                <w:highlight w:val="none"/>
              </w:rPr>
              <w:t>招标公告和结果公告发布媒体：</w:t>
            </w:r>
            <w:r>
              <w:rPr>
                <w:rFonts w:hint="eastAsia" w:ascii="宋体" w:hAnsi="宋体" w:eastAsia="宋体" w:cs="宋体"/>
                <w:color w:val="auto"/>
                <w:sz w:val="24"/>
                <w:highlight w:val="none"/>
              </w:rPr>
              <w:t>浙江政府采购网。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6" w:type="pct"/>
            <w:noWrap w:val="0"/>
            <w:vAlign w:val="center"/>
          </w:tcPr>
          <w:p>
            <w:pPr>
              <w:tabs>
                <w:tab w:val="left" w:pos="3780"/>
              </w:tabs>
              <w:snapToGrid w:val="0"/>
              <w:spacing w:line="30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16</w:t>
            </w:r>
          </w:p>
        </w:tc>
        <w:tc>
          <w:tcPr>
            <w:tcW w:w="4533" w:type="pct"/>
            <w:noWrap w:val="0"/>
            <w:vAlign w:val="center"/>
          </w:tcPr>
          <w:p>
            <w:pPr>
              <w:tabs>
                <w:tab w:val="left" w:pos="3780"/>
              </w:tabs>
              <w:snapToGrid w:val="0"/>
              <w:spacing w:line="300" w:lineRule="auto"/>
              <w:rPr>
                <w:rFonts w:hint="eastAsia" w:ascii="宋体" w:hAnsi="宋体" w:eastAsia="宋体" w:cs="宋体"/>
                <w:b/>
                <w:color w:val="auto"/>
                <w:kern w:val="10"/>
                <w:sz w:val="24"/>
                <w:highlight w:val="none"/>
              </w:rPr>
            </w:pPr>
            <w:r>
              <w:rPr>
                <w:rFonts w:hint="eastAsia" w:ascii="宋体" w:hAnsi="宋体" w:eastAsia="宋体" w:cs="宋体"/>
                <w:b/>
                <w:color w:val="auto"/>
                <w:kern w:val="10"/>
                <w:sz w:val="24"/>
                <w:highlight w:val="none"/>
              </w:rPr>
              <w:t>中标通知书：</w:t>
            </w:r>
            <w:r>
              <w:rPr>
                <w:rFonts w:hint="eastAsia" w:ascii="宋体" w:hAnsi="宋体" w:eastAsia="宋体" w:cs="宋体"/>
                <w:color w:val="auto"/>
                <w:sz w:val="24"/>
                <w:highlight w:val="none"/>
              </w:rPr>
              <w:t>按照政府采购管理规定发中标通知书。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6" w:type="pct"/>
            <w:noWrap w:val="0"/>
            <w:vAlign w:val="center"/>
          </w:tcPr>
          <w:p>
            <w:pPr>
              <w:tabs>
                <w:tab w:val="left" w:pos="3780"/>
              </w:tabs>
              <w:snapToGrid w:val="0"/>
              <w:spacing w:line="30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17</w:t>
            </w:r>
          </w:p>
        </w:tc>
        <w:tc>
          <w:tcPr>
            <w:tcW w:w="4533" w:type="pct"/>
            <w:noWrap w:val="0"/>
            <w:vAlign w:val="center"/>
          </w:tcPr>
          <w:p>
            <w:pPr>
              <w:tabs>
                <w:tab w:val="left" w:pos="3780"/>
              </w:tabs>
              <w:snapToGrid w:val="0"/>
              <w:spacing w:line="300" w:lineRule="auto"/>
              <w:rPr>
                <w:rFonts w:hint="eastAsia" w:ascii="宋体" w:hAnsi="宋体" w:eastAsia="宋体" w:cs="宋体"/>
                <w:b/>
                <w:color w:val="auto"/>
                <w:kern w:val="10"/>
                <w:sz w:val="24"/>
                <w:highlight w:val="none"/>
              </w:rPr>
            </w:pPr>
            <w:r>
              <w:rPr>
                <w:rFonts w:hint="eastAsia" w:ascii="宋体" w:hAnsi="宋体" w:eastAsia="宋体" w:cs="宋体"/>
                <w:b/>
                <w:color w:val="auto"/>
                <w:kern w:val="10"/>
                <w:sz w:val="24"/>
                <w:highlight w:val="none"/>
              </w:rPr>
              <w:t>解释：</w:t>
            </w:r>
            <w:r>
              <w:rPr>
                <w:rFonts w:hint="eastAsia" w:ascii="宋体" w:hAnsi="宋体" w:eastAsia="宋体" w:cs="宋体"/>
                <w:color w:val="auto"/>
                <w:sz w:val="24"/>
                <w:highlight w:val="none"/>
              </w:rPr>
              <w:t>本招标文件的解释权属于采购人和采购代理机构。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6" w:type="pct"/>
            <w:noWrap w:val="0"/>
            <w:vAlign w:val="center"/>
          </w:tcPr>
          <w:p>
            <w:pPr>
              <w:tabs>
                <w:tab w:val="left" w:pos="3780"/>
              </w:tabs>
              <w:snapToGrid w:val="0"/>
              <w:spacing w:line="30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18</w:t>
            </w:r>
          </w:p>
        </w:tc>
        <w:tc>
          <w:tcPr>
            <w:tcW w:w="4533" w:type="pct"/>
            <w:noWrap w:val="0"/>
            <w:vAlign w:val="center"/>
          </w:tcPr>
          <w:p>
            <w:pPr>
              <w:snapToGrid w:val="0"/>
              <w:spacing w:line="400" w:lineRule="exact"/>
              <w:jc w:val="left"/>
              <w:rPr>
                <w:rFonts w:hint="eastAsia" w:ascii="宋体" w:hAnsi="宋体" w:eastAsia="宋体" w:cs="宋体"/>
                <w:b/>
                <w:bCs/>
                <w:snapToGrid w:val="0"/>
                <w:color w:val="auto"/>
                <w:kern w:val="28"/>
                <w:sz w:val="24"/>
                <w:highlight w:val="none"/>
              </w:rPr>
            </w:pPr>
            <w:r>
              <w:rPr>
                <w:rFonts w:hint="eastAsia" w:ascii="宋体" w:hAnsi="宋体" w:eastAsia="宋体" w:cs="宋体"/>
                <w:b/>
                <w:bCs/>
                <w:snapToGrid w:val="0"/>
                <w:color w:val="auto"/>
                <w:kern w:val="28"/>
                <w:sz w:val="24"/>
                <w:highlight w:val="none"/>
              </w:rPr>
              <w:t>政府采购扶持政策：</w:t>
            </w:r>
          </w:p>
          <w:p>
            <w:pPr>
              <w:snapToGrid w:val="0"/>
              <w:spacing w:line="400" w:lineRule="exact"/>
              <w:jc w:val="left"/>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（1）节能环保政策：</w:t>
            </w:r>
          </w:p>
          <w:p>
            <w:pPr>
              <w:snapToGrid w:val="0"/>
              <w:spacing w:line="400" w:lineRule="exact"/>
              <w:jc w:val="left"/>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投标产品若属于节能环保产品的，请提供财政部、环境保护保部发布有效期内环境标志产品政府采购清单以及财政部、发改委联合发布有效期内节能产品政府采购清单。</w:t>
            </w:r>
          </w:p>
          <w:p>
            <w:pPr>
              <w:snapToGrid w:val="0"/>
              <w:spacing w:line="400" w:lineRule="exact"/>
              <w:jc w:val="left"/>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招标需求中要求提供的产品属于节能清单中政府强制采购节能产品品目的，投标人须提供该清单内产品，否则其投标将作为无效标处理。</w:t>
            </w:r>
          </w:p>
          <w:p>
            <w:pPr>
              <w:snapToGrid w:val="0"/>
              <w:spacing w:line="400" w:lineRule="exact"/>
              <w:jc w:val="left"/>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（2）促进中小企业发展、支持监狱企业发展、促进残疾人就业，给予价格扣除：</w:t>
            </w:r>
          </w:p>
          <w:p>
            <w:pPr>
              <w:snapToGrid w:val="0"/>
              <w:spacing w:line="400" w:lineRule="exact"/>
              <w:jc w:val="left"/>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a、根据财库〔2011〕181号的相关规定，在评审时对小型和微型企业的投标报价给予6%的扣除，取扣除后的价格作为最终投标报价（此最终投标报价仅作为价格分计算）。注：未按要求提供材料的，均不给予价格扣除。</w:t>
            </w:r>
          </w:p>
          <w:p>
            <w:pPr>
              <w:snapToGrid w:val="0"/>
              <w:spacing w:line="400" w:lineRule="exact"/>
              <w:jc w:val="left"/>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b、根据工信部联企业〔2011〕300号的相关规定属于小型和微型企业的，投标文件中必须同时提供《中小企业声明函》（见附件）、“国家企业信用信息公示系统——小微企业名录”页面查询结果（查询时间为投标前一周内，并加盖单位公章）。</w:t>
            </w:r>
          </w:p>
          <w:p>
            <w:pPr>
              <w:snapToGrid w:val="0"/>
              <w:spacing w:line="400" w:lineRule="exact"/>
              <w:jc w:val="left"/>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c、根据《关于政府采购支持监狱企业发展有关问题的通知》（财库[2014]68号）的规定，投标人提供由省级以上监狱管理局、戒毒管理局（含新疆生产建设兵团）出具的属于监狱企业证明文件的，视同为小型和微型企业。</w:t>
            </w:r>
          </w:p>
          <w:p>
            <w:pPr>
              <w:snapToGrid w:val="0"/>
              <w:spacing w:line="400" w:lineRule="exact"/>
              <w:jc w:val="left"/>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d、根据《关于促进残疾人就业政府采购政策的通知》（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spacing w:line="400" w:lineRule="exact"/>
              <w:jc w:val="left"/>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e、企业信用融资：中小企业信用融资：为支持和促进中小企业发展，进一步发挥政府采购政策功能，杭州市财政局 、中国银保监会浙江监管局、杭州市人民政府金融工作办公室、杭州市经济和信息化局共同出台了《杭州市政府采购支持中小企业信用融资管理办法》（网址：http://cg.hzft.gov.cn/www/noticedetail.do?noticeguid=8a0691a36af3b171016c51516f2c0976），供应商若有融资意向，请登陆杭州市政府采购网（http://cg.hzft.gov.cn）“中小企业信用融资”专栏，查看信用融资政策文件及各相关银行服务方案。</w:t>
            </w:r>
          </w:p>
          <w:p>
            <w:pPr>
              <w:pStyle w:val="11"/>
              <w:adjustRightInd w:val="0"/>
              <w:snapToGrid w:val="0"/>
              <w:spacing w:line="400" w:lineRule="exact"/>
              <w:rPr>
                <w:rFonts w:hint="eastAsia" w:ascii="宋体" w:hAnsi="宋体" w:eastAsia="宋体" w:cs="宋体"/>
                <w:b/>
                <w:color w:val="auto"/>
                <w:kern w:val="10"/>
                <w:sz w:val="24"/>
                <w:szCs w:val="24"/>
                <w:highlight w:val="none"/>
              </w:rPr>
            </w:pPr>
            <w:r>
              <w:rPr>
                <w:rFonts w:hint="eastAsia" w:ascii="宋体" w:hAnsi="宋体" w:eastAsia="宋体" w:cs="宋体"/>
                <w:snapToGrid w:val="0"/>
                <w:color w:val="auto"/>
                <w:kern w:val="28"/>
                <w:sz w:val="24"/>
                <w:szCs w:val="24"/>
                <w:highlight w:val="none"/>
              </w:rPr>
              <w:t>（3）采购本国服务：本项目采购本国服务。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5" w:hRule="atLeast"/>
          <w:jc w:val="center"/>
        </w:trPr>
        <w:tc>
          <w:tcPr>
            <w:tcW w:w="466" w:type="pct"/>
            <w:noWrap w:val="0"/>
            <w:vAlign w:val="center"/>
          </w:tcPr>
          <w:p>
            <w:pPr>
              <w:tabs>
                <w:tab w:val="left" w:pos="3780"/>
              </w:tabs>
              <w:snapToGrid w:val="0"/>
              <w:spacing w:line="30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19</w:t>
            </w:r>
          </w:p>
        </w:tc>
        <w:tc>
          <w:tcPr>
            <w:tcW w:w="4533" w:type="pct"/>
            <w:noWrap w:val="0"/>
            <w:vAlign w:val="center"/>
          </w:tcPr>
          <w:p>
            <w:pPr>
              <w:pStyle w:val="7"/>
              <w:spacing w:after="156"/>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排名第一的中标候选人放弃中标、因不可抗力不履行合同、不按招标文件要求提交履约保证金、被查实存在影响中标结果的违法行为等情形，不符合中标条件的；招标人将按中标候选人名单排序依次确定其他中标候选人为中标人或重新组织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6" w:type="pct"/>
            <w:noWrap w:val="0"/>
            <w:vAlign w:val="center"/>
          </w:tcPr>
          <w:p>
            <w:pPr>
              <w:tabs>
                <w:tab w:val="left" w:pos="3780"/>
              </w:tabs>
              <w:snapToGrid w:val="0"/>
              <w:spacing w:line="30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20</w:t>
            </w:r>
          </w:p>
        </w:tc>
        <w:tc>
          <w:tcPr>
            <w:tcW w:w="4533" w:type="pct"/>
            <w:noWrap w:val="0"/>
            <w:vAlign w:val="center"/>
          </w:tcPr>
          <w:p>
            <w:pPr>
              <w:pStyle w:val="58"/>
              <w:snapToGrid w:val="0"/>
              <w:spacing w:line="300" w:lineRule="auto"/>
              <w:ind w:firstLine="0" w:firstLineChars="0"/>
              <w:rPr>
                <w:rFonts w:hint="eastAsia" w:ascii="宋体" w:hAnsi="宋体" w:eastAsia="宋体" w:cs="宋体"/>
                <w:color w:val="auto"/>
                <w:sz w:val="24"/>
                <w:highlight w:val="none"/>
              </w:rPr>
            </w:pPr>
            <w:r>
              <w:rPr>
                <w:rFonts w:hint="eastAsia" w:ascii="宋体" w:hAnsi="宋体" w:eastAsia="宋体" w:cs="宋体"/>
                <w:snapToGrid w:val="0"/>
                <w:color w:val="auto"/>
                <w:kern w:val="28"/>
                <w:sz w:val="24"/>
                <w:highlight w:val="none"/>
              </w:rPr>
              <w:t>本招标文件中所引用的政府文件内容如有最新文件规定的按最新文件规定执行。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6" w:type="pct"/>
            <w:noWrap w:val="0"/>
            <w:vAlign w:val="center"/>
          </w:tcPr>
          <w:p>
            <w:pPr>
              <w:tabs>
                <w:tab w:val="left" w:pos="3780"/>
              </w:tabs>
              <w:snapToGrid w:val="0"/>
              <w:spacing w:line="30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21</w:t>
            </w:r>
          </w:p>
        </w:tc>
        <w:tc>
          <w:tcPr>
            <w:tcW w:w="4533" w:type="pct"/>
            <w:noWrap w:val="0"/>
            <w:vAlign w:val="center"/>
          </w:tcPr>
          <w:p>
            <w:pPr>
              <w:pStyle w:val="58"/>
              <w:snapToGrid w:val="0"/>
              <w:spacing w:line="300" w:lineRule="auto"/>
              <w:ind w:firstLine="0" w:firstLineChars="0"/>
              <w:rPr>
                <w:rFonts w:hint="eastAsia" w:ascii="宋体" w:hAnsi="宋体" w:eastAsia="宋体" w:cs="宋体"/>
                <w:color w:val="auto"/>
                <w:sz w:val="24"/>
                <w:highlight w:val="none"/>
              </w:rPr>
            </w:pPr>
            <w:r>
              <w:rPr>
                <w:rFonts w:hint="eastAsia" w:ascii="宋体" w:hAnsi="宋体" w:eastAsia="宋体" w:cs="宋体"/>
                <w:b/>
                <w:color w:val="auto"/>
                <w:kern w:val="10"/>
                <w:sz w:val="24"/>
                <w:highlight w:val="none"/>
              </w:rPr>
              <w:t>其他：</w:t>
            </w:r>
            <w:r>
              <w:rPr>
                <w:rFonts w:hint="eastAsia" w:ascii="宋体" w:hAnsi="宋体" w:eastAsia="宋体" w:cs="宋体"/>
                <w:color w:val="auto"/>
                <w:sz w:val="24"/>
                <w:highlight w:val="none"/>
              </w:rPr>
              <w:t>由于本项目不需交纳投标保证金，为了保证本项目顺利开标、评标，保障采购单位权益，所有获取招标文件的潜在投标人如果放弃投标请务必在投标截止48小时前将盖章的放弃投标函快递至代理机构（可以先将扫描件发送至代理机构联系人邮箱：1104640552@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6" w:type="pct"/>
            <w:noWrap w:val="0"/>
            <w:vAlign w:val="center"/>
          </w:tcPr>
          <w:p>
            <w:pPr>
              <w:tabs>
                <w:tab w:val="left" w:pos="3780"/>
              </w:tabs>
              <w:snapToGrid w:val="0"/>
              <w:spacing w:line="30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22</w:t>
            </w:r>
          </w:p>
        </w:tc>
        <w:tc>
          <w:tcPr>
            <w:tcW w:w="4533" w:type="pct"/>
            <w:noWrap w:val="0"/>
            <w:vAlign w:val="center"/>
          </w:tcPr>
          <w:p>
            <w:pPr>
              <w:snapToGrid w:val="0"/>
              <w:spacing w:line="300" w:lineRule="auto"/>
              <w:rPr>
                <w:rFonts w:hint="eastAsia" w:ascii="宋体" w:hAnsi="宋体" w:eastAsia="宋体" w:cs="宋体"/>
                <w:b/>
                <w:color w:val="auto"/>
                <w:kern w:val="10"/>
                <w:sz w:val="24"/>
                <w:highlight w:val="none"/>
              </w:rPr>
            </w:pPr>
            <w:r>
              <w:rPr>
                <w:rFonts w:hint="eastAsia" w:ascii="宋体" w:hAnsi="宋体" w:eastAsia="宋体" w:cs="宋体"/>
                <w:b/>
                <w:color w:val="auto"/>
                <w:kern w:val="10"/>
                <w:sz w:val="24"/>
                <w:highlight w:val="none"/>
              </w:rPr>
              <w:t>根据《关于在政府采购活动中查询及使用信用记录有关问题的通知》财库[2016]125号的规定：</w:t>
            </w:r>
          </w:p>
          <w:p>
            <w:pPr>
              <w:snapToGrid w:val="0"/>
              <w:spacing w:line="300" w:lineRule="auto"/>
              <w:rPr>
                <w:rFonts w:hint="eastAsia" w:ascii="宋体" w:hAnsi="宋体" w:eastAsia="宋体" w:cs="宋体"/>
                <w:b/>
                <w:color w:val="auto"/>
                <w:kern w:val="10"/>
                <w:sz w:val="24"/>
                <w:highlight w:val="none"/>
              </w:rPr>
            </w:pPr>
            <w:r>
              <w:rPr>
                <w:rFonts w:hint="eastAsia" w:ascii="宋体" w:hAnsi="宋体" w:eastAsia="宋体" w:cs="宋体"/>
                <w:b/>
                <w:color w:val="auto"/>
                <w:kern w:val="10"/>
                <w:sz w:val="24"/>
                <w:highlight w:val="none"/>
              </w:rPr>
              <w:t>1）采购人或采购代理机构将对本项目供应商的信用信息进行查询。</w:t>
            </w:r>
          </w:p>
          <w:p>
            <w:pPr>
              <w:snapToGrid w:val="0"/>
              <w:spacing w:line="300" w:lineRule="auto"/>
              <w:rPr>
                <w:rFonts w:hint="eastAsia" w:ascii="宋体" w:hAnsi="宋体" w:eastAsia="宋体" w:cs="宋体"/>
                <w:b/>
                <w:color w:val="auto"/>
                <w:kern w:val="10"/>
                <w:sz w:val="24"/>
                <w:highlight w:val="none"/>
              </w:rPr>
            </w:pPr>
            <w:r>
              <w:rPr>
                <w:rFonts w:hint="eastAsia" w:ascii="宋体" w:hAnsi="宋体" w:eastAsia="宋体" w:cs="宋体"/>
                <w:b/>
                <w:color w:val="auto"/>
                <w:kern w:val="10"/>
                <w:sz w:val="24"/>
                <w:highlight w:val="none"/>
              </w:rPr>
              <w:t>2）查询渠道为信用中国网站（www.creditchina.gov.cn）、中国政府采购网（www.ccgp.gov.cn）。</w:t>
            </w:r>
          </w:p>
          <w:p>
            <w:pPr>
              <w:snapToGrid w:val="0"/>
              <w:spacing w:line="300" w:lineRule="auto"/>
              <w:rPr>
                <w:rFonts w:hint="eastAsia" w:ascii="宋体" w:hAnsi="宋体" w:eastAsia="宋体" w:cs="宋体"/>
                <w:b/>
                <w:color w:val="auto"/>
                <w:kern w:val="10"/>
                <w:sz w:val="24"/>
                <w:highlight w:val="none"/>
              </w:rPr>
            </w:pPr>
            <w:r>
              <w:rPr>
                <w:rFonts w:hint="eastAsia" w:ascii="宋体" w:hAnsi="宋体" w:eastAsia="宋体" w:cs="宋体"/>
                <w:b/>
                <w:color w:val="auto"/>
                <w:kern w:val="10"/>
                <w:sz w:val="24"/>
                <w:highlight w:val="none"/>
              </w:rPr>
              <w:t>3）信用信息截止时点为从本项目投标截止日往前追溯三年，期间被列入失信被执行人名单、重大税收违法案件当事人名单、政府采购严重违法失信行为记录名单等供应商信用信息均将用于本项目。</w:t>
            </w:r>
          </w:p>
          <w:p>
            <w:pPr>
              <w:snapToGrid w:val="0"/>
              <w:spacing w:line="300" w:lineRule="auto"/>
              <w:rPr>
                <w:rFonts w:hint="eastAsia" w:ascii="宋体" w:hAnsi="宋体" w:eastAsia="宋体" w:cs="宋体"/>
                <w:b/>
                <w:color w:val="auto"/>
                <w:kern w:val="10"/>
                <w:sz w:val="24"/>
                <w:highlight w:val="none"/>
              </w:rPr>
            </w:pPr>
            <w:r>
              <w:rPr>
                <w:rFonts w:hint="eastAsia" w:ascii="宋体" w:hAnsi="宋体" w:eastAsia="宋体" w:cs="宋体"/>
                <w:b/>
                <w:color w:val="auto"/>
                <w:kern w:val="10"/>
                <w:sz w:val="24"/>
                <w:highlight w:val="none"/>
              </w:rPr>
              <w:t>4）信用信息查询记录和证据以网页截图等方式留存。</w:t>
            </w:r>
          </w:p>
          <w:p>
            <w:pPr>
              <w:snapToGrid w:val="0"/>
              <w:spacing w:line="300" w:lineRule="auto"/>
              <w:rPr>
                <w:rFonts w:hint="eastAsia" w:ascii="宋体" w:hAnsi="宋体" w:eastAsia="宋体" w:cs="宋体"/>
                <w:b/>
                <w:color w:val="auto"/>
                <w:kern w:val="10"/>
                <w:sz w:val="24"/>
                <w:highlight w:val="none"/>
              </w:rPr>
            </w:pPr>
            <w:r>
              <w:rPr>
                <w:rFonts w:hint="eastAsia" w:ascii="宋体" w:hAnsi="宋体" w:eastAsia="宋体" w:cs="宋体"/>
                <w:b/>
                <w:color w:val="auto"/>
                <w:kern w:val="10"/>
                <w:sz w:val="24"/>
                <w:highlight w:val="none"/>
              </w:rPr>
              <w:t>5）投标截止日当日网站显示的信用信息将作为评审和确定中标人的依据。</w:t>
            </w:r>
          </w:p>
          <w:p>
            <w:pPr>
              <w:pStyle w:val="58"/>
              <w:snapToGrid w:val="0"/>
              <w:spacing w:line="300" w:lineRule="auto"/>
              <w:ind w:firstLine="0" w:firstLineChars="0"/>
              <w:rPr>
                <w:rFonts w:hint="eastAsia" w:ascii="宋体" w:hAnsi="宋体" w:eastAsia="宋体" w:cs="宋体"/>
                <w:color w:val="auto"/>
                <w:sz w:val="24"/>
                <w:highlight w:val="none"/>
              </w:rPr>
            </w:pPr>
            <w:r>
              <w:rPr>
                <w:rFonts w:hint="eastAsia" w:ascii="宋体" w:hAnsi="宋体" w:eastAsia="宋体" w:cs="宋体"/>
                <w:b/>
                <w:color w:val="auto"/>
                <w:kern w:val="10"/>
                <w:sz w:val="24"/>
                <w:highlight w:val="none"/>
              </w:rPr>
              <w:t>6）联合体成员存在不良信用记录的，视同联合体存在不良信用记录。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66" w:type="pct"/>
            <w:noWrap w:val="0"/>
            <w:vAlign w:val="center"/>
          </w:tcPr>
          <w:p>
            <w:pPr>
              <w:tabs>
                <w:tab w:val="left" w:pos="3780"/>
              </w:tabs>
              <w:snapToGrid w:val="0"/>
              <w:spacing w:line="30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23</w:t>
            </w:r>
          </w:p>
        </w:tc>
        <w:tc>
          <w:tcPr>
            <w:tcW w:w="4533" w:type="pct"/>
            <w:noWrap w:val="0"/>
            <w:vAlign w:val="center"/>
          </w:tcPr>
          <w:p>
            <w:pPr>
              <w:snapToGrid w:val="0"/>
              <w:spacing w:line="300" w:lineRule="auto"/>
              <w:rPr>
                <w:rFonts w:hint="eastAsia" w:ascii="宋体" w:hAnsi="宋体" w:eastAsia="宋体" w:cs="宋体"/>
                <w:b/>
                <w:color w:val="auto"/>
                <w:kern w:val="10"/>
                <w:sz w:val="24"/>
                <w:highlight w:val="none"/>
              </w:rPr>
            </w:pPr>
            <w:r>
              <w:rPr>
                <w:rFonts w:hint="eastAsia" w:ascii="宋体" w:hAnsi="宋体" w:eastAsia="宋体" w:cs="宋体"/>
                <w:b/>
                <w:color w:val="auto"/>
                <w:sz w:val="24"/>
                <w:highlight w:val="none"/>
              </w:rPr>
              <w:t>（1）请投标人仔细阅读本招标文件，其中带“▲”标记的条款为实质性内容，投标人须对带“▲”标记的条款作出实质性响应。</w:t>
            </w:r>
          </w:p>
        </w:tc>
      </w:tr>
    </w:tbl>
    <w:p>
      <w:pPr>
        <w:pStyle w:val="11"/>
        <w:spacing w:line="440" w:lineRule="exact"/>
        <w:rPr>
          <w:rFonts w:hint="eastAsia" w:ascii="宋体" w:hAnsi="宋体" w:eastAsia="宋体" w:cs="宋体"/>
          <w:b/>
          <w:bCs/>
          <w:color w:val="auto"/>
          <w:sz w:val="24"/>
          <w:highlight w:val="none"/>
        </w:rPr>
      </w:pPr>
    </w:p>
    <w:p>
      <w:pPr>
        <w:pStyle w:val="11"/>
        <w:spacing w:line="440" w:lineRule="exact"/>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br w:type="page"/>
      </w:r>
      <w:r>
        <w:rPr>
          <w:rFonts w:hint="eastAsia" w:ascii="宋体" w:hAnsi="宋体" w:eastAsia="宋体" w:cs="宋体"/>
          <w:b/>
          <w:bCs/>
          <w:color w:val="auto"/>
          <w:sz w:val="24"/>
          <w:highlight w:val="none"/>
        </w:rPr>
        <w:t>一 、总则</w:t>
      </w:r>
    </w:p>
    <w:p>
      <w:pPr>
        <w:pStyle w:val="11"/>
        <w:spacing w:line="44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1．项目说明</w:t>
      </w:r>
    </w:p>
    <w:p>
      <w:pPr>
        <w:pStyle w:val="11"/>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1．1 本招标文件仅适用于本次公开招标中所叙述杭州市拱墅区城市管理局的</w:t>
      </w:r>
      <w:r>
        <w:rPr>
          <w:rFonts w:hint="eastAsia" w:ascii="宋体" w:hAnsi="宋体" w:eastAsia="宋体" w:cs="宋体"/>
          <w:color w:val="auto"/>
          <w:kern w:val="0"/>
          <w:sz w:val="24"/>
          <w:highlight w:val="none"/>
        </w:rPr>
        <w:t>拱墅区清除非法涂写招贴广告作业项目</w:t>
      </w:r>
      <w:r>
        <w:rPr>
          <w:rFonts w:hint="eastAsia" w:ascii="宋体" w:hAnsi="宋体" w:eastAsia="宋体" w:cs="宋体"/>
          <w:color w:val="auto"/>
          <w:sz w:val="24"/>
          <w:highlight w:val="none"/>
        </w:rPr>
        <w:t>。</w:t>
      </w:r>
    </w:p>
    <w:p>
      <w:pPr>
        <w:pStyle w:val="11"/>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1．2项目说明见投标须知前附表(以下称“前附表”)所述。</w:t>
      </w:r>
    </w:p>
    <w:p>
      <w:pPr>
        <w:pStyle w:val="11"/>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1．3相关名词说明：</w:t>
      </w:r>
    </w:p>
    <w:p>
      <w:pPr>
        <w:pStyle w:val="11"/>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采购单位杭州市拱墅区城市管理局为本项目的采购人（合同中的甲方）。浙江省成套工程有限公司为采购代理机构。自愿参加本次项目投标的公司为投标人，经评审产生并经批准的投标人为中标人，签订合同后的中标人为服务商（合同中的乙方）。杭州市拱墅区政府采购管理部门为监督管理部门。</w:t>
      </w:r>
    </w:p>
    <w:p>
      <w:pPr>
        <w:pStyle w:val="11"/>
        <w:tabs>
          <w:tab w:val="left" w:pos="720"/>
        </w:tabs>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1．4潜在投标人领取招标文件后，必须遵循国家《保密法》以及保密工作的相关规定，对招标文件内容应承担保密义务，维护采购人的权益，发生窃、泄密事件潜在投标人应承担相应的法律责任。</w:t>
      </w:r>
    </w:p>
    <w:p>
      <w:pPr>
        <w:pStyle w:val="11"/>
        <w:tabs>
          <w:tab w:val="left" w:pos="720"/>
        </w:tabs>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1．5 投标人一旦参与本次采购活动，即被视为接受了本招标文件的所有内容，如有任何异议，均需在答疑截止时间前以书面形式提出。 </w:t>
      </w:r>
    </w:p>
    <w:p>
      <w:pPr>
        <w:pStyle w:val="11"/>
        <w:tabs>
          <w:tab w:val="left" w:pos="720"/>
        </w:tabs>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1．6 投标须对所投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服务商应承担相应后果，并负责赔偿。服务商为执行本项目合同而提供的技术资料等归采购人所有。</w:t>
      </w:r>
    </w:p>
    <w:p>
      <w:pPr>
        <w:pStyle w:val="11"/>
        <w:tabs>
          <w:tab w:val="left" w:pos="720"/>
        </w:tabs>
        <w:spacing w:line="440" w:lineRule="exact"/>
        <w:rPr>
          <w:rFonts w:hint="eastAsia" w:ascii="宋体" w:hAnsi="宋体" w:eastAsia="宋体" w:cs="宋体"/>
          <w:color w:val="auto"/>
          <w:sz w:val="24"/>
          <w:szCs w:val="28"/>
          <w:highlight w:val="none"/>
        </w:rPr>
      </w:pPr>
      <w:r>
        <w:rPr>
          <w:rFonts w:hint="eastAsia" w:ascii="宋体" w:hAnsi="宋体" w:eastAsia="宋体" w:cs="宋体"/>
          <w:color w:val="auto"/>
          <w:sz w:val="24"/>
          <w:highlight w:val="none"/>
        </w:rPr>
        <w:t>2．采购方式：</w:t>
      </w:r>
      <w:r>
        <w:rPr>
          <w:rFonts w:hint="eastAsia" w:ascii="宋体" w:hAnsi="宋体" w:eastAsia="宋体" w:cs="宋体"/>
          <w:color w:val="auto"/>
          <w:sz w:val="24"/>
          <w:szCs w:val="28"/>
          <w:highlight w:val="none"/>
        </w:rPr>
        <w:t>公开招标</w:t>
      </w:r>
    </w:p>
    <w:p>
      <w:pPr>
        <w:pStyle w:val="11"/>
        <w:tabs>
          <w:tab w:val="left" w:pos="720"/>
        </w:tabs>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3．合格的投标人应具备的资格要求，见招标文件第一部分“招标公告”第4条。</w:t>
      </w:r>
    </w:p>
    <w:p>
      <w:pPr>
        <w:pStyle w:val="11"/>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4．投标费用</w:t>
      </w:r>
    </w:p>
    <w:p>
      <w:pPr>
        <w:pStyle w:val="11"/>
        <w:spacing w:line="440" w:lineRule="exact"/>
        <w:ind w:firstLine="495"/>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1、投标人需自行承担涉及投标的一切费用，不管投标结果如何，采购单位和采购代理机构对上述费用不负任何责任。</w:t>
      </w:r>
    </w:p>
    <w:p>
      <w:pPr>
        <w:pStyle w:val="11"/>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本次招标代理费由中标人计入综合单价及总报价中。该项费用由招标代理公司在发中标通知书时向中标单位收取，代理服务费以中标价为基数按国家计委【计价格〔2002〕1980号】文件规定标准的60%收取，单个标段代理费不足伍仟元按伍仟元计取。</w:t>
      </w:r>
    </w:p>
    <w:p>
      <w:pPr>
        <w:pStyle w:val="11"/>
        <w:spacing w:line="440" w:lineRule="exact"/>
        <w:rPr>
          <w:rFonts w:hint="eastAsia" w:ascii="宋体" w:hAnsi="宋体" w:eastAsia="宋体" w:cs="宋体"/>
          <w:color w:val="auto"/>
          <w:sz w:val="24"/>
          <w:highlight w:val="none"/>
        </w:rPr>
      </w:pPr>
    </w:p>
    <w:p>
      <w:pPr>
        <w:pStyle w:val="11"/>
        <w:spacing w:line="440" w:lineRule="exact"/>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二、招标文件</w:t>
      </w:r>
    </w:p>
    <w:p>
      <w:pPr>
        <w:pStyle w:val="11"/>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5．招标文件的组成</w:t>
      </w:r>
    </w:p>
    <w:p>
      <w:pPr>
        <w:pStyle w:val="11"/>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5．1招标文件包括下列文件及附件</w:t>
      </w:r>
    </w:p>
    <w:p>
      <w:pPr>
        <w:numPr>
          <w:ilvl w:val="0"/>
          <w:numId w:val="2"/>
        </w:numPr>
        <w:spacing w:line="360" w:lineRule="auto"/>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招标公告</w:t>
      </w:r>
    </w:p>
    <w:p>
      <w:pPr>
        <w:numPr>
          <w:ilvl w:val="0"/>
          <w:numId w:val="2"/>
        </w:numPr>
        <w:spacing w:line="360" w:lineRule="auto"/>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编制和提交投标文件须知</w:t>
      </w:r>
    </w:p>
    <w:p>
      <w:pPr>
        <w:numPr>
          <w:ilvl w:val="0"/>
          <w:numId w:val="2"/>
        </w:numPr>
        <w:spacing w:line="360" w:lineRule="auto"/>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项目技术规范和服务要求</w:t>
      </w:r>
    </w:p>
    <w:p>
      <w:pPr>
        <w:numPr>
          <w:ilvl w:val="0"/>
          <w:numId w:val="2"/>
        </w:numPr>
        <w:spacing w:line="360" w:lineRule="auto"/>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采购合同的一般和特殊条款</w:t>
      </w:r>
    </w:p>
    <w:p>
      <w:pPr>
        <w:numPr>
          <w:ilvl w:val="0"/>
          <w:numId w:val="2"/>
        </w:numPr>
        <w:spacing w:line="360" w:lineRule="auto"/>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应提交的有关格式范例</w:t>
      </w:r>
    </w:p>
    <w:p>
      <w:pPr>
        <w:pStyle w:val="11"/>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5．2 投标人应认真审阅招标文件中所有的内容，包括招标公告、编制和提交采购响应文件须知、项目技术规范和服务要求、采购合同的一般和特殊条款、应提交的有关格式范例等。如果投标人编制的投标文件没有从实质上响应招标文件的要求，其投标文件将被采购代理机构拒绝。</w:t>
      </w:r>
    </w:p>
    <w:p>
      <w:pPr>
        <w:pStyle w:val="11"/>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6．招标文件的解释</w:t>
      </w:r>
    </w:p>
    <w:p>
      <w:pPr>
        <w:pStyle w:val="11"/>
        <w:spacing w:after="156"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6．1已获取招标文件的潜在投标人，若有问题需要澄清，应于</w:t>
      </w:r>
      <w:r>
        <w:rPr>
          <w:rFonts w:hint="eastAsia" w:ascii="宋体" w:hAnsi="宋体" w:eastAsia="宋体" w:cs="宋体"/>
          <w:b/>
          <w:bCs/>
          <w:color w:val="auto"/>
          <w:sz w:val="24"/>
          <w:highlight w:val="none"/>
        </w:rPr>
        <w:t>2020年</w:t>
      </w:r>
      <w:r>
        <w:rPr>
          <w:rFonts w:hint="eastAsia" w:hAnsi="宋体" w:eastAsia="宋体" w:cs="宋体"/>
          <w:b/>
          <w:bCs/>
          <w:color w:val="auto"/>
          <w:sz w:val="24"/>
          <w:highlight w:val="none"/>
          <w:lang w:val="en-US" w:eastAsia="zh-CN"/>
        </w:rPr>
        <w:t>4</w:t>
      </w:r>
      <w:r>
        <w:rPr>
          <w:rFonts w:hint="eastAsia" w:ascii="宋体" w:hAnsi="宋体" w:eastAsia="宋体" w:cs="宋体"/>
          <w:b/>
          <w:bCs/>
          <w:color w:val="auto"/>
          <w:sz w:val="24"/>
          <w:highlight w:val="none"/>
        </w:rPr>
        <w:t>月</w:t>
      </w:r>
      <w:r>
        <w:rPr>
          <w:rFonts w:hint="eastAsia" w:hAnsi="宋体" w:eastAsia="宋体" w:cs="宋体"/>
          <w:b/>
          <w:bCs/>
          <w:color w:val="auto"/>
          <w:sz w:val="24"/>
          <w:highlight w:val="none"/>
          <w:lang w:val="en-US" w:eastAsia="zh-CN"/>
        </w:rPr>
        <w:t>2</w:t>
      </w:r>
      <w:r>
        <w:rPr>
          <w:rFonts w:hint="eastAsia" w:hAnsi="宋体" w:eastAsia="宋体" w:cs="宋体"/>
          <w:b/>
          <w:bCs/>
          <w:color w:val="auto"/>
          <w:sz w:val="24"/>
          <w:highlight w:val="none"/>
          <w:lang w:val="en-US" w:eastAsia="zh-CN"/>
        </w:rPr>
        <w:t>7</w:t>
      </w:r>
      <w:r>
        <w:rPr>
          <w:rFonts w:hint="eastAsia" w:ascii="宋体" w:hAnsi="宋体" w:eastAsia="宋体" w:cs="宋体"/>
          <w:b/>
          <w:bCs/>
          <w:color w:val="auto"/>
          <w:sz w:val="24"/>
          <w:highlight w:val="none"/>
        </w:rPr>
        <w:t>日</w:t>
      </w:r>
      <w:r>
        <w:rPr>
          <w:rFonts w:hint="eastAsia" w:hAnsi="宋体" w:eastAsia="宋体" w:cs="宋体"/>
          <w:b/>
          <w:bCs/>
          <w:color w:val="auto"/>
          <w:sz w:val="24"/>
          <w:highlight w:val="none"/>
          <w:lang w:val="en-US" w:eastAsia="zh-CN"/>
        </w:rPr>
        <w:t>1</w:t>
      </w:r>
      <w:r>
        <w:rPr>
          <w:rFonts w:hint="eastAsia" w:hAnsi="宋体" w:eastAsia="宋体" w:cs="宋体"/>
          <w:b/>
          <w:bCs/>
          <w:color w:val="auto"/>
          <w:sz w:val="24"/>
          <w:highlight w:val="none"/>
          <w:lang w:val="en-US" w:eastAsia="zh-CN"/>
        </w:rPr>
        <w:t>6</w:t>
      </w:r>
      <w:r>
        <w:rPr>
          <w:rFonts w:hint="eastAsia" w:ascii="宋体" w:hAnsi="宋体" w:eastAsia="宋体" w:cs="宋体"/>
          <w:b/>
          <w:bCs/>
          <w:color w:val="auto"/>
          <w:sz w:val="24"/>
          <w:highlight w:val="none"/>
        </w:rPr>
        <w:t>时前，将书面疑问邮件发送至采购代理机构1104640552@qq.com邮箱</w:t>
      </w:r>
      <w:r>
        <w:rPr>
          <w:rFonts w:hint="eastAsia" w:ascii="宋体" w:hAnsi="宋体" w:eastAsia="宋体" w:cs="宋体"/>
          <w:color w:val="auto"/>
          <w:sz w:val="24"/>
          <w:highlight w:val="none"/>
        </w:rPr>
        <w:t>，采购代理机构对已发出的招标文件进行必要澄清、答复、修改或补充的，应当在招标文件要求提交投标文件截止时间5日前，以书面形式通知所有招标文件收受人。</w:t>
      </w:r>
    </w:p>
    <w:p>
      <w:pPr>
        <w:pStyle w:val="11"/>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6．2不论采购代理机构向投标人发送的资料文件，还是投标人提出的问题，均采用书面形式，任何口头提问及答复一律无效。</w:t>
      </w:r>
    </w:p>
    <w:p>
      <w:pPr>
        <w:pStyle w:val="11"/>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6.3招标文件澄清、修改、答复、补充的内容为招标文件的组成部分，当招标文件与招标文件的澄清、修改、答复、补充通知就同一内容的表述不一致时，以最后发出的书面文件为准</w:t>
      </w:r>
    </w:p>
    <w:p>
      <w:pPr>
        <w:pStyle w:val="11"/>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7．招标文件的修改</w:t>
      </w:r>
    </w:p>
    <w:p>
      <w:pPr>
        <w:pStyle w:val="11"/>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7．1 从招标文件发出至投标截止日期，采购代理机构可能会以补充通知的方式修改招标文件。</w:t>
      </w:r>
    </w:p>
    <w:p>
      <w:pPr>
        <w:pStyle w:val="11"/>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7．2补充通知作为招标文件的组成部分，以书面形式同时发给所有招标文件的收受人。</w:t>
      </w:r>
    </w:p>
    <w:p>
      <w:pPr>
        <w:pStyle w:val="2"/>
        <w:spacing w:line="440" w:lineRule="exact"/>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7．3若有必要，采购代理机构将酌情延长递交投标文件的截止日期。</w:t>
      </w:r>
    </w:p>
    <w:p>
      <w:pPr>
        <w:pStyle w:val="11"/>
        <w:tabs>
          <w:tab w:val="left" w:pos="900"/>
        </w:tabs>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8．投标报价</w:t>
      </w:r>
    </w:p>
    <w:p>
      <w:pPr>
        <w:pStyle w:val="11"/>
        <w:spacing w:line="440" w:lineRule="exact"/>
        <w:rPr>
          <w:rFonts w:hint="eastAsia" w:ascii="宋体" w:hAnsi="宋体" w:eastAsia="宋体" w:cs="宋体"/>
          <w:color w:val="auto"/>
          <w:sz w:val="24"/>
          <w:highlight w:val="none"/>
        </w:rPr>
      </w:pPr>
      <w:r>
        <w:rPr>
          <w:rFonts w:hint="eastAsia" w:ascii="宋体" w:hAnsi="宋体" w:eastAsia="宋体" w:cs="宋体"/>
          <w:b/>
          <w:color w:val="auto"/>
          <w:sz w:val="24"/>
          <w:highlight w:val="none"/>
        </w:rPr>
        <w:t>8.1本项目投标报价为壹年服务总价。</w:t>
      </w:r>
      <w:r>
        <w:rPr>
          <w:rFonts w:hint="eastAsia" w:ascii="宋体" w:hAnsi="宋体" w:eastAsia="宋体" w:cs="宋体"/>
          <w:color w:val="auto"/>
          <w:sz w:val="24"/>
          <w:highlight w:val="none"/>
        </w:rPr>
        <w:t>投标单位按招标文件规定的质量要求，结合作业地段实际和企业自身实力自主报价并将涉及到的费用按单项列出清单。有关本项目所需的一切费用均计入报价，中标后合同总价不做调整。《开标一览表》是报价的唯一载体。</w:t>
      </w:r>
    </w:p>
    <w:p>
      <w:pPr>
        <w:pStyle w:val="11"/>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8．2其它费用处理</w:t>
      </w:r>
    </w:p>
    <w:p>
      <w:pPr>
        <w:pStyle w:val="11"/>
        <w:spacing w:line="440" w:lineRule="exact"/>
        <w:ind w:firstLine="560"/>
        <w:rPr>
          <w:rFonts w:hint="eastAsia" w:ascii="宋体" w:hAnsi="宋体" w:eastAsia="宋体" w:cs="宋体"/>
          <w:color w:val="auto"/>
          <w:sz w:val="24"/>
          <w:highlight w:val="none"/>
        </w:rPr>
      </w:pPr>
      <w:r>
        <w:rPr>
          <w:rFonts w:hint="eastAsia" w:ascii="宋体" w:hAnsi="宋体" w:eastAsia="宋体" w:cs="宋体"/>
          <w:color w:val="auto"/>
          <w:sz w:val="24"/>
          <w:highlight w:val="none"/>
        </w:rPr>
        <w:t>招标文件未列明，而投标人认为必需的费用也需列入报价。</w:t>
      </w:r>
    </w:p>
    <w:p>
      <w:pPr>
        <w:pStyle w:val="11"/>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8．3</w:t>
      </w:r>
      <w:r>
        <w:rPr>
          <w:rFonts w:hint="eastAsia" w:ascii="宋体" w:hAnsi="宋体" w:eastAsia="宋体" w:cs="宋体"/>
          <w:color w:val="auto"/>
          <w:sz w:val="24"/>
          <w:szCs w:val="24"/>
          <w:highlight w:val="none"/>
        </w:rPr>
        <w:t>投标货币</w:t>
      </w:r>
    </w:p>
    <w:p>
      <w:pPr>
        <w:spacing w:line="520" w:lineRule="exact"/>
        <w:ind w:firstLine="57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中的单价和总价全部采用人民币报价。报价应是唯一的，采购代理机构有权利不接受有选择的报价。投标文件中的报价大写金额和小写金额不一致的，以大写金额为准；总价金额与按单价汇总金额不一致的，以单价金额计算结果为准；单价金额小数点有明显错位的，应以总价为准，并修改单价。</w:t>
      </w:r>
    </w:p>
    <w:p>
      <w:pPr>
        <w:spacing w:line="52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8．4 投标人应充分考虑现场条件、服务期、质量、安全及其他因素可能发生的费用，中标后不得以未考虑上述过程中的任一因素为由要求增加项目造价。</w:t>
      </w:r>
    </w:p>
    <w:p>
      <w:pPr>
        <w:pStyle w:val="11"/>
        <w:spacing w:line="440" w:lineRule="exact"/>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三、投标文件</w:t>
      </w:r>
    </w:p>
    <w:p>
      <w:pPr>
        <w:pStyle w:val="11"/>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9．投标文件的语言</w:t>
      </w:r>
    </w:p>
    <w:p>
      <w:pPr>
        <w:snapToGrid w:val="0"/>
        <w:spacing w:line="300" w:lineRule="auto"/>
        <w:ind w:firstLine="480" w:firstLineChars="20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9.1投标文件以及投标人与招标人就有关投标事宜的所有来往函电，均应以中文汉语书写。除签名、盖章、专用名称等特殊情形外，以中文汉语以外的文字表述的投标文件视同未提供。</w:t>
      </w:r>
    </w:p>
    <w:p>
      <w:pPr>
        <w:snapToGrid w:val="0"/>
        <w:spacing w:line="300" w:lineRule="auto"/>
        <w:ind w:firstLine="480" w:firstLineChars="20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9.2投标文件中如附有外文资料，必须逐一对应翻译成中文并加盖投标人公章后附在相关外文资料后面，否则外文资料不予认可。翻译的中文资料与外文资料不符的，均不予认可。翻译严重错误的，将视同提供虚假资料上报财政部门列入不诚信记录。</w:t>
      </w:r>
    </w:p>
    <w:p>
      <w:pPr>
        <w:snapToGrid w:val="0"/>
        <w:spacing w:line="300" w:lineRule="auto"/>
        <w:ind w:firstLine="480" w:firstLineChars="20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lang w:val="zh-CN"/>
        </w:rPr>
        <w:t>9.3</w:t>
      </w:r>
      <w:r>
        <w:rPr>
          <w:rFonts w:hint="eastAsia" w:ascii="宋体" w:hAnsi="宋体" w:eastAsia="宋体" w:cs="宋体"/>
          <w:color w:val="auto"/>
          <w:sz w:val="24"/>
          <w:szCs w:val="20"/>
          <w:highlight w:val="none"/>
        </w:rPr>
        <w:t>投标计量单位，招标文件已有明确规定的，使用招标文件规定的计量单位；招标文件没有规定的，应采用中华人民共和国法定计量单位（货币单位：人民币元），否则视同未响应。</w:t>
      </w:r>
    </w:p>
    <w:p>
      <w:pPr>
        <w:pStyle w:val="11"/>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9.4投标文件中优惠条件事项不能包括采购项目本身所包括涉及的采购事项。投标人不能以“赠送、赠予”等任何名义提供货物和服务以规避招标文件的约束。</w:t>
      </w:r>
    </w:p>
    <w:p>
      <w:pPr>
        <w:pStyle w:val="11"/>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10．投标文件的组成</w:t>
      </w:r>
    </w:p>
    <w:p>
      <w:pPr>
        <w:pStyle w:val="11"/>
        <w:spacing w:line="44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投标文件一般应当包括以下主要内容：</w:t>
      </w:r>
      <w:r>
        <w:rPr>
          <w:rFonts w:hint="eastAsia" w:ascii="宋体" w:hAnsi="宋体" w:eastAsia="宋体" w:cs="宋体"/>
          <w:b/>
          <w:color w:val="auto"/>
          <w:sz w:val="24"/>
          <w:highlight w:val="none"/>
        </w:rPr>
        <w:t>资格审查文件</w:t>
      </w: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商务报价文件</w:t>
      </w:r>
      <w:r>
        <w:rPr>
          <w:rFonts w:hint="eastAsia" w:ascii="宋体" w:hAnsi="宋体" w:eastAsia="宋体" w:cs="宋体"/>
          <w:color w:val="auto"/>
          <w:sz w:val="24"/>
          <w:highlight w:val="none"/>
        </w:rPr>
        <w:t xml:space="preserve"> ；</w:t>
      </w:r>
      <w:r>
        <w:rPr>
          <w:rFonts w:hint="eastAsia" w:ascii="宋体" w:hAnsi="宋体" w:eastAsia="宋体" w:cs="宋体"/>
          <w:b/>
          <w:color w:val="auto"/>
          <w:sz w:val="24"/>
          <w:highlight w:val="none"/>
        </w:rPr>
        <w:t>资信技术文件</w:t>
      </w:r>
      <w:r>
        <w:rPr>
          <w:rFonts w:hint="eastAsia" w:ascii="宋体" w:hAnsi="宋体" w:eastAsia="宋体" w:cs="宋体"/>
          <w:color w:val="auto"/>
          <w:sz w:val="24"/>
          <w:highlight w:val="none"/>
        </w:rPr>
        <w:t>。</w:t>
      </w:r>
    </w:p>
    <w:p>
      <w:pPr>
        <w:snapToGrid w:val="0"/>
        <w:spacing w:line="300" w:lineRule="auto"/>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10.1资格审查文件</w:t>
      </w:r>
    </w:p>
    <w:p>
      <w:pPr>
        <w:snapToGrid w:val="0"/>
        <w:spacing w:line="300" w:lineRule="auto"/>
        <w:ind w:firstLine="480" w:firstLineChars="20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1）资格审查资料；</w:t>
      </w:r>
    </w:p>
    <w:p>
      <w:pPr>
        <w:snapToGrid w:val="0"/>
        <w:spacing w:line="300" w:lineRule="auto"/>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10.2商务报价文件</w:t>
      </w:r>
    </w:p>
    <w:p>
      <w:pPr>
        <w:snapToGrid w:val="0"/>
        <w:spacing w:line="300" w:lineRule="auto"/>
        <w:ind w:firstLine="480" w:firstLineChars="20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1） 投标函；</w:t>
      </w:r>
    </w:p>
    <w:p>
      <w:pPr>
        <w:snapToGrid w:val="0"/>
        <w:spacing w:line="300" w:lineRule="auto"/>
        <w:ind w:firstLine="480" w:firstLineChars="20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2） 开标一览表；</w:t>
      </w:r>
    </w:p>
    <w:p>
      <w:pPr>
        <w:pStyle w:val="11"/>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 投标报价明细清单：投标人按招标文件规定的质量要求，结合作业标段实际和企业自身实力，参照预算价自主报价并将涉及到的费用按单项列出清单。</w:t>
      </w:r>
    </w:p>
    <w:p>
      <w:pPr>
        <w:pStyle w:val="11"/>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费用包括：</w:t>
      </w:r>
    </w:p>
    <w:p>
      <w:pPr>
        <w:pStyle w:val="11"/>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作业成本经费。含人员工资、劳保用品费、清扫保洁易耗工具费。根据浙政办发〔2015〕30号和杭政办〔2008〕14号文件规定的工资标准，包含人员基础工资，环卫特殊岗位津贴、高温费、社会保险费、住房公积金、双休日及法定节假日加班费、医疗体检费等。其中人员基础工资不得低于最新出台的杭州市城镇职工最低工资标准的110%）同时考虑杭州市每年调整最低工资的因素。</w:t>
      </w:r>
    </w:p>
    <w:p>
      <w:pPr>
        <w:pStyle w:val="11"/>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2、合理利润及法规要求涉及的保障费用。</w:t>
      </w:r>
    </w:p>
    <w:p>
      <w:pPr>
        <w:pStyle w:val="11"/>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在考虑定标优惠承诺后，确定一年（12个月）的总承包经费。投标单位报价可参考本标的预算价（道路具体作业难易情况）进行报价。</w:t>
      </w:r>
    </w:p>
    <w:p>
      <w:pPr>
        <w:pStyle w:val="11"/>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3、其他费用</w:t>
      </w:r>
    </w:p>
    <w:p>
      <w:pPr>
        <w:snapToGrid w:val="0"/>
        <w:spacing w:line="300" w:lineRule="auto"/>
        <w:ind w:firstLine="480" w:firstLineChars="200"/>
        <w:rPr>
          <w:rFonts w:hint="eastAsia" w:ascii="宋体" w:hAnsi="宋体" w:eastAsia="宋体" w:cs="宋体"/>
          <w:color w:val="auto"/>
          <w:sz w:val="24"/>
          <w:szCs w:val="20"/>
          <w:highlight w:val="none"/>
        </w:rPr>
      </w:pPr>
      <w:r>
        <w:rPr>
          <w:rFonts w:hint="eastAsia" w:ascii="宋体" w:hAnsi="宋体" w:eastAsia="宋体" w:cs="宋体"/>
          <w:color w:val="auto"/>
          <w:sz w:val="24"/>
          <w:highlight w:val="none"/>
        </w:rPr>
        <w:t>除以上所列各项费用外，投标人认为应纳入本报价的其他费用（包括招标代理费、税金等）。</w:t>
      </w:r>
    </w:p>
    <w:p>
      <w:pPr>
        <w:snapToGrid w:val="0"/>
        <w:spacing w:line="300" w:lineRule="auto"/>
        <w:ind w:firstLine="480" w:firstLineChars="20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4） 中小企业声明函、监狱企业声明函及其相关的充分的证明材料、残疾人福利性单位声明函；</w:t>
      </w:r>
    </w:p>
    <w:p>
      <w:pPr>
        <w:pStyle w:val="11"/>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10．3投标人的</w:t>
      </w:r>
      <w:r>
        <w:rPr>
          <w:rFonts w:hint="eastAsia" w:ascii="宋体" w:hAnsi="宋体" w:eastAsia="宋体" w:cs="宋体"/>
          <w:b/>
          <w:bCs/>
          <w:color w:val="auto"/>
          <w:sz w:val="24"/>
          <w:highlight w:val="none"/>
        </w:rPr>
        <w:t>资信</w:t>
      </w:r>
      <w:r>
        <w:rPr>
          <w:rFonts w:hint="eastAsia" w:ascii="宋体" w:hAnsi="宋体" w:eastAsia="宋体" w:cs="宋体"/>
          <w:b/>
          <w:color w:val="auto"/>
          <w:sz w:val="24"/>
          <w:highlight w:val="none"/>
        </w:rPr>
        <w:t>技术文件</w:t>
      </w:r>
      <w:r>
        <w:rPr>
          <w:rFonts w:hint="eastAsia" w:ascii="宋体" w:hAnsi="宋体" w:eastAsia="宋体" w:cs="宋体"/>
          <w:color w:val="auto"/>
          <w:sz w:val="24"/>
          <w:highlight w:val="none"/>
        </w:rPr>
        <w:t>应至少包括：</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（1）法人授权委托书，法定代表人及授权委托人的身份证（复印件）；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（2）投标人的营业执照和资质证书等企业资质文件的复印件及公司介绍（投标人应对投标人的企业基本概况、经营理念、管理目标、竞争优势、已取得的业绩及企业资信情况等进行简要介绍和说明）；</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（3）银行出具的企业信用等级证书；</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（4）投标人的相关业绩以及相应的证明文件（中标通知书、合同或业主证明，原件备查）； </w:t>
      </w:r>
    </w:p>
    <w:p>
      <w:pP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（5）投标保证金交纳凭证；</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（6）商务偏离说明表；</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（7）年度清除非法涂写招贴广告作业计划方案；</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（8）清除非法涂写招贴广告作业措施设想；</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（9）内部考核制度和人员配置及管理情况方案；</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（10）参与本项目的管理人员和主要技术骨干名单及简历（包括年龄、学历、职称或技术等级、执业证明等）；</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（11）技术偏离说明表；</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（12）关于对招标文件中有关条款的拒绝声明（如果有）；</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（13）投标人认为需要的其他文件或说明；</w:t>
      </w:r>
    </w:p>
    <w:p>
      <w:pP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sz w:val="24"/>
          <w:highlight w:val="none"/>
        </w:rPr>
        <w:t>（14）</w:t>
      </w:r>
      <w:r>
        <w:rPr>
          <w:rFonts w:hint="eastAsia" w:ascii="宋体" w:hAnsi="宋体" w:eastAsia="宋体" w:cs="宋体"/>
          <w:color w:val="auto"/>
          <w:kern w:val="0"/>
          <w:sz w:val="24"/>
          <w:highlight w:val="none"/>
          <w:lang w:val="zh-CN"/>
        </w:rPr>
        <w:t>优惠条件及特殊承诺。</w:t>
      </w: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10.4</w:t>
      </w:r>
      <w:r>
        <w:rPr>
          <w:rFonts w:hint="eastAsia" w:ascii="宋体" w:hAnsi="宋体" w:eastAsia="宋体" w:cs="宋体"/>
          <w:b/>
          <w:color w:val="auto"/>
          <w:sz w:val="24"/>
          <w:highlight w:val="none"/>
        </w:rPr>
        <w:t>投标人要认真审阅招标文件中所有内容，主要有作业要求、质量标准、现场条件等，投标文件必须按照招标文件要求制作。</w:t>
      </w:r>
    </w:p>
    <w:p>
      <w:pPr>
        <w:pStyle w:val="11"/>
        <w:spacing w:line="44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11．投标有效期</w:t>
      </w:r>
    </w:p>
    <w:p>
      <w:pPr>
        <w:pStyle w:val="11"/>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11．1 投标文件合格投递后，在本须知前附表规定的日期内有效。</w:t>
      </w:r>
    </w:p>
    <w:p>
      <w:pPr>
        <w:pStyle w:val="11"/>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11．2在原定投标有效期之前，如果出现特殊情况，采购代理机构可以以书面形式通知投标人延长投标有效期。</w:t>
      </w:r>
    </w:p>
    <w:p>
      <w:pPr>
        <w:pStyle w:val="11"/>
        <w:spacing w:line="44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12．投标保证金：不要求缴纳。</w:t>
      </w:r>
    </w:p>
    <w:p>
      <w:pPr>
        <w:pStyle w:val="5"/>
        <w:tabs>
          <w:tab w:val="left" w:pos="720"/>
        </w:tabs>
        <w:snapToGrid w:val="0"/>
        <w:spacing w:before="0" w:after="0" w:line="440" w:lineRule="exact"/>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13．投标</w:t>
      </w:r>
      <w:r>
        <w:rPr>
          <w:rFonts w:hint="eastAsia" w:ascii="宋体" w:hAnsi="宋体" w:eastAsia="宋体" w:cs="宋体"/>
          <w:color w:val="auto"/>
          <w:sz w:val="24"/>
          <w:szCs w:val="24"/>
          <w:highlight w:val="none"/>
        </w:rPr>
        <w:t>文件的编制</w:t>
      </w:r>
    </w:p>
    <w:p>
      <w:pPr>
        <w:spacing w:line="440" w:lineRule="exact"/>
        <w:ind w:firstLine="482" w:firstLineChars="200"/>
        <w:rPr>
          <w:rFonts w:hint="eastAsia" w:ascii="宋体" w:hAnsi="宋体" w:eastAsia="宋体" w:cs="宋体"/>
          <w:b/>
          <w:color w:val="auto"/>
          <w:sz w:val="24"/>
          <w:highlight w:val="none"/>
        </w:rPr>
      </w:pPr>
      <w:bookmarkStart w:id="2" w:name="_Hlt68073093"/>
      <w:bookmarkEnd w:id="2"/>
      <w:bookmarkStart w:id="3" w:name="_Hlt68403820"/>
      <w:bookmarkEnd w:id="3"/>
      <w:bookmarkStart w:id="4" w:name="_Hlt68072998"/>
      <w:bookmarkEnd w:id="4"/>
      <w:r>
        <w:rPr>
          <w:rFonts w:hint="eastAsia" w:ascii="宋体" w:hAnsi="宋体" w:eastAsia="宋体" w:cs="宋体"/>
          <w:b/>
          <w:color w:val="auto"/>
          <w:kern w:val="0"/>
          <w:sz w:val="24"/>
          <w:highlight w:val="none"/>
        </w:rPr>
        <w:t>13.1</w:t>
      </w:r>
      <w:r>
        <w:rPr>
          <w:rFonts w:hint="eastAsia" w:ascii="宋体" w:hAnsi="宋体" w:eastAsia="宋体" w:cs="宋体"/>
          <w:b/>
          <w:color w:val="auto"/>
          <w:sz w:val="24"/>
          <w:highlight w:val="none"/>
        </w:rPr>
        <w:t>本项目通过“政府采购云平台（www.zcygov.cn）”实行在线投标响应（电子投标）。供应商应通过“政采云电子交易客户端”，并按照本招标文件和“政府采购云平台”的要求编制并加密投标文件。</w:t>
      </w:r>
    </w:p>
    <w:p>
      <w:pPr>
        <w:spacing w:line="360" w:lineRule="auto"/>
        <w:ind w:firstLine="422" w:firstLineChars="175"/>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13.2投标供应商应当按照本章节 “投标文件组成”规定的内容及顺序在“政采云电子交易客户端”编制投标文件。其中《资格文件》和《商务技术文件》中不得出现本项目投标报价，如因投标人原因提前泄露投标报价，是投标人的责任。</w:t>
      </w:r>
    </w:p>
    <w:p>
      <w:pPr>
        <w:spacing w:line="360" w:lineRule="auto"/>
        <w:ind w:firstLine="422" w:firstLineChars="175"/>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rPr>
        <w:t>13</w:t>
      </w:r>
      <w:r>
        <w:rPr>
          <w:rFonts w:hint="eastAsia" w:ascii="宋体" w:hAnsi="宋体" w:eastAsia="宋体" w:cs="宋体"/>
          <w:b/>
          <w:color w:val="auto"/>
          <w:sz w:val="24"/>
          <w:highlight w:val="none"/>
        </w:rPr>
        <w:t>.3本文件《第五部分  应提交的有关格式范例》中有提供格式的，投标供应商须参照格式进行编制（格式中要求提供相关证明材料的还需后附相关证明材料），并按格式要求在指定位置根据要求进行签章，否则视为未提供；本文件《第五部分  应提交的有关格式范例》未提供格式的，请各投标单位自行拟定格式，并加盖单位公章并由法定代表人或其授权代表签署（签字或盖章），否则视为未提供。</w:t>
      </w:r>
    </w:p>
    <w:p>
      <w:pPr>
        <w:spacing w:line="360" w:lineRule="auto"/>
        <w:ind w:firstLine="420" w:firstLineChars="175"/>
        <w:rPr>
          <w:rFonts w:hint="eastAsia" w:ascii="宋体" w:hAnsi="宋体" w:eastAsia="宋体" w:cs="宋体"/>
          <w:color w:val="auto"/>
          <w:kern w:val="0"/>
          <w:sz w:val="24"/>
          <w:highlight w:val="none"/>
        </w:rPr>
      </w:pPr>
      <w:r>
        <w:rPr>
          <w:rFonts w:hint="eastAsia" w:ascii="宋体" w:hAnsi="宋体" w:eastAsia="宋体" w:cs="宋体"/>
          <w:bCs/>
          <w:color w:val="auto"/>
          <w:kern w:val="0"/>
          <w:sz w:val="24"/>
          <w:highlight w:val="none"/>
        </w:rPr>
        <w:t>13.4</w:t>
      </w:r>
      <w:r>
        <w:rPr>
          <w:rFonts w:hint="eastAsia" w:ascii="宋体" w:hAnsi="宋体" w:eastAsia="宋体" w:cs="宋体"/>
          <w:color w:val="auto"/>
          <w:kern w:val="0"/>
          <w:sz w:val="24"/>
          <w:highlight w:val="none"/>
        </w:rPr>
        <w:t>《投标文件》内容不完整、编排混乱导致《投标文件》被误读、漏读或者查找不到相关内容的，是投标供应商的责任。</w:t>
      </w:r>
    </w:p>
    <w:p>
      <w:pPr>
        <w:spacing w:line="360" w:lineRule="auto"/>
        <w:ind w:firstLine="420" w:firstLineChars="175"/>
        <w:rPr>
          <w:rFonts w:hint="eastAsia" w:ascii="宋体" w:hAnsi="宋体" w:eastAsia="宋体" w:cs="宋体"/>
          <w:color w:val="auto"/>
          <w:kern w:val="0"/>
          <w:sz w:val="24"/>
          <w:highlight w:val="none"/>
        </w:rPr>
      </w:pPr>
      <w:r>
        <w:rPr>
          <w:rFonts w:hint="eastAsia" w:ascii="宋体" w:hAnsi="宋体" w:eastAsia="宋体" w:cs="宋体"/>
          <w:bCs/>
          <w:color w:val="auto"/>
          <w:kern w:val="0"/>
          <w:sz w:val="24"/>
          <w:highlight w:val="none"/>
        </w:rPr>
        <w:t>13.</w:t>
      </w:r>
      <w:r>
        <w:rPr>
          <w:rFonts w:hint="eastAsia" w:ascii="宋体" w:hAnsi="宋体" w:eastAsia="宋体" w:cs="宋体"/>
          <w:color w:val="auto"/>
          <w:kern w:val="0"/>
          <w:sz w:val="24"/>
          <w:highlight w:val="none"/>
        </w:rPr>
        <w:t>5《投标文件》因字迹潦草或表达不清所引起的后果由投标供应商负责。</w:t>
      </w:r>
    </w:p>
    <w:p>
      <w:pPr>
        <w:snapToGrid w:val="0"/>
        <w:spacing w:line="30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bCs/>
          <w:color w:val="auto"/>
          <w:kern w:val="0"/>
          <w:sz w:val="24"/>
          <w:highlight w:val="none"/>
        </w:rPr>
        <w:t>13.</w:t>
      </w:r>
      <w:r>
        <w:rPr>
          <w:rFonts w:hint="eastAsia" w:ascii="宋体" w:hAnsi="宋体" w:eastAsia="宋体" w:cs="宋体"/>
          <w:color w:val="auto"/>
          <w:kern w:val="0"/>
          <w:sz w:val="24"/>
          <w:highlight w:val="none"/>
        </w:rPr>
        <w:t>6投标供应商没有按照本章节 “投标文件组成”要求提供全部资料，或者没有仔细阅读招标文件，或者没有对招标文件在各方面的要求作出实质性响应是投标供应商的风险，由此造成的一切后果由投标供应商自行承担。</w:t>
      </w:r>
    </w:p>
    <w:p>
      <w:pPr>
        <w:spacing w:line="360" w:lineRule="auto"/>
        <w:ind w:firstLine="422" w:firstLineChars="175"/>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14.投标文件的签章</w:t>
      </w:r>
    </w:p>
    <w:p>
      <w:pPr>
        <w:spacing w:line="360" w:lineRule="auto"/>
        <w:ind w:firstLine="422" w:firstLineChars="175"/>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14.1《投标文件》的签章：见《前附表》；</w:t>
      </w:r>
    </w:p>
    <w:p>
      <w:pPr>
        <w:spacing w:line="360" w:lineRule="auto"/>
        <w:ind w:firstLine="422" w:firstLineChars="175"/>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14.2《投标文件》应由投标供应商法定代表人或其授权代表签字（或盖章），并加盖投标供应商公章。</w:t>
      </w:r>
    </w:p>
    <w:p>
      <w:pPr>
        <w:spacing w:line="360" w:lineRule="auto"/>
        <w:ind w:firstLine="422" w:firstLineChars="175"/>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14.3电子签章操作指南详见采购公告附件《供应商项目采购-电子招投标操作指南》。</w:t>
      </w:r>
    </w:p>
    <w:p>
      <w:pPr>
        <w:spacing w:line="360" w:lineRule="auto"/>
        <w:ind w:firstLine="422" w:firstLineChars="175"/>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15.投标文件的形式</w:t>
      </w:r>
    </w:p>
    <w:p>
      <w:pPr>
        <w:spacing w:line="360" w:lineRule="auto"/>
        <w:ind w:firstLine="422" w:firstLineChars="175"/>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15.1投标文件的形式：见《前附表》；</w:t>
      </w:r>
    </w:p>
    <w:p>
      <w:pPr>
        <w:spacing w:line="360" w:lineRule="auto"/>
        <w:ind w:firstLine="422" w:firstLineChars="175"/>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15.2“电子加密投标文件”：“电子加密投标文件”是指通过“政采云电子交易客户端”完成投标文件编制后生成并加密的数据电文形式的投标文件。</w:t>
      </w:r>
    </w:p>
    <w:p>
      <w:pPr>
        <w:pStyle w:val="2"/>
        <w:spacing w:line="440" w:lineRule="exact"/>
        <w:ind w:left="0" w:leftChars="0" w:firstLine="482"/>
        <w:rPr>
          <w:rFonts w:hint="eastAsia" w:ascii="宋体" w:hAnsi="宋体" w:eastAsia="宋体" w:cs="宋体"/>
          <w:color w:val="auto"/>
          <w:highlight w:val="none"/>
        </w:rPr>
      </w:pPr>
      <w:r>
        <w:rPr>
          <w:rFonts w:hint="eastAsia" w:ascii="宋体" w:hAnsi="宋体" w:eastAsia="宋体" w:cs="宋体"/>
          <w:b/>
          <w:color w:val="auto"/>
          <w:kern w:val="0"/>
          <w:highlight w:val="none"/>
        </w:rPr>
        <w:t>15.3“备份投标文件”：“备份投标文件”是指与“电子加密投标文件”同时生成的数据电文形式的电子文件（备份标书），其他方式编制的“备份投标文件”视为无效的“备份投标文件”。</w:t>
      </w:r>
    </w:p>
    <w:p>
      <w:pPr>
        <w:pStyle w:val="11"/>
        <w:spacing w:line="440" w:lineRule="exact"/>
        <w:jc w:val="center"/>
        <w:rPr>
          <w:rFonts w:hint="eastAsia" w:ascii="宋体" w:hAnsi="宋体" w:eastAsia="宋体" w:cs="宋体"/>
          <w:b/>
          <w:bCs/>
          <w:color w:val="auto"/>
          <w:sz w:val="24"/>
          <w:highlight w:val="none"/>
        </w:rPr>
      </w:pPr>
    </w:p>
    <w:p>
      <w:pPr>
        <w:pStyle w:val="11"/>
        <w:spacing w:line="440" w:lineRule="exact"/>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四、投标文件的递交</w:t>
      </w:r>
    </w:p>
    <w:p>
      <w:pPr>
        <w:pStyle w:val="11"/>
        <w:spacing w:line="440" w:lineRule="exac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14. 投标文件的上传和递交</w:t>
      </w:r>
    </w:p>
    <w:p>
      <w:pPr>
        <w:pStyle w:val="11"/>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14.1“投标文件”的上传、递交：见《前附表》。</w:t>
      </w:r>
    </w:p>
    <w:p>
      <w:pPr>
        <w:pStyle w:val="11"/>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14.2“电子加密投标文件”解密：见《前附表》。</w:t>
      </w:r>
    </w:p>
    <w:p>
      <w:pPr>
        <w:pStyle w:val="11"/>
        <w:spacing w:line="44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15．投标截止期</w:t>
      </w:r>
    </w:p>
    <w:p>
      <w:pPr>
        <w:pStyle w:val="11"/>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▲15.1投标人应按前附表规定的时间将投标文件在“政府采购云平台”完成投标文件的上传、递交给招标人，招标人将拒绝接受逾期上传的投标文件。</w:t>
      </w:r>
    </w:p>
    <w:p>
      <w:pPr>
        <w:pStyle w:val="11"/>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15.2招标人可以按本须知规定以补充通知的方式，酌情延长递交投标文件的截止日期。在上述情况下，招标人与投标人以前在投标截止期方面的全部权利、责任和义务，将适用于延长至新的投标截止期。</w:t>
      </w:r>
    </w:p>
    <w:p>
      <w:pPr>
        <w:pStyle w:val="11"/>
        <w:spacing w:line="44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16．</w:t>
      </w:r>
      <w:r>
        <w:rPr>
          <w:rFonts w:hint="eastAsia" w:ascii="宋体" w:hAnsi="宋体" w:eastAsia="宋体" w:cs="宋体"/>
          <w:b/>
          <w:color w:val="auto"/>
          <w:sz w:val="24"/>
          <w:szCs w:val="28"/>
          <w:highlight w:val="none"/>
        </w:rPr>
        <w:t>投标</w:t>
      </w:r>
      <w:r>
        <w:rPr>
          <w:rFonts w:hint="eastAsia" w:ascii="宋体" w:hAnsi="宋体" w:eastAsia="宋体" w:cs="宋体"/>
          <w:b/>
          <w:color w:val="auto"/>
          <w:sz w:val="24"/>
          <w:highlight w:val="none"/>
        </w:rPr>
        <w:t>文件的修改</w:t>
      </w:r>
    </w:p>
    <w:p>
      <w:pPr>
        <w:snapToGrid w:val="0"/>
        <w:spacing w:line="300" w:lineRule="auto"/>
        <w:ind w:firstLine="480" w:firstLineChars="20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16.1供应商应当在投标截止时间前在“政府采购云平台”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pStyle w:val="11"/>
        <w:spacing w:line="440" w:lineRule="exact"/>
        <w:ind w:firstLine="480" w:firstLineChars="200"/>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16.2投标截止时间后，投标供应商不得撤回、修改投标文件。</w:t>
      </w:r>
    </w:p>
    <w:p>
      <w:pPr>
        <w:pStyle w:val="11"/>
        <w:spacing w:line="360" w:lineRule="auto"/>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五、开标</w:t>
      </w:r>
    </w:p>
    <w:p>
      <w:pPr>
        <w:pStyle w:val="32"/>
        <w:spacing w:before="0"/>
        <w:ind w:firstLine="0" w:firstLineChars="0"/>
        <w:outlineLvl w:val="2"/>
        <w:rPr>
          <w:rFonts w:hint="eastAsia" w:ascii="宋体" w:hAnsi="宋体" w:eastAsia="宋体" w:cs="宋体"/>
          <w:b/>
          <w:color w:val="auto"/>
          <w:highlight w:val="none"/>
          <w:lang w:val="en-US" w:eastAsia="zh-CN"/>
        </w:rPr>
      </w:pPr>
      <w:r>
        <w:rPr>
          <w:rFonts w:hint="eastAsia" w:ascii="宋体" w:hAnsi="宋体" w:eastAsia="宋体" w:cs="宋体"/>
          <w:b/>
          <w:color w:val="auto"/>
          <w:highlight w:val="none"/>
        </w:rPr>
        <w:t>1</w:t>
      </w:r>
      <w:r>
        <w:rPr>
          <w:rFonts w:hint="eastAsia" w:ascii="宋体" w:hAnsi="宋体" w:eastAsia="宋体" w:cs="宋体"/>
          <w:b/>
          <w:color w:val="auto"/>
          <w:highlight w:val="none"/>
          <w:lang w:val="en-US" w:eastAsia="zh-CN"/>
        </w:rPr>
        <w:t>7</w:t>
      </w:r>
      <w:r>
        <w:rPr>
          <w:rFonts w:hint="eastAsia" w:ascii="宋体" w:hAnsi="宋体" w:eastAsia="宋体" w:cs="宋体"/>
          <w:b/>
          <w:color w:val="auto"/>
          <w:kern w:val="0"/>
          <w:highlight w:val="none"/>
          <w:lang w:val="zh-CN"/>
        </w:rPr>
        <w:t xml:space="preserve">. </w:t>
      </w:r>
      <w:r>
        <w:rPr>
          <w:rFonts w:hint="eastAsia" w:ascii="宋体" w:hAnsi="宋体" w:eastAsia="宋体" w:cs="宋体"/>
          <w:b/>
          <w:color w:val="auto"/>
          <w:highlight w:val="none"/>
        </w:rPr>
        <w:t>开标</w:t>
      </w:r>
    </w:p>
    <w:p>
      <w:pPr>
        <w:snapToGrid w:val="0"/>
        <w:spacing w:line="400" w:lineRule="exact"/>
        <w:ind w:firstLine="482" w:firstLineChars="200"/>
        <w:rPr>
          <w:rFonts w:hint="eastAsia" w:ascii="宋体" w:hAnsi="宋体" w:eastAsia="宋体" w:cs="宋体"/>
          <w:b/>
          <w:bCs/>
          <w:color w:val="auto"/>
          <w:sz w:val="24"/>
          <w:szCs w:val="22"/>
          <w:highlight w:val="none"/>
        </w:rPr>
      </w:pPr>
      <w:r>
        <w:rPr>
          <w:rFonts w:hint="eastAsia" w:ascii="宋体" w:hAnsi="宋体" w:eastAsia="宋体" w:cs="宋体"/>
          <w:b/>
          <w:bCs/>
          <w:color w:val="auto"/>
          <w:sz w:val="24"/>
          <w:szCs w:val="22"/>
          <w:highlight w:val="none"/>
        </w:rPr>
        <w:t>17.1 采购代理机构将按照招标文件规定的时间通过“政府采购云平台”组织开标、开启投标文件，所有供应商均应当准时在线参加（不需到开标现场）。</w:t>
      </w:r>
    </w:p>
    <w:p>
      <w:pPr>
        <w:snapToGrid w:val="0"/>
        <w:spacing w:line="400" w:lineRule="exact"/>
        <w:ind w:firstLine="482" w:firstLineChars="200"/>
        <w:rPr>
          <w:rFonts w:hint="eastAsia" w:ascii="宋体" w:hAnsi="宋体" w:eastAsia="宋体" w:cs="宋体"/>
          <w:b/>
          <w:bCs/>
          <w:color w:val="auto"/>
          <w:sz w:val="24"/>
          <w:szCs w:val="22"/>
          <w:highlight w:val="none"/>
        </w:rPr>
      </w:pPr>
      <w:r>
        <w:rPr>
          <w:rFonts w:hint="eastAsia" w:ascii="宋体" w:hAnsi="宋体" w:eastAsia="宋体" w:cs="宋体"/>
          <w:b/>
          <w:bCs/>
          <w:color w:val="auto"/>
          <w:sz w:val="24"/>
          <w:szCs w:val="22"/>
          <w:highlight w:val="none"/>
        </w:rPr>
        <w:t>17.2投标供应商如不参加开标大会的，视同认可开标结果，事后不得对采购相关人员、开标过程和开标结果提出异议，同时投标供应商因未在线参加开标而导致投标文件无法按时解密等一切后果由供应商自己承担。</w:t>
      </w:r>
    </w:p>
    <w:p>
      <w:pPr>
        <w:pStyle w:val="32"/>
        <w:adjustRightInd/>
        <w:spacing w:before="0" w:line="400" w:lineRule="exact"/>
        <w:ind w:firstLine="482"/>
        <w:outlineLvl w:val="2"/>
        <w:rPr>
          <w:rFonts w:hint="eastAsia" w:ascii="宋体" w:hAnsi="宋体" w:eastAsia="宋体" w:cs="宋体"/>
          <w:b/>
          <w:bCs/>
          <w:color w:val="auto"/>
          <w:szCs w:val="22"/>
          <w:highlight w:val="none"/>
          <w:lang w:val="en-US" w:eastAsia="zh-CN"/>
        </w:rPr>
      </w:pPr>
      <w:r>
        <w:rPr>
          <w:rFonts w:hint="eastAsia" w:ascii="宋体" w:hAnsi="宋体" w:eastAsia="宋体" w:cs="宋体"/>
          <w:b/>
          <w:bCs/>
          <w:color w:val="auto"/>
          <w:szCs w:val="22"/>
          <w:highlight w:val="none"/>
          <w:lang w:val="en-US" w:eastAsia="zh-CN"/>
        </w:rPr>
        <w:t>17.3 开标流程（第一阶段）</w:t>
      </w:r>
    </w:p>
    <w:p>
      <w:pPr>
        <w:spacing w:line="400" w:lineRule="exact"/>
        <w:ind w:firstLine="482" w:firstLineChars="200"/>
        <w:jc w:val="left"/>
        <w:rPr>
          <w:rFonts w:hint="eastAsia" w:ascii="宋体" w:hAnsi="宋体" w:eastAsia="宋体" w:cs="宋体"/>
          <w:b/>
          <w:bCs/>
          <w:color w:val="auto"/>
          <w:sz w:val="24"/>
          <w:szCs w:val="22"/>
          <w:highlight w:val="none"/>
        </w:rPr>
      </w:pPr>
      <w:r>
        <w:rPr>
          <w:rFonts w:hint="eastAsia" w:ascii="宋体" w:hAnsi="宋体" w:eastAsia="宋体" w:cs="宋体"/>
          <w:b/>
          <w:bCs/>
          <w:color w:val="auto"/>
          <w:sz w:val="24"/>
          <w:szCs w:val="22"/>
          <w:highlight w:val="none"/>
        </w:rPr>
        <w:t>17.3.1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代理机构按“政府采购云平台”操作规范将备份投标文件上传至“政府采购云平台”，上传成功后，“电子加密投标文件”自动失效；</w:t>
      </w:r>
    </w:p>
    <w:p>
      <w:pPr>
        <w:pStyle w:val="2"/>
        <w:spacing w:line="400" w:lineRule="exact"/>
        <w:ind w:left="0" w:leftChars="0" w:firstLine="482"/>
        <w:rPr>
          <w:rFonts w:hint="eastAsia" w:ascii="宋体" w:hAnsi="宋体" w:eastAsia="宋体" w:cs="宋体"/>
          <w:b/>
          <w:bCs/>
          <w:color w:val="auto"/>
          <w:szCs w:val="22"/>
          <w:highlight w:val="none"/>
        </w:rPr>
      </w:pPr>
      <w:r>
        <w:rPr>
          <w:rFonts w:hint="eastAsia" w:ascii="宋体" w:hAnsi="宋体" w:eastAsia="宋体" w:cs="宋体"/>
          <w:b/>
          <w:bCs/>
          <w:color w:val="auto"/>
          <w:szCs w:val="22"/>
          <w:highlight w:val="none"/>
        </w:rPr>
        <w:t>17.3.2开启投标文件，进入资格审查；</w:t>
      </w:r>
    </w:p>
    <w:p>
      <w:pPr>
        <w:spacing w:line="400" w:lineRule="exact"/>
        <w:ind w:firstLine="482" w:firstLineChars="200"/>
        <w:jc w:val="left"/>
        <w:rPr>
          <w:rFonts w:hint="eastAsia" w:ascii="宋体" w:hAnsi="宋体" w:eastAsia="宋体" w:cs="宋体"/>
          <w:b/>
          <w:bCs/>
          <w:color w:val="auto"/>
          <w:sz w:val="24"/>
          <w:szCs w:val="22"/>
          <w:highlight w:val="none"/>
        </w:rPr>
      </w:pPr>
      <w:r>
        <w:rPr>
          <w:rFonts w:hint="eastAsia" w:ascii="宋体" w:hAnsi="宋体" w:eastAsia="宋体" w:cs="宋体"/>
          <w:b/>
          <w:bCs/>
          <w:color w:val="auto"/>
          <w:sz w:val="24"/>
          <w:szCs w:val="22"/>
          <w:highlight w:val="none"/>
        </w:rPr>
        <w:t>17.3.3 开启资格审查通过的投标供应商的商务技术文件进入符合性审查、商务技术评审；</w:t>
      </w:r>
    </w:p>
    <w:p>
      <w:pPr>
        <w:pStyle w:val="2"/>
        <w:spacing w:line="400" w:lineRule="exact"/>
        <w:ind w:left="0" w:leftChars="0" w:firstLine="482"/>
        <w:rPr>
          <w:rFonts w:hint="eastAsia" w:ascii="宋体" w:hAnsi="宋体" w:eastAsia="宋体" w:cs="宋体"/>
          <w:color w:val="auto"/>
          <w:highlight w:val="none"/>
        </w:rPr>
      </w:pPr>
      <w:r>
        <w:rPr>
          <w:rFonts w:hint="eastAsia" w:ascii="宋体" w:hAnsi="宋体" w:eastAsia="宋体" w:cs="宋体"/>
          <w:b/>
          <w:bCs/>
          <w:color w:val="auto"/>
          <w:szCs w:val="22"/>
          <w:highlight w:val="none"/>
        </w:rPr>
        <w:t>17.3.4 第一阶段开标结束。</w:t>
      </w:r>
    </w:p>
    <w:p>
      <w:pPr>
        <w:spacing w:line="400" w:lineRule="exact"/>
        <w:ind w:firstLine="482" w:firstLineChars="200"/>
        <w:jc w:val="left"/>
        <w:rPr>
          <w:rFonts w:hint="eastAsia" w:ascii="宋体" w:hAnsi="宋体" w:eastAsia="宋体" w:cs="宋体"/>
          <w:b/>
          <w:bCs/>
          <w:color w:val="auto"/>
          <w:sz w:val="24"/>
          <w:szCs w:val="22"/>
          <w:highlight w:val="none"/>
        </w:rPr>
      </w:pPr>
      <w:r>
        <w:rPr>
          <w:rFonts w:hint="eastAsia" w:ascii="宋体" w:hAnsi="宋体" w:eastAsia="宋体" w:cs="宋体"/>
          <w:b/>
          <w:bCs/>
          <w:color w:val="auto"/>
          <w:sz w:val="24"/>
          <w:szCs w:val="22"/>
          <w:highlight w:val="none"/>
        </w:rPr>
        <w:t>备注：采购人或采购代理机构将依法对投标供应商的资格进行审查，资格审查结束后进入符合性审查和商务技术的评审工作，具体见“资格审查”章节相关规定。</w:t>
      </w:r>
    </w:p>
    <w:p>
      <w:pPr>
        <w:spacing w:line="400" w:lineRule="exact"/>
        <w:ind w:firstLine="482" w:firstLineChars="200"/>
        <w:jc w:val="left"/>
        <w:rPr>
          <w:rFonts w:hint="eastAsia" w:ascii="宋体" w:hAnsi="宋体" w:eastAsia="宋体" w:cs="宋体"/>
          <w:b/>
          <w:bCs/>
          <w:color w:val="auto"/>
          <w:sz w:val="24"/>
          <w:szCs w:val="22"/>
          <w:highlight w:val="none"/>
        </w:rPr>
      </w:pPr>
      <w:r>
        <w:rPr>
          <w:rFonts w:hint="eastAsia" w:ascii="宋体" w:hAnsi="宋体" w:eastAsia="宋体" w:cs="宋体"/>
          <w:b/>
          <w:bCs/>
          <w:color w:val="auto"/>
          <w:sz w:val="24"/>
          <w:szCs w:val="22"/>
          <w:highlight w:val="none"/>
        </w:rPr>
        <w:t>17.4 开标流程（第二阶段）</w:t>
      </w:r>
    </w:p>
    <w:p>
      <w:pPr>
        <w:spacing w:line="400" w:lineRule="exact"/>
        <w:ind w:firstLine="482" w:firstLineChars="200"/>
        <w:jc w:val="left"/>
        <w:rPr>
          <w:rFonts w:hint="eastAsia" w:ascii="宋体" w:hAnsi="宋体" w:eastAsia="宋体" w:cs="宋体"/>
          <w:b/>
          <w:bCs/>
          <w:color w:val="auto"/>
          <w:sz w:val="24"/>
          <w:szCs w:val="22"/>
          <w:highlight w:val="none"/>
        </w:rPr>
      </w:pPr>
      <w:r>
        <w:rPr>
          <w:rFonts w:hint="eastAsia" w:ascii="宋体" w:hAnsi="宋体" w:eastAsia="宋体" w:cs="宋体"/>
          <w:b/>
          <w:bCs/>
          <w:color w:val="auto"/>
          <w:sz w:val="24"/>
          <w:szCs w:val="22"/>
          <w:highlight w:val="none"/>
        </w:rPr>
        <w:t>17.4.1符合性审查、商务技术评审结束后，举行开标会第二阶段会议。首先公布经商务技术评审后符合性审查、商务技术评审无效供应商名称及理由和有效投标供应商的名单，同时公布其商务技术部分得分情况。</w:t>
      </w:r>
    </w:p>
    <w:p>
      <w:pPr>
        <w:spacing w:line="400" w:lineRule="exact"/>
        <w:ind w:firstLine="482" w:firstLineChars="200"/>
        <w:jc w:val="left"/>
        <w:rPr>
          <w:rFonts w:hint="eastAsia" w:ascii="宋体" w:hAnsi="宋体" w:eastAsia="宋体" w:cs="宋体"/>
          <w:b/>
          <w:bCs/>
          <w:color w:val="auto"/>
          <w:sz w:val="24"/>
          <w:szCs w:val="22"/>
          <w:highlight w:val="none"/>
        </w:rPr>
      </w:pPr>
      <w:r>
        <w:rPr>
          <w:rFonts w:hint="eastAsia" w:ascii="宋体" w:hAnsi="宋体" w:eastAsia="宋体" w:cs="宋体"/>
          <w:b/>
          <w:bCs/>
          <w:color w:val="auto"/>
          <w:sz w:val="24"/>
          <w:szCs w:val="22"/>
          <w:highlight w:val="none"/>
        </w:rPr>
        <w:t>17.4.2开启符合性审查、商务技术评审有效投标供应商的报价文件。</w:t>
      </w:r>
      <w:r>
        <w:rPr>
          <w:rFonts w:hint="eastAsia" w:ascii="宋体" w:hAnsi="宋体" w:eastAsia="宋体" w:cs="宋体"/>
          <w:b/>
          <w:bCs/>
          <w:color w:val="auto"/>
          <w:sz w:val="24"/>
          <w:highlight w:val="none"/>
        </w:rPr>
        <w:t>报价文件开标评标按标段1、标段1、标段2、标段3、标段4、标段5、标段6、标段7、标段8、标段9、标段10、标段11、标段12的顺序进行，（一个投标人在12个标段中最多只能被推荐二次第一中标候选人。</w:t>
      </w:r>
      <w:r>
        <w:rPr>
          <w:rFonts w:hint="eastAsia" w:ascii="宋体" w:hAnsi="宋体" w:eastAsia="宋体" w:cs="宋体"/>
          <w:b/>
          <w:color w:val="auto"/>
          <w:sz w:val="24"/>
          <w:highlight w:val="none"/>
        </w:rPr>
        <w:t>已被评标委员会推荐二次第一中标候选人的投标人在后续标项评审中将不在推荐为第一中标候选人</w:t>
      </w:r>
      <w:r>
        <w:rPr>
          <w:rFonts w:hint="eastAsia" w:ascii="宋体" w:hAnsi="宋体" w:eastAsia="宋体" w:cs="宋体"/>
          <w:b/>
          <w:bCs/>
          <w:color w:val="auto"/>
          <w:sz w:val="24"/>
          <w:highlight w:val="none"/>
        </w:rPr>
        <w:t>。）</w:t>
      </w:r>
      <w:r>
        <w:rPr>
          <w:rFonts w:hint="eastAsia" w:ascii="宋体" w:hAnsi="宋体" w:eastAsia="宋体" w:cs="宋体"/>
          <w:b/>
          <w:bCs/>
          <w:color w:val="auto"/>
          <w:sz w:val="24"/>
          <w:szCs w:val="22"/>
          <w:highlight w:val="none"/>
        </w:rPr>
        <w:t>唱标结束后，由评标委员会对报价的合理性、准确性等进行审查核实。</w:t>
      </w:r>
    </w:p>
    <w:p>
      <w:pPr>
        <w:spacing w:line="400" w:lineRule="exact"/>
        <w:ind w:firstLine="482" w:firstLineChars="200"/>
        <w:jc w:val="left"/>
        <w:rPr>
          <w:rFonts w:hint="eastAsia" w:ascii="宋体" w:hAnsi="宋体" w:eastAsia="宋体" w:cs="宋体"/>
          <w:b/>
          <w:bCs/>
          <w:color w:val="auto"/>
          <w:sz w:val="24"/>
          <w:szCs w:val="22"/>
          <w:highlight w:val="none"/>
        </w:rPr>
      </w:pPr>
      <w:r>
        <w:rPr>
          <w:rFonts w:hint="eastAsia" w:ascii="宋体" w:hAnsi="宋体" w:eastAsia="宋体" w:cs="宋体"/>
          <w:b/>
          <w:bCs/>
          <w:color w:val="auto"/>
          <w:sz w:val="24"/>
          <w:szCs w:val="22"/>
          <w:highlight w:val="none"/>
        </w:rPr>
        <w:t>17.4.3评审结束后，公布中标（成交）候选供应商名单及最终得分等。</w:t>
      </w:r>
    </w:p>
    <w:p>
      <w:pPr>
        <w:spacing w:line="400" w:lineRule="exact"/>
        <w:ind w:firstLine="482" w:firstLineChars="200"/>
        <w:jc w:val="left"/>
        <w:rPr>
          <w:rFonts w:hint="eastAsia" w:ascii="宋体" w:hAnsi="宋体" w:eastAsia="宋体" w:cs="宋体"/>
          <w:b/>
          <w:bCs/>
          <w:color w:val="auto"/>
          <w:sz w:val="24"/>
          <w:szCs w:val="22"/>
          <w:highlight w:val="none"/>
        </w:rPr>
      </w:pPr>
      <w:r>
        <w:rPr>
          <w:rFonts w:hint="eastAsia" w:ascii="宋体" w:hAnsi="宋体" w:eastAsia="宋体" w:cs="宋体"/>
          <w:b/>
          <w:bCs/>
          <w:color w:val="auto"/>
          <w:sz w:val="24"/>
          <w:szCs w:val="22"/>
          <w:highlight w:val="none"/>
        </w:rPr>
        <w:t>特别说明：如遇“政府采购云平台”电子化开标或评审程序调整的，按调整后程序执行。</w:t>
      </w:r>
    </w:p>
    <w:p>
      <w:pPr>
        <w:spacing w:line="360" w:lineRule="auto"/>
        <w:jc w:val="left"/>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 xml:space="preserve">   17.5本项目原则上采用政采云电子招投标开标及评审程序，但有下情形之一的，按以下情况处理：</w:t>
      </w:r>
    </w:p>
    <w:p>
      <w:pPr>
        <w:spacing w:line="360" w:lineRule="auto"/>
        <w:ind w:firstLine="424" w:firstLineChars="177"/>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17.5.1采购过程中出现以下情形，导致电子交易平台无法正常运行，或者无法保证电子交易的公平、公正和安全时，采购组织机构可中止电子交易活动：</w:t>
      </w:r>
    </w:p>
    <w:p>
      <w:pPr>
        <w:spacing w:line="360" w:lineRule="auto"/>
        <w:ind w:firstLine="424" w:firstLineChars="177"/>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17.5.1.1电子交易平台发生故障而无法登录访问的； </w:t>
      </w:r>
    </w:p>
    <w:p>
      <w:pPr>
        <w:spacing w:line="360" w:lineRule="auto"/>
        <w:ind w:firstLine="424" w:firstLineChars="177"/>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17.5.1.2电子交易平台应用或数据库出现错误，不能进行正常操作的；</w:t>
      </w:r>
    </w:p>
    <w:p>
      <w:pPr>
        <w:spacing w:line="360" w:lineRule="auto"/>
        <w:ind w:firstLine="424" w:firstLineChars="177"/>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17.5.1.3电子交易平台发现严重安全漏洞，有潜在泄密危险的；</w:t>
      </w:r>
    </w:p>
    <w:p>
      <w:pPr>
        <w:spacing w:line="360" w:lineRule="auto"/>
        <w:ind w:firstLine="424" w:firstLineChars="177"/>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17.5.1.4病毒发作导致不能进行正常操作的； </w:t>
      </w:r>
    </w:p>
    <w:p>
      <w:pPr>
        <w:spacing w:line="360" w:lineRule="auto"/>
        <w:ind w:firstLine="424" w:firstLineChars="177"/>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17.5.1.5其他无法保证电子交易的公平、公正和安全的情况。</w:t>
      </w:r>
    </w:p>
    <w:p>
      <w:pPr>
        <w:pStyle w:val="11"/>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bCs/>
          <w:color w:val="auto"/>
          <w:kern w:val="0"/>
          <w:sz w:val="24"/>
          <w:szCs w:val="24"/>
          <w:highlight w:val="none"/>
        </w:rPr>
        <w:t>出现前款规定情形，不影响采购公平、公正性的，采购组织机构可以待上述情形消除后继续组织电子交易活动。</w:t>
      </w:r>
    </w:p>
    <w:p>
      <w:pPr>
        <w:pStyle w:val="4"/>
        <w:tabs>
          <w:tab w:val="left" w:pos="2985"/>
        </w:tabs>
        <w:spacing w:before="120"/>
        <w:jc w:val="center"/>
        <w:rPr>
          <w:rFonts w:hint="eastAsia" w:ascii="宋体" w:hAnsi="宋体" w:eastAsia="宋体" w:cs="宋体"/>
          <w:color w:val="auto"/>
          <w:highlight w:val="none"/>
        </w:rPr>
      </w:pPr>
      <w:r>
        <w:rPr>
          <w:rFonts w:hint="eastAsia" w:ascii="宋体" w:hAnsi="宋体" w:eastAsia="宋体" w:cs="宋体"/>
          <w:color w:val="auto"/>
          <w:highlight w:val="none"/>
        </w:rPr>
        <w:t>六、资格审查</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或采购代理机构将首先审查各供应商的资格条件是否满足招标文件的要求。采购人或采购代理机构对投标人所提供的资格证明材料仅负审核的责任。如发现投标人所提供的资格证明材料不合法或不真实，采购人可取消中标资格并追究投标人的法律责任。</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▲单位负责人为同一人或者存在直接控股、管理关系的不同供应商，不得参加同一合同项下的政府采购活动。违反该款规定的，相关投标均无效。</w:t>
      </w:r>
    </w:p>
    <w:p>
      <w:pPr>
        <w:snapToGrid w:val="0"/>
        <w:spacing w:line="300" w:lineRule="auto"/>
        <w:ind w:firstLine="480" w:firstLineChars="200"/>
        <w:rPr>
          <w:rFonts w:hint="eastAsia" w:ascii="宋体" w:hAnsi="宋体" w:eastAsia="宋体" w:cs="宋体"/>
          <w:color w:val="auto"/>
          <w:sz w:val="28"/>
          <w:szCs w:val="28"/>
          <w:highlight w:val="none"/>
        </w:rPr>
      </w:pPr>
      <w:r>
        <w:rPr>
          <w:rFonts w:hint="eastAsia" w:ascii="宋体" w:hAnsi="宋体" w:eastAsia="宋体" w:cs="宋体"/>
          <w:color w:val="auto"/>
          <w:sz w:val="24"/>
          <w:highlight w:val="none"/>
        </w:rPr>
        <w:t>▲投标文件中提供的资格条件证明材料无法证明其满足招标文件规定资格条件，为无效投标。</w:t>
      </w:r>
    </w:p>
    <w:p>
      <w:pPr>
        <w:pStyle w:val="4"/>
        <w:tabs>
          <w:tab w:val="left" w:pos="2985"/>
        </w:tabs>
        <w:spacing w:before="120"/>
        <w:jc w:val="center"/>
        <w:rPr>
          <w:rFonts w:hint="eastAsia" w:ascii="宋体" w:hAnsi="宋体" w:eastAsia="宋体" w:cs="宋体"/>
          <w:color w:val="auto"/>
          <w:highlight w:val="none"/>
        </w:rPr>
      </w:pPr>
      <w:r>
        <w:rPr>
          <w:rFonts w:hint="eastAsia" w:ascii="宋体" w:hAnsi="宋体" w:eastAsia="宋体" w:cs="宋体"/>
          <w:color w:val="auto"/>
          <w:highlight w:val="none"/>
        </w:rPr>
        <w:t>七、评标</w:t>
      </w:r>
    </w:p>
    <w:p>
      <w:pPr>
        <w:pStyle w:val="5"/>
        <w:tabs>
          <w:tab w:val="left" w:pos="720"/>
        </w:tabs>
        <w:snapToGrid w:val="0"/>
        <w:rPr>
          <w:rFonts w:hint="eastAsia" w:ascii="宋体" w:hAnsi="宋体" w:eastAsia="宋体" w:cs="宋体"/>
          <w:color w:val="auto"/>
          <w:sz w:val="24"/>
          <w:szCs w:val="24"/>
          <w:highlight w:val="none"/>
        </w:rPr>
      </w:pPr>
      <w:bookmarkStart w:id="5" w:name="_Toc270971233"/>
      <w:r>
        <w:rPr>
          <w:rFonts w:hint="eastAsia" w:ascii="宋体" w:hAnsi="宋体" w:eastAsia="宋体" w:cs="宋体"/>
          <w:color w:val="auto"/>
          <w:sz w:val="24"/>
          <w:szCs w:val="24"/>
          <w:highlight w:val="none"/>
        </w:rPr>
        <w:t>18. 评审</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18.1  </w:t>
      </w:r>
      <w:bookmarkEnd w:id="5"/>
      <w:r>
        <w:rPr>
          <w:rFonts w:hint="eastAsia" w:ascii="宋体" w:hAnsi="宋体" w:eastAsia="宋体" w:cs="宋体"/>
          <w:color w:val="auto"/>
          <w:sz w:val="24"/>
          <w:highlight w:val="none"/>
        </w:rPr>
        <w:t>评标小组</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18.1.1  评标由采购人依法组建的评标小组负责。评标小组由采购人代表，以及有关技术、经济等方面的专家组成。评标小组成员人数以及技术、经济等方面专家的确定方式见供应商须知前附表。</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18.1.2  评标小组成员有下列情形之一的，应当回避：</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（1）采购人或供应商的主要负责人的近亲属；</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（2）项目主管部门或者行政监督部门的人员；</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（3）与供应商有经济利益关系，可能影响对投标公正评审的；</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（4）曾因在招标、评标以及其他与招标投标有关活动中从事违法行为而受过行政处罚或刑事处罚的。</w:t>
      </w:r>
    </w:p>
    <w:p>
      <w:pPr>
        <w:snapToGrid w:val="0"/>
        <w:spacing w:line="300" w:lineRule="auto"/>
        <w:ind w:firstLine="480" w:firstLineChars="200"/>
        <w:rPr>
          <w:rFonts w:hint="eastAsia" w:ascii="宋体" w:hAnsi="宋体" w:eastAsia="宋体" w:cs="宋体"/>
          <w:color w:val="auto"/>
          <w:sz w:val="24"/>
          <w:highlight w:val="none"/>
        </w:rPr>
      </w:pPr>
      <w:bookmarkStart w:id="6" w:name="_Toc270971234"/>
      <w:r>
        <w:rPr>
          <w:rFonts w:hint="eastAsia" w:ascii="宋体" w:hAnsi="宋体" w:eastAsia="宋体" w:cs="宋体"/>
          <w:color w:val="auto"/>
          <w:sz w:val="24"/>
          <w:highlight w:val="none"/>
        </w:rPr>
        <w:t>18.2  评标小组工作原则</w:t>
      </w:r>
      <w:bookmarkEnd w:id="6"/>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18.2.1评标小组成员应当按照客观、公正、审慎的原则，根据招标文件规定的评审程序、评审方法和评审标准进行独立评审。未实质性响应招标文件的投标文件按无效响应处理，评标小组应当告知提交投标文件的供应商。招标文件内容违反国家有关强制性规定的，评标小组应当停止评审并向采购人或者代理机构说明情况。</w:t>
      </w:r>
    </w:p>
    <w:p>
      <w:pPr>
        <w:snapToGrid w:val="0"/>
        <w:spacing w:line="300" w:lineRule="auto"/>
        <w:ind w:firstLine="480" w:firstLineChars="200"/>
        <w:rPr>
          <w:rFonts w:hint="eastAsia" w:ascii="宋体" w:hAnsi="宋体" w:eastAsia="宋体" w:cs="宋体"/>
          <w:color w:val="auto"/>
          <w:sz w:val="24"/>
          <w:highlight w:val="none"/>
        </w:rPr>
      </w:pPr>
      <w:bookmarkStart w:id="7" w:name="_Toc270971235"/>
      <w:r>
        <w:rPr>
          <w:rFonts w:hint="eastAsia" w:ascii="宋体" w:hAnsi="宋体" w:eastAsia="宋体" w:cs="宋体"/>
          <w:color w:val="auto"/>
          <w:sz w:val="24"/>
          <w:highlight w:val="none"/>
        </w:rPr>
        <w:t xml:space="preserve">18.3  </w:t>
      </w:r>
      <w:bookmarkEnd w:id="7"/>
      <w:r>
        <w:rPr>
          <w:rFonts w:hint="eastAsia" w:ascii="宋体" w:hAnsi="宋体" w:eastAsia="宋体" w:cs="宋体"/>
          <w:color w:val="auto"/>
          <w:sz w:val="24"/>
          <w:highlight w:val="none"/>
        </w:rPr>
        <w:t>评标</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18.3.1 评标小组按照 “评标办法及评审细则”规定的方法、评审因素、标准和程序对投标文件进行评审。“评标办法及评审细则”没有规定的方法、评审因素和标准，不作为评标依据。</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18.3.2 评标小组只对确定为实质上响应招标文件要求的投标文件进行评标和比较。</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18.3.3 评标小组可要求供应商对投标文件中含义不明确、同类问题表述不一致、有明显的文字和计算错误的内容等进行澄清并做出书面答复。书面答复须由供应商代表签字（或盖章）并作为投标文件的一部分。</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18.3.4 供应商对投标文件的澄清不得超出投标文件的范围或者改变投标文件的实质性内容。</w:t>
      </w:r>
    </w:p>
    <w:p>
      <w:pPr>
        <w:pStyle w:val="5"/>
        <w:tabs>
          <w:tab w:val="left" w:pos="720"/>
        </w:tabs>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 评标办法及评分标准</w:t>
      </w:r>
    </w:p>
    <w:p>
      <w:pPr>
        <w:snapToGrid w:val="0"/>
        <w:spacing w:line="300" w:lineRule="auto"/>
        <w:ind w:firstLine="480" w:firstLineChars="200"/>
        <w:rPr>
          <w:rFonts w:hint="eastAsia" w:ascii="宋体" w:hAnsi="宋体" w:eastAsia="宋体" w:cs="宋体"/>
          <w:color w:val="auto"/>
          <w:sz w:val="24"/>
          <w:highlight w:val="none"/>
        </w:rPr>
      </w:pPr>
      <w:bookmarkStart w:id="8" w:name="_Toc230575581"/>
      <w:r>
        <w:rPr>
          <w:rFonts w:hint="eastAsia" w:ascii="宋体" w:hAnsi="宋体" w:eastAsia="宋体" w:cs="宋体"/>
          <w:color w:val="auto"/>
          <w:sz w:val="24"/>
          <w:highlight w:val="none"/>
        </w:rPr>
        <w:t>根据《中华人民共和国政府采购法》、《中华人民共和国招标投标法》等有关规定，结合本项目的实际情况，按照公平、公正、科学、择优的原则，制定本评标办法。</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19.1评标原则</w:t>
      </w:r>
      <w:bookmarkEnd w:id="8"/>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评标应遵循公平、公正、科学、择优的原则。</w:t>
      </w:r>
    </w:p>
    <w:p>
      <w:pPr>
        <w:snapToGrid w:val="0"/>
        <w:spacing w:line="300" w:lineRule="auto"/>
        <w:ind w:firstLine="480" w:firstLineChars="200"/>
        <w:rPr>
          <w:rFonts w:hint="eastAsia" w:ascii="宋体" w:hAnsi="宋体" w:eastAsia="宋体" w:cs="宋体"/>
          <w:color w:val="auto"/>
          <w:sz w:val="24"/>
          <w:highlight w:val="none"/>
        </w:rPr>
      </w:pPr>
      <w:bookmarkStart w:id="9" w:name="_Toc230575582"/>
      <w:r>
        <w:rPr>
          <w:rFonts w:hint="eastAsia" w:ascii="宋体" w:hAnsi="宋体" w:eastAsia="宋体" w:cs="宋体"/>
          <w:color w:val="auto"/>
          <w:sz w:val="24"/>
          <w:highlight w:val="none"/>
        </w:rPr>
        <w:t>19.2评标组织</w:t>
      </w:r>
      <w:bookmarkEnd w:id="9"/>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评标工作由采购人依法组建的评标小组负责，评标小组成员为5人及以上，评标小组对投标文件作出的评审结论，应当符合有关法律、法规、规章和招标文件的规定。</w:t>
      </w:r>
    </w:p>
    <w:p>
      <w:pPr>
        <w:snapToGrid w:val="0"/>
        <w:spacing w:line="300" w:lineRule="auto"/>
        <w:ind w:firstLine="480" w:firstLineChars="200"/>
        <w:rPr>
          <w:rFonts w:hint="eastAsia" w:ascii="宋体" w:hAnsi="宋体" w:eastAsia="宋体" w:cs="宋体"/>
          <w:color w:val="auto"/>
          <w:sz w:val="24"/>
          <w:highlight w:val="none"/>
        </w:rPr>
      </w:pPr>
      <w:bookmarkStart w:id="10" w:name="_Toc266713123"/>
      <w:r>
        <w:rPr>
          <w:rFonts w:hint="eastAsia" w:ascii="宋体" w:hAnsi="宋体" w:eastAsia="宋体" w:cs="宋体"/>
          <w:color w:val="auto"/>
          <w:sz w:val="24"/>
          <w:highlight w:val="none"/>
        </w:rPr>
        <w:t>19.3评标程序和内容</w:t>
      </w:r>
      <w:bookmarkEnd w:id="10"/>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19.3.1评标的一般程序</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（1）熟悉招标文件和评标办法；</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（2）投标文件的符合性审查；</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（3）投标文件的资信及技术评审；</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（4）投标文件的报价评审；</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（5）必要时对投标文件中的问题进行询标；</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（6）根据评标办法对投标文件进行排序；</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（7）完成评标报告，推荐成交候选人。</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19.4 投标文件的符合性审查</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19.4.1评标小组应依照招标文件的要求和规定，首先对供应商的投标文件进行符合性审查。符合性审查应包括二个方面内容：投标文件实质性格式要求响应性审查、投标文件实质性内容要求响应性审查。</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19.4.2供应商不得通过补充、修改或撤消投标文件中的内容使其成为实质性响应的投标。供应商在投标截止以后不得提交任何资料作为评标依据。</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19.4.3投标文件如存在以下情况之一的，经评标小组审核认定，作为符合性审查未通过予以废除，不再进行资信及技术的评审：</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19.4.3.1未提供或提供无效法定代表人授权书的；</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19.4.3.2投标文件组成漏项；或未按规定的格式编制及签署；内容不全或内容字迹模糊辨认不清的；</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19.4.3.3投标文件存在一个或一个以上备选（替代）投标方案的；</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19.4.3.4</w:t>
      </w:r>
      <w:r>
        <w:rPr>
          <w:rFonts w:hint="eastAsia" w:ascii="宋体" w:hAnsi="宋体" w:eastAsia="宋体" w:cs="宋体"/>
          <w:b/>
          <w:color w:val="auto"/>
          <w:sz w:val="24"/>
          <w:highlight w:val="none"/>
        </w:rPr>
        <w:t>投标报价超过招标文件规定的最高限价金额；</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19.4.3.5未实质性响应招标文件规定的实质性内容的； </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19.4.3.6仅提交“备份投标文件”的；</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19.4.3.7存在法律、法规、规章、招标文件规定的其它无效投标情况的。</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在招投标过程中违法、违规操作或因弄虚作假不诚信行为受到行政处罚的均为重大违法记录，重大违法记录是指供应商因违法经营受到刑事处罚或者责令停产停业、吊销许可证或者执照、较大数额罚款等行政处罚。较大数额认定标准按照处罚所在地相关规定。</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19.5  投标文件的资信及技术评审</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19.5.1评标小组应对通过符合性审查的投标文件进行资信及技术评审。专家评审采用集体评议，记名表决，少数服从多数的方法进行。</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19.5.2客观评分项的评分应当一致，对其他需要借助专业知识评判的主观评分项，应当严格按照评分细则公正评分。；</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19.5.3技术部分采用记名方式各自评分，此项评分为全部有效评分的算术平均值。如某一份评分表中某一项评分，超过评标细则所规定的分值范围，则该张打分表无效。对明显畸高、畸低的评分（其总评分偏离平均分30%以上的），评审小组组长应提醒相关评审人员进行复核或书面说明理由，评审人员拒绝说明的，由现场监督员据实记录。</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19.5.4以上所有评分采用四舍五入法保留小数2位。</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19.5.5必要时对投标文件中的问题进行澄清</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19.6  投标文件的报价评审 </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19.6.1评标小组应对报价的范围、数量、单价、费用组成和总价等进行全面审阅和对比分析，找出报价差异的原因及存在的问题。</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19.6.2报价评审应以报价口径范围一致的评标价为依据。评标价应在最终报价的基础上，按照招标文件约定的因素和方法进行计算。凡属招标文件的原因造成报价口径范围不一致的，应调整供应商报价。评分由评标委员会对投标文件的商务报价进行仔细查阅、分析与计算，并指定专人进行检查复核。</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19.6.3投标报价修正原则如下：</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19.6.3.1如果数字表示的金额和用文字表示的金额不一致时，应以文字表示的金额为准；</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19.6.3.2当单价与数量的乘积与合价不一致时，以单价为准，除非评标小组认为单价有明显的小数点错误，此时应以标出的合价为准，并修改单价。</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19.6.3.3合计累计金额与小计（合计）金额不一致的，以小计（合计）金额为准，并修改合计累计金额及总报价。</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19.6.3.4当评标小组按照上述原则修正错误，发现其错误达到或超过原总报价0.5%时，将认定其投标文件质量较差，其错误不予修正，作无效标处理。</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19.6.3.5按上述修正错误的原则及方法调整或修正投标文件的投标报价，供应商同意后，调整后的投标报价对供应商起约束作用。如果供应商不接受修正后的报价，则其投标报价无效。</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19.6.4如报价中有以下情况之一的，可按报价评审不合格做无效标处理：</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19.6.4.1供应商未按招标文件实质性规定要求进行报价的；</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19.6.4.2评标委员会认为投标人的报价明显低于其他通过符合性审查投标人的报价，有可能影响产品质量或者不能诚信履约的，应当要求其在评标现场30分钟内提供书面说明，必要时提交相关证明材料；投标人不能证明其报价合理性的，评标委员会应当将其作为无效投标处理。</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19.6.4.3投标报价漏项的；</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19.6.4.4因供应商原因编制错误造成经评标小组修正后的报价达到或超过原总报价0.5%。 </w:t>
      </w:r>
    </w:p>
    <w:p>
      <w:pPr>
        <w:pStyle w:val="5"/>
        <w:tabs>
          <w:tab w:val="left" w:pos="720"/>
        </w:tabs>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 投标文件的澄清</w:t>
      </w:r>
    </w:p>
    <w:p>
      <w:pPr>
        <w:snapToGrid w:val="0"/>
        <w:spacing w:line="30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20.1对于投标文件中含义不明确、同类问题表述不一致或者有明显文字和计算错误的内容，评标委员会将以书面形式（或通过“政府采购云平台”在线询标）的形式要求投标供应商在规定的时间内作出必要的澄清、说明或者补正，投标供应商澄清、说明或补正时间为30分钟。</w:t>
      </w:r>
    </w:p>
    <w:p>
      <w:pPr>
        <w:snapToGrid w:val="0"/>
        <w:spacing w:line="30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20.2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pPr>
        <w:pStyle w:val="11"/>
        <w:spacing w:line="440" w:lineRule="exact"/>
        <w:rPr>
          <w:rFonts w:hint="eastAsia" w:ascii="宋体" w:hAnsi="宋体" w:eastAsia="宋体" w:cs="宋体"/>
          <w:color w:val="auto"/>
          <w:sz w:val="24"/>
          <w:szCs w:val="24"/>
          <w:highlight w:val="none"/>
        </w:rPr>
      </w:pPr>
      <w:r>
        <w:rPr>
          <w:rFonts w:hint="eastAsia" w:ascii="宋体" w:hAnsi="宋体" w:eastAsia="宋体" w:cs="宋体"/>
          <w:b/>
          <w:color w:val="auto"/>
          <w:sz w:val="24"/>
          <w:highlight w:val="none"/>
        </w:rPr>
        <w:t>21、评标办法及评分标准</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采用综合评分法。评标委员会将对各投标人的投标报价、技术和服务方案、服务承诺、投标人的综合实力、完成清洁各种因素等方面进行综合评审，对实质上响应招标文件的投标人，由各评委独立记名打分。经统计，得出各投标人的最终评审分，按最终评审分由高到低顺序排列。得分相同的，按投标价格由低到高顺序排列。得分且投标报价相同的，按技术服务优劣顺序排列，并形成评标意见。</w:t>
      </w:r>
    </w:p>
    <w:p>
      <w:pPr>
        <w:spacing w:line="36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综合评分法计算方法说明：</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 xml:space="preserve">    </w:t>
      </w:r>
      <w:r>
        <w:rPr>
          <w:rFonts w:hint="eastAsia" w:ascii="宋体" w:hAnsi="宋体" w:eastAsia="宋体" w:cs="宋体"/>
          <w:color w:val="auto"/>
          <w:sz w:val="24"/>
          <w:highlight w:val="none"/>
        </w:rPr>
        <w:t>评标委员会首先对投标文件进行符合性审核，凡投标文件实质性内容未按采购人提供的要求进行报价或格式严重不符合有关规定或不响应招标文件要求的，经评标委员会认定作为无效的投标，予以废除；有效投标单位不足三家的，采购人可依法重新招标或者按政府采购的有关规定操作。</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评标委员会以投标文件、询疑为基础依据,对有效的投标文件及服务商的以下两个部分分别进行分析、评议，并采用百分制评分。</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技术评分80分。评标委员会根据招标文件对各投标文件技术内容充分审核、讨论、评议后，评标委员会按评分细则，进行评判，每人一张评分票，并记名。如某张评分票的一个项目评分超过规定的分值范围，则该张评分票无效。各服务商技术的最终评分值为评标小组成员的有效评分票的算术平均值。</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2、商务评分20分。评标委员会成员按评分细则对各服务商的最终报价进行统一计算评分，集体统一判定评分。</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服务商的综合评分为技术和商务两部分的总计，由指定专人进行计算和复核。</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评定标准：</w:t>
      </w:r>
    </w:p>
    <w:p>
      <w:pPr>
        <w:numPr>
          <w:ilvl w:val="0"/>
          <w:numId w:val="3"/>
        </w:numPr>
        <w:spacing w:line="36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技术分（80分）</w:t>
      </w:r>
    </w:p>
    <w:p>
      <w:pPr>
        <w:tabs>
          <w:tab w:val="left" w:pos="567"/>
        </w:tabs>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技术评分表</w:t>
      </w:r>
    </w:p>
    <w:tbl>
      <w:tblPr>
        <w:tblStyle w:val="22"/>
        <w:tblW w:w="9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1171"/>
        <w:gridCol w:w="1503"/>
        <w:gridCol w:w="4930"/>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601" w:type="dxa"/>
            <w:tcBorders>
              <w:tl2br w:val="single" w:color="auto" w:sz="4" w:space="0"/>
            </w:tcBorders>
            <w:noWrap w:val="0"/>
            <w:vAlign w:val="center"/>
          </w:tcPr>
          <w:p>
            <w:pPr>
              <w:autoSpaceDE w:val="0"/>
              <w:autoSpaceDN w:val="0"/>
              <w:spacing w:line="330" w:lineRule="exact"/>
              <w:jc w:val="righ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类</w:t>
            </w:r>
          </w:p>
          <w:p>
            <w:pPr>
              <w:autoSpaceDE w:val="0"/>
              <w:autoSpaceDN w:val="0"/>
              <w:spacing w:line="33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w:t>
            </w:r>
          </w:p>
        </w:tc>
        <w:tc>
          <w:tcPr>
            <w:tcW w:w="1171" w:type="dxa"/>
            <w:noWrap w:val="0"/>
            <w:vAlign w:val="center"/>
          </w:tcPr>
          <w:p>
            <w:pPr>
              <w:autoSpaceDE w:val="0"/>
              <w:autoSpaceDN w:val="0"/>
              <w:spacing w:line="33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项目内容</w:t>
            </w:r>
          </w:p>
        </w:tc>
        <w:tc>
          <w:tcPr>
            <w:tcW w:w="6433" w:type="dxa"/>
            <w:gridSpan w:val="2"/>
            <w:noWrap w:val="0"/>
            <w:vAlign w:val="center"/>
          </w:tcPr>
          <w:p>
            <w:pPr>
              <w:autoSpaceDE w:val="0"/>
              <w:autoSpaceDN w:val="0"/>
              <w:spacing w:line="33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评审要点</w:t>
            </w:r>
          </w:p>
        </w:tc>
        <w:tc>
          <w:tcPr>
            <w:tcW w:w="983" w:type="dxa"/>
            <w:noWrap w:val="0"/>
            <w:vAlign w:val="center"/>
          </w:tcPr>
          <w:p>
            <w:pPr>
              <w:spacing w:line="33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601" w:type="dxa"/>
            <w:vMerge w:val="restart"/>
            <w:noWrap w:val="0"/>
            <w:vAlign w:val="center"/>
          </w:tcPr>
          <w:p>
            <w:pPr>
              <w:spacing w:line="33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171" w:type="dxa"/>
            <w:vMerge w:val="restart"/>
            <w:noWrap w:val="0"/>
            <w:vAlign w:val="center"/>
          </w:tcPr>
          <w:p>
            <w:pPr>
              <w:autoSpaceDE w:val="0"/>
              <w:autoSpaceDN w:val="0"/>
              <w:spacing w:line="33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投标单位综合实力</w:t>
            </w:r>
          </w:p>
          <w:p>
            <w:pPr>
              <w:autoSpaceDE w:val="0"/>
              <w:autoSpaceDN w:val="0"/>
              <w:spacing w:line="33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（18分）</w:t>
            </w:r>
          </w:p>
        </w:tc>
        <w:tc>
          <w:tcPr>
            <w:tcW w:w="6433" w:type="dxa"/>
            <w:gridSpan w:val="2"/>
            <w:noWrap w:val="0"/>
            <w:vAlign w:val="center"/>
          </w:tcPr>
          <w:p>
            <w:pPr>
              <w:autoSpaceDE w:val="0"/>
              <w:autoSpaceDN w:val="0"/>
              <w:spacing w:line="33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企业有规范固定的办公场所、保洁机具停放场所和环卫工人爱心休息点，投标人须提供办公场所、保洁机具停放场所和环卫工人爱心休息点证明（自有的提供房产证复印件，租用的提供租房合同复印件，每拥有一项得1分。</w:t>
            </w:r>
          </w:p>
        </w:tc>
        <w:tc>
          <w:tcPr>
            <w:tcW w:w="983" w:type="dxa"/>
            <w:noWrap w:val="0"/>
            <w:vAlign w:val="center"/>
          </w:tcPr>
          <w:p>
            <w:pPr>
              <w:spacing w:line="33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1" w:type="dxa"/>
            <w:vMerge w:val="continue"/>
            <w:noWrap w:val="0"/>
            <w:vAlign w:val="center"/>
          </w:tcPr>
          <w:p>
            <w:pPr>
              <w:spacing w:line="330" w:lineRule="exact"/>
              <w:jc w:val="center"/>
              <w:rPr>
                <w:rFonts w:hint="eastAsia" w:ascii="宋体" w:hAnsi="宋体" w:eastAsia="宋体" w:cs="宋体"/>
                <w:color w:val="auto"/>
                <w:sz w:val="24"/>
                <w:szCs w:val="24"/>
                <w:highlight w:val="none"/>
              </w:rPr>
            </w:pPr>
          </w:p>
        </w:tc>
        <w:tc>
          <w:tcPr>
            <w:tcW w:w="1171" w:type="dxa"/>
            <w:vMerge w:val="continue"/>
            <w:noWrap w:val="0"/>
            <w:vAlign w:val="center"/>
          </w:tcPr>
          <w:p>
            <w:pPr>
              <w:autoSpaceDE w:val="0"/>
              <w:autoSpaceDN w:val="0"/>
              <w:spacing w:line="330" w:lineRule="exact"/>
              <w:jc w:val="center"/>
              <w:rPr>
                <w:rFonts w:hint="eastAsia" w:ascii="宋体" w:hAnsi="宋体" w:eastAsia="宋体" w:cs="宋体"/>
                <w:color w:val="auto"/>
                <w:sz w:val="24"/>
                <w:szCs w:val="24"/>
                <w:highlight w:val="none"/>
              </w:rPr>
            </w:pPr>
          </w:p>
        </w:tc>
        <w:tc>
          <w:tcPr>
            <w:tcW w:w="6433" w:type="dxa"/>
            <w:gridSpan w:val="2"/>
            <w:noWrap w:val="0"/>
            <w:vAlign w:val="center"/>
          </w:tcPr>
          <w:p>
            <w:pPr>
              <w:autoSpaceDE w:val="0"/>
              <w:autoSpaceDN w:val="0"/>
              <w:spacing w:line="33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投标单位投入本项目机具设备情况（针对清除非法涂写招贴广告作业机具）。租赁不得分。（提供购置发票或合同）</w:t>
            </w:r>
          </w:p>
        </w:tc>
        <w:tc>
          <w:tcPr>
            <w:tcW w:w="983" w:type="dxa"/>
            <w:noWrap w:val="0"/>
            <w:vAlign w:val="center"/>
          </w:tcPr>
          <w:p>
            <w:pPr>
              <w:spacing w:line="33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1" w:type="dxa"/>
            <w:vMerge w:val="continue"/>
            <w:noWrap w:val="0"/>
            <w:vAlign w:val="center"/>
          </w:tcPr>
          <w:p>
            <w:pPr>
              <w:spacing w:line="330" w:lineRule="exact"/>
              <w:jc w:val="center"/>
              <w:rPr>
                <w:rFonts w:hint="eastAsia" w:ascii="宋体" w:hAnsi="宋体" w:eastAsia="宋体" w:cs="宋体"/>
                <w:color w:val="auto"/>
                <w:sz w:val="24"/>
                <w:szCs w:val="24"/>
                <w:highlight w:val="none"/>
              </w:rPr>
            </w:pPr>
          </w:p>
        </w:tc>
        <w:tc>
          <w:tcPr>
            <w:tcW w:w="1171" w:type="dxa"/>
            <w:vMerge w:val="continue"/>
            <w:noWrap w:val="0"/>
            <w:vAlign w:val="center"/>
          </w:tcPr>
          <w:p>
            <w:pPr>
              <w:autoSpaceDE w:val="0"/>
              <w:autoSpaceDN w:val="0"/>
              <w:spacing w:line="330" w:lineRule="exact"/>
              <w:jc w:val="center"/>
              <w:rPr>
                <w:rFonts w:hint="eastAsia" w:ascii="宋体" w:hAnsi="宋体" w:eastAsia="宋体" w:cs="宋体"/>
                <w:color w:val="auto"/>
                <w:sz w:val="24"/>
                <w:szCs w:val="24"/>
                <w:highlight w:val="none"/>
              </w:rPr>
            </w:pPr>
          </w:p>
        </w:tc>
        <w:tc>
          <w:tcPr>
            <w:tcW w:w="6433" w:type="dxa"/>
            <w:gridSpan w:val="2"/>
            <w:noWrap w:val="0"/>
            <w:vAlign w:val="center"/>
          </w:tcPr>
          <w:p>
            <w:pPr>
              <w:autoSpaceDE w:val="0"/>
              <w:autoSpaceDN w:val="0"/>
              <w:spacing w:line="33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针对投标单位队伍技术力量、经营情况、规模，综合评分。</w:t>
            </w:r>
          </w:p>
        </w:tc>
        <w:tc>
          <w:tcPr>
            <w:tcW w:w="983" w:type="dxa"/>
            <w:noWrap w:val="0"/>
            <w:vAlign w:val="center"/>
          </w:tcPr>
          <w:p>
            <w:pPr>
              <w:spacing w:line="33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1" w:type="dxa"/>
            <w:vMerge w:val="continue"/>
            <w:noWrap w:val="0"/>
            <w:vAlign w:val="center"/>
          </w:tcPr>
          <w:p>
            <w:pPr>
              <w:spacing w:line="330" w:lineRule="exact"/>
              <w:jc w:val="center"/>
              <w:rPr>
                <w:rFonts w:hint="eastAsia" w:ascii="宋体" w:hAnsi="宋体" w:eastAsia="宋体" w:cs="宋体"/>
                <w:color w:val="auto"/>
                <w:sz w:val="24"/>
                <w:szCs w:val="24"/>
                <w:highlight w:val="none"/>
              </w:rPr>
            </w:pPr>
          </w:p>
        </w:tc>
        <w:tc>
          <w:tcPr>
            <w:tcW w:w="1171" w:type="dxa"/>
            <w:vMerge w:val="continue"/>
            <w:noWrap w:val="0"/>
            <w:vAlign w:val="center"/>
          </w:tcPr>
          <w:p>
            <w:pPr>
              <w:autoSpaceDE w:val="0"/>
              <w:autoSpaceDN w:val="0"/>
              <w:spacing w:line="330" w:lineRule="exact"/>
              <w:jc w:val="center"/>
              <w:rPr>
                <w:rFonts w:hint="eastAsia" w:ascii="宋体" w:hAnsi="宋体" w:eastAsia="宋体" w:cs="宋体"/>
                <w:color w:val="auto"/>
                <w:sz w:val="24"/>
                <w:szCs w:val="24"/>
                <w:highlight w:val="none"/>
              </w:rPr>
            </w:pPr>
          </w:p>
        </w:tc>
        <w:tc>
          <w:tcPr>
            <w:tcW w:w="6433" w:type="dxa"/>
            <w:gridSpan w:val="2"/>
            <w:noWrap w:val="0"/>
            <w:vAlign w:val="center"/>
          </w:tcPr>
          <w:p>
            <w:pPr>
              <w:autoSpaceDE w:val="0"/>
              <w:autoSpaceDN w:val="0"/>
              <w:spacing w:line="33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自2016年1月至投标截止日所获环卫及保洁作业相关荣誉（2分）。获得市级荣誉的得1分，获得省级及以上荣誉的得2分。本项不得累计只取最高分。反之，公司受到环卫系统区级以上通报批评等处分的，取消此分。（证明材料为：荣誉证书或文件，同时提供未受到区级及以上环卫系统通报批评等处分的承诺书，未提供承诺书不得分。）</w:t>
            </w:r>
          </w:p>
        </w:tc>
        <w:tc>
          <w:tcPr>
            <w:tcW w:w="983" w:type="dxa"/>
            <w:noWrap w:val="0"/>
            <w:vAlign w:val="center"/>
          </w:tcPr>
          <w:p>
            <w:pPr>
              <w:spacing w:line="33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1" w:type="dxa"/>
            <w:vMerge w:val="continue"/>
            <w:noWrap w:val="0"/>
            <w:vAlign w:val="center"/>
          </w:tcPr>
          <w:p>
            <w:pPr>
              <w:spacing w:line="330" w:lineRule="exact"/>
              <w:jc w:val="center"/>
              <w:rPr>
                <w:rFonts w:hint="eastAsia" w:ascii="宋体" w:hAnsi="宋体" w:eastAsia="宋体" w:cs="宋体"/>
                <w:color w:val="auto"/>
                <w:sz w:val="24"/>
                <w:szCs w:val="24"/>
                <w:highlight w:val="none"/>
              </w:rPr>
            </w:pPr>
          </w:p>
        </w:tc>
        <w:tc>
          <w:tcPr>
            <w:tcW w:w="1171" w:type="dxa"/>
            <w:vMerge w:val="continue"/>
            <w:noWrap w:val="0"/>
            <w:vAlign w:val="center"/>
          </w:tcPr>
          <w:p>
            <w:pPr>
              <w:autoSpaceDE w:val="0"/>
              <w:autoSpaceDN w:val="0"/>
              <w:spacing w:line="330" w:lineRule="exact"/>
              <w:jc w:val="center"/>
              <w:rPr>
                <w:rFonts w:hint="eastAsia" w:ascii="宋体" w:hAnsi="宋体" w:eastAsia="宋体" w:cs="宋体"/>
                <w:color w:val="auto"/>
                <w:sz w:val="24"/>
                <w:szCs w:val="24"/>
                <w:highlight w:val="none"/>
              </w:rPr>
            </w:pPr>
          </w:p>
        </w:tc>
        <w:tc>
          <w:tcPr>
            <w:tcW w:w="6433" w:type="dxa"/>
            <w:gridSpan w:val="2"/>
            <w:noWrap w:val="0"/>
            <w:vAlign w:val="center"/>
          </w:tcPr>
          <w:p>
            <w:pPr>
              <w:autoSpaceDE w:val="0"/>
              <w:autoSpaceDN w:val="0"/>
              <w:spacing w:line="33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投标人获得过区级及以上城管部门清除非法涂写招贴广告专项考核奖励的：第一名的得3分、第二名的得2分、第三名的得1分。（必须提供获得考核奖励资料）。</w:t>
            </w:r>
          </w:p>
        </w:tc>
        <w:tc>
          <w:tcPr>
            <w:tcW w:w="983" w:type="dxa"/>
            <w:noWrap w:val="0"/>
            <w:vAlign w:val="center"/>
          </w:tcPr>
          <w:p>
            <w:pPr>
              <w:spacing w:line="33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1" w:type="dxa"/>
            <w:vMerge w:val="continue"/>
            <w:noWrap w:val="0"/>
            <w:vAlign w:val="center"/>
          </w:tcPr>
          <w:p>
            <w:pPr>
              <w:spacing w:line="330" w:lineRule="exact"/>
              <w:jc w:val="center"/>
              <w:rPr>
                <w:rFonts w:hint="eastAsia" w:ascii="宋体" w:hAnsi="宋体" w:eastAsia="宋体" w:cs="宋体"/>
                <w:color w:val="auto"/>
                <w:sz w:val="24"/>
                <w:szCs w:val="24"/>
                <w:highlight w:val="none"/>
              </w:rPr>
            </w:pPr>
          </w:p>
        </w:tc>
        <w:tc>
          <w:tcPr>
            <w:tcW w:w="1171" w:type="dxa"/>
            <w:vMerge w:val="continue"/>
            <w:noWrap w:val="0"/>
            <w:vAlign w:val="center"/>
          </w:tcPr>
          <w:p>
            <w:pPr>
              <w:autoSpaceDE w:val="0"/>
              <w:autoSpaceDN w:val="0"/>
              <w:spacing w:line="330" w:lineRule="exact"/>
              <w:jc w:val="center"/>
              <w:rPr>
                <w:rFonts w:hint="eastAsia" w:ascii="宋体" w:hAnsi="宋体" w:eastAsia="宋体" w:cs="宋体"/>
                <w:color w:val="auto"/>
                <w:sz w:val="24"/>
                <w:szCs w:val="24"/>
                <w:highlight w:val="none"/>
              </w:rPr>
            </w:pPr>
          </w:p>
        </w:tc>
        <w:tc>
          <w:tcPr>
            <w:tcW w:w="6433" w:type="dxa"/>
            <w:gridSpan w:val="2"/>
            <w:noWrap w:val="0"/>
            <w:vAlign w:val="center"/>
          </w:tcPr>
          <w:p>
            <w:pPr>
              <w:autoSpaceDE w:val="0"/>
              <w:autoSpaceDN w:val="0"/>
              <w:spacing w:line="33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投标单位通过质量管理体系ISO9001认证证书，且在有效期内的得1分。(证明材料为：证书复印件)</w:t>
            </w:r>
          </w:p>
        </w:tc>
        <w:tc>
          <w:tcPr>
            <w:tcW w:w="983" w:type="dxa"/>
            <w:noWrap w:val="0"/>
            <w:vAlign w:val="center"/>
          </w:tcPr>
          <w:p>
            <w:pPr>
              <w:spacing w:line="33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1" w:type="dxa"/>
            <w:vMerge w:val="continue"/>
            <w:noWrap w:val="0"/>
            <w:vAlign w:val="center"/>
          </w:tcPr>
          <w:p>
            <w:pPr>
              <w:spacing w:line="330" w:lineRule="exact"/>
              <w:jc w:val="center"/>
              <w:rPr>
                <w:rFonts w:hint="eastAsia" w:ascii="宋体" w:hAnsi="宋体" w:eastAsia="宋体" w:cs="宋体"/>
                <w:color w:val="auto"/>
                <w:sz w:val="24"/>
                <w:szCs w:val="24"/>
                <w:highlight w:val="none"/>
              </w:rPr>
            </w:pPr>
          </w:p>
        </w:tc>
        <w:tc>
          <w:tcPr>
            <w:tcW w:w="1171" w:type="dxa"/>
            <w:vMerge w:val="continue"/>
            <w:noWrap w:val="0"/>
            <w:vAlign w:val="center"/>
          </w:tcPr>
          <w:p>
            <w:pPr>
              <w:autoSpaceDE w:val="0"/>
              <w:autoSpaceDN w:val="0"/>
              <w:spacing w:line="330" w:lineRule="exact"/>
              <w:jc w:val="center"/>
              <w:rPr>
                <w:rFonts w:hint="eastAsia" w:ascii="宋体" w:hAnsi="宋体" w:eastAsia="宋体" w:cs="宋体"/>
                <w:color w:val="auto"/>
                <w:sz w:val="24"/>
                <w:szCs w:val="24"/>
                <w:highlight w:val="none"/>
              </w:rPr>
            </w:pPr>
          </w:p>
        </w:tc>
        <w:tc>
          <w:tcPr>
            <w:tcW w:w="6433" w:type="dxa"/>
            <w:gridSpan w:val="2"/>
            <w:noWrap w:val="0"/>
            <w:vAlign w:val="center"/>
          </w:tcPr>
          <w:p>
            <w:pPr>
              <w:autoSpaceDE w:val="0"/>
              <w:autoSpaceDN w:val="0"/>
              <w:spacing w:line="33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投标人具类似项目及保洁项目业绩情况。以合同或中标通知书为准，每个业绩1分，最高3分。</w:t>
            </w:r>
          </w:p>
        </w:tc>
        <w:tc>
          <w:tcPr>
            <w:tcW w:w="983" w:type="dxa"/>
            <w:noWrap w:val="0"/>
            <w:vAlign w:val="center"/>
          </w:tcPr>
          <w:p>
            <w:pPr>
              <w:spacing w:line="33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1" w:type="dxa"/>
            <w:vMerge w:val="continue"/>
            <w:noWrap w:val="0"/>
            <w:vAlign w:val="center"/>
          </w:tcPr>
          <w:p>
            <w:pPr>
              <w:spacing w:line="330" w:lineRule="exact"/>
              <w:jc w:val="center"/>
              <w:rPr>
                <w:rFonts w:hint="eastAsia" w:ascii="宋体" w:hAnsi="宋体" w:eastAsia="宋体" w:cs="宋体"/>
                <w:color w:val="auto"/>
                <w:sz w:val="24"/>
                <w:szCs w:val="24"/>
                <w:highlight w:val="none"/>
              </w:rPr>
            </w:pPr>
          </w:p>
        </w:tc>
        <w:tc>
          <w:tcPr>
            <w:tcW w:w="1171" w:type="dxa"/>
            <w:vMerge w:val="continue"/>
            <w:noWrap w:val="0"/>
            <w:vAlign w:val="center"/>
          </w:tcPr>
          <w:p>
            <w:pPr>
              <w:autoSpaceDE w:val="0"/>
              <w:autoSpaceDN w:val="0"/>
              <w:spacing w:line="330" w:lineRule="exact"/>
              <w:jc w:val="center"/>
              <w:rPr>
                <w:rFonts w:hint="eastAsia" w:ascii="宋体" w:hAnsi="宋体" w:eastAsia="宋体" w:cs="宋体"/>
                <w:color w:val="auto"/>
                <w:sz w:val="24"/>
                <w:szCs w:val="24"/>
                <w:highlight w:val="none"/>
              </w:rPr>
            </w:pPr>
          </w:p>
        </w:tc>
        <w:tc>
          <w:tcPr>
            <w:tcW w:w="6433" w:type="dxa"/>
            <w:gridSpan w:val="2"/>
            <w:noWrap w:val="0"/>
            <w:vAlign w:val="center"/>
          </w:tcPr>
          <w:p>
            <w:pPr>
              <w:autoSpaceDE w:val="0"/>
              <w:autoSpaceDN w:val="0"/>
              <w:spacing w:line="33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投标单位提供党组织证明材料的得1分，提供工会证明材料的得1分。</w:t>
            </w:r>
          </w:p>
        </w:tc>
        <w:tc>
          <w:tcPr>
            <w:tcW w:w="983" w:type="dxa"/>
            <w:noWrap w:val="0"/>
            <w:vAlign w:val="center"/>
          </w:tcPr>
          <w:p>
            <w:pPr>
              <w:spacing w:line="33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1" w:type="dxa"/>
            <w:vMerge w:val="restart"/>
            <w:noWrap w:val="0"/>
            <w:vAlign w:val="center"/>
          </w:tcPr>
          <w:p>
            <w:pPr>
              <w:spacing w:line="33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171" w:type="dxa"/>
            <w:vMerge w:val="restart"/>
            <w:noWrap w:val="0"/>
            <w:vAlign w:val="center"/>
          </w:tcPr>
          <w:p>
            <w:pPr>
              <w:autoSpaceDE w:val="0"/>
              <w:autoSpaceDN w:val="0"/>
              <w:spacing w:line="33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投标单位内部管理</w:t>
            </w:r>
          </w:p>
          <w:p>
            <w:pPr>
              <w:autoSpaceDE w:val="0"/>
              <w:autoSpaceDN w:val="0"/>
              <w:spacing w:line="33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（22分）</w:t>
            </w:r>
          </w:p>
        </w:tc>
        <w:tc>
          <w:tcPr>
            <w:tcW w:w="6433" w:type="dxa"/>
            <w:gridSpan w:val="2"/>
            <w:noWrap w:val="0"/>
            <w:vAlign w:val="center"/>
          </w:tcPr>
          <w:p>
            <w:pPr>
              <w:autoSpaceDE w:val="0"/>
              <w:autoSpaceDN w:val="0"/>
              <w:spacing w:line="33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设立单位成本会计得1分，建立规范财务帐册得1分，制定财务管理制度得1分。（提供相关证明材料）。</w:t>
            </w:r>
          </w:p>
        </w:tc>
        <w:tc>
          <w:tcPr>
            <w:tcW w:w="983" w:type="dxa"/>
            <w:noWrap w:val="0"/>
            <w:vAlign w:val="center"/>
          </w:tcPr>
          <w:p>
            <w:pPr>
              <w:spacing w:line="33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1" w:type="dxa"/>
            <w:vMerge w:val="continue"/>
            <w:noWrap w:val="0"/>
            <w:vAlign w:val="center"/>
          </w:tcPr>
          <w:p>
            <w:pPr>
              <w:spacing w:line="330" w:lineRule="exact"/>
              <w:jc w:val="center"/>
              <w:rPr>
                <w:rFonts w:hint="eastAsia" w:ascii="宋体" w:hAnsi="宋体" w:eastAsia="宋体" w:cs="宋体"/>
                <w:color w:val="auto"/>
                <w:sz w:val="24"/>
                <w:szCs w:val="24"/>
                <w:highlight w:val="none"/>
              </w:rPr>
            </w:pPr>
          </w:p>
        </w:tc>
        <w:tc>
          <w:tcPr>
            <w:tcW w:w="1171" w:type="dxa"/>
            <w:vMerge w:val="continue"/>
            <w:noWrap w:val="0"/>
            <w:vAlign w:val="center"/>
          </w:tcPr>
          <w:p>
            <w:pPr>
              <w:autoSpaceDE w:val="0"/>
              <w:autoSpaceDN w:val="0"/>
              <w:spacing w:line="330" w:lineRule="exact"/>
              <w:jc w:val="center"/>
              <w:rPr>
                <w:rFonts w:hint="eastAsia" w:ascii="宋体" w:hAnsi="宋体" w:eastAsia="宋体" w:cs="宋体"/>
                <w:color w:val="auto"/>
                <w:sz w:val="24"/>
                <w:szCs w:val="24"/>
                <w:highlight w:val="none"/>
              </w:rPr>
            </w:pPr>
          </w:p>
        </w:tc>
        <w:tc>
          <w:tcPr>
            <w:tcW w:w="1503" w:type="dxa"/>
            <w:vMerge w:val="restart"/>
            <w:noWrap w:val="0"/>
            <w:vAlign w:val="center"/>
          </w:tcPr>
          <w:p>
            <w:pPr>
              <w:autoSpaceDE w:val="0"/>
              <w:autoSpaceDN w:val="0"/>
              <w:spacing w:line="33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员工管理制度（10分）</w:t>
            </w:r>
          </w:p>
        </w:tc>
        <w:tc>
          <w:tcPr>
            <w:tcW w:w="4930" w:type="dxa"/>
            <w:noWrap w:val="0"/>
            <w:vAlign w:val="center"/>
          </w:tcPr>
          <w:p>
            <w:pPr>
              <w:autoSpaceDE w:val="0"/>
              <w:autoSpaceDN w:val="0"/>
              <w:spacing w:line="33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a、员工管理制度（签订规范的员工劳动合同、业务培训制度）、完善的员工档案并提不供员工的社保证明、住房公积金证明、人身意外伤害保险证明、员工考核制度、员工绩效评价的得6分，每缺少一项扣1分。</w:t>
            </w:r>
          </w:p>
        </w:tc>
        <w:tc>
          <w:tcPr>
            <w:tcW w:w="983" w:type="dxa"/>
            <w:noWrap w:val="0"/>
            <w:vAlign w:val="center"/>
          </w:tcPr>
          <w:p>
            <w:pPr>
              <w:spacing w:line="33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1" w:type="dxa"/>
            <w:vMerge w:val="continue"/>
            <w:noWrap w:val="0"/>
            <w:vAlign w:val="center"/>
          </w:tcPr>
          <w:p>
            <w:pPr>
              <w:spacing w:line="330" w:lineRule="exact"/>
              <w:jc w:val="center"/>
              <w:rPr>
                <w:rFonts w:hint="eastAsia" w:ascii="宋体" w:hAnsi="宋体" w:eastAsia="宋体" w:cs="宋体"/>
                <w:color w:val="auto"/>
                <w:sz w:val="24"/>
                <w:szCs w:val="24"/>
                <w:highlight w:val="none"/>
              </w:rPr>
            </w:pPr>
          </w:p>
        </w:tc>
        <w:tc>
          <w:tcPr>
            <w:tcW w:w="1171" w:type="dxa"/>
            <w:vMerge w:val="continue"/>
            <w:noWrap w:val="0"/>
            <w:vAlign w:val="center"/>
          </w:tcPr>
          <w:p>
            <w:pPr>
              <w:autoSpaceDE w:val="0"/>
              <w:autoSpaceDN w:val="0"/>
              <w:spacing w:line="330" w:lineRule="exact"/>
              <w:jc w:val="center"/>
              <w:rPr>
                <w:rFonts w:hint="eastAsia" w:ascii="宋体" w:hAnsi="宋体" w:eastAsia="宋体" w:cs="宋体"/>
                <w:color w:val="auto"/>
                <w:sz w:val="24"/>
                <w:szCs w:val="24"/>
                <w:highlight w:val="none"/>
              </w:rPr>
            </w:pPr>
          </w:p>
        </w:tc>
        <w:tc>
          <w:tcPr>
            <w:tcW w:w="1503" w:type="dxa"/>
            <w:vMerge w:val="continue"/>
            <w:noWrap w:val="0"/>
            <w:vAlign w:val="center"/>
          </w:tcPr>
          <w:p>
            <w:pPr>
              <w:autoSpaceDE w:val="0"/>
              <w:autoSpaceDN w:val="0"/>
              <w:spacing w:line="330" w:lineRule="exact"/>
              <w:rPr>
                <w:rFonts w:hint="eastAsia" w:ascii="宋体" w:hAnsi="宋体" w:eastAsia="宋体" w:cs="宋体"/>
                <w:color w:val="auto"/>
                <w:sz w:val="24"/>
                <w:szCs w:val="24"/>
                <w:highlight w:val="none"/>
              </w:rPr>
            </w:pPr>
          </w:p>
        </w:tc>
        <w:tc>
          <w:tcPr>
            <w:tcW w:w="4930" w:type="dxa"/>
            <w:noWrap w:val="0"/>
            <w:vAlign w:val="center"/>
          </w:tcPr>
          <w:p>
            <w:pPr>
              <w:autoSpaceDE w:val="0"/>
              <w:autoSpaceDN w:val="0"/>
              <w:spacing w:line="33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员工薪资发放规范及时，2016年1月至投标截止日前未发生过有关员工薪酬及权益保障方面的投诉、被劳动部门处罚及被市级环卫主管部门通报批评，每发生一次扣1分。（提供承诺书，格式自拟，如发生过须在承诺书中注明，未提供承诺书的不得分。）</w:t>
            </w:r>
          </w:p>
        </w:tc>
        <w:tc>
          <w:tcPr>
            <w:tcW w:w="983" w:type="dxa"/>
            <w:noWrap w:val="0"/>
            <w:vAlign w:val="center"/>
          </w:tcPr>
          <w:p>
            <w:pPr>
              <w:spacing w:line="33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601" w:type="dxa"/>
            <w:vMerge w:val="continue"/>
            <w:noWrap w:val="0"/>
            <w:vAlign w:val="center"/>
          </w:tcPr>
          <w:p>
            <w:pPr>
              <w:spacing w:line="330" w:lineRule="exact"/>
              <w:jc w:val="center"/>
              <w:rPr>
                <w:rFonts w:hint="eastAsia" w:ascii="宋体" w:hAnsi="宋体" w:eastAsia="宋体" w:cs="宋体"/>
                <w:color w:val="auto"/>
                <w:sz w:val="24"/>
                <w:szCs w:val="24"/>
                <w:highlight w:val="none"/>
              </w:rPr>
            </w:pPr>
          </w:p>
        </w:tc>
        <w:tc>
          <w:tcPr>
            <w:tcW w:w="1171" w:type="dxa"/>
            <w:vMerge w:val="continue"/>
            <w:noWrap w:val="0"/>
            <w:vAlign w:val="center"/>
          </w:tcPr>
          <w:p>
            <w:pPr>
              <w:autoSpaceDE w:val="0"/>
              <w:autoSpaceDN w:val="0"/>
              <w:spacing w:line="330" w:lineRule="exact"/>
              <w:jc w:val="center"/>
              <w:rPr>
                <w:rFonts w:hint="eastAsia" w:ascii="宋体" w:hAnsi="宋体" w:eastAsia="宋体" w:cs="宋体"/>
                <w:color w:val="auto"/>
                <w:sz w:val="24"/>
                <w:szCs w:val="24"/>
                <w:highlight w:val="none"/>
              </w:rPr>
            </w:pPr>
          </w:p>
        </w:tc>
        <w:tc>
          <w:tcPr>
            <w:tcW w:w="1503" w:type="dxa"/>
            <w:vMerge w:val="restart"/>
            <w:noWrap w:val="0"/>
            <w:vAlign w:val="center"/>
          </w:tcPr>
          <w:p>
            <w:pPr>
              <w:autoSpaceDE w:val="0"/>
              <w:autoSpaceDN w:val="0"/>
              <w:spacing w:line="33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安全生产管理（9分）</w:t>
            </w:r>
          </w:p>
        </w:tc>
        <w:tc>
          <w:tcPr>
            <w:tcW w:w="4930" w:type="dxa"/>
            <w:noWrap w:val="0"/>
            <w:vAlign w:val="center"/>
          </w:tcPr>
          <w:p>
            <w:pPr>
              <w:autoSpaceDE w:val="0"/>
              <w:autoSpaceDN w:val="0"/>
              <w:spacing w:line="33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a、制订安全作业制度并有专职安全员的，得2分，未制订或未能提供专职安全员证明的，该项不得分</w:t>
            </w:r>
          </w:p>
        </w:tc>
        <w:tc>
          <w:tcPr>
            <w:tcW w:w="983" w:type="dxa"/>
            <w:noWrap w:val="0"/>
            <w:vAlign w:val="center"/>
          </w:tcPr>
          <w:p>
            <w:pPr>
              <w:spacing w:line="33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601" w:type="dxa"/>
            <w:vMerge w:val="continue"/>
            <w:noWrap w:val="0"/>
            <w:vAlign w:val="center"/>
          </w:tcPr>
          <w:p>
            <w:pPr>
              <w:spacing w:line="330" w:lineRule="exact"/>
              <w:jc w:val="center"/>
              <w:rPr>
                <w:rFonts w:hint="eastAsia" w:ascii="宋体" w:hAnsi="宋体" w:eastAsia="宋体" w:cs="宋体"/>
                <w:color w:val="auto"/>
                <w:sz w:val="24"/>
                <w:szCs w:val="24"/>
                <w:highlight w:val="none"/>
              </w:rPr>
            </w:pPr>
          </w:p>
        </w:tc>
        <w:tc>
          <w:tcPr>
            <w:tcW w:w="1171" w:type="dxa"/>
            <w:vMerge w:val="continue"/>
            <w:noWrap w:val="0"/>
            <w:vAlign w:val="center"/>
          </w:tcPr>
          <w:p>
            <w:pPr>
              <w:autoSpaceDE w:val="0"/>
              <w:autoSpaceDN w:val="0"/>
              <w:spacing w:line="330" w:lineRule="exact"/>
              <w:jc w:val="center"/>
              <w:rPr>
                <w:rFonts w:hint="eastAsia" w:ascii="宋体" w:hAnsi="宋体" w:eastAsia="宋体" w:cs="宋体"/>
                <w:color w:val="auto"/>
                <w:sz w:val="24"/>
                <w:szCs w:val="24"/>
                <w:highlight w:val="none"/>
              </w:rPr>
            </w:pPr>
          </w:p>
        </w:tc>
        <w:tc>
          <w:tcPr>
            <w:tcW w:w="1503" w:type="dxa"/>
            <w:vMerge w:val="continue"/>
            <w:noWrap w:val="0"/>
            <w:vAlign w:val="center"/>
          </w:tcPr>
          <w:p>
            <w:pPr>
              <w:autoSpaceDE w:val="0"/>
              <w:autoSpaceDN w:val="0"/>
              <w:spacing w:line="330" w:lineRule="exact"/>
              <w:rPr>
                <w:rFonts w:hint="eastAsia" w:ascii="宋体" w:hAnsi="宋体" w:eastAsia="宋体" w:cs="宋体"/>
                <w:color w:val="auto"/>
                <w:sz w:val="24"/>
                <w:szCs w:val="24"/>
                <w:highlight w:val="none"/>
              </w:rPr>
            </w:pPr>
          </w:p>
        </w:tc>
        <w:tc>
          <w:tcPr>
            <w:tcW w:w="4930" w:type="dxa"/>
            <w:noWrap w:val="0"/>
            <w:vAlign w:val="center"/>
          </w:tcPr>
          <w:p>
            <w:pPr>
              <w:autoSpaceDE w:val="0"/>
              <w:autoSpaceDN w:val="0"/>
              <w:spacing w:line="33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b、定期开展安全作业培训，记录完整的，得2分，未定期开展培训或无记录的，该项不得分</w:t>
            </w:r>
          </w:p>
        </w:tc>
        <w:tc>
          <w:tcPr>
            <w:tcW w:w="983" w:type="dxa"/>
            <w:noWrap w:val="0"/>
            <w:vAlign w:val="center"/>
          </w:tcPr>
          <w:p>
            <w:pPr>
              <w:spacing w:line="33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601" w:type="dxa"/>
            <w:vMerge w:val="continue"/>
            <w:noWrap w:val="0"/>
            <w:vAlign w:val="center"/>
          </w:tcPr>
          <w:p>
            <w:pPr>
              <w:spacing w:line="330" w:lineRule="exact"/>
              <w:jc w:val="center"/>
              <w:rPr>
                <w:rFonts w:hint="eastAsia" w:ascii="宋体" w:hAnsi="宋体" w:eastAsia="宋体" w:cs="宋体"/>
                <w:color w:val="auto"/>
                <w:sz w:val="24"/>
                <w:szCs w:val="24"/>
                <w:highlight w:val="none"/>
              </w:rPr>
            </w:pPr>
          </w:p>
        </w:tc>
        <w:tc>
          <w:tcPr>
            <w:tcW w:w="1171" w:type="dxa"/>
            <w:vMerge w:val="continue"/>
            <w:noWrap w:val="0"/>
            <w:vAlign w:val="center"/>
          </w:tcPr>
          <w:p>
            <w:pPr>
              <w:autoSpaceDE w:val="0"/>
              <w:autoSpaceDN w:val="0"/>
              <w:spacing w:line="330" w:lineRule="exact"/>
              <w:jc w:val="center"/>
              <w:rPr>
                <w:rFonts w:hint="eastAsia" w:ascii="宋体" w:hAnsi="宋体" w:eastAsia="宋体" w:cs="宋体"/>
                <w:color w:val="auto"/>
                <w:sz w:val="24"/>
                <w:szCs w:val="24"/>
                <w:highlight w:val="none"/>
              </w:rPr>
            </w:pPr>
          </w:p>
        </w:tc>
        <w:tc>
          <w:tcPr>
            <w:tcW w:w="1503" w:type="dxa"/>
            <w:vMerge w:val="continue"/>
            <w:noWrap w:val="0"/>
            <w:vAlign w:val="center"/>
          </w:tcPr>
          <w:p>
            <w:pPr>
              <w:autoSpaceDE w:val="0"/>
              <w:autoSpaceDN w:val="0"/>
              <w:spacing w:line="330" w:lineRule="exact"/>
              <w:rPr>
                <w:rFonts w:hint="eastAsia" w:ascii="宋体" w:hAnsi="宋体" w:eastAsia="宋体" w:cs="宋体"/>
                <w:color w:val="auto"/>
                <w:sz w:val="24"/>
                <w:szCs w:val="24"/>
                <w:highlight w:val="none"/>
              </w:rPr>
            </w:pPr>
          </w:p>
        </w:tc>
        <w:tc>
          <w:tcPr>
            <w:tcW w:w="4930" w:type="dxa"/>
            <w:noWrap w:val="0"/>
            <w:vAlign w:val="center"/>
          </w:tcPr>
          <w:p>
            <w:pPr>
              <w:autoSpaceDE w:val="0"/>
              <w:autoSpaceDN w:val="0"/>
              <w:spacing w:line="33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2016年1月1日至今发生安全事故，造成人员受伤，受伤程度达到《道路交通事故受伤人员伤残评定》或《职工工伤与职业病致残程度鉴定标准》规定的最低标准，每发生一起扣2分，造成人员死亡的，每发生一起扣3分。未发生过的，得满分3分。（提供承诺书，格式自拟，如发生过须在承诺书中注明，未提供承诺书的不得分。）</w:t>
            </w:r>
          </w:p>
        </w:tc>
        <w:tc>
          <w:tcPr>
            <w:tcW w:w="983" w:type="dxa"/>
            <w:noWrap w:val="0"/>
            <w:vAlign w:val="center"/>
          </w:tcPr>
          <w:p>
            <w:pPr>
              <w:spacing w:line="33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01" w:type="dxa"/>
            <w:vMerge w:val="continue"/>
            <w:noWrap w:val="0"/>
            <w:vAlign w:val="center"/>
          </w:tcPr>
          <w:p>
            <w:pPr>
              <w:spacing w:line="330" w:lineRule="exact"/>
              <w:jc w:val="center"/>
              <w:rPr>
                <w:rFonts w:hint="eastAsia" w:ascii="宋体" w:hAnsi="宋体" w:eastAsia="宋体" w:cs="宋体"/>
                <w:color w:val="auto"/>
                <w:sz w:val="24"/>
                <w:szCs w:val="24"/>
                <w:highlight w:val="none"/>
              </w:rPr>
            </w:pPr>
          </w:p>
        </w:tc>
        <w:tc>
          <w:tcPr>
            <w:tcW w:w="1171" w:type="dxa"/>
            <w:vMerge w:val="continue"/>
            <w:noWrap w:val="0"/>
            <w:vAlign w:val="center"/>
          </w:tcPr>
          <w:p>
            <w:pPr>
              <w:autoSpaceDE w:val="0"/>
              <w:autoSpaceDN w:val="0"/>
              <w:spacing w:line="330" w:lineRule="exact"/>
              <w:jc w:val="center"/>
              <w:rPr>
                <w:rFonts w:hint="eastAsia" w:ascii="宋体" w:hAnsi="宋体" w:eastAsia="宋体" w:cs="宋体"/>
                <w:color w:val="auto"/>
                <w:sz w:val="24"/>
                <w:szCs w:val="24"/>
                <w:highlight w:val="none"/>
              </w:rPr>
            </w:pPr>
          </w:p>
        </w:tc>
        <w:tc>
          <w:tcPr>
            <w:tcW w:w="1503" w:type="dxa"/>
            <w:vMerge w:val="continue"/>
            <w:noWrap w:val="0"/>
            <w:vAlign w:val="center"/>
          </w:tcPr>
          <w:p>
            <w:pPr>
              <w:autoSpaceDE w:val="0"/>
              <w:autoSpaceDN w:val="0"/>
              <w:spacing w:line="330" w:lineRule="exact"/>
              <w:rPr>
                <w:rFonts w:hint="eastAsia" w:ascii="宋体" w:hAnsi="宋体" w:eastAsia="宋体" w:cs="宋体"/>
                <w:color w:val="auto"/>
                <w:sz w:val="24"/>
                <w:szCs w:val="24"/>
                <w:highlight w:val="none"/>
              </w:rPr>
            </w:pPr>
          </w:p>
        </w:tc>
        <w:tc>
          <w:tcPr>
            <w:tcW w:w="4930" w:type="dxa"/>
            <w:noWrap w:val="0"/>
            <w:vAlign w:val="center"/>
          </w:tcPr>
          <w:p>
            <w:pPr>
              <w:autoSpaceDE w:val="0"/>
              <w:autoSpaceDN w:val="0"/>
              <w:spacing w:line="33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d、与环卫作业相关的通报批评。2016年1月1日至今公司被区级及以上环境卫生管理部门每通报批评1次，扣1分，扣完2分为止，未被通报批评过的得满分2分。（提供承诺书，格式自拟，如发生过须在承诺书中注明，未提供承诺书的不得分。）</w:t>
            </w:r>
          </w:p>
        </w:tc>
        <w:tc>
          <w:tcPr>
            <w:tcW w:w="983" w:type="dxa"/>
            <w:noWrap w:val="0"/>
            <w:vAlign w:val="center"/>
          </w:tcPr>
          <w:p>
            <w:pPr>
              <w:spacing w:line="33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01" w:type="dxa"/>
            <w:vMerge w:val="restart"/>
            <w:noWrap w:val="0"/>
            <w:vAlign w:val="center"/>
          </w:tcPr>
          <w:p>
            <w:pPr>
              <w:spacing w:line="33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171" w:type="dxa"/>
            <w:vMerge w:val="restart"/>
            <w:noWrap w:val="0"/>
            <w:vAlign w:val="center"/>
          </w:tcPr>
          <w:p>
            <w:pPr>
              <w:autoSpaceDE w:val="0"/>
              <w:autoSpaceDN w:val="0"/>
              <w:spacing w:line="33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本项目管理（40分）</w:t>
            </w:r>
          </w:p>
        </w:tc>
        <w:tc>
          <w:tcPr>
            <w:tcW w:w="1503" w:type="dxa"/>
            <w:vMerge w:val="restart"/>
            <w:noWrap w:val="0"/>
            <w:vAlign w:val="center"/>
          </w:tcPr>
          <w:p>
            <w:pPr>
              <w:autoSpaceDE w:val="0"/>
              <w:autoSpaceDN w:val="0"/>
              <w:spacing w:line="33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清理作业管理计划（12分）</w:t>
            </w:r>
          </w:p>
        </w:tc>
        <w:tc>
          <w:tcPr>
            <w:tcW w:w="4930" w:type="dxa"/>
            <w:noWrap w:val="0"/>
            <w:vAlign w:val="center"/>
          </w:tcPr>
          <w:p>
            <w:pPr>
              <w:autoSpaceDE w:val="0"/>
              <w:autoSpaceDN w:val="0"/>
              <w:spacing w:line="33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a、清除作业方案：切合本招标项目预定要求，针对性、操作性强，突发事件处置等内容。由评标专家把握，不完善的酌情扣分。</w:t>
            </w:r>
          </w:p>
        </w:tc>
        <w:tc>
          <w:tcPr>
            <w:tcW w:w="983" w:type="dxa"/>
            <w:noWrap w:val="0"/>
            <w:vAlign w:val="center"/>
          </w:tcPr>
          <w:p>
            <w:pPr>
              <w:spacing w:line="33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01" w:type="dxa"/>
            <w:vMerge w:val="continue"/>
            <w:noWrap w:val="0"/>
            <w:vAlign w:val="center"/>
          </w:tcPr>
          <w:p>
            <w:pPr>
              <w:spacing w:line="330" w:lineRule="exact"/>
              <w:jc w:val="center"/>
              <w:rPr>
                <w:rFonts w:hint="eastAsia" w:ascii="宋体" w:hAnsi="宋体" w:eastAsia="宋体" w:cs="宋体"/>
                <w:color w:val="auto"/>
                <w:sz w:val="24"/>
                <w:szCs w:val="24"/>
                <w:highlight w:val="none"/>
              </w:rPr>
            </w:pPr>
          </w:p>
        </w:tc>
        <w:tc>
          <w:tcPr>
            <w:tcW w:w="1171" w:type="dxa"/>
            <w:vMerge w:val="continue"/>
            <w:noWrap w:val="0"/>
            <w:vAlign w:val="center"/>
          </w:tcPr>
          <w:p>
            <w:pPr>
              <w:autoSpaceDE w:val="0"/>
              <w:autoSpaceDN w:val="0"/>
              <w:spacing w:line="330" w:lineRule="exact"/>
              <w:jc w:val="center"/>
              <w:rPr>
                <w:rFonts w:hint="eastAsia" w:ascii="宋体" w:hAnsi="宋体" w:eastAsia="宋体" w:cs="宋体"/>
                <w:color w:val="auto"/>
                <w:sz w:val="24"/>
                <w:szCs w:val="24"/>
                <w:highlight w:val="none"/>
              </w:rPr>
            </w:pPr>
          </w:p>
        </w:tc>
        <w:tc>
          <w:tcPr>
            <w:tcW w:w="1503" w:type="dxa"/>
            <w:vMerge w:val="continue"/>
            <w:noWrap w:val="0"/>
            <w:vAlign w:val="center"/>
          </w:tcPr>
          <w:p>
            <w:pPr>
              <w:autoSpaceDE w:val="0"/>
              <w:autoSpaceDN w:val="0"/>
              <w:spacing w:line="330" w:lineRule="exact"/>
              <w:rPr>
                <w:rFonts w:hint="eastAsia" w:ascii="宋体" w:hAnsi="宋体" w:eastAsia="宋体" w:cs="宋体"/>
                <w:color w:val="auto"/>
                <w:sz w:val="24"/>
                <w:szCs w:val="24"/>
                <w:highlight w:val="none"/>
              </w:rPr>
            </w:pPr>
          </w:p>
        </w:tc>
        <w:tc>
          <w:tcPr>
            <w:tcW w:w="4930" w:type="dxa"/>
            <w:noWrap w:val="0"/>
            <w:vAlign w:val="center"/>
          </w:tcPr>
          <w:p>
            <w:pPr>
              <w:autoSpaceDE w:val="0"/>
              <w:autoSpaceDN w:val="0"/>
              <w:spacing w:line="33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b、清除作业方式方法：达到招标要求的清理效果，作业措施有创新，使用的设施设备有创新，并取得成效的。由评标专家把握，不完善的酌情扣分。</w:t>
            </w:r>
          </w:p>
        </w:tc>
        <w:tc>
          <w:tcPr>
            <w:tcW w:w="983" w:type="dxa"/>
            <w:noWrap w:val="0"/>
            <w:vAlign w:val="center"/>
          </w:tcPr>
          <w:p>
            <w:pPr>
              <w:spacing w:line="33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01" w:type="dxa"/>
            <w:vMerge w:val="continue"/>
            <w:noWrap w:val="0"/>
            <w:vAlign w:val="center"/>
          </w:tcPr>
          <w:p>
            <w:pPr>
              <w:spacing w:line="330" w:lineRule="exact"/>
              <w:jc w:val="center"/>
              <w:rPr>
                <w:rFonts w:hint="eastAsia" w:ascii="宋体" w:hAnsi="宋体" w:eastAsia="宋体" w:cs="宋体"/>
                <w:color w:val="auto"/>
                <w:sz w:val="24"/>
                <w:szCs w:val="24"/>
                <w:highlight w:val="none"/>
              </w:rPr>
            </w:pPr>
          </w:p>
        </w:tc>
        <w:tc>
          <w:tcPr>
            <w:tcW w:w="1171" w:type="dxa"/>
            <w:vMerge w:val="continue"/>
            <w:noWrap w:val="0"/>
            <w:vAlign w:val="center"/>
          </w:tcPr>
          <w:p>
            <w:pPr>
              <w:autoSpaceDE w:val="0"/>
              <w:autoSpaceDN w:val="0"/>
              <w:spacing w:line="330" w:lineRule="exact"/>
              <w:jc w:val="center"/>
              <w:rPr>
                <w:rFonts w:hint="eastAsia" w:ascii="宋体" w:hAnsi="宋体" w:eastAsia="宋体" w:cs="宋体"/>
                <w:color w:val="auto"/>
                <w:sz w:val="24"/>
                <w:szCs w:val="24"/>
                <w:highlight w:val="none"/>
              </w:rPr>
            </w:pPr>
          </w:p>
        </w:tc>
        <w:tc>
          <w:tcPr>
            <w:tcW w:w="1503" w:type="dxa"/>
            <w:vMerge w:val="restart"/>
            <w:noWrap w:val="0"/>
            <w:vAlign w:val="center"/>
          </w:tcPr>
          <w:p>
            <w:pPr>
              <w:autoSpaceDE w:val="0"/>
              <w:autoSpaceDN w:val="0"/>
              <w:spacing w:line="33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清理作业管理制度（10分）</w:t>
            </w:r>
          </w:p>
        </w:tc>
        <w:tc>
          <w:tcPr>
            <w:tcW w:w="4930" w:type="dxa"/>
            <w:noWrap w:val="0"/>
            <w:vAlign w:val="center"/>
          </w:tcPr>
          <w:p>
            <w:pPr>
              <w:autoSpaceDE w:val="0"/>
              <w:autoSpaceDN w:val="0"/>
              <w:spacing w:line="33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a、质量管理体系完善：制订内部考核制度，有专门的机构负责对本项目进行质量监管，针对本项目制订具体质量管理考核细则。由评标专家把握，不完善的酌情扣分。</w:t>
            </w:r>
          </w:p>
        </w:tc>
        <w:tc>
          <w:tcPr>
            <w:tcW w:w="983" w:type="dxa"/>
            <w:noWrap w:val="0"/>
            <w:vAlign w:val="center"/>
          </w:tcPr>
          <w:p>
            <w:pPr>
              <w:spacing w:line="33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01" w:type="dxa"/>
            <w:vMerge w:val="continue"/>
            <w:noWrap w:val="0"/>
            <w:vAlign w:val="center"/>
          </w:tcPr>
          <w:p>
            <w:pPr>
              <w:spacing w:line="330" w:lineRule="exact"/>
              <w:jc w:val="center"/>
              <w:rPr>
                <w:rFonts w:hint="eastAsia" w:ascii="宋体" w:hAnsi="宋体" w:eastAsia="宋体" w:cs="宋体"/>
                <w:color w:val="auto"/>
                <w:sz w:val="24"/>
                <w:szCs w:val="24"/>
                <w:highlight w:val="none"/>
              </w:rPr>
            </w:pPr>
          </w:p>
        </w:tc>
        <w:tc>
          <w:tcPr>
            <w:tcW w:w="1171" w:type="dxa"/>
            <w:vMerge w:val="continue"/>
            <w:noWrap w:val="0"/>
            <w:vAlign w:val="center"/>
          </w:tcPr>
          <w:p>
            <w:pPr>
              <w:autoSpaceDE w:val="0"/>
              <w:autoSpaceDN w:val="0"/>
              <w:spacing w:line="330" w:lineRule="exact"/>
              <w:jc w:val="center"/>
              <w:rPr>
                <w:rFonts w:hint="eastAsia" w:ascii="宋体" w:hAnsi="宋体" w:eastAsia="宋体" w:cs="宋体"/>
                <w:color w:val="auto"/>
                <w:sz w:val="24"/>
                <w:szCs w:val="24"/>
                <w:highlight w:val="none"/>
              </w:rPr>
            </w:pPr>
          </w:p>
        </w:tc>
        <w:tc>
          <w:tcPr>
            <w:tcW w:w="1503" w:type="dxa"/>
            <w:vMerge w:val="continue"/>
            <w:noWrap w:val="0"/>
            <w:vAlign w:val="center"/>
          </w:tcPr>
          <w:p>
            <w:pPr>
              <w:autoSpaceDE w:val="0"/>
              <w:autoSpaceDN w:val="0"/>
              <w:spacing w:line="330" w:lineRule="exact"/>
              <w:rPr>
                <w:rFonts w:hint="eastAsia" w:ascii="宋体" w:hAnsi="宋体" w:eastAsia="宋体" w:cs="宋体"/>
                <w:color w:val="auto"/>
                <w:sz w:val="24"/>
                <w:szCs w:val="24"/>
                <w:highlight w:val="none"/>
              </w:rPr>
            </w:pPr>
          </w:p>
        </w:tc>
        <w:tc>
          <w:tcPr>
            <w:tcW w:w="4930" w:type="dxa"/>
            <w:noWrap w:val="0"/>
            <w:vAlign w:val="center"/>
          </w:tcPr>
          <w:p>
            <w:pPr>
              <w:autoSpaceDE w:val="0"/>
              <w:autoSpaceDN w:val="0"/>
              <w:spacing w:line="33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b、组织管理体系完善：能按照企业要求规范管理。项目主管、班组长、管理员等人员配备到位。清理作业人员的管理、考核、培训等内容。由评标专家把握，不完善的酌情扣分。</w:t>
            </w:r>
          </w:p>
        </w:tc>
        <w:tc>
          <w:tcPr>
            <w:tcW w:w="983" w:type="dxa"/>
            <w:noWrap w:val="0"/>
            <w:vAlign w:val="center"/>
          </w:tcPr>
          <w:p>
            <w:pPr>
              <w:spacing w:line="33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01" w:type="dxa"/>
            <w:vMerge w:val="continue"/>
            <w:noWrap w:val="0"/>
            <w:vAlign w:val="center"/>
          </w:tcPr>
          <w:p>
            <w:pPr>
              <w:spacing w:line="330" w:lineRule="exact"/>
              <w:jc w:val="center"/>
              <w:rPr>
                <w:rFonts w:hint="eastAsia" w:ascii="宋体" w:hAnsi="宋体" w:eastAsia="宋体" w:cs="宋体"/>
                <w:color w:val="auto"/>
                <w:sz w:val="24"/>
                <w:szCs w:val="24"/>
                <w:highlight w:val="none"/>
              </w:rPr>
            </w:pPr>
          </w:p>
        </w:tc>
        <w:tc>
          <w:tcPr>
            <w:tcW w:w="1171" w:type="dxa"/>
            <w:vMerge w:val="continue"/>
            <w:noWrap w:val="0"/>
            <w:vAlign w:val="center"/>
          </w:tcPr>
          <w:p>
            <w:pPr>
              <w:autoSpaceDE w:val="0"/>
              <w:autoSpaceDN w:val="0"/>
              <w:spacing w:line="330" w:lineRule="exact"/>
              <w:jc w:val="center"/>
              <w:rPr>
                <w:rFonts w:hint="eastAsia" w:ascii="宋体" w:hAnsi="宋体" w:eastAsia="宋体" w:cs="宋体"/>
                <w:color w:val="auto"/>
                <w:sz w:val="24"/>
                <w:szCs w:val="24"/>
                <w:highlight w:val="none"/>
              </w:rPr>
            </w:pPr>
          </w:p>
        </w:tc>
        <w:tc>
          <w:tcPr>
            <w:tcW w:w="1503" w:type="dxa"/>
            <w:vMerge w:val="restart"/>
            <w:noWrap w:val="0"/>
            <w:vAlign w:val="center"/>
          </w:tcPr>
          <w:p>
            <w:pPr>
              <w:autoSpaceDE w:val="0"/>
              <w:autoSpaceDN w:val="0"/>
              <w:spacing w:line="33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清理作业力量保障（10分）</w:t>
            </w:r>
          </w:p>
        </w:tc>
        <w:tc>
          <w:tcPr>
            <w:tcW w:w="4930" w:type="dxa"/>
            <w:noWrap w:val="0"/>
            <w:vAlign w:val="center"/>
          </w:tcPr>
          <w:p>
            <w:pPr>
              <w:autoSpaceDE w:val="0"/>
              <w:autoSpaceDN w:val="0"/>
              <w:spacing w:line="33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a、提供清理作业人员组织和安排：提供具体配置计划表的，得2分，未能提供的，该项不得分。</w:t>
            </w:r>
          </w:p>
        </w:tc>
        <w:tc>
          <w:tcPr>
            <w:tcW w:w="983" w:type="dxa"/>
            <w:noWrap w:val="0"/>
            <w:vAlign w:val="center"/>
          </w:tcPr>
          <w:p>
            <w:pPr>
              <w:spacing w:line="33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01" w:type="dxa"/>
            <w:vMerge w:val="continue"/>
            <w:noWrap w:val="0"/>
            <w:vAlign w:val="center"/>
          </w:tcPr>
          <w:p>
            <w:pPr>
              <w:spacing w:line="330" w:lineRule="exact"/>
              <w:jc w:val="center"/>
              <w:rPr>
                <w:rFonts w:hint="eastAsia" w:ascii="宋体" w:hAnsi="宋体" w:eastAsia="宋体" w:cs="宋体"/>
                <w:color w:val="auto"/>
                <w:sz w:val="24"/>
                <w:szCs w:val="24"/>
                <w:highlight w:val="none"/>
              </w:rPr>
            </w:pPr>
          </w:p>
        </w:tc>
        <w:tc>
          <w:tcPr>
            <w:tcW w:w="1171" w:type="dxa"/>
            <w:vMerge w:val="continue"/>
            <w:noWrap w:val="0"/>
            <w:vAlign w:val="center"/>
          </w:tcPr>
          <w:p>
            <w:pPr>
              <w:autoSpaceDE w:val="0"/>
              <w:autoSpaceDN w:val="0"/>
              <w:spacing w:line="330" w:lineRule="exact"/>
              <w:jc w:val="center"/>
              <w:rPr>
                <w:rFonts w:hint="eastAsia" w:ascii="宋体" w:hAnsi="宋体" w:eastAsia="宋体" w:cs="宋体"/>
                <w:color w:val="auto"/>
                <w:sz w:val="24"/>
                <w:szCs w:val="24"/>
                <w:highlight w:val="none"/>
              </w:rPr>
            </w:pPr>
          </w:p>
        </w:tc>
        <w:tc>
          <w:tcPr>
            <w:tcW w:w="1503" w:type="dxa"/>
            <w:vMerge w:val="continue"/>
            <w:noWrap w:val="0"/>
            <w:vAlign w:val="center"/>
          </w:tcPr>
          <w:p>
            <w:pPr>
              <w:autoSpaceDE w:val="0"/>
              <w:autoSpaceDN w:val="0"/>
              <w:spacing w:line="330" w:lineRule="exact"/>
              <w:rPr>
                <w:rFonts w:hint="eastAsia" w:ascii="宋体" w:hAnsi="宋体" w:eastAsia="宋体" w:cs="宋体"/>
                <w:color w:val="auto"/>
                <w:sz w:val="24"/>
                <w:szCs w:val="24"/>
                <w:highlight w:val="none"/>
              </w:rPr>
            </w:pPr>
          </w:p>
        </w:tc>
        <w:tc>
          <w:tcPr>
            <w:tcW w:w="4930" w:type="dxa"/>
            <w:noWrap w:val="0"/>
            <w:vAlign w:val="center"/>
          </w:tcPr>
          <w:p>
            <w:pPr>
              <w:autoSpaceDE w:val="0"/>
              <w:autoSpaceDN w:val="0"/>
              <w:spacing w:line="33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b、清理作业人员的技术实力（对作业街巷的熟悉程度）。</w:t>
            </w:r>
          </w:p>
        </w:tc>
        <w:tc>
          <w:tcPr>
            <w:tcW w:w="983" w:type="dxa"/>
            <w:noWrap w:val="0"/>
            <w:vAlign w:val="center"/>
          </w:tcPr>
          <w:p>
            <w:pPr>
              <w:spacing w:line="33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601" w:type="dxa"/>
            <w:vMerge w:val="continue"/>
            <w:noWrap w:val="0"/>
            <w:vAlign w:val="center"/>
          </w:tcPr>
          <w:p>
            <w:pPr>
              <w:spacing w:line="330" w:lineRule="exact"/>
              <w:jc w:val="center"/>
              <w:rPr>
                <w:rFonts w:hint="eastAsia" w:ascii="宋体" w:hAnsi="宋体" w:eastAsia="宋体" w:cs="宋体"/>
                <w:color w:val="auto"/>
                <w:sz w:val="24"/>
                <w:szCs w:val="24"/>
                <w:highlight w:val="none"/>
              </w:rPr>
            </w:pPr>
          </w:p>
        </w:tc>
        <w:tc>
          <w:tcPr>
            <w:tcW w:w="1171" w:type="dxa"/>
            <w:vMerge w:val="continue"/>
            <w:noWrap w:val="0"/>
            <w:vAlign w:val="center"/>
          </w:tcPr>
          <w:p>
            <w:pPr>
              <w:autoSpaceDE w:val="0"/>
              <w:autoSpaceDN w:val="0"/>
              <w:spacing w:line="330" w:lineRule="exact"/>
              <w:jc w:val="center"/>
              <w:rPr>
                <w:rFonts w:hint="eastAsia" w:ascii="宋体" w:hAnsi="宋体" w:eastAsia="宋体" w:cs="宋体"/>
                <w:color w:val="auto"/>
                <w:sz w:val="24"/>
                <w:szCs w:val="24"/>
                <w:highlight w:val="none"/>
              </w:rPr>
            </w:pPr>
          </w:p>
        </w:tc>
        <w:tc>
          <w:tcPr>
            <w:tcW w:w="1503" w:type="dxa"/>
            <w:vMerge w:val="restart"/>
            <w:noWrap w:val="0"/>
            <w:vAlign w:val="center"/>
          </w:tcPr>
          <w:p>
            <w:pPr>
              <w:autoSpaceDE w:val="0"/>
              <w:autoSpaceDN w:val="0"/>
              <w:spacing w:line="33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针对本招标项目的特殊承诺（8分）</w:t>
            </w:r>
          </w:p>
        </w:tc>
        <w:tc>
          <w:tcPr>
            <w:tcW w:w="4930" w:type="dxa"/>
            <w:noWrap w:val="0"/>
            <w:vAlign w:val="center"/>
          </w:tcPr>
          <w:p>
            <w:pPr>
              <w:autoSpaceDE w:val="0"/>
              <w:autoSpaceDN w:val="0"/>
              <w:spacing w:line="33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a、紧急召唤服务承诺。</w:t>
            </w:r>
          </w:p>
        </w:tc>
        <w:tc>
          <w:tcPr>
            <w:tcW w:w="983" w:type="dxa"/>
            <w:noWrap w:val="0"/>
            <w:vAlign w:val="center"/>
          </w:tcPr>
          <w:p>
            <w:pPr>
              <w:spacing w:line="33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01" w:type="dxa"/>
            <w:vMerge w:val="continue"/>
            <w:noWrap w:val="0"/>
            <w:vAlign w:val="center"/>
          </w:tcPr>
          <w:p>
            <w:pPr>
              <w:spacing w:line="330" w:lineRule="exact"/>
              <w:jc w:val="center"/>
              <w:rPr>
                <w:rFonts w:hint="eastAsia" w:ascii="宋体" w:hAnsi="宋体" w:eastAsia="宋体" w:cs="宋体"/>
                <w:color w:val="auto"/>
                <w:sz w:val="24"/>
                <w:szCs w:val="24"/>
                <w:highlight w:val="none"/>
              </w:rPr>
            </w:pPr>
          </w:p>
        </w:tc>
        <w:tc>
          <w:tcPr>
            <w:tcW w:w="1171" w:type="dxa"/>
            <w:vMerge w:val="continue"/>
            <w:noWrap w:val="0"/>
            <w:vAlign w:val="center"/>
          </w:tcPr>
          <w:p>
            <w:pPr>
              <w:autoSpaceDE w:val="0"/>
              <w:autoSpaceDN w:val="0"/>
              <w:spacing w:line="330" w:lineRule="exact"/>
              <w:jc w:val="center"/>
              <w:rPr>
                <w:rFonts w:hint="eastAsia" w:ascii="宋体" w:hAnsi="宋体" w:eastAsia="宋体" w:cs="宋体"/>
                <w:color w:val="auto"/>
                <w:sz w:val="24"/>
                <w:szCs w:val="24"/>
                <w:highlight w:val="none"/>
              </w:rPr>
            </w:pPr>
          </w:p>
        </w:tc>
        <w:tc>
          <w:tcPr>
            <w:tcW w:w="1503" w:type="dxa"/>
            <w:vMerge w:val="continue"/>
            <w:noWrap w:val="0"/>
            <w:vAlign w:val="center"/>
          </w:tcPr>
          <w:p>
            <w:pPr>
              <w:autoSpaceDE w:val="0"/>
              <w:autoSpaceDN w:val="0"/>
              <w:spacing w:line="330" w:lineRule="exact"/>
              <w:rPr>
                <w:rFonts w:hint="eastAsia" w:ascii="宋体" w:hAnsi="宋体" w:eastAsia="宋体" w:cs="宋体"/>
                <w:color w:val="auto"/>
                <w:sz w:val="24"/>
                <w:szCs w:val="24"/>
                <w:highlight w:val="none"/>
              </w:rPr>
            </w:pPr>
          </w:p>
        </w:tc>
        <w:tc>
          <w:tcPr>
            <w:tcW w:w="4930" w:type="dxa"/>
            <w:noWrap w:val="0"/>
            <w:vAlign w:val="center"/>
          </w:tcPr>
          <w:p>
            <w:pPr>
              <w:autoSpaceDE w:val="0"/>
              <w:autoSpaceDN w:val="0"/>
              <w:spacing w:line="33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b、作业质量承诺。</w:t>
            </w:r>
          </w:p>
        </w:tc>
        <w:tc>
          <w:tcPr>
            <w:tcW w:w="983" w:type="dxa"/>
            <w:noWrap w:val="0"/>
            <w:vAlign w:val="center"/>
          </w:tcPr>
          <w:p>
            <w:pPr>
              <w:spacing w:line="33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205" w:type="dxa"/>
            <w:gridSpan w:val="4"/>
            <w:noWrap w:val="0"/>
            <w:vAlign w:val="center"/>
          </w:tcPr>
          <w:p>
            <w:pPr>
              <w:autoSpaceDE w:val="0"/>
              <w:autoSpaceDN w:val="0"/>
              <w:spacing w:line="33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合     计</w:t>
            </w:r>
          </w:p>
        </w:tc>
        <w:tc>
          <w:tcPr>
            <w:tcW w:w="983" w:type="dxa"/>
            <w:noWrap w:val="0"/>
            <w:vAlign w:val="center"/>
          </w:tcPr>
          <w:p>
            <w:pPr>
              <w:spacing w:line="330" w:lineRule="exact"/>
              <w:jc w:val="center"/>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80分</w:t>
            </w:r>
          </w:p>
        </w:tc>
      </w:tr>
    </w:tbl>
    <w:p>
      <w:pPr>
        <w:pStyle w:val="2"/>
        <w:rPr>
          <w:rFonts w:hint="eastAsia" w:ascii="宋体" w:hAnsi="宋体" w:eastAsia="宋体" w:cs="宋体"/>
          <w:color w:val="auto"/>
          <w:highlight w:val="none"/>
        </w:rPr>
      </w:pPr>
    </w:p>
    <w:p>
      <w:pPr>
        <w:spacing w:line="420" w:lineRule="exact"/>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（二）、商务报价分（20分，小数点后保留两位）：</w:t>
      </w:r>
    </w:p>
    <w:p>
      <w:pPr>
        <w:snapToGrid w:val="0"/>
        <w:spacing w:line="42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报价的合理性：分</w:t>
      </w:r>
      <w:r>
        <w:rPr>
          <w:rFonts w:hint="eastAsia" w:ascii="宋体" w:hAnsi="宋体" w:eastAsia="宋体" w:cs="宋体"/>
          <w:color w:val="auto"/>
          <w:sz w:val="24"/>
          <w:highlight w:val="none"/>
        </w:rPr>
        <w:t>析总报价及各个分项报价是否合理，报价范围是否完整，有否重大错漏项，评标委员会认为投标报价出现异常时，有权要求投标人在评标期间（接到通知后30分钟内）对投标报价的详细组成等事项作出解释和澄清，并确认其投标报价是否有效。报价方应充分考虑人力成本因素，如报价明显低于成本，无法保证作业质量的，评标委员会确定投标报价无效。</w:t>
      </w:r>
    </w:p>
    <w:p>
      <w:pPr>
        <w:snapToGrid w:val="0"/>
        <w:spacing w:line="42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报价分计算方法：根据各投标人的有效投标报价，满足招标文件要求且投标价格最低的投标报价为评标基准价，其价格分为20分。其他投标人的价格分统一按照下列公式计算：</w:t>
      </w:r>
    </w:p>
    <w:p>
      <w:pPr>
        <w:snapToGrid w:val="0"/>
        <w:spacing w:line="42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投标报价得分＝(评标基准价/有效投标报价)×价格权值×100%(精确到小数点后二位)。</w:t>
      </w:r>
    </w:p>
    <w:p>
      <w:pPr>
        <w:widowControl/>
        <w:snapToGrid w:val="0"/>
        <w:spacing w:line="42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落实政府采购政策：</w:t>
      </w:r>
    </w:p>
    <w:p>
      <w:pPr>
        <w:spacing w:line="420" w:lineRule="exact"/>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根据财库〔2011〕181号的相关规定，在评审时对小型和微型企业的投标报价给予</w:t>
      </w:r>
      <w:r>
        <w:rPr>
          <w:rFonts w:hint="eastAsia" w:ascii="宋体" w:hAnsi="宋体" w:eastAsia="宋体" w:cs="宋体"/>
          <w:color w:val="auto"/>
          <w:sz w:val="24"/>
          <w:highlight w:val="none"/>
          <w:u w:val="single"/>
        </w:rPr>
        <w:t xml:space="preserve"> 6 </w:t>
      </w:r>
      <w:r>
        <w:rPr>
          <w:rFonts w:hint="eastAsia" w:ascii="宋体" w:hAnsi="宋体" w:eastAsia="宋体" w:cs="宋体"/>
          <w:color w:val="auto"/>
          <w:sz w:val="24"/>
          <w:highlight w:val="none"/>
        </w:rPr>
        <w:t>%的扣除，取扣除后的价格作为最终投标报价（此最终投标报价仅作为价格分计算）。</w:t>
      </w:r>
      <w:r>
        <w:rPr>
          <w:rFonts w:hint="eastAsia" w:ascii="宋体" w:hAnsi="宋体" w:eastAsia="宋体" w:cs="宋体"/>
          <w:b/>
          <w:color w:val="auto"/>
          <w:sz w:val="24"/>
          <w:highlight w:val="none"/>
        </w:rPr>
        <w:t>注：未按要求提供材料的，均不给予价格扣除。</w:t>
      </w:r>
    </w:p>
    <w:p>
      <w:pPr>
        <w:spacing w:line="420" w:lineRule="exact"/>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联合体参加投标的，联合协议中约定，小型、微型企业的协议合同金额占到联合体协议合同总金额30%以上的，投标报价给予2% 的扣除，并用扣除后的价格计算价格评分；如联合体各方均为小型、微型企业的，提供本企业生产的产品或提供其他小型、微型企业的产品的，投标报价给予6% 的扣除，并用扣除后的价格计算价格评分。组成联合体的大中型企业和其他自然人、法人或者其他组织，与小型、微型企业之间不得存在投资关系，否则不予价格扣除。</w:t>
      </w:r>
    </w:p>
    <w:p>
      <w:pPr>
        <w:autoSpaceDE w:val="0"/>
        <w:autoSpaceDN w:val="0"/>
        <w:spacing w:line="420" w:lineRule="exact"/>
        <w:ind w:firstLine="482"/>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根据工信部联企业〔2011〕300号的相关规定属于小型和微型企业的，投标文件中必须同时提供《中小企业声明函》（见附件）、“国家企业信用信息公示系统——小微企业名录”页面查询结果截图（查询时间为投标前一周内，并加盖单位公章）。</w:t>
      </w:r>
    </w:p>
    <w:p>
      <w:pPr>
        <w:autoSpaceDE w:val="0"/>
        <w:autoSpaceDN w:val="0"/>
        <w:spacing w:line="420" w:lineRule="exact"/>
        <w:ind w:firstLine="482"/>
        <w:rPr>
          <w:rFonts w:hint="eastAsia" w:ascii="宋体" w:hAnsi="宋体" w:eastAsia="宋体" w:cs="宋体"/>
          <w:color w:val="auto"/>
          <w:sz w:val="24"/>
          <w:highlight w:val="none"/>
        </w:rPr>
      </w:pPr>
      <w:r>
        <w:rPr>
          <w:rFonts w:hint="eastAsia" w:ascii="宋体" w:hAnsi="宋体" w:eastAsia="宋体" w:cs="宋体"/>
          <w:color w:val="auto"/>
          <w:sz w:val="24"/>
          <w:highlight w:val="none"/>
        </w:rPr>
        <w:t>根据《关于政府采购支持监狱企业发展有关问题的通知》（财库[2014]68号）的规定，投标人提供由省级以上监狱管理局、戒毒管理局（含新疆生产建设兵团）出具的属于监狱企业证明文件的，视同为小型和微型企业。</w:t>
      </w:r>
    </w:p>
    <w:p>
      <w:pPr>
        <w:autoSpaceDE w:val="0"/>
        <w:autoSpaceDN w:val="0"/>
        <w:spacing w:line="420" w:lineRule="exact"/>
        <w:ind w:firstLine="482"/>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根据《关于促进残疾人就业政府采购政策的通知》（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widowControl/>
        <w:snapToGrid w:val="0"/>
        <w:spacing w:line="420" w:lineRule="exact"/>
        <w:ind w:firstLine="482" w:firstLineChars="200"/>
        <w:rPr>
          <w:rFonts w:hint="eastAsia" w:ascii="宋体" w:hAnsi="宋体" w:eastAsia="宋体" w:cs="宋体"/>
          <w:color w:val="auto"/>
          <w:sz w:val="24"/>
          <w:highlight w:val="none"/>
        </w:rPr>
      </w:pPr>
      <w:r>
        <w:rPr>
          <w:rFonts w:hint="eastAsia" w:ascii="宋体" w:hAnsi="宋体" w:eastAsia="宋体" w:cs="宋体"/>
          <w:b/>
          <w:bCs/>
          <w:color w:val="auto"/>
          <w:sz w:val="24"/>
          <w:highlight w:val="none"/>
          <w:lang w:val="zh-CN"/>
        </w:rPr>
        <w:t>投标人需提供的相关证明材料，未按招标文件要求提供证明材料的不享受上述扶持政策。</w:t>
      </w:r>
    </w:p>
    <w:p>
      <w:pPr>
        <w:snapToGrid w:val="0"/>
        <w:spacing w:line="42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此项由评标委员会集体核实后统一打分。</w:t>
      </w:r>
    </w:p>
    <w:p>
      <w:pPr>
        <w:snapToGrid w:val="0"/>
        <w:spacing w:line="42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报价是中标的一个重要因素，但最低报价不是中标的唯一依据。</w:t>
      </w:r>
    </w:p>
    <w:p>
      <w:pPr>
        <w:snapToGrid w:val="0"/>
        <w:spacing w:line="42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21.5修改评标结果</w:t>
      </w:r>
    </w:p>
    <w:p>
      <w:pPr>
        <w:snapToGrid w:val="0"/>
        <w:spacing w:line="42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评标结果汇总完成后，除下列情形外，任何人不得修改评标结果：</w:t>
      </w:r>
    </w:p>
    <w:p>
      <w:pPr>
        <w:snapToGrid w:val="0"/>
        <w:spacing w:line="42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（一）分值汇总计算错误的；</w:t>
      </w:r>
    </w:p>
    <w:p>
      <w:pPr>
        <w:snapToGrid w:val="0"/>
        <w:spacing w:line="42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（二）分项评分超出评分标准范围的；</w:t>
      </w:r>
    </w:p>
    <w:p>
      <w:pPr>
        <w:snapToGrid w:val="0"/>
        <w:spacing w:line="42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（三）评标委员会成员对客观评审因素评分不一致的；</w:t>
      </w:r>
    </w:p>
    <w:p>
      <w:pPr>
        <w:snapToGrid w:val="0"/>
        <w:spacing w:line="42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（四）经评标委员会认定评分畸高、畸低的。</w:t>
      </w:r>
    </w:p>
    <w:p>
      <w:pPr>
        <w:pStyle w:val="11"/>
        <w:spacing w:line="42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22．评标内容的保密</w:t>
      </w:r>
    </w:p>
    <w:p>
      <w:pPr>
        <w:pStyle w:val="11"/>
        <w:spacing w:line="420" w:lineRule="exact"/>
        <w:ind w:left="-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22.1公开开标后，直到宣布中标单位止，凡属于审查、澄清、评价和比较投标的所有资料及有关的信息，都不应向与评标无关的其他人泄漏。</w:t>
      </w:r>
    </w:p>
    <w:p>
      <w:pPr>
        <w:pStyle w:val="11"/>
        <w:spacing w:line="4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22.2 在投标文件的审查、澄清、评价和比较以及确定入围单位过程中，投标人对采购单位和评标委员会施加影响的任何行为，都将导致取消资格。 </w:t>
      </w:r>
    </w:p>
    <w:p>
      <w:pPr>
        <w:pStyle w:val="11"/>
        <w:spacing w:line="42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23．废标</w:t>
      </w:r>
    </w:p>
    <w:p>
      <w:pPr>
        <w:pStyle w:val="11"/>
        <w:spacing w:line="4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根据《中华人民共和国政府采购法》第三十六条之规定，在采购中，出现下列情况之一的，应予以废标：</w:t>
      </w:r>
    </w:p>
    <w:p>
      <w:pPr>
        <w:pStyle w:val="11"/>
        <w:spacing w:line="4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（1）符合专业条件的服务商或者对招标文件作实质响应的服务商不足3家的；</w:t>
      </w:r>
    </w:p>
    <w:p>
      <w:pPr>
        <w:pStyle w:val="11"/>
        <w:spacing w:line="4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（2）出现影响采购公正的违法、违规行为的；</w:t>
      </w:r>
    </w:p>
    <w:p>
      <w:pPr>
        <w:pStyle w:val="11"/>
        <w:spacing w:line="4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（3）投标人的报价均超过了采购预算，采购单位不能支付的；</w:t>
      </w:r>
    </w:p>
    <w:p>
      <w:pPr>
        <w:pStyle w:val="11"/>
        <w:spacing w:line="4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（4）因重大变故，采购任务取消的。</w:t>
      </w:r>
    </w:p>
    <w:p>
      <w:pPr>
        <w:pStyle w:val="11"/>
        <w:spacing w:line="4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废标后，采购代理机构应当将废标理由通知所有投标人。</w:t>
      </w:r>
    </w:p>
    <w:p>
      <w:pPr>
        <w:pStyle w:val="11"/>
        <w:spacing w:line="420" w:lineRule="exact"/>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七、定标</w:t>
      </w:r>
    </w:p>
    <w:p>
      <w:pPr>
        <w:pStyle w:val="11"/>
        <w:spacing w:line="420" w:lineRule="exact"/>
        <w:rPr>
          <w:rFonts w:hint="eastAsia" w:ascii="宋体" w:hAnsi="宋体" w:eastAsia="宋体" w:cs="宋体"/>
          <w:b/>
          <w:color w:val="auto"/>
          <w:highlight w:val="none"/>
        </w:rPr>
      </w:pPr>
      <w:r>
        <w:rPr>
          <w:rFonts w:hint="eastAsia" w:ascii="宋体" w:hAnsi="宋体" w:eastAsia="宋体" w:cs="宋体"/>
          <w:b/>
          <w:color w:val="auto"/>
          <w:sz w:val="24"/>
          <w:highlight w:val="none"/>
        </w:rPr>
        <w:t>24．定标</w:t>
      </w:r>
    </w:p>
    <w:p>
      <w:pPr>
        <w:pStyle w:val="11"/>
        <w:spacing w:line="420" w:lineRule="exact"/>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评标委员会将根据招标文件和有关规定，履行评标工作职责，以评标原则和评标办法为标准，全面衡量各投标人对招标文件的响应情况。对实质上响应招标文件的投标人，以打分的方法，排出推荐中标的投标人的先后顺序，并按顺序提出授标建议。评标结果报经批准，最终确定中标人。</w:t>
      </w:r>
    </w:p>
    <w:p>
      <w:pPr>
        <w:pStyle w:val="11"/>
        <w:spacing w:line="420" w:lineRule="exact"/>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特别说明：一个投标人在12个标段中最多只能被推荐二次第一中标候选人。已被评标委员会推荐二次第一中标候选人的投标人在后续标项评审中将不在推荐为第一中标候选人。</w:t>
      </w:r>
    </w:p>
    <w:p>
      <w:pPr>
        <w:pStyle w:val="11"/>
        <w:spacing w:line="420" w:lineRule="exact"/>
        <w:ind w:firstLine="420"/>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八、合同签订及其他</w:t>
      </w:r>
    </w:p>
    <w:p>
      <w:pPr>
        <w:pStyle w:val="11"/>
        <w:spacing w:line="42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25．中标书</w:t>
      </w:r>
    </w:p>
    <w:p>
      <w:pPr>
        <w:snapToGrid w:val="0"/>
        <w:spacing w:line="42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25.1确定中标人后，采购机构将在发布招标公告的网站上公布中标结果，并将中标结果在指定媒体上公告，采购机构向中标供应商签发中标通知书。中标供应商有违反有关法律法规和本项目要求行为的，则取消该投标人的中标资格。</w:t>
      </w:r>
    </w:p>
    <w:p>
      <w:pPr>
        <w:snapToGrid w:val="0"/>
        <w:spacing w:line="42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25.2投标人全部接受合同条件并签订合同后，中标通知书亦成为合同的组成部分。</w:t>
      </w:r>
    </w:p>
    <w:p>
      <w:pPr>
        <w:snapToGrid w:val="0"/>
        <w:spacing w:line="420" w:lineRule="exact"/>
        <w:ind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25.3如中标人拒绝承担中标的项目，或提出采购机构不能接受的条件，致使合同无法签订，采购机构将取消其中标资格并按照排名次序选择下一个中标候选人作为中标单位或另行组织采购。</w:t>
      </w:r>
    </w:p>
    <w:p>
      <w:pPr>
        <w:pStyle w:val="11"/>
        <w:spacing w:line="42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26．合同的签订</w:t>
      </w:r>
    </w:p>
    <w:p>
      <w:pPr>
        <w:snapToGrid w:val="0"/>
        <w:spacing w:line="42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26.1中标人接到中标通知后30日内，与招标人签订合同。</w:t>
      </w:r>
    </w:p>
    <w:p>
      <w:pPr>
        <w:snapToGrid w:val="0"/>
        <w:spacing w:line="42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26.2如中标人拒绝承担中标的项目，或提出招标人不能接受的条件，致使合同无法签订，招标人将取消其中标资格并要求其赔偿招标人损失。</w:t>
      </w:r>
    </w:p>
    <w:p>
      <w:pPr>
        <w:snapToGrid w:val="0"/>
        <w:spacing w:line="42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26.3如签订合同并生效后，供应商无故拒绝或不完全履行合同，除按照合同规定处罚外，将上报财政主管部门给予相应处罚。</w:t>
      </w:r>
    </w:p>
    <w:p>
      <w:pPr>
        <w:snapToGrid w:val="0"/>
        <w:spacing w:line="42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szCs w:val="20"/>
          <w:highlight w:val="none"/>
        </w:rPr>
        <w:t>27．</w:t>
      </w:r>
      <w:r>
        <w:rPr>
          <w:rFonts w:hint="eastAsia" w:ascii="宋体" w:hAnsi="宋体" w:eastAsia="宋体" w:cs="宋体"/>
          <w:b/>
          <w:color w:val="auto"/>
          <w:sz w:val="24"/>
          <w:highlight w:val="none"/>
        </w:rPr>
        <w:t>履约保证金</w:t>
      </w:r>
    </w:p>
    <w:p>
      <w:pPr>
        <w:spacing w:line="42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27.1中标人在签订作业合同时需向招标人提交一年中标金额5％的合同履约质量保证金；在承包期满后十天内退还（不计息）。如承包期内，中标人没按要求履行合同则保证金不予归还。</w:t>
      </w:r>
    </w:p>
    <w:p>
      <w:pPr>
        <w:spacing w:line="42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27.2 在承包期内如因承包人原因造成招标人财产损失的，招标人有权酌情在履约保证金中扣除。</w:t>
      </w:r>
    </w:p>
    <w:p>
      <w:pPr>
        <w:spacing w:line="42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27.3 中标人如未按时交纳履约保证金，采购单位有权撤销其中标资格，并根据评标委员会确定的中标候选人名单与下一顺序中标候选人商谈合同，或报请批准后另行采购。</w:t>
      </w:r>
    </w:p>
    <w:p>
      <w:pPr>
        <w:spacing w:line="42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27.4 履约保证金采用正规银行开具的银行保函形式交纳。</w:t>
      </w:r>
    </w:p>
    <w:p>
      <w:pPr>
        <w:spacing w:line="42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28.付款方式</w:t>
      </w:r>
    </w:p>
    <w:p>
      <w:pPr>
        <w:spacing w:line="420" w:lineRule="exact"/>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合同款采用先作业后拨付的方式，根据市、区财政经费下达通知后及时拨付给作业单位，并扣除具体考核扣分金额。中标单位结算合同经费须出具正规有效票据。合同经费中已包括人工经费、机械设备、工具、材料等生产业务费用、劳动防护费用、城市管理应急保障经费和作业人员“五金”等一切费用。</w:t>
      </w:r>
    </w:p>
    <w:p>
      <w:pPr>
        <w:spacing w:line="42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29．采购方式变更</w:t>
      </w:r>
    </w:p>
    <w:p>
      <w:pPr>
        <w:spacing w:line="42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在符合资格的投标人不足规定数量或投标人提供的服务及其报价等不能满足采购人要求，以及招标过程中出现其他不正常情况时，经批准，招标人</w:t>
      </w:r>
      <w:r>
        <w:rPr>
          <w:rFonts w:hint="eastAsia" w:ascii="宋体" w:hAnsi="宋体" w:eastAsia="宋体" w:cs="宋体"/>
          <w:color w:val="auto"/>
          <w:sz w:val="24"/>
          <w:highlight w:val="none"/>
          <w:lang w:val="zh-CN"/>
        </w:rPr>
        <w:t>将根据中华人民共和国财政部第</w:t>
      </w:r>
      <w:r>
        <w:rPr>
          <w:rFonts w:hint="eastAsia" w:ascii="宋体" w:hAnsi="宋体" w:eastAsia="宋体" w:cs="宋体"/>
          <w:color w:val="auto"/>
          <w:sz w:val="24"/>
          <w:highlight w:val="none"/>
        </w:rPr>
        <w:t>87</w:t>
      </w:r>
      <w:r>
        <w:rPr>
          <w:rFonts w:hint="eastAsia" w:ascii="宋体" w:hAnsi="宋体" w:eastAsia="宋体" w:cs="宋体"/>
          <w:color w:val="auto"/>
          <w:sz w:val="24"/>
          <w:highlight w:val="none"/>
          <w:lang w:val="zh-CN"/>
        </w:rPr>
        <w:t>号令《货物和服务招标投标管理办法》规定，</w:t>
      </w:r>
      <w:r>
        <w:rPr>
          <w:rFonts w:hint="eastAsia" w:ascii="宋体" w:hAnsi="宋体" w:eastAsia="宋体" w:cs="宋体"/>
          <w:color w:val="auto"/>
          <w:sz w:val="24"/>
          <w:highlight w:val="none"/>
        </w:rPr>
        <w:t>重新选择合适的方式进行采购。</w:t>
      </w:r>
    </w:p>
    <w:p>
      <w:pPr>
        <w:pStyle w:val="5"/>
        <w:tabs>
          <w:tab w:val="left" w:pos="720"/>
        </w:tabs>
        <w:snapToGrid w:val="0"/>
        <w:spacing w:before="0" w:after="0" w:line="420" w:lineRule="exact"/>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30.质疑与投诉</w:t>
      </w:r>
    </w:p>
    <w:p>
      <w:pPr>
        <w:pStyle w:val="32"/>
        <w:snapToGrid w:val="0"/>
        <w:spacing w:before="0" w:line="420" w:lineRule="exact"/>
        <w:ind w:firstLine="480"/>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根据《中华人民共和国政府采购法》、《中华人民共和国政府采购法实施条例》、《政府采购质疑和投诉办法》(财政部令第94号)、《财政部关于加强政府采购供应商投诉受理审查工作的通知》(财库〔2007〕1号)和《浙江省政府采购供应商质疑处理办法》（浙财采监[2012]18号）的规定，政府采购供应商可以依法提起质疑和投诉。</w:t>
      </w:r>
    </w:p>
    <w:p>
      <w:pPr>
        <w:pStyle w:val="32"/>
        <w:snapToGrid w:val="0"/>
        <w:spacing w:before="0" w:line="420" w:lineRule="exact"/>
        <w:ind w:firstLine="480"/>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（一）供应商询问</w:t>
      </w:r>
    </w:p>
    <w:p>
      <w:pPr>
        <w:pStyle w:val="32"/>
        <w:snapToGrid w:val="0"/>
        <w:spacing w:before="0" w:line="420" w:lineRule="exact"/>
        <w:ind w:firstLine="480"/>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供应商对政府采购活动事项有疑问的，可以向采购人、采购代理机构提出询问，采购人、采购代理机构将在3个工作日内对供应商依法提出的询问作出答复，但答复的内容不得涉及商业秘密。</w:t>
      </w:r>
    </w:p>
    <w:p>
      <w:pPr>
        <w:pStyle w:val="32"/>
        <w:snapToGrid w:val="0"/>
        <w:spacing w:before="0" w:line="420" w:lineRule="exact"/>
        <w:ind w:firstLine="480"/>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（二）供应商质疑</w:t>
      </w:r>
    </w:p>
    <w:p>
      <w:pPr>
        <w:pStyle w:val="32"/>
        <w:snapToGrid w:val="0"/>
        <w:spacing w:before="0" w:line="420" w:lineRule="exact"/>
        <w:ind w:firstLine="480"/>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1、提出质疑的供应商应当是参与所质疑项目采购活动的供应商。潜在供应商已依法获取其可质疑的招标文件的，可以对该文件提出质疑。</w:t>
      </w:r>
    </w:p>
    <w:p>
      <w:pPr>
        <w:pStyle w:val="32"/>
        <w:snapToGrid w:val="0"/>
        <w:spacing w:before="0" w:line="420" w:lineRule="exact"/>
        <w:ind w:firstLine="480"/>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2、供应商认为采购文件、采购过程、中标或者成交结果使自己的权益受到损害的，可以在知道或者应知其权益受到损害之日起7个工作日内，以书面形式向采购人、采购代理机构提出质疑，否则不予受理。供应商应知其权益受到损害之日，是指：</w:t>
      </w:r>
    </w:p>
    <w:p>
      <w:pPr>
        <w:pStyle w:val="32"/>
        <w:snapToGrid w:val="0"/>
        <w:spacing w:before="0" w:line="420" w:lineRule="exact"/>
        <w:ind w:firstLine="480"/>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（1）对可以质疑的招标文件提出质疑的，为收到招标文件之日或者招标文件公告期限届满之日；</w:t>
      </w:r>
    </w:p>
    <w:p>
      <w:pPr>
        <w:pStyle w:val="32"/>
        <w:snapToGrid w:val="0"/>
        <w:spacing w:before="0" w:line="420" w:lineRule="exact"/>
        <w:ind w:firstLine="480"/>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（2）对采购过程提出质疑的，为各采购程序环节结束之日；对同一采购程序环节的质疑，供应商须一次性提出；</w:t>
      </w:r>
    </w:p>
    <w:p>
      <w:pPr>
        <w:pStyle w:val="32"/>
        <w:snapToGrid w:val="0"/>
        <w:spacing w:before="0" w:line="420" w:lineRule="exact"/>
        <w:ind w:firstLine="480"/>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（3）对中标或者成交结果提出质疑的，为中标或者成交结果公告期限届满之日。</w:t>
      </w:r>
    </w:p>
    <w:p>
      <w:pPr>
        <w:pStyle w:val="32"/>
        <w:snapToGrid w:val="0"/>
        <w:spacing w:before="0" w:line="420" w:lineRule="exact"/>
        <w:ind w:firstLine="480"/>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3、供应商提出质疑应当提交质疑函和必要的证明材料。质疑函应当包括下列内容：</w:t>
      </w:r>
    </w:p>
    <w:p>
      <w:pPr>
        <w:pStyle w:val="32"/>
        <w:snapToGrid w:val="0"/>
        <w:spacing w:before="0" w:line="420" w:lineRule="exact"/>
        <w:ind w:firstLine="480"/>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（1）供应商的姓名或者名称、地址、邮编、联系人及联系电话；</w:t>
      </w:r>
    </w:p>
    <w:p>
      <w:pPr>
        <w:pStyle w:val="32"/>
        <w:snapToGrid w:val="0"/>
        <w:spacing w:before="0" w:line="420" w:lineRule="exact"/>
        <w:ind w:firstLine="480"/>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（2）质疑项目的名称、编号；</w:t>
      </w:r>
    </w:p>
    <w:p>
      <w:pPr>
        <w:pStyle w:val="32"/>
        <w:snapToGrid w:val="0"/>
        <w:spacing w:before="0" w:line="420" w:lineRule="exact"/>
        <w:ind w:firstLine="480"/>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（3）具体、明确的质疑事项和与质疑事项相关的请求；</w:t>
      </w:r>
    </w:p>
    <w:p>
      <w:pPr>
        <w:pStyle w:val="32"/>
        <w:snapToGrid w:val="0"/>
        <w:spacing w:before="0" w:line="420" w:lineRule="exact"/>
        <w:ind w:firstLine="480"/>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（4）事实依据；</w:t>
      </w:r>
    </w:p>
    <w:p>
      <w:pPr>
        <w:pStyle w:val="32"/>
        <w:snapToGrid w:val="0"/>
        <w:spacing w:before="0" w:line="420" w:lineRule="exact"/>
        <w:ind w:firstLine="480"/>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（5）必要的法律依据；</w:t>
      </w:r>
    </w:p>
    <w:p>
      <w:pPr>
        <w:pStyle w:val="32"/>
        <w:snapToGrid w:val="0"/>
        <w:spacing w:before="0" w:line="420" w:lineRule="exact"/>
        <w:ind w:firstLine="480"/>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（6）提出质疑的日期。</w:t>
      </w:r>
    </w:p>
    <w:p>
      <w:pPr>
        <w:pStyle w:val="32"/>
        <w:snapToGrid w:val="0"/>
        <w:spacing w:before="0" w:line="420" w:lineRule="exact"/>
        <w:ind w:firstLine="480"/>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供应商为自然人的，应当由本人签字；供应商为法人或者其他组织的，应当由法定代表人、主要负责人，或者其授权代表签字或者盖章，并加盖公章。代理人提出质疑和投诉，应当提交供应商签署的授权委托书，其授权委托书应当载明代理人的姓名或者名称、代理事项、具体权限、期限和相关事项。</w:t>
      </w:r>
    </w:p>
    <w:p>
      <w:pPr>
        <w:pStyle w:val="32"/>
        <w:snapToGrid w:val="0"/>
        <w:spacing w:before="0" w:line="420" w:lineRule="exact"/>
        <w:ind w:firstLine="480"/>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4、采购人、采购代理机构应当在收到供应商的书面质疑后七个工作日内作出答复，并以书面形式通知质疑供应商和其他与质疑处理结果有利害关系的政府采购当事人，但答复的内容不得涉及商业秘密。</w:t>
      </w:r>
    </w:p>
    <w:p>
      <w:pPr>
        <w:pStyle w:val="32"/>
        <w:snapToGrid w:val="0"/>
        <w:spacing w:before="0" w:line="420" w:lineRule="exact"/>
        <w:ind w:firstLine="480"/>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5、询问或者质疑事项可能影响采购结果的，采购人应当暂停签订合同，已经签订合同的，应当中止履行合同。</w:t>
      </w:r>
    </w:p>
    <w:p>
      <w:pPr>
        <w:pStyle w:val="32"/>
        <w:snapToGrid w:val="0"/>
        <w:spacing w:before="0" w:line="420" w:lineRule="exact"/>
        <w:ind w:firstLine="480"/>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（三）供应商投诉</w:t>
      </w:r>
    </w:p>
    <w:p>
      <w:pPr>
        <w:pStyle w:val="32"/>
        <w:snapToGrid w:val="0"/>
        <w:spacing w:before="0" w:line="420" w:lineRule="exact"/>
        <w:ind w:firstLine="480"/>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1、供应商质疑、投诉应当有明确的请求和必要的证明材料。供应商投诉的事项不得超出已质疑事项的范围。</w:t>
      </w:r>
    </w:p>
    <w:p>
      <w:pPr>
        <w:pStyle w:val="32"/>
        <w:snapToGrid w:val="0"/>
        <w:spacing w:before="0" w:line="420" w:lineRule="exact"/>
        <w:ind w:firstLine="480"/>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2、质疑供应商对采购机构的答复不满意或者采购机构未在规定的时间内作出答复的，可以在答复期满后十五个工作日内向同级政府采购监督管理部门提出投诉。</w:t>
      </w:r>
    </w:p>
    <w:p>
      <w:pPr>
        <w:pStyle w:val="32"/>
        <w:snapToGrid w:val="0"/>
        <w:spacing w:before="0" w:line="420" w:lineRule="exact"/>
        <w:ind w:firstLine="480"/>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3、未尽事宜，按政府采购的有关法律、法规和规定。</w:t>
      </w:r>
    </w:p>
    <w:p>
      <w:pPr>
        <w:pStyle w:val="32"/>
        <w:snapToGrid w:val="0"/>
        <w:spacing w:before="0" w:line="420" w:lineRule="exact"/>
        <w:ind w:firstLine="482"/>
        <w:rPr>
          <w:rFonts w:hint="eastAsia" w:ascii="宋体" w:hAnsi="宋体" w:eastAsia="宋体" w:cs="宋体"/>
          <w:b/>
          <w:bCs/>
          <w:color w:val="auto"/>
          <w:szCs w:val="24"/>
          <w:highlight w:val="none"/>
          <w:lang w:val="en-US" w:eastAsia="zh-CN"/>
        </w:rPr>
      </w:pPr>
      <w:r>
        <w:rPr>
          <w:rFonts w:hint="eastAsia" w:ascii="宋体" w:hAnsi="宋体" w:eastAsia="宋体" w:cs="宋体"/>
          <w:b/>
          <w:bCs/>
          <w:color w:val="auto"/>
          <w:szCs w:val="24"/>
          <w:highlight w:val="none"/>
          <w:lang w:val="en-US" w:eastAsia="zh-CN"/>
        </w:rPr>
        <w:t>32. 招标文件中引用的政府性文件规定</w:t>
      </w:r>
    </w:p>
    <w:p>
      <w:pPr>
        <w:pStyle w:val="32"/>
        <w:snapToGrid w:val="0"/>
        <w:spacing w:before="0" w:line="420" w:lineRule="exact"/>
        <w:ind w:firstLine="480"/>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本招标文件中所引用的政府性文件如果与政府发布的最新规定有冲突的则按照政府发布的最新规定执行。</w:t>
      </w:r>
    </w:p>
    <w:p>
      <w:pPr>
        <w:pStyle w:val="32"/>
        <w:snapToGrid w:val="0"/>
        <w:spacing w:before="0" w:line="420" w:lineRule="exact"/>
        <w:ind w:firstLine="482"/>
        <w:rPr>
          <w:rFonts w:hint="eastAsia" w:ascii="宋体" w:hAnsi="宋体" w:eastAsia="宋体" w:cs="宋体"/>
          <w:b/>
          <w:bCs/>
          <w:color w:val="auto"/>
          <w:szCs w:val="24"/>
          <w:highlight w:val="none"/>
          <w:lang w:val="en-US" w:eastAsia="zh-CN"/>
        </w:rPr>
      </w:pPr>
      <w:r>
        <w:rPr>
          <w:rFonts w:hint="eastAsia" w:ascii="宋体" w:hAnsi="宋体" w:eastAsia="宋体" w:cs="宋体"/>
          <w:b/>
          <w:bCs/>
          <w:color w:val="auto"/>
          <w:szCs w:val="24"/>
          <w:highlight w:val="none"/>
          <w:lang w:val="en-US" w:eastAsia="zh-CN"/>
        </w:rPr>
        <w:t>33. 解释权</w:t>
      </w:r>
    </w:p>
    <w:p>
      <w:pPr>
        <w:pStyle w:val="32"/>
        <w:snapToGrid w:val="0"/>
        <w:spacing w:before="0" w:line="420" w:lineRule="exact"/>
        <w:ind w:firstLine="480"/>
        <w:jc w:val="center"/>
        <w:rPr>
          <w:rFonts w:hint="eastAsia" w:ascii="宋体" w:hAnsi="宋体" w:eastAsia="宋体" w:cs="宋体"/>
          <w:b/>
          <w:color w:val="auto"/>
          <w:sz w:val="36"/>
          <w:highlight w:val="none"/>
        </w:rPr>
      </w:pPr>
      <w:r>
        <w:rPr>
          <w:rFonts w:hint="eastAsia" w:ascii="宋体" w:hAnsi="宋体" w:eastAsia="宋体" w:cs="宋体"/>
          <w:color w:val="auto"/>
          <w:szCs w:val="24"/>
          <w:highlight w:val="none"/>
          <w:lang w:val="en-US" w:eastAsia="zh-CN"/>
        </w:rPr>
        <w:t>凡涉及本次招标文件的解释权均属于采购人及采购代理机构。</w:t>
      </w:r>
      <w:r>
        <w:rPr>
          <w:rFonts w:hint="eastAsia" w:ascii="宋体" w:hAnsi="宋体" w:eastAsia="宋体" w:cs="宋体"/>
          <w:color w:val="auto"/>
          <w:kern w:val="0"/>
          <w:highlight w:val="none"/>
        </w:rPr>
        <w:br w:type="page"/>
      </w:r>
      <w:r>
        <w:rPr>
          <w:rFonts w:hint="eastAsia" w:ascii="宋体" w:hAnsi="宋体" w:eastAsia="宋体" w:cs="宋体"/>
          <w:b/>
          <w:color w:val="auto"/>
          <w:sz w:val="36"/>
          <w:highlight w:val="none"/>
        </w:rPr>
        <w:t>第三章、项目技术规范和服务要求</w:t>
      </w:r>
    </w:p>
    <w:p>
      <w:pPr>
        <w:spacing w:line="360" w:lineRule="auto"/>
        <w:rPr>
          <w:rFonts w:hint="eastAsia" w:ascii="宋体" w:hAnsi="宋体" w:eastAsia="宋体" w:cs="宋体"/>
          <w:b/>
          <w:color w:val="auto"/>
          <w:spacing w:val="2"/>
          <w:sz w:val="24"/>
          <w:highlight w:val="none"/>
        </w:rPr>
      </w:pPr>
      <w:r>
        <w:rPr>
          <w:rFonts w:hint="eastAsia" w:ascii="宋体" w:hAnsi="宋体" w:eastAsia="宋体" w:cs="宋体"/>
          <w:b/>
          <w:color w:val="auto"/>
          <w:spacing w:val="2"/>
          <w:sz w:val="24"/>
          <w:highlight w:val="none"/>
        </w:rPr>
        <w:t>一、项目内容简述：</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拱墅区清除非法涂写招贴广告作业招标，服务期限为二年。</w:t>
      </w:r>
      <w:r>
        <w:rPr>
          <w:rFonts w:hint="eastAsia" w:ascii="宋体" w:hAnsi="宋体" w:eastAsia="宋体" w:cs="宋体"/>
          <w:b/>
          <w:color w:val="auto"/>
          <w:sz w:val="24"/>
          <w:highlight w:val="none"/>
        </w:rPr>
        <w:t>按照考核办法,考核合格的可续签一年，如按照考核办法三次不达标的，终止合同。</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1、非法涂写招贴广告的概念。非法涂写招贴广告俗称“牛皮癣”，是指法律、法规和规章禁止的或需经主管部门批准而未经审批的在建筑物、公共设施等进行的涂写、招贴等违章行为。</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清除非法涂写招贴广告作业的范围。一是道路和建筑物上的非法涂写招贴广告；二是公共设施上的非法涂写招贴广告（不含公交站牌及候车亭、邮筒箱、电话亭）。三是公园和绿化区域内的非法涂写招贴广告。</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3、招标的范围</w:t>
      </w:r>
    </w:p>
    <w:p>
      <w:pPr>
        <w:tabs>
          <w:tab w:val="left" w:pos="720"/>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从有利于分清责任，提高清除效率和质量出发，将拱墅区清除非法涂写招贴广告作业招标的范围确定为12个标段进行招标。详见“</w:t>
      </w:r>
      <w:r>
        <w:rPr>
          <w:rFonts w:hint="eastAsia" w:ascii="宋体" w:hAnsi="宋体" w:eastAsia="宋体" w:cs="宋体"/>
          <w:b/>
          <w:color w:val="auto"/>
          <w:sz w:val="24"/>
          <w:highlight w:val="none"/>
        </w:rPr>
        <w:t>拱墅区2020年清除非法涂写招贴广告标段范围及道路总长情况表</w:t>
      </w:r>
      <w:r>
        <w:rPr>
          <w:rFonts w:hint="eastAsia" w:ascii="宋体" w:hAnsi="宋体" w:eastAsia="宋体" w:cs="宋体"/>
          <w:color w:val="auto"/>
          <w:sz w:val="24"/>
          <w:highlight w:val="none"/>
        </w:rPr>
        <w:t>”</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二、清除作业的技术方案：</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原有的建筑立面等是采用涂料、水泥和油漆的，对产生的非法涂写招贴广告进行涂刷或清除；原有的建筑立面或公共设施等是采用石材、金属等其他材料的，对产生的非法涂写招贴广告实行清除，不得涂刷。对石材等上的非法涂写招贴广告的清除，要做到清洁和不留痕迹，不损坏石材原有色质等。</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三、作业内容：</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建立“五定”管理制度。即定人员、定路段、定责任、定管理、定考核。一是定人员，要固定和明确专职人员，专职人员要具有配色的能力。二是定路段，要做到每一名专职人员有明确作业范围。三是定责任，每一名专职人员对作业范围负全面责任。四是定管理，落实对清除工作的日常监督和管理。五是定考核，每月对专职人员进行考核。</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2、配备必要的工具设备。按照2人配备一辆作业小三轮车，一个标段一台磨光机、高压冲洗机的要求，配备必要的工具设备。</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3、落实工作人员保障。为非法涂写招贴广告清除工作人员交纳“五金”。</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4、每日上午8点前内完成招标范围内非法涂写招贴广告第一遍的清除工作，并做到巡回清除，时间到晚上8点。非法涂写招贴广告滞留时间不得超过60分钟。</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四、涂刷作业的规范方案：</w:t>
      </w:r>
    </w:p>
    <w:p>
      <w:pPr>
        <w:spacing w:line="360" w:lineRule="auto"/>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要做到“色、形、洁、美” 。“色”就是根据不同墙体或设施等颜色，进行配色，是覆盖的颜色与原有颜色相近或基本一致。“形”就是对覆盖的墙面要求有统一的覆盖形状(四方形、正方形)，并有完整的轮廓。“洁”就是对要涂刷覆盖的墙面，按照"一刮、二铲、三粉刷"的程序操作，力求达到整体干净整洁。“美”就是力求使覆盖内墙面在“色、形、洁”方面与周边环境协调和谐，有一定的美观。非法涂写已超过整体墙面三分之一的，要进行整体墙面的配色清刷。</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五、材料标准：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1、涂料。必须采用外墙涂料进行粉刷，保证粉刷后不因雨水等原因造成涂料脱落和非法涂写重新泛出。</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2、水泥。采用高标号水泥。</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六、考核办法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rPr>
        <w:t>按照市场化运作规则和属地管理原则，加强和规范对杭州市主城区非法涂写招贴广告专项整治工作中招标录用的专业清洁(保洁)单位的管理和考核，特制定年度考核管理办法(试行)</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1、考核主体：杭州市拱墅区城管局</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2、被考核主体：各中标单位</w:t>
      </w:r>
    </w:p>
    <w:p>
      <w:pPr>
        <w:spacing w:line="360" w:lineRule="auto"/>
        <w:ind w:firstLine="120" w:firstLineChars="50"/>
        <w:rPr>
          <w:rFonts w:hint="eastAsia" w:ascii="宋体" w:hAnsi="宋体" w:eastAsia="宋体" w:cs="宋体"/>
          <w:color w:val="auto"/>
          <w:sz w:val="24"/>
          <w:highlight w:val="none"/>
        </w:rPr>
      </w:pPr>
      <w:r>
        <w:rPr>
          <w:rFonts w:hint="eastAsia" w:ascii="宋体" w:hAnsi="宋体" w:eastAsia="宋体" w:cs="宋体"/>
          <w:color w:val="auto"/>
          <w:sz w:val="24"/>
          <w:highlight w:val="none"/>
        </w:rPr>
        <w:t>3、考核方式</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3.1、按照属地原则，落实监管责任。由镇、街道和区城管局负责对本辖区内中标单位的日常监管，由区城管局负责对中标单位的统一考核工作。</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3.2、考核实行月度考核和年终考核。（1）月度考核。考核实行百分制，纳入月度考核的内容：区、街道日常巡查占总分的30%；市级检查和数字城管抄告占总分的60%；公众监督（包括信访）占总分的10%。达标分为94分，月度考核的结果，作为支付月度费用的依据。（2）年终考核。除月度考核外的其他内容，纳入年度考核。年度考核实行百分制，其中月度考核的平均值占90%，其他内容占10%，结合一年来的工作情况，对中标单位进行综合评定。年度实施及考核情况报市城管办备案。</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3.3、日常巡查成绩的纳入。市城管办及市市容环卫监管中心、数字城管对各城区的巡查，监督检查的结果和区、街道日常巡查的结果，区城管局按月纳入对中标单位的考核。</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4、考核内容和评分标准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4.1考核内容</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4.11、组织机构健全。有各层次的管理机构和管理人员，作业人员、物资、工具做到落实。</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4.12、管理制度完善。建立各项管理制度和考核制度，各层次管理人员和作业人员职责明确，考核工作能顺利实施。准确、按时上报整治工作月统计报表。</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4.13、岗位明确、责任落实。责任辖区内的道路专项整治实行"三定"管理，即定人员、定路段、定责任。</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4.14、作业规范。作业人员着装整洁，严格按作业技术标准作业，按时清、随时清，杜绝"以癣治癣"。每天早上 8点至晚上8点做到即时发现，即时清除，“牛皮癣”滞留时间不超过1小时;晚上8点至第二天早上8点，做到在上午8点前清除。</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5、评分标准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5.1、月度考核评分标准（见附表一）。</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5.2、年终考核评分标准。纳入年度考核的其他内容，按照落实情况综合评分。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6、奖惩办法</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6.1、月度考核。达标分为94分，94分（含）以上，每分扣100元，94分以下扣当月支付经费的30%。一次不达标，给予黄牌警告，连续二次不达标，扣除当月支付经费的50%，三次不达标终止合同。</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6.2、年终考核。根据得分高低排出名次，按照名次和分值拨付相关经费。得分前三位的为优胜单位，同时作为下一轮续签合同的优先单位。</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附表一：月度考核评分标准：</w:t>
      </w:r>
    </w:p>
    <w:tbl>
      <w:tblPr>
        <w:tblStyle w:val="22"/>
        <w:tblW w:w="53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2"/>
        <w:gridCol w:w="796"/>
        <w:gridCol w:w="2638"/>
        <w:gridCol w:w="3263"/>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jc w:val="center"/>
        </w:trPr>
        <w:tc>
          <w:tcPr>
            <w:tcW w:w="646" w:type="pct"/>
            <w:noWrap w:val="0"/>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考核项目</w:t>
            </w:r>
          </w:p>
        </w:tc>
        <w:tc>
          <w:tcPr>
            <w:tcW w:w="407" w:type="pct"/>
            <w:noWrap w:val="0"/>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考核方式</w:t>
            </w:r>
          </w:p>
        </w:tc>
        <w:tc>
          <w:tcPr>
            <w:tcW w:w="1349" w:type="pct"/>
            <w:noWrap w:val="0"/>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考核内容</w:t>
            </w:r>
          </w:p>
        </w:tc>
        <w:tc>
          <w:tcPr>
            <w:tcW w:w="1669" w:type="pct"/>
            <w:noWrap w:val="0"/>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评分标准</w:t>
            </w:r>
          </w:p>
        </w:tc>
        <w:tc>
          <w:tcPr>
            <w:tcW w:w="926" w:type="pct"/>
            <w:noWrap w:val="0"/>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1577" w:hRule="atLeast"/>
          <w:jc w:val="center"/>
        </w:trPr>
        <w:tc>
          <w:tcPr>
            <w:tcW w:w="646" w:type="pct"/>
            <w:vMerge w:val="restart"/>
            <w:noWrap w:val="0"/>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区和街道日常巡查占总分20%</w:t>
            </w:r>
          </w:p>
        </w:tc>
        <w:tc>
          <w:tcPr>
            <w:tcW w:w="407" w:type="pct"/>
            <w:noWrap w:val="0"/>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检查台帐</w:t>
            </w:r>
          </w:p>
        </w:tc>
        <w:tc>
          <w:tcPr>
            <w:tcW w:w="1349" w:type="pct"/>
            <w:noWrap w:val="0"/>
            <w:vAlign w:val="top"/>
          </w:tcPr>
          <w:p>
            <w:pPr>
              <w:widowControl/>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各单位要认真做好非法涂写招贴广告清除的日报表和月报表，并及时上报到主管部门。</w:t>
            </w:r>
          </w:p>
        </w:tc>
        <w:tc>
          <w:tcPr>
            <w:tcW w:w="1669" w:type="pct"/>
            <w:noWrap w:val="0"/>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未按时上报的每次扣0.5分</w:t>
            </w:r>
          </w:p>
        </w:tc>
        <w:tc>
          <w:tcPr>
            <w:tcW w:w="926" w:type="pct"/>
            <w:vMerge w:val="restart"/>
            <w:noWrap w:val="0"/>
            <w:vAlign w:val="top"/>
          </w:tcPr>
          <w:p>
            <w:pPr>
              <w:widowControl/>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1、每月5日前承包单位上报上个月非法涂写招贴广告清除的月报表（表格提供）。</w:t>
            </w:r>
          </w:p>
          <w:p>
            <w:pPr>
              <w:widowControl/>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2、出现（含）3次以上未整改的，考核单位可实施代整治，费用由承包单位出，并扣除相应分值。</w:t>
            </w:r>
          </w:p>
          <w:p>
            <w:pPr>
              <w:widowControl/>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3、重大活动不响应的，考核单位可实施代落实，费用由承包单位出，并按相关规定执行。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1851" w:hRule="atLeast"/>
          <w:jc w:val="center"/>
        </w:trPr>
        <w:tc>
          <w:tcPr>
            <w:tcW w:w="646" w:type="pct"/>
            <w:vMerge w:val="continue"/>
            <w:noWrap w:val="0"/>
            <w:vAlign w:val="center"/>
          </w:tcPr>
          <w:p>
            <w:pPr>
              <w:widowControl/>
              <w:jc w:val="center"/>
              <w:rPr>
                <w:rFonts w:hint="eastAsia" w:ascii="宋体" w:hAnsi="宋体" w:eastAsia="宋体" w:cs="宋体"/>
                <w:color w:val="auto"/>
                <w:kern w:val="0"/>
                <w:sz w:val="24"/>
                <w:highlight w:val="none"/>
              </w:rPr>
            </w:pPr>
          </w:p>
        </w:tc>
        <w:tc>
          <w:tcPr>
            <w:tcW w:w="407" w:type="pct"/>
            <w:noWrap w:val="0"/>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实地检查</w:t>
            </w:r>
          </w:p>
        </w:tc>
        <w:tc>
          <w:tcPr>
            <w:tcW w:w="1349" w:type="pct"/>
            <w:vMerge w:val="restart"/>
            <w:noWrap w:val="0"/>
            <w:vAlign w:val="top"/>
          </w:tcPr>
          <w:p>
            <w:pPr>
              <w:widowControl/>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1、每条道路的非法涂写招贴广告必须在每日8点前清除完毕，并做好巡回检查工作，做到及时发现、及时清除。滞留时间不能超过60分钟。</w:t>
            </w:r>
          </w:p>
          <w:p>
            <w:pPr>
              <w:widowControl/>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2、在作业过程中要按照标准要求进行。属涂刷类的：用外墙涂料或油漆配色进行覆盖；属清除类的：要采取物理或化学的方法进行清除。</w:t>
            </w:r>
          </w:p>
          <w:p>
            <w:pPr>
              <w:widowControl/>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3、清理必须做到彻底，不能出现“白癜风”、涂写泛出、颜色不一等现象。</w:t>
            </w:r>
          </w:p>
          <w:p>
            <w:pPr>
              <w:widowControl/>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4、对各类创建活动及市级及以上检查中不失责任分。</w:t>
            </w:r>
          </w:p>
          <w:p>
            <w:pPr>
              <w:widowControl/>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5、在市分类道路检查中失分的；加倍扣分。</w:t>
            </w:r>
          </w:p>
        </w:tc>
        <w:tc>
          <w:tcPr>
            <w:tcW w:w="1669" w:type="pct"/>
            <w:vMerge w:val="restart"/>
            <w:noWrap w:val="0"/>
            <w:vAlign w:val="top"/>
          </w:tcPr>
          <w:p>
            <w:pPr>
              <w:widowControl/>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1、发现一处扣0.5分，复查时发现未整改的，扣1分，出现三次（含）以上未整改的，扣2分。每增加一次加扣0.5分。</w:t>
            </w:r>
          </w:p>
          <w:p>
            <w:pPr>
              <w:widowControl/>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2、没有在早上8时前完成第一遍清除的，发现一次扣1分。没有实施的扣3分。</w:t>
            </w:r>
          </w:p>
          <w:p>
            <w:pPr>
              <w:widowControl/>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3、涂刷没有用外墙涂料（水泥墙除外）和出现“白癜风”、涂写泛出颜色不一等，每处扣0.5分，复查时发现未整改的，扣1分，出现三次（含）以上未整改的，扣2分。每增加一次加扣0.5分。</w:t>
            </w:r>
          </w:p>
          <w:p>
            <w:pPr>
              <w:widowControl/>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4、该采取清除方法处理，而进行涂刷的每处扣0.5分。</w:t>
            </w:r>
          </w:p>
          <w:p>
            <w:pPr>
              <w:widowControl/>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5、滞留时间超过60分钟的，每处扣0.5分。</w:t>
            </w:r>
          </w:p>
          <w:p>
            <w:pPr>
              <w:widowControl/>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6、市级检查抄告的，每件扣1分。</w:t>
            </w:r>
          </w:p>
          <w:p>
            <w:pPr>
              <w:widowControl/>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7、数字城管采集的案卷每件扣0.5分。造成数字城管扣分的扣2分。</w:t>
            </w:r>
          </w:p>
          <w:p>
            <w:pPr>
              <w:widowControl/>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8、交办后未处理的，每件扣1分。</w:t>
            </w:r>
          </w:p>
          <w:p>
            <w:pPr>
              <w:widowControl/>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9、在重大活动创建中，被区批评的，扣2分，被市及以上批评的，扣3分，影响创建活动，使创建失分的，当月评定为不达标。具体奖惩按考核办法执行，影响区级以上创建的，终止合同。并扣除相应经费。</w:t>
            </w:r>
          </w:p>
        </w:tc>
        <w:tc>
          <w:tcPr>
            <w:tcW w:w="926" w:type="pct"/>
            <w:vMerge w:val="continue"/>
            <w:noWrap w:val="0"/>
            <w:vAlign w:val="top"/>
          </w:tcPr>
          <w:p>
            <w:pPr>
              <w:widowControl/>
              <w:rPr>
                <w:rFonts w:hint="eastAsia" w:ascii="宋体" w:hAnsi="宋体" w:eastAsia="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1879" w:hRule="atLeast"/>
          <w:jc w:val="center"/>
        </w:trPr>
        <w:tc>
          <w:tcPr>
            <w:tcW w:w="646" w:type="pct"/>
            <w:noWrap w:val="0"/>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市级检查和数字城管抄告占总分的60%</w:t>
            </w:r>
          </w:p>
        </w:tc>
        <w:tc>
          <w:tcPr>
            <w:tcW w:w="407" w:type="pct"/>
            <w:noWrap w:val="0"/>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实地检查和信息中心采集</w:t>
            </w:r>
          </w:p>
        </w:tc>
        <w:tc>
          <w:tcPr>
            <w:tcW w:w="1349" w:type="pct"/>
            <w:vMerge w:val="continue"/>
            <w:noWrap w:val="0"/>
            <w:vAlign w:val="top"/>
          </w:tcPr>
          <w:p>
            <w:pPr>
              <w:widowControl/>
              <w:rPr>
                <w:rFonts w:hint="eastAsia" w:ascii="宋体" w:hAnsi="宋体" w:eastAsia="宋体" w:cs="宋体"/>
                <w:color w:val="auto"/>
                <w:kern w:val="0"/>
                <w:sz w:val="24"/>
                <w:highlight w:val="none"/>
              </w:rPr>
            </w:pPr>
          </w:p>
        </w:tc>
        <w:tc>
          <w:tcPr>
            <w:tcW w:w="1669" w:type="pct"/>
            <w:vMerge w:val="continue"/>
            <w:noWrap w:val="0"/>
            <w:vAlign w:val="top"/>
          </w:tcPr>
          <w:p>
            <w:pPr>
              <w:widowControl/>
              <w:rPr>
                <w:rFonts w:hint="eastAsia" w:ascii="宋体" w:hAnsi="宋体" w:eastAsia="宋体" w:cs="宋体"/>
                <w:color w:val="auto"/>
                <w:kern w:val="0"/>
                <w:sz w:val="24"/>
                <w:highlight w:val="none"/>
              </w:rPr>
            </w:pPr>
          </w:p>
        </w:tc>
        <w:tc>
          <w:tcPr>
            <w:tcW w:w="926" w:type="pct"/>
            <w:vMerge w:val="continue"/>
            <w:noWrap w:val="0"/>
            <w:vAlign w:val="top"/>
          </w:tcPr>
          <w:p>
            <w:pPr>
              <w:widowControl/>
              <w:rPr>
                <w:rFonts w:hint="eastAsia" w:ascii="宋体" w:hAnsi="宋体" w:eastAsia="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1577" w:hRule="atLeast"/>
          <w:jc w:val="center"/>
        </w:trPr>
        <w:tc>
          <w:tcPr>
            <w:tcW w:w="646" w:type="pct"/>
            <w:noWrap w:val="0"/>
            <w:vAlign w:val="top"/>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公众监督（含信访）占总分的10%</w:t>
            </w:r>
          </w:p>
        </w:tc>
        <w:tc>
          <w:tcPr>
            <w:tcW w:w="407" w:type="pct"/>
            <w:noWrap w:val="0"/>
            <w:vAlign w:val="top"/>
          </w:tcPr>
          <w:p>
            <w:pPr>
              <w:widowControl/>
              <w:jc w:val="center"/>
              <w:rPr>
                <w:rFonts w:hint="eastAsia" w:ascii="宋体" w:hAnsi="宋体" w:eastAsia="宋体" w:cs="宋体"/>
                <w:color w:val="auto"/>
                <w:kern w:val="0"/>
                <w:sz w:val="24"/>
                <w:highlight w:val="none"/>
              </w:rPr>
            </w:pPr>
          </w:p>
        </w:tc>
        <w:tc>
          <w:tcPr>
            <w:tcW w:w="1349" w:type="pct"/>
            <w:noWrap w:val="0"/>
            <w:vAlign w:val="top"/>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1、无责任投诉，有责任投诉要及时处理。</w:t>
            </w:r>
          </w:p>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2、对“12345”市长公开电话等信访要认真处理及时回复。</w:t>
            </w:r>
          </w:p>
        </w:tc>
        <w:tc>
          <w:tcPr>
            <w:tcW w:w="1669" w:type="pct"/>
            <w:noWrap w:val="0"/>
            <w:vAlign w:val="top"/>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1、出现有责任投诉，每件扣1分，未及时处理的，每件扣2分。</w:t>
            </w:r>
          </w:p>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2、未及时处理和回复公开电话等信访的，每件扣2分。</w:t>
            </w:r>
          </w:p>
        </w:tc>
        <w:tc>
          <w:tcPr>
            <w:tcW w:w="926" w:type="pct"/>
            <w:vMerge w:val="restart"/>
            <w:noWrap w:val="0"/>
            <w:vAlign w:val="top"/>
          </w:tcPr>
          <w:p>
            <w:pPr>
              <w:widowControl/>
              <w:jc w:val="center"/>
              <w:rPr>
                <w:rFonts w:hint="eastAsia" w:ascii="宋体" w:hAnsi="宋体" w:eastAsia="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175" w:hRule="atLeast"/>
          <w:jc w:val="center"/>
        </w:trPr>
        <w:tc>
          <w:tcPr>
            <w:tcW w:w="646" w:type="pct"/>
            <w:noWrap w:val="0"/>
            <w:vAlign w:val="top"/>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媒体报道，领导批示占总分的10%</w:t>
            </w:r>
          </w:p>
        </w:tc>
        <w:tc>
          <w:tcPr>
            <w:tcW w:w="407" w:type="pct"/>
            <w:noWrap w:val="0"/>
            <w:vAlign w:val="top"/>
          </w:tcPr>
          <w:p>
            <w:pPr>
              <w:widowControl/>
              <w:jc w:val="center"/>
              <w:rPr>
                <w:rFonts w:hint="eastAsia" w:ascii="宋体" w:hAnsi="宋体" w:eastAsia="宋体" w:cs="宋体"/>
                <w:color w:val="auto"/>
                <w:kern w:val="0"/>
                <w:sz w:val="24"/>
                <w:highlight w:val="none"/>
              </w:rPr>
            </w:pPr>
          </w:p>
        </w:tc>
        <w:tc>
          <w:tcPr>
            <w:tcW w:w="1349" w:type="pct"/>
            <w:noWrap w:val="0"/>
            <w:vAlign w:val="top"/>
          </w:tcPr>
          <w:p>
            <w:pPr>
              <w:widowControl/>
              <w:numPr>
                <w:ilvl w:val="0"/>
                <w:numId w:val="4"/>
              </w:num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无新闻媒体负面报道。</w:t>
            </w:r>
          </w:p>
          <w:p>
            <w:pPr>
              <w:widowControl/>
              <w:numPr>
                <w:ilvl w:val="0"/>
                <w:numId w:val="4"/>
              </w:num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领导批示要解决的问题，要立即处理及时回复。</w:t>
            </w:r>
          </w:p>
        </w:tc>
        <w:tc>
          <w:tcPr>
            <w:tcW w:w="1669" w:type="pct"/>
            <w:noWrap w:val="0"/>
            <w:vAlign w:val="top"/>
          </w:tcPr>
          <w:p>
            <w:pPr>
              <w:widowControl/>
              <w:numPr>
                <w:ilvl w:val="0"/>
                <w:numId w:val="5"/>
              </w:numPr>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出现新闻媒体负面报道的，当月评定为不达标，当月出现两次的，一次算当月，第二次计算为次月，以此类推。并按考核办法执行。</w:t>
            </w:r>
          </w:p>
          <w:p>
            <w:pPr>
              <w:widowControl/>
              <w:ind w:left="360" w:hanging="360" w:hangingChars="15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2、对领导批示的问题每件扣1分，复查时未整改的扣5分。</w:t>
            </w:r>
          </w:p>
        </w:tc>
        <w:tc>
          <w:tcPr>
            <w:tcW w:w="926" w:type="pct"/>
            <w:vMerge w:val="continue"/>
            <w:noWrap w:val="0"/>
            <w:vAlign w:val="top"/>
          </w:tcPr>
          <w:p>
            <w:pPr>
              <w:widowControl/>
              <w:jc w:val="center"/>
              <w:rPr>
                <w:rFonts w:hint="eastAsia" w:ascii="宋体" w:hAnsi="宋体" w:eastAsia="宋体" w:cs="宋体"/>
                <w:color w:val="auto"/>
                <w:kern w:val="0"/>
                <w:sz w:val="24"/>
                <w:highlight w:val="none"/>
              </w:rPr>
            </w:pPr>
          </w:p>
        </w:tc>
      </w:tr>
    </w:tbl>
    <w:p>
      <w:pPr>
        <w:spacing w:line="360" w:lineRule="auto"/>
        <w:rPr>
          <w:rFonts w:hint="eastAsia" w:ascii="宋体" w:hAnsi="宋体" w:eastAsia="宋体" w:cs="宋体"/>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color w:val="auto"/>
          <w:sz w:val="24"/>
          <w:highlight w:val="none"/>
        </w:rPr>
        <w:br w:type="page"/>
      </w:r>
      <w:r>
        <w:rPr>
          <w:rFonts w:hint="eastAsia" w:ascii="宋体" w:hAnsi="宋体" w:eastAsia="宋体" w:cs="宋体"/>
          <w:b/>
          <w:color w:val="auto"/>
          <w:sz w:val="24"/>
          <w:highlight w:val="none"/>
        </w:rPr>
        <w:t>七、拱墅区2020年清除非法涂写招贴广告标段范围及道路总长情况表：</w:t>
      </w:r>
    </w:p>
    <w:tbl>
      <w:tblPr>
        <w:tblStyle w:val="22"/>
        <w:tblW w:w="9640" w:type="dxa"/>
        <w:jc w:val="center"/>
        <w:tblLayout w:type="fixed"/>
        <w:tblCellMar>
          <w:top w:w="0" w:type="dxa"/>
          <w:left w:w="0" w:type="dxa"/>
          <w:bottom w:w="0" w:type="dxa"/>
          <w:right w:w="0" w:type="dxa"/>
        </w:tblCellMar>
      </w:tblPr>
      <w:tblGrid>
        <w:gridCol w:w="853"/>
        <w:gridCol w:w="6700"/>
        <w:gridCol w:w="2087"/>
      </w:tblGrid>
      <w:tr>
        <w:tblPrEx>
          <w:tblCellMar>
            <w:top w:w="0" w:type="dxa"/>
            <w:left w:w="0" w:type="dxa"/>
            <w:bottom w:w="0" w:type="dxa"/>
            <w:right w:w="0" w:type="dxa"/>
          </w:tblCellMar>
        </w:tblPrEx>
        <w:trPr>
          <w:trHeight w:val="647" w:hRule="atLeast"/>
          <w:jc w:val="center"/>
        </w:trPr>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标段</w:t>
            </w:r>
          </w:p>
        </w:tc>
        <w:tc>
          <w:tcPr>
            <w:tcW w:w="6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标项名称</w:t>
            </w:r>
          </w:p>
        </w:tc>
        <w:tc>
          <w:tcPr>
            <w:tcW w:w="2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道路长度（米）</w:t>
            </w:r>
          </w:p>
        </w:tc>
      </w:tr>
      <w:tr>
        <w:tblPrEx>
          <w:tblCellMar>
            <w:top w:w="0" w:type="dxa"/>
            <w:left w:w="0" w:type="dxa"/>
            <w:bottom w:w="0" w:type="dxa"/>
            <w:right w:w="0" w:type="dxa"/>
          </w:tblCellMar>
        </w:tblPrEx>
        <w:trPr>
          <w:trHeight w:val="540" w:hRule="atLeast"/>
          <w:jc w:val="center"/>
        </w:trPr>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w:t>
            </w:r>
          </w:p>
        </w:tc>
        <w:tc>
          <w:tcPr>
            <w:tcW w:w="6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拱墅区米市巷街道非法涂写招贴广告清除范围</w:t>
            </w:r>
          </w:p>
        </w:tc>
        <w:tc>
          <w:tcPr>
            <w:tcW w:w="20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19710</w:t>
            </w:r>
          </w:p>
        </w:tc>
      </w:tr>
      <w:tr>
        <w:tblPrEx>
          <w:tblCellMar>
            <w:top w:w="0" w:type="dxa"/>
            <w:left w:w="0" w:type="dxa"/>
            <w:bottom w:w="0" w:type="dxa"/>
            <w:right w:w="0" w:type="dxa"/>
          </w:tblCellMar>
        </w:tblPrEx>
        <w:trPr>
          <w:trHeight w:val="540" w:hRule="atLeast"/>
          <w:jc w:val="center"/>
        </w:trPr>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2</w:t>
            </w:r>
          </w:p>
        </w:tc>
        <w:tc>
          <w:tcPr>
            <w:tcW w:w="6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拱墅区湖墅街道非法涂写招贴广告清除范围</w:t>
            </w:r>
          </w:p>
        </w:tc>
        <w:tc>
          <w:tcPr>
            <w:tcW w:w="20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24506</w:t>
            </w:r>
          </w:p>
        </w:tc>
      </w:tr>
      <w:tr>
        <w:tblPrEx>
          <w:tblCellMar>
            <w:top w:w="0" w:type="dxa"/>
            <w:left w:w="0" w:type="dxa"/>
            <w:bottom w:w="0" w:type="dxa"/>
            <w:right w:w="0" w:type="dxa"/>
          </w:tblCellMar>
        </w:tblPrEx>
        <w:trPr>
          <w:trHeight w:val="540" w:hRule="atLeast"/>
          <w:jc w:val="center"/>
        </w:trPr>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3</w:t>
            </w:r>
          </w:p>
        </w:tc>
        <w:tc>
          <w:tcPr>
            <w:tcW w:w="6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拱墅区小河街道加和睦街道小河街道非法涂写招贴广告清除范围</w:t>
            </w:r>
          </w:p>
        </w:tc>
        <w:tc>
          <w:tcPr>
            <w:tcW w:w="20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22031</w:t>
            </w:r>
          </w:p>
        </w:tc>
      </w:tr>
      <w:tr>
        <w:tblPrEx>
          <w:tblCellMar>
            <w:top w:w="0" w:type="dxa"/>
            <w:left w:w="0" w:type="dxa"/>
            <w:bottom w:w="0" w:type="dxa"/>
            <w:right w:w="0" w:type="dxa"/>
          </w:tblCellMar>
        </w:tblPrEx>
        <w:trPr>
          <w:trHeight w:val="540" w:hRule="atLeast"/>
          <w:jc w:val="center"/>
        </w:trPr>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4</w:t>
            </w:r>
          </w:p>
        </w:tc>
        <w:tc>
          <w:tcPr>
            <w:tcW w:w="6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拱墅区大关街道非法涂写招贴广告清除范围</w:t>
            </w:r>
          </w:p>
        </w:tc>
        <w:tc>
          <w:tcPr>
            <w:tcW w:w="20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22179</w:t>
            </w:r>
          </w:p>
        </w:tc>
      </w:tr>
      <w:tr>
        <w:tblPrEx>
          <w:tblCellMar>
            <w:top w:w="0" w:type="dxa"/>
            <w:left w:w="0" w:type="dxa"/>
            <w:bottom w:w="0" w:type="dxa"/>
            <w:right w:w="0" w:type="dxa"/>
          </w:tblCellMar>
        </w:tblPrEx>
        <w:trPr>
          <w:trHeight w:val="540" w:hRule="atLeast"/>
          <w:jc w:val="center"/>
        </w:trPr>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5</w:t>
            </w:r>
          </w:p>
        </w:tc>
        <w:tc>
          <w:tcPr>
            <w:tcW w:w="6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拱墅区拱宸桥街道非法涂写招贴广告清除范围</w:t>
            </w:r>
          </w:p>
        </w:tc>
        <w:tc>
          <w:tcPr>
            <w:tcW w:w="20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32506</w:t>
            </w:r>
          </w:p>
        </w:tc>
      </w:tr>
      <w:tr>
        <w:tblPrEx>
          <w:tblCellMar>
            <w:top w:w="0" w:type="dxa"/>
            <w:left w:w="0" w:type="dxa"/>
            <w:bottom w:w="0" w:type="dxa"/>
            <w:right w:w="0" w:type="dxa"/>
          </w:tblCellMar>
        </w:tblPrEx>
        <w:trPr>
          <w:trHeight w:val="540" w:hRule="atLeast"/>
          <w:jc w:val="center"/>
        </w:trPr>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6</w:t>
            </w:r>
          </w:p>
        </w:tc>
        <w:tc>
          <w:tcPr>
            <w:tcW w:w="6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拱墅区上塘街道非法涂写招贴广告清除范围</w:t>
            </w:r>
          </w:p>
        </w:tc>
        <w:tc>
          <w:tcPr>
            <w:tcW w:w="20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44281</w:t>
            </w:r>
          </w:p>
        </w:tc>
      </w:tr>
      <w:tr>
        <w:tblPrEx>
          <w:tblCellMar>
            <w:top w:w="0" w:type="dxa"/>
            <w:left w:w="0" w:type="dxa"/>
            <w:bottom w:w="0" w:type="dxa"/>
            <w:right w:w="0" w:type="dxa"/>
          </w:tblCellMar>
        </w:tblPrEx>
        <w:trPr>
          <w:trHeight w:val="540" w:hRule="atLeast"/>
          <w:jc w:val="center"/>
        </w:trPr>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7</w:t>
            </w:r>
          </w:p>
        </w:tc>
        <w:tc>
          <w:tcPr>
            <w:tcW w:w="6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拱墅区祥符街道非法涂写招贴广告清除范围</w:t>
            </w:r>
          </w:p>
        </w:tc>
        <w:tc>
          <w:tcPr>
            <w:tcW w:w="20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83332.1</w:t>
            </w:r>
          </w:p>
        </w:tc>
      </w:tr>
      <w:tr>
        <w:tblPrEx>
          <w:tblCellMar>
            <w:top w:w="0" w:type="dxa"/>
            <w:left w:w="0" w:type="dxa"/>
            <w:bottom w:w="0" w:type="dxa"/>
            <w:right w:w="0" w:type="dxa"/>
          </w:tblCellMar>
        </w:tblPrEx>
        <w:trPr>
          <w:trHeight w:val="540" w:hRule="atLeast"/>
          <w:jc w:val="center"/>
        </w:trPr>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8</w:t>
            </w:r>
          </w:p>
        </w:tc>
        <w:tc>
          <w:tcPr>
            <w:tcW w:w="6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拱墅区大关路以南部分主要道路（含运河游步道）非法涂写招贴广告清除范围</w:t>
            </w:r>
          </w:p>
        </w:tc>
        <w:tc>
          <w:tcPr>
            <w:tcW w:w="20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41843</w:t>
            </w:r>
          </w:p>
        </w:tc>
      </w:tr>
      <w:tr>
        <w:tblPrEx>
          <w:tblCellMar>
            <w:top w:w="0" w:type="dxa"/>
            <w:left w:w="0" w:type="dxa"/>
            <w:bottom w:w="0" w:type="dxa"/>
            <w:right w:w="0" w:type="dxa"/>
          </w:tblCellMar>
        </w:tblPrEx>
        <w:trPr>
          <w:trHeight w:val="540" w:hRule="atLeast"/>
          <w:jc w:val="center"/>
        </w:trPr>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9</w:t>
            </w:r>
          </w:p>
        </w:tc>
        <w:tc>
          <w:tcPr>
            <w:tcW w:w="6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拱墅区大关路以北部分主要道路非法涂写招贴广告清除范围</w:t>
            </w:r>
          </w:p>
        </w:tc>
        <w:tc>
          <w:tcPr>
            <w:tcW w:w="20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88137.77</w:t>
            </w:r>
          </w:p>
        </w:tc>
      </w:tr>
      <w:tr>
        <w:tblPrEx>
          <w:tblCellMar>
            <w:top w:w="0" w:type="dxa"/>
            <w:left w:w="0" w:type="dxa"/>
            <w:bottom w:w="0" w:type="dxa"/>
            <w:right w:w="0" w:type="dxa"/>
          </w:tblCellMar>
        </w:tblPrEx>
        <w:trPr>
          <w:trHeight w:val="540" w:hRule="atLeast"/>
          <w:jc w:val="center"/>
        </w:trPr>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10</w:t>
            </w:r>
          </w:p>
        </w:tc>
        <w:tc>
          <w:tcPr>
            <w:tcW w:w="6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拱墅区大关路以北部分主要道路非法涂写招贴广告清除范围（东）</w:t>
            </w:r>
          </w:p>
        </w:tc>
        <w:tc>
          <w:tcPr>
            <w:tcW w:w="20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63645.5</w:t>
            </w:r>
          </w:p>
        </w:tc>
      </w:tr>
      <w:tr>
        <w:tblPrEx>
          <w:tblCellMar>
            <w:top w:w="0" w:type="dxa"/>
            <w:left w:w="0" w:type="dxa"/>
            <w:bottom w:w="0" w:type="dxa"/>
            <w:right w:w="0" w:type="dxa"/>
          </w:tblCellMar>
        </w:tblPrEx>
        <w:trPr>
          <w:trHeight w:val="540" w:hRule="atLeast"/>
          <w:jc w:val="center"/>
        </w:trPr>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11</w:t>
            </w:r>
          </w:p>
        </w:tc>
        <w:tc>
          <w:tcPr>
            <w:tcW w:w="6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拱墅区半山街道非法涂写招贴广告清除范围</w:t>
            </w:r>
          </w:p>
        </w:tc>
        <w:tc>
          <w:tcPr>
            <w:tcW w:w="20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29480.7</w:t>
            </w:r>
          </w:p>
        </w:tc>
      </w:tr>
      <w:tr>
        <w:tblPrEx>
          <w:tblCellMar>
            <w:top w:w="0" w:type="dxa"/>
            <w:left w:w="0" w:type="dxa"/>
            <w:bottom w:w="0" w:type="dxa"/>
            <w:right w:w="0" w:type="dxa"/>
          </w:tblCellMar>
        </w:tblPrEx>
        <w:trPr>
          <w:trHeight w:val="540" w:hRule="atLeast"/>
          <w:jc w:val="center"/>
        </w:trPr>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12</w:t>
            </w:r>
          </w:p>
        </w:tc>
        <w:tc>
          <w:tcPr>
            <w:tcW w:w="6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拱墅区康桥街道非法涂写招贴广告清除范围</w:t>
            </w:r>
          </w:p>
        </w:tc>
        <w:tc>
          <w:tcPr>
            <w:tcW w:w="20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47724</w:t>
            </w:r>
          </w:p>
        </w:tc>
      </w:tr>
    </w:tbl>
    <w:p>
      <w:pPr>
        <w:spacing w:line="360" w:lineRule="auto"/>
        <w:rPr>
          <w:rFonts w:hint="eastAsia" w:ascii="宋体" w:hAnsi="宋体" w:eastAsia="宋体" w:cs="宋体"/>
          <w:b/>
          <w:color w:val="auto"/>
          <w:sz w:val="24"/>
          <w:highlight w:val="none"/>
        </w:rPr>
      </w:pPr>
    </w:p>
    <w:p>
      <w:pPr>
        <w:spacing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br w:type="page"/>
      </w:r>
      <w:r>
        <w:rPr>
          <w:rFonts w:hint="eastAsia" w:ascii="宋体" w:hAnsi="宋体" w:eastAsia="宋体" w:cs="宋体"/>
          <w:b/>
          <w:color w:val="auto"/>
          <w:sz w:val="24"/>
          <w:highlight w:val="none"/>
        </w:rPr>
        <w:t>拱墅区2020年清除非法涂写招贴广告各标项街道情况表：</w:t>
      </w:r>
    </w:p>
    <w:tbl>
      <w:tblPr>
        <w:tblStyle w:val="22"/>
        <w:tblW w:w="9540" w:type="dxa"/>
        <w:jc w:val="center"/>
        <w:tblLayout w:type="autofit"/>
        <w:tblCellMar>
          <w:top w:w="0" w:type="dxa"/>
          <w:left w:w="0" w:type="dxa"/>
          <w:bottom w:w="0" w:type="dxa"/>
          <w:right w:w="0" w:type="dxa"/>
        </w:tblCellMar>
      </w:tblPr>
      <w:tblGrid>
        <w:gridCol w:w="645"/>
        <w:gridCol w:w="1515"/>
        <w:gridCol w:w="4380"/>
        <w:gridCol w:w="1560"/>
        <w:gridCol w:w="1440"/>
      </w:tblGrid>
      <w:tr>
        <w:tblPrEx>
          <w:tblCellMar>
            <w:top w:w="0" w:type="dxa"/>
            <w:left w:w="0" w:type="dxa"/>
            <w:bottom w:w="0" w:type="dxa"/>
            <w:right w:w="0" w:type="dxa"/>
          </w:tblCellMar>
        </w:tblPrEx>
        <w:trPr>
          <w:trHeight w:val="540" w:hRule="atLeast"/>
          <w:jc w:val="center"/>
        </w:trPr>
        <w:tc>
          <w:tcPr>
            <w:tcW w:w="954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拱墅区米市巷街道非法涂写张贴广告清除范围</w:t>
            </w: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序号</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道路名称</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起止点</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道路长度(m)</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备注</w:t>
            </w:r>
          </w:p>
        </w:tc>
      </w:tr>
      <w:tr>
        <w:tblPrEx>
          <w:tblCellMar>
            <w:top w:w="0" w:type="dxa"/>
            <w:left w:w="0" w:type="dxa"/>
            <w:bottom w:w="0" w:type="dxa"/>
            <w:right w:w="0" w:type="dxa"/>
          </w:tblCellMar>
        </w:tblPrEx>
        <w:trPr>
          <w:trHeight w:val="435" w:hRule="atLeast"/>
          <w:jc w:val="center"/>
        </w:trPr>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长板巷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老德胜桥至河东路交叉口</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夹城巷社区</w:t>
            </w:r>
          </w:p>
        </w:tc>
      </w:tr>
      <w:tr>
        <w:tblPrEx>
          <w:tblCellMar>
            <w:top w:w="0" w:type="dxa"/>
            <w:left w:w="0" w:type="dxa"/>
            <w:bottom w:w="0" w:type="dxa"/>
            <w:right w:w="0" w:type="dxa"/>
          </w:tblCellMar>
        </w:tblPrEx>
        <w:trPr>
          <w:trHeight w:val="435" w:hRule="atLeast"/>
          <w:jc w:val="center"/>
        </w:trPr>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东粮泊巷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长板巷交叉口至德胜路交叉口</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夹城巷社区</w:t>
            </w:r>
          </w:p>
        </w:tc>
      </w:tr>
      <w:tr>
        <w:tblPrEx>
          <w:tblCellMar>
            <w:top w:w="0" w:type="dxa"/>
            <w:left w:w="0" w:type="dxa"/>
            <w:bottom w:w="0" w:type="dxa"/>
            <w:right w:w="0" w:type="dxa"/>
          </w:tblCellMar>
        </w:tblPrEx>
        <w:trPr>
          <w:trHeight w:val="435" w:hRule="atLeast"/>
          <w:jc w:val="center"/>
        </w:trPr>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夹城巷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湖墅南路交叉口至老德胜桥</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240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夹城巷社区</w:t>
            </w:r>
          </w:p>
        </w:tc>
      </w:tr>
      <w:tr>
        <w:tblPrEx>
          <w:tblCellMar>
            <w:top w:w="0" w:type="dxa"/>
            <w:left w:w="0" w:type="dxa"/>
            <w:bottom w:w="0" w:type="dxa"/>
            <w:right w:w="0" w:type="dxa"/>
          </w:tblCellMar>
        </w:tblPrEx>
        <w:trPr>
          <w:trHeight w:val="435" w:hRule="atLeast"/>
          <w:jc w:val="center"/>
        </w:trPr>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余塘巷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湖墅南路交叉口至外万物桥</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250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米市巷社区</w:t>
            </w:r>
          </w:p>
        </w:tc>
      </w:tr>
      <w:tr>
        <w:tblPrEx>
          <w:tblCellMar>
            <w:top w:w="0" w:type="dxa"/>
            <w:left w:w="0" w:type="dxa"/>
            <w:bottom w:w="0" w:type="dxa"/>
            <w:right w:w="0" w:type="dxa"/>
          </w:tblCellMar>
        </w:tblPrEx>
        <w:trPr>
          <w:trHeight w:val="435" w:hRule="atLeast"/>
          <w:jc w:val="center"/>
        </w:trPr>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清水潭巷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文一路交叉口至浅水湾北出口</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米市巷社区</w:t>
            </w:r>
          </w:p>
        </w:tc>
      </w:tr>
      <w:tr>
        <w:tblPrEx>
          <w:tblCellMar>
            <w:top w:w="0" w:type="dxa"/>
            <w:left w:w="0" w:type="dxa"/>
            <w:bottom w:w="0" w:type="dxa"/>
            <w:right w:w="0" w:type="dxa"/>
          </w:tblCellMar>
        </w:tblPrEx>
        <w:trPr>
          <w:trHeight w:val="435" w:hRule="atLeast"/>
          <w:jc w:val="center"/>
        </w:trPr>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枯树湾巷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古河巷交叉口至湖墅南路交叉口</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锦绣社区</w:t>
            </w:r>
          </w:p>
        </w:tc>
      </w:tr>
      <w:tr>
        <w:tblPrEx>
          <w:tblCellMar>
            <w:top w:w="0" w:type="dxa"/>
            <w:left w:w="0" w:type="dxa"/>
            <w:bottom w:w="0" w:type="dxa"/>
            <w:right w:w="0" w:type="dxa"/>
          </w:tblCellMar>
        </w:tblPrEx>
        <w:trPr>
          <w:trHeight w:val="435" w:hRule="atLeast"/>
          <w:jc w:val="center"/>
        </w:trPr>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古河巷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夹城巷交叉口至潮王路交叉口</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锦绣社区</w:t>
            </w:r>
          </w:p>
        </w:tc>
      </w:tr>
      <w:tr>
        <w:tblPrEx>
          <w:tblCellMar>
            <w:top w:w="0" w:type="dxa"/>
            <w:left w:w="0" w:type="dxa"/>
            <w:bottom w:w="0" w:type="dxa"/>
            <w:right w:w="0" w:type="dxa"/>
          </w:tblCellMar>
        </w:tblPrEx>
        <w:trPr>
          <w:trHeight w:val="435" w:hRule="atLeast"/>
          <w:jc w:val="center"/>
        </w:trPr>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双辉一弄</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湖墅南路交叉口至新河坝亭子</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米市巷社区</w:t>
            </w:r>
          </w:p>
        </w:tc>
      </w:tr>
      <w:tr>
        <w:tblPrEx>
          <w:tblCellMar>
            <w:top w:w="0" w:type="dxa"/>
            <w:left w:w="0" w:type="dxa"/>
            <w:bottom w:w="0" w:type="dxa"/>
            <w:right w:w="0" w:type="dxa"/>
          </w:tblCellMar>
        </w:tblPrEx>
        <w:trPr>
          <w:trHeight w:val="435" w:hRule="atLeast"/>
          <w:jc w:val="center"/>
        </w:trPr>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双辉二弄</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湖墅南路交叉口至古新河</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米市巷社区</w:t>
            </w:r>
          </w:p>
        </w:tc>
      </w:tr>
      <w:tr>
        <w:tblPrEx>
          <w:tblCellMar>
            <w:top w:w="0" w:type="dxa"/>
            <w:left w:w="0" w:type="dxa"/>
            <w:bottom w:w="0" w:type="dxa"/>
            <w:right w:w="0" w:type="dxa"/>
          </w:tblCellMar>
        </w:tblPrEx>
        <w:trPr>
          <w:trHeight w:val="435" w:hRule="atLeast"/>
          <w:jc w:val="center"/>
        </w:trPr>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三官弄</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莫干山路交叉口至浅水湾南路交叉口</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米市巷社区</w:t>
            </w:r>
          </w:p>
        </w:tc>
      </w:tr>
      <w:tr>
        <w:tblPrEx>
          <w:tblCellMar>
            <w:top w:w="0" w:type="dxa"/>
            <w:left w:w="0" w:type="dxa"/>
            <w:bottom w:w="0" w:type="dxa"/>
            <w:right w:w="0" w:type="dxa"/>
          </w:tblCellMar>
        </w:tblPrEx>
        <w:trPr>
          <w:trHeight w:val="435" w:hRule="atLeast"/>
          <w:jc w:val="center"/>
        </w:trPr>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伞坛巷西路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潮王路交叉口至浅水湾16幢口</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350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米市巷社区</w:t>
            </w:r>
          </w:p>
        </w:tc>
      </w:tr>
      <w:tr>
        <w:tblPrEx>
          <w:tblCellMar>
            <w:top w:w="0" w:type="dxa"/>
            <w:left w:w="0" w:type="dxa"/>
            <w:bottom w:w="0" w:type="dxa"/>
            <w:right w:w="0" w:type="dxa"/>
          </w:tblCellMar>
        </w:tblPrEx>
        <w:trPr>
          <w:trHeight w:val="570" w:hRule="atLeast"/>
          <w:jc w:val="center"/>
        </w:trPr>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浅水湾花园</w:t>
            </w:r>
          </w:p>
        </w:tc>
        <w:tc>
          <w:tcPr>
            <w:tcW w:w="4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东至外万物桥西至莫干山路，南至浅水湾南路北至里万物桥</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米市巷社区</w:t>
            </w:r>
          </w:p>
        </w:tc>
      </w:tr>
      <w:tr>
        <w:tblPrEx>
          <w:tblCellMar>
            <w:top w:w="0" w:type="dxa"/>
            <w:left w:w="0" w:type="dxa"/>
            <w:bottom w:w="0" w:type="dxa"/>
            <w:right w:w="0" w:type="dxa"/>
          </w:tblCellMar>
        </w:tblPrEx>
        <w:trPr>
          <w:trHeight w:val="435" w:hRule="atLeast"/>
          <w:jc w:val="center"/>
        </w:trPr>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莫干巷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莫干山路交叉口至古新路交叉口</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沈塘桥社区</w:t>
            </w:r>
          </w:p>
        </w:tc>
      </w:tr>
      <w:tr>
        <w:tblPrEx>
          <w:tblCellMar>
            <w:top w:w="0" w:type="dxa"/>
            <w:left w:w="0" w:type="dxa"/>
            <w:bottom w:w="0" w:type="dxa"/>
            <w:right w:w="0" w:type="dxa"/>
          </w:tblCellMar>
        </w:tblPrEx>
        <w:trPr>
          <w:trHeight w:val="435" w:hRule="atLeast"/>
          <w:jc w:val="center"/>
        </w:trPr>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古新路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潮王路交叉口至文晖路交叉口</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1400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沈塘桥社区</w:t>
            </w:r>
          </w:p>
        </w:tc>
      </w:tr>
      <w:tr>
        <w:tblPrEx>
          <w:tblCellMar>
            <w:top w:w="0" w:type="dxa"/>
            <w:left w:w="0" w:type="dxa"/>
            <w:bottom w:w="0" w:type="dxa"/>
            <w:right w:w="0" w:type="dxa"/>
          </w:tblCellMar>
        </w:tblPrEx>
        <w:trPr>
          <w:trHeight w:val="435" w:hRule="atLeast"/>
          <w:jc w:val="center"/>
        </w:trPr>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沈塘桥路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湖墅南路交叉口至莫干山路交叉口</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沈塘桥社区</w:t>
            </w:r>
          </w:p>
        </w:tc>
      </w:tr>
      <w:tr>
        <w:tblPrEx>
          <w:tblCellMar>
            <w:top w:w="0" w:type="dxa"/>
            <w:left w:w="0" w:type="dxa"/>
            <w:bottom w:w="0" w:type="dxa"/>
            <w:right w:w="0" w:type="dxa"/>
          </w:tblCellMar>
        </w:tblPrEx>
        <w:trPr>
          <w:trHeight w:val="435" w:hRule="atLeast"/>
          <w:jc w:val="center"/>
        </w:trPr>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沈塘桥弄</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古新路交叉口至莫干山路交叉口</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850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沈塘桥社区</w:t>
            </w:r>
          </w:p>
        </w:tc>
      </w:tr>
      <w:tr>
        <w:tblPrEx>
          <w:tblCellMar>
            <w:top w:w="0" w:type="dxa"/>
            <w:left w:w="0" w:type="dxa"/>
            <w:bottom w:w="0" w:type="dxa"/>
            <w:right w:w="0" w:type="dxa"/>
          </w:tblCellMar>
        </w:tblPrEx>
        <w:trPr>
          <w:trHeight w:val="615" w:hRule="atLeast"/>
          <w:jc w:val="center"/>
        </w:trPr>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叶青兜路</w:t>
            </w:r>
          </w:p>
        </w:tc>
        <w:tc>
          <w:tcPr>
            <w:tcW w:w="4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湖墅南路交叉口至古河巷口（南北面），古河巷口至运河边(南面)</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红石板社区</w:t>
            </w:r>
          </w:p>
        </w:tc>
      </w:tr>
      <w:tr>
        <w:tblPrEx>
          <w:tblCellMar>
            <w:top w:w="0" w:type="dxa"/>
            <w:left w:w="0" w:type="dxa"/>
            <w:bottom w:w="0" w:type="dxa"/>
            <w:right w:w="0" w:type="dxa"/>
          </w:tblCellMar>
        </w:tblPrEx>
        <w:trPr>
          <w:trHeight w:val="435" w:hRule="atLeast"/>
          <w:jc w:val="center"/>
        </w:trPr>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小河东村路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小河东村文晖路口至炼油厂宿舍</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250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半道红社区</w:t>
            </w:r>
          </w:p>
        </w:tc>
      </w:tr>
      <w:tr>
        <w:tblPrEx>
          <w:tblCellMar>
            <w:top w:w="0" w:type="dxa"/>
            <w:left w:w="0" w:type="dxa"/>
            <w:bottom w:w="0" w:type="dxa"/>
            <w:right w:w="0" w:type="dxa"/>
          </w:tblCellMar>
        </w:tblPrEx>
        <w:trPr>
          <w:trHeight w:val="435" w:hRule="atLeast"/>
          <w:jc w:val="center"/>
        </w:trPr>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草坝巷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密渡桥路交叉口至环城北路交叉口</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半道红社区</w:t>
            </w:r>
          </w:p>
        </w:tc>
      </w:tr>
      <w:tr>
        <w:tblPrEx>
          <w:tblCellMar>
            <w:top w:w="0" w:type="dxa"/>
            <w:left w:w="0" w:type="dxa"/>
            <w:bottom w:w="0" w:type="dxa"/>
            <w:right w:w="0" w:type="dxa"/>
          </w:tblCellMar>
        </w:tblPrEx>
        <w:trPr>
          <w:trHeight w:val="435" w:hRule="atLeast"/>
          <w:jc w:val="center"/>
        </w:trPr>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密度桥支路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密渡桥路交叉口至密渡桥路2号6幢门口</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半道红社区</w:t>
            </w:r>
          </w:p>
        </w:tc>
      </w:tr>
      <w:tr>
        <w:tblPrEx>
          <w:tblCellMar>
            <w:top w:w="0" w:type="dxa"/>
            <w:left w:w="0" w:type="dxa"/>
            <w:bottom w:w="0" w:type="dxa"/>
            <w:right w:w="0" w:type="dxa"/>
          </w:tblCellMar>
        </w:tblPrEx>
        <w:trPr>
          <w:trHeight w:val="435" w:hRule="atLeast"/>
          <w:jc w:val="center"/>
        </w:trPr>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徐公巷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徐公巷7号至万物桥19号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米市社区</w:t>
            </w:r>
          </w:p>
        </w:tc>
      </w:tr>
      <w:tr>
        <w:tblPrEx>
          <w:tblCellMar>
            <w:top w:w="0" w:type="dxa"/>
            <w:left w:w="0" w:type="dxa"/>
            <w:bottom w:w="0" w:type="dxa"/>
            <w:right w:w="0" w:type="dxa"/>
          </w:tblCellMar>
        </w:tblPrEx>
        <w:trPr>
          <w:trHeight w:val="435" w:hRule="atLeast"/>
          <w:jc w:val="center"/>
        </w:trPr>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半道红社区</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社区各幢间道路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4000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35" w:hRule="atLeast"/>
          <w:jc w:val="center"/>
        </w:trPr>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沈塘桥社区</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社区各幢间道路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35" w:hRule="atLeast"/>
          <w:jc w:val="center"/>
        </w:trPr>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米市巷社区</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社区各幢间道路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2500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35" w:hRule="atLeast"/>
          <w:jc w:val="center"/>
        </w:trPr>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王子街</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湖墅南路--华浙公园</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470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新增</w:t>
            </w:r>
          </w:p>
        </w:tc>
      </w:tr>
      <w:tr>
        <w:tblPrEx>
          <w:tblCellMar>
            <w:top w:w="0" w:type="dxa"/>
            <w:left w:w="0" w:type="dxa"/>
            <w:bottom w:w="0" w:type="dxa"/>
            <w:right w:w="0" w:type="dxa"/>
          </w:tblCellMar>
        </w:tblPrEx>
        <w:trPr>
          <w:trHeight w:val="435" w:hRule="atLeast"/>
          <w:jc w:val="center"/>
        </w:trPr>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合计</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19710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bl>
    <w:p>
      <w:pPr>
        <w:widowControl/>
        <w:tabs>
          <w:tab w:val="left" w:pos="696"/>
          <w:tab w:val="left" w:pos="6810"/>
          <w:tab w:val="left" w:pos="7754"/>
        </w:tabs>
        <w:rPr>
          <w:rFonts w:hint="eastAsia" w:ascii="宋体" w:hAnsi="宋体" w:eastAsia="宋体" w:cs="宋体"/>
          <w:b/>
          <w:color w:val="auto"/>
          <w:sz w:val="36"/>
          <w:highlight w:val="none"/>
        </w:rPr>
      </w:pPr>
      <w:r>
        <w:rPr>
          <w:rFonts w:hint="eastAsia" w:ascii="宋体" w:hAnsi="宋体" w:eastAsia="宋体" w:cs="宋体"/>
          <w:b/>
          <w:color w:val="auto"/>
          <w:sz w:val="36"/>
          <w:highlight w:val="none"/>
        </w:rPr>
        <w:br w:type="page"/>
      </w:r>
    </w:p>
    <w:tbl>
      <w:tblPr>
        <w:tblStyle w:val="22"/>
        <w:tblW w:w="9705" w:type="dxa"/>
        <w:jc w:val="center"/>
        <w:tblLayout w:type="autofit"/>
        <w:tblCellMar>
          <w:top w:w="0" w:type="dxa"/>
          <w:left w:w="0" w:type="dxa"/>
          <w:bottom w:w="0" w:type="dxa"/>
          <w:right w:w="0" w:type="dxa"/>
        </w:tblCellMar>
      </w:tblPr>
      <w:tblGrid>
        <w:gridCol w:w="556"/>
        <w:gridCol w:w="1732"/>
        <w:gridCol w:w="4346"/>
        <w:gridCol w:w="1732"/>
        <w:gridCol w:w="1339"/>
      </w:tblGrid>
      <w:tr>
        <w:tblPrEx>
          <w:tblCellMar>
            <w:top w:w="0" w:type="dxa"/>
            <w:left w:w="0" w:type="dxa"/>
            <w:bottom w:w="0" w:type="dxa"/>
            <w:right w:w="0" w:type="dxa"/>
          </w:tblCellMar>
        </w:tblPrEx>
        <w:trPr>
          <w:trHeight w:val="555" w:hRule="atLeast"/>
          <w:jc w:val="center"/>
        </w:trPr>
        <w:tc>
          <w:tcPr>
            <w:tcW w:w="970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拱墅区湖墅街道非法涂写招贴广告清除范围</w:t>
            </w: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序号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道路名称</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起止点</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道路长度（m）</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备注</w:t>
            </w: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小兜弄</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大兜路--丽水路延伸段</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150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霞湾巷社区</w:t>
            </w: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霞湾巷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杭办一号楼--胜利河美食街口</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霞湾巷社区</w:t>
            </w: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香积寺巷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大兜路--砖桥头</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1500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霞湾巷社区</w:t>
            </w: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青石头弄</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卖鱼桥学校门口--青石头12号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霞湾巷社区</w:t>
            </w: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德胜巷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德胜路--德胜巷57号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霞湾巷社区</w:t>
            </w: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德胜巷支路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清水公寓24幢前--霞湾巷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霞湾巷社区</w:t>
            </w: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杭办一号路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大厦北门内--1号楼霞湾巷间道</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242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霞湾巷社区</w:t>
            </w:r>
          </w:p>
        </w:tc>
      </w:tr>
      <w:tr>
        <w:tblPrEx>
          <w:tblCellMar>
            <w:top w:w="0" w:type="dxa"/>
            <w:left w:w="0" w:type="dxa"/>
            <w:bottom w:w="0" w:type="dxa"/>
            <w:right w:w="0" w:type="dxa"/>
          </w:tblCellMar>
        </w:tblPrEx>
        <w:trPr>
          <w:trHeight w:val="435"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杭办二号路</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大厦2号楼北门--霞湾巷大兜</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170</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霞湾巷社区</w:t>
            </w:r>
          </w:p>
        </w:tc>
      </w:tr>
      <w:tr>
        <w:tblPrEx>
          <w:tblCellMar>
            <w:top w:w="0" w:type="dxa"/>
            <w:left w:w="0" w:type="dxa"/>
            <w:bottom w:w="0" w:type="dxa"/>
            <w:right w:w="0" w:type="dxa"/>
          </w:tblCellMar>
        </w:tblPrEx>
        <w:trPr>
          <w:trHeight w:val="435"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6014</w:t>
            </w:r>
          </w:p>
        </w:tc>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路口、丽水路口间道</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玉兔路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丽水路延伸段--长乐路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287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新增</w:t>
            </w: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长乐路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大关路--祝家弄</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830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仁和仓社区</w:t>
            </w: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钟衙弄</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湖墅南路--垃圾箱</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190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双荡弄社区</w:t>
            </w: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豪曹巷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湖墅南路--文一路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260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双荡弄社区</w:t>
            </w: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文一路支路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双荡弄--文一路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双荡弄社区</w:t>
            </w: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双荡弄道路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湖墅南路--莫干山路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450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双荡弄社区</w:t>
            </w: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贾家弄</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湖墅北路--和睦路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360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珠儿潭社区</w:t>
            </w: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信义巷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湖墅北路--莫干山路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630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珠儿潭社区</w:t>
            </w: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信义巷支路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信义巷--区行政服务中心</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150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珠儿潭社区</w:t>
            </w: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富义巷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湖墅南路--仓基新村29幢</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168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仓基社区</w:t>
            </w: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沟狮滩</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湖墅南路--仓基新村24幢</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仓基社区</w:t>
            </w: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宝庆路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湖墅南路--仓基新村21幢</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仓基社区</w:t>
            </w: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长乐路20弄</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长乐路--上塘路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657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长乐社区</w:t>
            </w: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红建河</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砖桥头--上塘路口</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690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长乐社区</w:t>
            </w: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玉兔路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长乐路--上塘路口（含一条支路）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735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长乐社区</w:t>
            </w: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长乐路34弄</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长乐路32号--红建河</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505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长乐社区</w:t>
            </w: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草营巷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湖墅南路--莫干山路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630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卖鱼桥社区</w:t>
            </w: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草营巷一支路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草营巷--钟衙弄</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210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卖鱼桥社区</w:t>
            </w: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草营巷二支路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草营巷10号--湖墅花园</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190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卖鱼桥社区</w:t>
            </w: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草营巷三支路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迪尚商务大厦--湖墅新村43幢</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卖鱼桥社区</w:t>
            </w: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和睦路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莫干山路--贾家弄</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江涨桥</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湖墅南路--大兜路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160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信义坊商街南</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湖墅南路--莫干山路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630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信义坊商街北</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湖墅南路--莫干山路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630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33</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贾家新村小区</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贾家弄1--4幢</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1200</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tcBorders>
              <w:top w:val="nil"/>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（和睦路56号</w:t>
            </w:r>
          </w:p>
        </w:tc>
        <w:tc>
          <w:tcPr>
            <w:tcW w:w="0" w:type="auto"/>
            <w:tcBorders>
              <w:top w:val="nil"/>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贾家新村2--5幢7--12幢16--17幢</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进，各幢间）</w:t>
            </w:r>
          </w:p>
        </w:tc>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信义新村13幢</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34</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贾家新村小区</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贾家弄1--10幢</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945</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tcBorders>
              <w:top w:val="nil"/>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（湖墅路贾家</w:t>
            </w:r>
          </w:p>
        </w:tc>
        <w:tc>
          <w:tcPr>
            <w:tcW w:w="0" w:type="auto"/>
            <w:tcBorders>
              <w:top w:val="nil"/>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信义新村14--16幢</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弄口进幢间）</w:t>
            </w:r>
          </w:p>
        </w:tc>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湖墅北路95号、101号</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信义坊广场</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东广场、西广场</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36</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湖墅新村</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东片17--20幢、38--40幢</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1050</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东西两片幢间</w:t>
            </w:r>
          </w:p>
        </w:tc>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西片43--50幢</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37</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仓基新村小区</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仓基新村1--10幢12、14、16、17幢</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2550</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0" w:type="auto"/>
            <w:tcBorders>
              <w:top w:val="nil"/>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38、41、43、44、46--52、54、55幢</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0" w:type="auto"/>
            <w:tcBorders>
              <w:top w:val="nil"/>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18--29幢、56--66幢</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中心花坛、仓基直路、各幢间</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38</w:t>
            </w:r>
          </w:p>
        </w:tc>
        <w:tc>
          <w:tcPr>
            <w:tcW w:w="0" w:type="auto"/>
            <w:vMerge w:val="restar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文一路38弄</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38弄2--5幢、15、16号门</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960</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0" w:type="auto"/>
            <w:tcBorders>
              <w:top w:val="nil"/>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双荡新村6、7、10幢</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双荡新村幢间</w:t>
            </w:r>
          </w:p>
        </w:tc>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双荡新村27、31、32幢</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39</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湖墅新村</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湖墅新村1--5幢、11--12幢</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1755</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湖墅新村22--32幢、34、36、37幢</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霞湾桥下路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德胜巷--运河公园</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大兜路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大关路--江涨桥</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长乐南苑</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长乐南苑1--2幢、34弄内红建河边</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43</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长乐小区道路</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玉兔路19--21幢、长乐北苑1--7幢</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800</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0" w:type="auto"/>
            <w:tcBorders>
              <w:top w:val="nil"/>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长乐路20弄1幢、15幢、幢间</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长乐路18幢、玉兔路15幢</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44</w:t>
            </w:r>
          </w:p>
        </w:tc>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仁和仓街</w:t>
            </w:r>
          </w:p>
        </w:tc>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丽水路延伸段--长乐路</w:t>
            </w:r>
          </w:p>
        </w:tc>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225</w:t>
            </w:r>
          </w:p>
        </w:tc>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新增</w:t>
            </w: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合计</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24506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bl>
    <w:p>
      <w:pPr>
        <w:widowControl/>
        <w:tabs>
          <w:tab w:val="left" w:pos="696"/>
          <w:tab w:val="left" w:pos="6810"/>
          <w:tab w:val="left" w:pos="7754"/>
        </w:tabs>
        <w:rPr>
          <w:rFonts w:hint="eastAsia" w:ascii="宋体" w:hAnsi="宋体" w:eastAsia="宋体" w:cs="宋体"/>
          <w:b/>
          <w:color w:val="auto"/>
          <w:sz w:val="36"/>
          <w:highlight w:val="none"/>
        </w:rPr>
      </w:pPr>
    </w:p>
    <w:p>
      <w:pPr>
        <w:pStyle w:val="2"/>
        <w:ind w:left="0" w:leftChars="0" w:firstLine="0" w:firstLineChars="0"/>
        <w:rPr>
          <w:rFonts w:hint="eastAsia" w:ascii="宋体" w:hAnsi="宋体" w:eastAsia="宋体" w:cs="宋体"/>
          <w:b/>
          <w:color w:val="auto"/>
          <w:sz w:val="36"/>
          <w:highlight w:val="none"/>
        </w:rPr>
      </w:pPr>
    </w:p>
    <w:tbl>
      <w:tblPr>
        <w:tblStyle w:val="22"/>
        <w:tblW w:w="9720" w:type="dxa"/>
        <w:jc w:val="center"/>
        <w:tblLayout w:type="autofit"/>
        <w:tblCellMar>
          <w:top w:w="0" w:type="dxa"/>
          <w:left w:w="0" w:type="dxa"/>
          <w:bottom w:w="0" w:type="dxa"/>
          <w:right w:w="0" w:type="dxa"/>
        </w:tblCellMar>
      </w:tblPr>
      <w:tblGrid>
        <w:gridCol w:w="660"/>
        <w:gridCol w:w="1785"/>
        <w:gridCol w:w="4710"/>
        <w:gridCol w:w="1395"/>
        <w:gridCol w:w="1170"/>
      </w:tblGrid>
      <w:tr>
        <w:tblPrEx>
          <w:tblCellMar>
            <w:top w:w="0" w:type="dxa"/>
            <w:left w:w="0" w:type="dxa"/>
            <w:bottom w:w="0" w:type="dxa"/>
            <w:right w:w="0" w:type="dxa"/>
          </w:tblCellMar>
        </w:tblPrEx>
        <w:trPr>
          <w:trHeight w:val="465" w:hRule="atLeast"/>
          <w:jc w:val="center"/>
        </w:trPr>
        <w:tc>
          <w:tcPr>
            <w:tcW w:w="972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拱墅区小河街道非法涂写张贴广告清除范围</w:t>
            </w:r>
          </w:p>
        </w:tc>
      </w:tr>
      <w:tr>
        <w:tblPrEx>
          <w:tblCellMar>
            <w:top w:w="0" w:type="dxa"/>
            <w:left w:w="0" w:type="dxa"/>
            <w:bottom w:w="0" w:type="dxa"/>
            <w:right w:w="0" w:type="dxa"/>
          </w:tblCellMar>
        </w:tblPrEx>
        <w:trPr>
          <w:trHeight w:val="46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序号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道路名称</w:t>
            </w:r>
          </w:p>
        </w:tc>
        <w:tc>
          <w:tcPr>
            <w:tcW w:w="4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道路起止点</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道路长度(m)</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备注</w:t>
            </w:r>
          </w:p>
        </w:tc>
      </w:tr>
      <w:tr>
        <w:tblPrEx>
          <w:tblCellMar>
            <w:top w:w="0" w:type="dxa"/>
            <w:left w:w="0" w:type="dxa"/>
            <w:bottom w:w="0" w:type="dxa"/>
            <w:right w:w="0" w:type="dxa"/>
          </w:tblCellMar>
        </w:tblPrEx>
        <w:trPr>
          <w:trHeight w:val="465" w:hRule="atLeast"/>
          <w:jc w:val="center"/>
        </w:trPr>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三宝路</w:t>
            </w:r>
          </w:p>
        </w:tc>
        <w:tc>
          <w:tcPr>
            <w:tcW w:w="4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和睦路口—莫干山路口</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315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65" w:hRule="atLeast"/>
          <w:jc w:val="center"/>
        </w:trPr>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贾家西路</w:t>
            </w:r>
          </w:p>
        </w:tc>
        <w:tc>
          <w:tcPr>
            <w:tcW w:w="4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和睦路口—莫干山路口</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148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65" w:hRule="atLeast"/>
          <w:jc w:val="center"/>
        </w:trPr>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董家弄</w:t>
            </w:r>
          </w:p>
        </w:tc>
        <w:tc>
          <w:tcPr>
            <w:tcW w:w="4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和睦路口—董家新村</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65" w:hRule="atLeast"/>
          <w:jc w:val="center"/>
        </w:trPr>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白云路</w:t>
            </w:r>
          </w:p>
        </w:tc>
        <w:tc>
          <w:tcPr>
            <w:tcW w:w="4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上塘路605弄—登云路口</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65" w:hRule="atLeast"/>
          <w:jc w:val="center"/>
        </w:trPr>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和美弄</w:t>
            </w:r>
          </w:p>
        </w:tc>
        <w:tc>
          <w:tcPr>
            <w:tcW w:w="4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湖墅北路延伸段—小河路口</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65" w:hRule="atLeast"/>
          <w:jc w:val="center"/>
        </w:trPr>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景鸿路</w:t>
            </w:r>
          </w:p>
        </w:tc>
        <w:tc>
          <w:tcPr>
            <w:tcW w:w="4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丽水路口—金华路口</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350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65" w:hRule="atLeast"/>
          <w:jc w:val="center"/>
        </w:trPr>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冠军路</w:t>
            </w:r>
          </w:p>
        </w:tc>
        <w:tc>
          <w:tcPr>
            <w:tcW w:w="4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大浒街口—上塘路605号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65" w:hRule="atLeast"/>
          <w:jc w:val="center"/>
        </w:trPr>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和睦路</w:t>
            </w:r>
          </w:p>
        </w:tc>
        <w:tc>
          <w:tcPr>
            <w:tcW w:w="4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莫干山路口—大关路口</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2200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65" w:hRule="atLeast"/>
          <w:jc w:val="center"/>
        </w:trPr>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塘河路</w:t>
            </w:r>
          </w:p>
        </w:tc>
        <w:tc>
          <w:tcPr>
            <w:tcW w:w="4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莫干山路口—教工路口</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65" w:hRule="atLeast"/>
          <w:jc w:val="center"/>
        </w:trPr>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三宝西路</w:t>
            </w:r>
          </w:p>
        </w:tc>
        <w:tc>
          <w:tcPr>
            <w:tcW w:w="4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莫干山路口—教工路口</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65" w:hRule="atLeast"/>
          <w:jc w:val="center"/>
        </w:trPr>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11</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余杭塘路</w:t>
            </w:r>
          </w:p>
        </w:tc>
        <w:tc>
          <w:tcPr>
            <w:tcW w:w="4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莫干山路口—学院路口</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65" w:hRule="atLeast"/>
          <w:jc w:val="center"/>
        </w:trPr>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娑婆桥弄</w:t>
            </w:r>
          </w:p>
        </w:tc>
        <w:tc>
          <w:tcPr>
            <w:tcW w:w="4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和睦路口—湖墅北路口</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65" w:hRule="atLeast"/>
          <w:jc w:val="center"/>
        </w:trPr>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13</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长征桥路</w:t>
            </w:r>
          </w:p>
        </w:tc>
        <w:tc>
          <w:tcPr>
            <w:tcW w:w="4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古运路口-小河佳苑</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260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65" w:hRule="atLeast"/>
          <w:jc w:val="center"/>
        </w:trPr>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14</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贾家弄</w:t>
            </w:r>
          </w:p>
        </w:tc>
        <w:tc>
          <w:tcPr>
            <w:tcW w:w="4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湖墅北路口—和睦路口</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65" w:hRule="atLeast"/>
          <w:jc w:val="center"/>
        </w:trPr>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15</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赵伍路</w:t>
            </w:r>
          </w:p>
        </w:tc>
        <w:tc>
          <w:tcPr>
            <w:tcW w:w="4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大关路口--勤丰桥</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65" w:hRule="atLeast"/>
          <w:jc w:val="center"/>
        </w:trPr>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16</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打铁弄</w:t>
            </w:r>
          </w:p>
        </w:tc>
        <w:tc>
          <w:tcPr>
            <w:tcW w:w="4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莫干山路口-赵伍路口</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65" w:hRule="atLeast"/>
          <w:jc w:val="center"/>
        </w:trPr>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17</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小河直街</w:t>
            </w:r>
          </w:p>
        </w:tc>
        <w:tc>
          <w:tcPr>
            <w:tcW w:w="4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湖墅北路口-登云路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180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65" w:hRule="atLeast"/>
          <w:jc w:val="center"/>
        </w:trPr>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18</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上塘路605弄</w:t>
            </w:r>
          </w:p>
        </w:tc>
        <w:tc>
          <w:tcPr>
            <w:tcW w:w="4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上塘路口—冠军路白云路口</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645" w:hRule="atLeast"/>
          <w:jc w:val="center"/>
        </w:trPr>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19</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塘河南村</w:t>
            </w:r>
          </w:p>
        </w:tc>
        <w:tc>
          <w:tcPr>
            <w:tcW w:w="4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东临莫干山路，西至教工路，南至余杭塘路，北至塘河路各幢间道路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9800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65" w:hRule="atLeast"/>
          <w:jc w:val="center"/>
        </w:trPr>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嘉墅街</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湖墅北路--和睦路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328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65" w:hRule="atLeast"/>
          <w:jc w:val="center"/>
        </w:trPr>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彩云路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大浒路--白云路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65" w:hRule="atLeast"/>
          <w:jc w:val="center"/>
        </w:trPr>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美景巷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教工路--景苑路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65" w:hRule="atLeast"/>
          <w:jc w:val="center"/>
        </w:trPr>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湖墅北路延伸段</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小河路--登云路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原和睦路</w:t>
            </w:r>
          </w:p>
        </w:tc>
      </w:tr>
      <w:tr>
        <w:tblPrEx>
          <w:tblCellMar>
            <w:top w:w="0" w:type="dxa"/>
            <w:left w:w="0" w:type="dxa"/>
            <w:bottom w:w="0" w:type="dxa"/>
            <w:right w:w="0" w:type="dxa"/>
          </w:tblCellMar>
        </w:tblPrEx>
        <w:trPr>
          <w:trHeight w:val="46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合计</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20381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65" w:hRule="atLeast"/>
          <w:jc w:val="center"/>
        </w:trPr>
        <w:tc>
          <w:tcPr>
            <w:tcW w:w="0" w:type="auto"/>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tcBorders>
              <w:top w:val="nil"/>
              <w:left w:val="nil"/>
              <w:bottom w:val="nil"/>
              <w:right w:val="nil"/>
            </w:tcBorders>
            <w:noWrap/>
            <w:tcMar>
              <w:top w:w="15" w:type="dxa"/>
              <w:left w:w="15" w:type="dxa"/>
              <w:right w:w="15" w:type="dxa"/>
            </w:tcMar>
            <w:vAlign w:val="center"/>
          </w:tcPr>
          <w:p>
            <w:pPr>
              <w:rPr>
                <w:rFonts w:hint="eastAsia" w:ascii="宋体" w:hAnsi="宋体" w:eastAsia="宋体" w:cs="宋体"/>
                <w:color w:val="auto"/>
                <w:sz w:val="24"/>
                <w:highlight w:val="none"/>
              </w:rPr>
            </w:pPr>
          </w:p>
        </w:tc>
        <w:tc>
          <w:tcPr>
            <w:tcW w:w="0" w:type="auto"/>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tcBorders>
              <w:top w:val="nil"/>
              <w:left w:val="nil"/>
              <w:bottom w:val="nil"/>
              <w:right w:val="nil"/>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65" w:hRule="atLeast"/>
          <w:jc w:val="center"/>
        </w:trPr>
        <w:tc>
          <w:tcPr>
            <w:tcW w:w="0" w:type="auto"/>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拱墅区和睦街道非法涂写招贴广告清除范围</w:t>
            </w:r>
          </w:p>
        </w:tc>
      </w:tr>
      <w:tr>
        <w:tblPrEx>
          <w:tblCellMar>
            <w:top w:w="0" w:type="dxa"/>
            <w:left w:w="0" w:type="dxa"/>
            <w:bottom w:w="0" w:type="dxa"/>
            <w:right w:w="0" w:type="dxa"/>
          </w:tblCellMar>
        </w:tblPrEx>
        <w:trPr>
          <w:trHeight w:val="46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序号</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道路名称</w:t>
            </w:r>
          </w:p>
        </w:tc>
        <w:tc>
          <w:tcPr>
            <w:tcW w:w="4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四至范围</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道路长度(m)</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备注</w:t>
            </w:r>
          </w:p>
        </w:tc>
      </w:tr>
      <w:tr>
        <w:tblPrEx>
          <w:tblCellMar>
            <w:top w:w="0" w:type="dxa"/>
            <w:left w:w="0" w:type="dxa"/>
            <w:bottom w:w="0" w:type="dxa"/>
            <w:right w:w="0" w:type="dxa"/>
          </w:tblCellMar>
        </w:tblPrEx>
        <w:trPr>
          <w:trHeight w:val="465" w:hRule="atLeast"/>
          <w:jc w:val="center"/>
        </w:trPr>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赵伍路</w:t>
            </w:r>
          </w:p>
        </w:tc>
        <w:tc>
          <w:tcPr>
            <w:tcW w:w="4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东至马路，南至赵家浜河，北至登云路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150</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7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莫干山路752弄</w:t>
            </w:r>
          </w:p>
        </w:tc>
        <w:tc>
          <w:tcPr>
            <w:tcW w:w="4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东至何家村，南至莫干山路小学围墙，西至莫干山路，北至化纤新村围墙</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200</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720" w:hRule="atLeast"/>
          <w:jc w:val="center"/>
        </w:trPr>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莫干山路</w:t>
            </w:r>
          </w:p>
        </w:tc>
        <w:tc>
          <w:tcPr>
            <w:tcW w:w="4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 xml:space="preserve"> 南至莫干山路592号雅客酒店，北至汽车北站</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1080</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人行道至墙边</w:t>
            </w:r>
          </w:p>
        </w:tc>
      </w:tr>
      <w:tr>
        <w:tblPrEx>
          <w:tblCellMar>
            <w:top w:w="0" w:type="dxa"/>
            <w:left w:w="0" w:type="dxa"/>
            <w:bottom w:w="0" w:type="dxa"/>
            <w:right w:w="0" w:type="dxa"/>
          </w:tblCellMar>
        </w:tblPrEx>
        <w:trPr>
          <w:trHeight w:val="69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湖州街南</w:t>
            </w:r>
          </w:p>
        </w:tc>
        <w:tc>
          <w:tcPr>
            <w:tcW w:w="4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东至杭州联合银行祥符支行，西至莫干山路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100</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人行道至墙边</w:t>
            </w:r>
          </w:p>
        </w:tc>
      </w:tr>
      <w:tr>
        <w:tblPrEx>
          <w:tblCellMar>
            <w:top w:w="0" w:type="dxa"/>
            <w:left w:w="0" w:type="dxa"/>
            <w:bottom w:w="0" w:type="dxa"/>
            <w:right w:w="0" w:type="dxa"/>
          </w:tblCellMar>
        </w:tblPrEx>
        <w:trPr>
          <w:trHeight w:val="675" w:hRule="atLeast"/>
          <w:jc w:val="center"/>
        </w:trPr>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湖州街北</w:t>
            </w:r>
          </w:p>
        </w:tc>
        <w:tc>
          <w:tcPr>
            <w:tcW w:w="4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东至何家村，西至莫干山路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120</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人行道至墙边</w:t>
            </w:r>
          </w:p>
        </w:tc>
      </w:tr>
      <w:tr>
        <w:tblPrEx>
          <w:tblCellMar>
            <w:top w:w="0" w:type="dxa"/>
            <w:left w:w="0" w:type="dxa"/>
            <w:bottom w:w="0" w:type="dxa"/>
            <w:right w:w="0" w:type="dxa"/>
          </w:tblCellMar>
        </w:tblPrEx>
        <w:trPr>
          <w:trHeight w:val="465" w:hRule="atLeast"/>
          <w:jc w:val="center"/>
        </w:trPr>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合计</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1650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540" w:hRule="atLeast"/>
          <w:jc w:val="center"/>
        </w:trPr>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总计</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22031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bl>
    <w:p>
      <w:pPr>
        <w:pStyle w:val="2"/>
        <w:ind w:left="0" w:leftChars="0" w:firstLine="0" w:firstLineChars="0"/>
        <w:rPr>
          <w:rFonts w:hint="eastAsia" w:ascii="宋体" w:hAnsi="宋体" w:eastAsia="宋体" w:cs="宋体"/>
          <w:b/>
          <w:color w:val="auto"/>
          <w:sz w:val="36"/>
          <w:highlight w:val="none"/>
        </w:rPr>
      </w:pPr>
      <w:r>
        <w:rPr>
          <w:rFonts w:hint="eastAsia" w:ascii="宋体" w:hAnsi="宋体" w:eastAsia="宋体" w:cs="宋体"/>
          <w:b/>
          <w:color w:val="auto"/>
          <w:sz w:val="36"/>
          <w:highlight w:val="none"/>
        </w:rPr>
        <w:br w:type="page"/>
      </w:r>
    </w:p>
    <w:tbl>
      <w:tblPr>
        <w:tblStyle w:val="22"/>
        <w:tblW w:w="9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06"/>
        <w:gridCol w:w="2888"/>
        <w:gridCol w:w="4029"/>
        <w:gridCol w:w="1234"/>
        <w:gridCol w:w="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9480" w:type="dxa"/>
            <w:gridSpan w:val="5"/>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拱墅区大关街道非法涂写张贴广告清除范围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序号</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道路名称</w:t>
            </w:r>
          </w:p>
        </w:tc>
        <w:tc>
          <w:tcPr>
            <w:tcW w:w="3870"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道路起止点</w:t>
            </w:r>
          </w:p>
        </w:tc>
        <w:tc>
          <w:tcPr>
            <w:tcW w:w="1440"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道路长度(m)</w:t>
            </w:r>
          </w:p>
        </w:tc>
        <w:tc>
          <w:tcPr>
            <w:tcW w:w="945"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大关苑路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大关路--香积寺路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970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苑中路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上塘路--香积寺路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1080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苑西路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大苑路--观苑路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650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大苑路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大关路--大关苑路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420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盛苑路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大关苑路--苑东路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观苑路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上塘路--大关苑路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290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苑东路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塘苑路--香积寺路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780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八丈井东路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上塘路--杭十一中门口</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710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德苑路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香积寺路-德胜路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1050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香积公寓南路</w:t>
            </w:r>
          </w:p>
        </w:tc>
        <w:tc>
          <w:tcPr>
            <w:tcW w:w="3870"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德苑路--八丈井农贸市场门前路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230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11</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西家村196弄</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大关路--上塘路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400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西家村212弄</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大关路--上塘路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430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13</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德新路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德苑路--德胜新村19幢</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300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14</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八丈井农贸市场门前路</w:t>
            </w:r>
          </w:p>
        </w:tc>
        <w:tc>
          <w:tcPr>
            <w:tcW w:w="3870"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胜利河闸路--香积寺路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550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15</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香苑路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胜利河闸路--香积公寓南路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480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16</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南四苑14-20号支路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14--20号周边</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17</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大关南一苑49-50号弄</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49--50号周边</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18</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大关南一苑51-52号弄</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51--52号周边</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19</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大关南一苑52-53号弄</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52--53号周边</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八丈井东路31号弄</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八丈井东路31号弄</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21</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八丈井东路56号弄</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八丈井东路56号弄</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22</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大关南一苑54-58号弄</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54--58号边</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23</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大关南一苑58号弄</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大关南一苑58号弄</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24</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八丈井东路56弄</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八丈井东路56弄</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25</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商务酒楼后门</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上塘路--商务酒楼后门</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26</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上塘路支路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上塘路支路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27</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香积寺路支路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香积寺路支路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150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28</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南二苑8-16号支路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8--16号周边</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29</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南二苑16-24号支路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16--24号周边</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30</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南二苑24-31号支路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24--31号周边</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31</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南二苑31-38号支路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31--38号周边</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32</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南二苑38-46号支路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38--46号周边</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33</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八丈井东路25号弄</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八丈井东路25号弄</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400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34</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八丈井东路65号</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八丈井东路65号</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35</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南四苑30-36号支路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30--36号周边</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36</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南四苑36-42号支路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36--42号周边</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37</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八丈井东路55弄</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八丈井东路55弄</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400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38</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南四苑62-72号支路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62--72号周边</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150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39</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南四苑72-79号支路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72--79号周边</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150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40</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南四苑79-87号支路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79--87号周边</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150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41</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南四苑87-96号支路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87--96号周边</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42</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南四苑90-100号支路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90--100号周边</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400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43</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南四苑48幢门前路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南四苑48幢门前路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150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44</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社区2号路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八丈井东路--香积寺路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400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45</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德胜公园</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公园围墙</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1000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46</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西家村河两边</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上塘路--大关路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1000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47</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南苑公园</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公园围墙</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900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48</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大关公园</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公园围墙</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1100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49</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南四苑68-90号支路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68--90号周边</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50</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石灰坝路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上塘路--工大后面</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51</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计生站门前路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上塘路--计生站</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52</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南二苑8号东边支路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南二苑8号东边支路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53</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南二苑东西幢间支路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南二苑东西幢间支路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600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54</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南八苑</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南八苑1--10幢</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987</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55</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南九苑</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南九苑1--8幢</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682</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56</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东十苑</w:t>
            </w:r>
          </w:p>
        </w:tc>
        <w:tc>
          <w:tcPr>
            <w:tcW w:w="0" w:type="auto"/>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70</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57</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胜利河闸路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德苑路--上塘路</w:t>
            </w: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800</w:t>
            </w:r>
          </w:p>
        </w:tc>
        <w:tc>
          <w:tcPr>
            <w:tcW w:w="0" w:type="auto"/>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合计</w:t>
            </w:r>
          </w:p>
        </w:tc>
        <w:tc>
          <w:tcPr>
            <w:tcW w:w="0" w:type="auto"/>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0" w:type="auto"/>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22179</w:t>
            </w:r>
          </w:p>
        </w:tc>
        <w:tc>
          <w:tcPr>
            <w:tcW w:w="0" w:type="auto"/>
            <w:noWrap/>
            <w:tcMar>
              <w:top w:w="15" w:type="dxa"/>
              <w:left w:w="15" w:type="dxa"/>
              <w:right w:w="15" w:type="dxa"/>
            </w:tcMar>
            <w:vAlign w:val="center"/>
          </w:tcPr>
          <w:p>
            <w:pPr>
              <w:rPr>
                <w:rFonts w:hint="eastAsia" w:ascii="宋体" w:hAnsi="宋体" w:eastAsia="宋体" w:cs="宋体"/>
                <w:color w:val="auto"/>
                <w:sz w:val="24"/>
                <w:highlight w:val="none"/>
              </w:rPr>
            </w:pPr>
          </w:p>
        </w:tc>
      </w:tr>
    </w:tbl>
    <w:p>
      <w:pPr>
        <w:pStyle w:val="2"/>
        <w:ind w:left="0" w:leftChars="0" w:firstLine="0" w:firstLineChars="0"/>
        <w:rPr>
          <w:rFonts w:hint="eastAsia" w:ascii="宋体" w:hAnsi="宋体" w:eastAsia="宋体" w:cs="宋体"/>
          <w:b/>
          <w:color w:val="auto"/>
          <w:sz w:val="36"/>
          <w:highlight w:val="none"/>
        </w:rPr>
      </w:pPr>
      <w:r>
        <w:rPr>
          <w:rFonts w:hint="eastAsia" w:ascii="宋体" w:hAnsi="宋体" w:eastAsia="宋体" w:cs="宋体"/>
          <w:b/>
          <w:color w:val="auto"/>
          <w:sz w:val="36"/>
          <w:highlight w:val="none"/>
        </w:rPr>
        <w:br w:type="page"/>
      </w:r>
    </w:p>
    <w:tbl>
      <w:tblPr>
        <w:tblStyle w:val="22"/>
        <w:tblW w:w="9570" w:type="dxa"/>
        <w:jc w:val="center"/>
        <w:tblLayout w:type="autofit"/>
        <w:tblCellMar>
          <w:top w:w="0" w:type="dxa"/>
          <w:left w:w="0" w:type="dxa"/>
          <w:bottom w:w="0" w:type="dxa"/>
          <w:right w:w="0" w:type="dxa"/>
        </w:tblCellMar>
      </w:tblPr>
      <w:tblGrid>
        <w:gridCol w:w="635"/>
        <w:gridCol w:w="1904"/>
        <w:gridCol w:w="3976"/>
        <w:gridCol w:w="1524"/>
        <w:gridCol w:w="1531"/>
      </w:tblGrid>
      <w:tr>
        <w:tblPrEx>
          <w:tblCellMar>
            <w:top w:w="0" w:type="dxa"/>
            <w:left w:w="0" w:type="dxa"/>
            <w:bottom w:w="0" w:type="dxa"/>
            <w:right w:w="0" w:type="dxa"/>
          </w:tblCellMar>
        </w:tblPrEx>
        <w:trPr>
          <w:trHeight w:val="570" w:hRule="atLeast"/>
          <w:jc w:val="center"/>
        </w:trPr>
        <w:tc>
          <w:tcPr>
            <w:tcW w:w="957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拱墅区拱宸桥街道非法涂写招贴广告清除范围</w:t>
            </w:r>
          </w:p>
        </w:tc>
      </w:tr>
      <w:tr>
        <w:tblPrEx>
          <w:tblCellMar>
            <w:top w:w="0" w:type="dxa"/>
            <w:left w:w="0" w:type="dxa"/>
            <w:bottom w:w="0" w:type="dxa"/>
            <w:right w:w="0"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序号</w:t>
            </w:r>
          </w:p>
        </w:tc>
        <w:tc>
          <w:tcPr>
            <w:tcW w:w="1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道路名称</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道路起止点</w:t>
            </w: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道路长度(m)</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备注</w:t>
            </w:r>
          </w:p>
        </w:tc>
      </w:tr>
      <w:tr>
        <w:tblPrEx>
          <w:tblCellMar>
            <w:top w:w="0" w:type="dxa"/>
            <w:left w:w="0" w:type="dxa"/>
            <w:bottom w:w="0" w:type="dxa"/>
            <w:right w:w="0"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衢州街</w:t>
            </w:r>
          </w:p>
        </w:tc>
        <w:tc>
          <w:tcPr>
            <w:tcW w:w="3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上塘路——丽水路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新昌路</w:t>
            </w:r>
          </w:p>
        </w:tc>
        <w:tc>
          <w:tcPr>
            <w:tcW w:w="3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湖州街——登云路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1600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永庆路</w:t>
            </w:r>
          </w:p>
        </w:tc>
        <w:tc>
          <w:tcPr>
            <w:tcW w:w="3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丽水路——蚕花路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蚕花路</w:t>
            </w:r>
          </w:p>
        </w:tc>
        <w:tc>
          <w:tcPr>
            <w:tcW w:w="3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上塘路——永兴弄</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永宁巷</w:t>
            </w:r>
          </w:p>
        </w:tc>
        <w:tc>
          <w:tcPr>
            <w:tcW w:w="3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上塘路——永兴弄</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宁波街</w:t>
            </w:r>
          </w:p>
        </w:tc>
        <w:tc>
          <w:tcPr>
            <w:tcW w:w="3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丽水路——金华路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350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小河路</w:t>
            </w:r>
          </w:p>
        </w:tc>
        <w:tc>
          <w:tcPr>
            <w:tcW w:w="3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湖州街——长征桥</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桥西直街</w:t>
            </w:r>
          </w:p>
        </w:tc>
        <w:tc>
          <w:tcPr>
            <w:tcW w:w="3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桥弄街——登云路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桥弄街</w:t>
            </w:r>
          </w:p>
        </w:tc>
        <w:tc>
          <w:tcPr>
            <w:tcW w:w="3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小河路——拱宸桥西桥头</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后横港路</w:t>
            </w:r>
          </w:p>
        </w:tc>
        <w:tc>
          <w:tcPr>
            <w:tcW w:w="3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杭印路--登云路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153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原吉祥寺弄</w:t>
            </w:r>
          </w:p>
        </w:tc>
      </w:tr>
      <w:tr>
        <w:tblPrEx>
          <w:tblCellMar>
            <w:top w:w="0" w:type="dxa"/>
            <w:left w:w="0" w:type="dxa"/>
            <w:bottom w:w="0" w:type="dxa"/>
            <w:right w:w="0"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通源里</w:t>
            </w:r>
          </w:p>
        </w:tc>
        <w:tc>
          <w:tcPr>
            <w:tcW w:w="3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桥西直街——小河路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通益路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登云路——湖州街</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3500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原杭印路</w:t>
            </w:r>
          </w:p>
        </w:tc>
      </w:tr>
      <w:tr>
        <w:tblPrEx>
          <w:tblCellMar>
            <w:top w:w="0" w:type="dxa"/>
            <w:left w:w="0" w:type="dxa"/>
            <w:bottom w:w="0" w:type="dxa"/>
            <w:right w:w="0"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台州路</w:t>
            </w:r>
          </w:p>
        </w:tc>
        <w:tc>
          <w:tcPr>
            <w:tcW w:w="3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上塘路——金华路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永庆南弄</w:t>
            </w:r>
          </w:p>
        </w:tc>
        <w:tc>
          <w:tcPr>
            <w:tcW w:w="3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上塘路——永庆路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150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蚕花园社区</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（原4000）幢间道路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3000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减1000米</w:t>
            </w:r>
          </w:p>
        </w:tc>
      </w:tr>
      <w:tr>
        <w:tblPrEx>
          <w:tblCellMar>
            <w:top w:w="0" w:type="dxa"/>
            <w:left w:w="0" w:type="dxa"/>
            <w:bottom w:w="0" w:type="dxa"/>
            <w:right w:w="0"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温州路社区</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幢间道路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台州路社区</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幢间道路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3000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登云路社区</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幢间道路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桥西社区</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幢间道路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衢州路社区</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（原6000）幢间道路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减5200米</w:t>
            </w:r>
          </w:p>
        </w:tc>
      </w:tr>
      <w:tr>
        <w:tblPrEx>
          <w:tblCellMar>
            <w:top w:w="0" w:type="dxa"/>
            <w:left w:w="0" w:type="dxa"/>
            <w:bottom w:w="0" w:type="dxa"/>
            <w:right w:w="0"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永庆路社区</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幢间道路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22</w:t>
            </w:r>
          </w:p>
        </w:tc>
        <w:tc>
          <w:tcPr>
            <w:tcW w:w="1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永兴弄</w:t>
            </w:r>
          </w:p>
        </w:tc>
        <w:tc>
          <w:tcPr>
            <w:tcW w:w="3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湖州街——浙麻桥</w:t>
            </w: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980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23</w:t>
            </w:r>
          </w:p>
        </w:tc>
        <w:tc>
          <w:tcPr>
            <w:tcW w:w="183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永安巷</w:t>
            </w:r>
          </w:p>
        </w:tc>
        <w:tc>
          <w:tcPr>
            <w:tcW w:w="372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蚕花路</w:t>
            </w:r>
            <w:r>
              <w:rPr>
                <w:rStyle w:val="40"/>
                <w:rFonts w:hint="eastAsia" w:ascii="宋体" w:hAnsi="宋体" w:eastAsia="宋体" w:cs="宋体"/>
                <w:color w:val="auto"/>
                <w:highlight w:val="none"/>
                <w:lang w:bidi="ar"/>
              </w:rPr>
              <w:t>——</w:t>
            </w:r>
            <w:r>
              <w:rPr>
                <w:rStyle w:val="43"/>
                <w:rFonts w:hint="eastAsia" w:ascii="宋体" w:hAnsi="宋体" w:eastAsia="宋体" w:cs="宋体"/>
                <w:color w:val="auto"/>
                <w:highlight w:val="none"/>
                <w:lang w:bidi="ar"/>
              </w:rPr>
              <w:t>永兴弄/湖州街</w:t>
            </w:r>
          </w:p>
        </w:tc>
        <w:tc>
          <w:tcPr>
            <w:tcW w:w="181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230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24</w:t>
            </w:r>
          </w:p>
        </w:tc>
        <w:tc>
          <w:tcPr>
            <w:tcW w:w="183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风景街</w:t>
            </w:r>
          </w:p>
        </w:tc>
        <w:tc>
          <w:tcPr>
            <w:tcW w:w="372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小河路——通益路</w:t>
            </w:r>
          </w:p>
        </w:tc>
        <w:tc>
          <w:tcPr>
            <w:tcW w:w="181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25</w:t>
            </w:r>
          </w:p>
        </w:tc>
        <w:tc>
          <w:tcPr>
            <w:tcW w:w="183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后横港路</w:t>
            </w:r>
          </w:p>
        </w:tc>
        <w:tc>
          <w:tcPr>
            <w:tcW w:w="372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风景街——湖州街</w:t>
            </w:r>
          </w:p>
        </w:tc>
        <w:tc>
          <w:tcPr>
            <w:tcW w:w="181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26</w:t>
            </w:r>
          </w:p>
        </w:tc>
        <w:tc>
          <w:tcPr>
            <w:tcW w:w="183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定海东路</w:t>
            </w:r>
          </w:p>
        </w:tc>
        <w:tc>
          <w:tcPr>
            <w:tcW w:w="372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定海街——永庆路</w:t>
            </w:r>
          </w:p>
        </w:tc>
        <w:tc>
          <w:tcPr>
            <w:tcW w:w="181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27</w:t>
            </w:r>
          </w:p>
        </w:tc>
        <w:tc>
          <w:tcPr>
            <w:tcW w:w="183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定海街</w:t>
            </w:r>
          </w:p>
        </w:tc>
        <w:tc>
          <w:tcPr>
            <w:tcW w:w="372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定海东路——丽水路</w:t>
            </w:r>
          </w:p>
        </w:tc>
        <w:tc>
          <w:tcPr>
            <w:tcW w:w="181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28</w:t>
            </w:r>
          </w:p>
        </w:tc>
        <w:tc>
          <w:tcPr>
            <w:tcW w:w="183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和盛街</w:t>
            </w:r>
          </w:p>
        </w:tc>
        <w:tc>
          <w:tcPr>
            <w:tcW w:w="372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小河路——通益路</w:t>
            </w:r>
          </w:p>
        </w:tc>
        <w:tc>
          <w:tcPr>
            <w:tcW w:w="181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75" w:hRule="atLeast"/>
          <w:jc w:val="center"/>
        </w:trPr>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29</w:t>
            </w:r>
          </w:p>
        </w:tc>
        <w:tc>
          <w:tcPr>
            <w:tcW w:w="1830" w:type="dxa"/>
            <w:tcBorders>
              <w:top w:val="nil"/>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和源巷</w:t>
            </w:r>
          </w:p>
        </w:tc>
        <w:tc>
          <w:tcPr>
            <w:tcW w:w="372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西塘河边——登云路</w:t>
            </w:r>
          </w:p>
        </w:tc>
        <w:tc>
          <w:tcPr>
            <w:tcW w:w="1815" w:type="dxa"/>
            <w:tcBorders>
              <w:top w:val="nil"/>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400</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定海路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定海西苑路--上塘路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495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永庆支路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湖州街--永庆路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340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台州南路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金华路--上塘路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330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33</w:t>
            </w:r>
          </w:p>
        </w:tc>
        <w:tc>
          <w:tcPr>
            <w:tcW w:w="1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青田巷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衢州街--台州路</w:t>
            </w: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新增</w:t>
            </w:r>
          </w:p>
        </w:tc>
      </w:tr>
      <w:tr>
        <w:tblPrEx>
          <w:tblCellMar>
            <w:top w:w="0" w:type="dxa"/>
            <w:left w:w="0" w:type="dxa"/>
            <w:bottom w:w="0" w:type="dxa"/>
            <w:right w:w="0"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维美巷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永庆路--定海街</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280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新增</w:t>
            </w:r>
          </w:p>
        </w:tc>
      </w:tr>
      <w:tr>
        <w:tblPrEx>
          <w:tblCellMar>
            <w:top w:w="0" w:type="dxa"/>
            <w:left w:w="0" w:type="dxa"/>
            <w:bottom w:w="0" w:type="dxa"/>
            <w:right w:w="0"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蚕花港巷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石祥路--上石苑东侧到底</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新增</w:t>
            </w: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合计</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32506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bl>
    <w:p>
      <w:pPr>
        <w:pStyle w:val="2"/>
        <w:ind w:left="0" w:leftChars="0" w:firstLine="0" w:firstLineChars="0"/>
        <w:rPr>
          <w:rFonts w:hint="eastAsia" w:ascii="宋体" w:hAnsi="宋体" w:eastAsia="宋体" w:cs="宋体"/>
          <w:b/>
          <w:color w:val="auto"/>
          <w:sz w:val="36"/>
          <w:highlight w:val="none"/>
        </w:rPr>
      </w:pPr>
    </w:p>
    <w:p>
      <w:pPr>
        <w:pStyle w:val="2"/>
        <w:ind w:left="0" w:leftChars="0" w:firstLine="0" w:firstLineChars="0"/>
        <w:rPr>
          <w:rFonts w:hint="eastAsia" w:ascii="宋体" w:hAnsi="宋体" w:eastAsia="宋体" w:cs="宋体"/>
          <w:b/>
          <w:color w:val="auto"/>
          <w:sz w:val="36"/>
          <w:highlight w:val="none"/>
        </w:rPr>
      </w:pPr>
    </w:p>
    <w:tbl>
      <w:tblPr>
        <w:tblStyle w:val="22"/>
        <w:tblW w:w="10290" w:type="dxa"/>
        <w:jc w:val="center"/>
        <w:tblLayout w:type="autofit"/>
        <w:tblCellMar>
          <w:top w:w="0" w:type="dxa"/>
          <w:left w:w="0" w:type="dxa"/>
          <w:bottom w:w="0" w:type="dxa"/>
          <w:right w:w="0" w:type="dxa"/>
        </w:tblCellMar>
      </w:tblPr>
      <w:tblGrid>
        <w:gridCol w:w="510"/>
        <w:gridCol w:w="1995"/>
        <w:gridCol w:w="5130"/>
        <w:gridCol w:w="1365"/>
        <w:gridCol w:w="1290"/>
      </w:tblGrid>
      <w:tr>
        <w:tblPrEx>
          <w:tblCellMar>
            <w:top w:w="0" w:type="dxa"/>
            <w:left w:w="0" w:type="dxa"/>
            <w:bottom w:w="0" w:type="dxa"/>
            <w:right w:w="0" w:type="dxa"/>
          </w:tblCellMar>
        </w:tblPrEx>
        <w:trPr>
          <w:trHeight w:val="555" w:hRule="atLeast"/>
          <w:jc w:val="center"/>
        </w:trPr>
        <w:tc>
          <w:tcPr>
            <w:tcW w:w="1029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拱墅区上塘街道非法涂写招贴广告清除范围</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序号</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街巷名称</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街巷起止点</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街巷长度(m)</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备注</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霞湾东路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(上塘路—吴家石桥)</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八丈井社区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八丈井西路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(上塘路-胜利河美食街)</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250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八丈井社区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八丈井直路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（八丈井33号-八丈井新村）</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八丈井社区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香积寺路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（八丈井82号-香积寺路337号）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八丈井社区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假山路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上塘路口--德胜巷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假山路社区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假山支路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假山支路5号—商校宿舍</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假山路社区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假山支路46号—假山新村</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假山路社区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假山支路92号—假山新村</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假山路社区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德胜巷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2--60号、62--82号、84--120号（双号）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假山路社区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石灰坝路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石灰坝1号—上塘路口</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假山路社区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11</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大浒东苑二期</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上绍路—红建河</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绍兴路社区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上绍路—绍兴路</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绍兴路社区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双绍弄</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绍兴路—上绍路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350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绍兴路社区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上绍路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上塘路—大关路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450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绍兴路社区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15</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沈塘湾小区</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沈半路21弄（沈半路-沈塘湾2号公厕）</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红建河社区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16</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沈塘湾47号—沈塘湾57号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250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红建河社区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17</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沈塘湾28号—沈塘湾69号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250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红建河社区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18</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沈塘湾70号—沈塘湾77号-1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250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红建河社区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石亭路一带</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建华新村19—砖桥头1号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红建河社区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（背街小巷）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香积寺路336号—石亭路18号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红建河社区</w:t>
            </w:r>
          </w:p>
        </w:tc>
      </w:tr>
      <w:tr>
        <w:tblPrEx>
          <w:tblCellMar>
            <w:top w:w="0" w:type="dxa"/>
            <w:left w:w="0" w:type="dxa"/>
            <w:bottom w:w="0" w:type="dxa"/>
            <w:right w:w="0" w:type="dxa"/>
          </w:tblCellMar>
        </w:tblPrEx>
        <w:trPr>
          <w:trHeight w:val="42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21</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陆家坞小区</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四至范围：</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3000</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拱宸社区</w:t>
            </w:r>
          </w:p>
        </w:tc>
      </w:tr>
      <w:tr>
        <w:tblPrEx>
          <w:tblCellMar>
            <w:top w:w="0" w:type="dxa"/>
            <w:left w:w="0" w:type="dxa"/>
            <w:bottom w:w="0" w:type="dxa"/>
            <w:right w:w="0" w:type="dxa"/>
          </w:tblCellMar>
        </w:tblPrEx>
        <w:trPr>
          <w:trHeight w:val="42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 xml:space="preserve">   东：小区围墙；南：拆迁工地</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西：拆迁工地；北：电力学校围墙</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树人街</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树人街1号—27号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559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七古登社区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台州路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台州路211号—194号内</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七古登社区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教委宿舍</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教委宿舍203号—208号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七古登社区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树人街西路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东教路—上塘路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七古登社区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26</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舟山东路北小区</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七古社区141号-146号,155号-158号-舟山东路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320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七古登社区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27</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七古社区160号—175号区块</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320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七古登社区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28</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七古社区176号—203号区块</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450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七古登社区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蔡马东路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沈半路—安福桥</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蔡马社区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30</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96亩头</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舟山东路—教堂</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蔡马社区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31</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城院大门—九十六亩头12号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224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蔡马社区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32</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96亩头26号—天祥浴室</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224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蔡马社区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上塘河路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皋亭坝1号—91号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650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皋亭社区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科园路延伸段</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科园路底—储鑫路38号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350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皋亭社区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新苑菜场路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科园路16—皋亭新苑151号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皋亭社区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科园路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石祥路196-皋亭新苑8号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皋亭社区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北站路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沈半路—北站</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1500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皋亭社区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中心小学路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石祥路170—神龙桥50号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皋亭社区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沈康路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沈半路—拱康路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皋亭社区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隽逸支路1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隽逸路—石祥路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450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皋亭社区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神龙桥路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沈半路277-斗门桥</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460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皋亭社区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神龙东路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沈半路273号-神龙桥</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315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皋亭社区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神龙西路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沈半路271-神龙桥</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450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皋亭社区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神龙西一路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神龙桥50-61号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250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皋亭社区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沈张西路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沈家苑5-张妙苑79号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680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皋亭社区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储鑫路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石祥路220-部队</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2700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皋亭社区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长浜路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沈半路265-储鑫路17号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1500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皋亭社区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48</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储鑫储支一路</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张妙苑3号到沈家苑37号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230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皋亭社区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49</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储鑫储支二路</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张妙苑9号-68号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230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皋亭社区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50</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储鑫储支三路</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张妙苑17号-储鑫路63号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230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皋亭社区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51</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储鑫储西路</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沈家苑68号-储鑫路31号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250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皋亭社区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隽逸路</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石祥路—科园路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650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皋亭社区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瓜山佳苑路</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拱康路—中凯路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54</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瓜山新苑</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瓜山新苑1号—5号(横向丈量)</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55</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瓜山新苑6号—13号(横向丈量)</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56</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瓜山新苑15号—18号(横向丈量)</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57</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瓜山新苑19号—27号(横向丈量)</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58</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瓜山新苑28号—31号(横向丈量)</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59</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瓜山新苑32号—50号(横向丈量)</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60</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瓜山新苑53号—57号(横向丈量)</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0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61</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瓜山新苑</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瓜山新苑58号—63号(横向丈量)</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0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62</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瓜山新苑51号—52号(横向丈量)</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0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63</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瓜山新苑65号—70号(横向丈量)</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0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64</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瓜山新苑71号—75号(横向丈量)</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0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65</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瓜山新苑76号—79号(横向丈量)</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0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66</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瓜山新苑80号—83号(横向丈量)</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0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67</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瓜山新苑85号—88号(横向丈量)</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0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68</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瓜山新苑89号—92号(横向丈量)</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0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69</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瓜山新苑93号—99号(横向丈量)</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0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70</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瓜山新苑100号—106号(横向丈量)</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0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71</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瓜山新苑107号—110号(横向丈量)</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0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72</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瓜山新苑111号—117号(横向丈量)</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0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73</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瓜山新苑118号—123号(横向丈量)</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0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74</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瓜山新苑125号—130号(横向丈量)</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0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75</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瓜山新苑131号—132号(横向丈量)</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0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76</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瓜山新苑133号—139号(横向丈量)</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0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77</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瓜山新苑150号—156号(横向丈量)</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0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78</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瓜山新苑157号—162号(横向丈量)</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0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79</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瓜山新苑163号—165号(横向丈量)</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0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80</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瓜山新苑166号—171号(横向丈量)</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0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81</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瓜山新苑172号—178号(横向丈量)</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0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82</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瓜山新苑179号—185号(横向丈量)</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0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83</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瓜山新苑186号—187号(横向丈量)</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0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84</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瓜山新苑188号—193号(横向丈量)</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156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0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85</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瓜山新苑195号—200号(横向丈量)</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156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0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86</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瓜山新苑201号—207号(横向丈量)</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0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87</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瓜山新苑208号—213号(横向丈量)</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156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0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88</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小高幢1号—3号(横向丈量)</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0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89</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瓜山新苑1号—186号(纵向丈量)</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235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0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90</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瓜山新苑5号—132号(纵向丈量)</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782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0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91</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瓜山新苑13号—193号(纵向丈量)</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260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92</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瓜山新苑70号—200号(纵向丈量)</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182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93</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瓜山新苑83号—213号(纵向丈量)</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182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94</w:t>
            </w:r>
          </w:p>
        </w:tc>
        <w:tc>
          <w:tcPr>
            <w:tcW w:w="19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瓜山北苑</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瓜山北苑62—70号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95</w:t>
            </w:r>
          </w:p>
        </w:tc>
        <w:tc>
          <w:tcPr>
            <w:tcW w:w="19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瓜山北苑71—83号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156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96</w:t>
            </w:r>
          </w:p>
        </w:tc>
        <w:tc>
          <w:tcPr>
            <w:tcW w:w="19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瓜山北苑85—101号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97</w:t>
            </w:r>
          </w:p>
        </w:tc>
        <w:tc>
          <w:tcPr>
            <w:tcW w:w="19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瓜山北苑102—119号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98</w:t>
            </w:r>
          </w:p>
        </w:tc>
        <w:tc>
          <w:tcPr>
            <w:tcW w:w="19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瓜山北苑120—128号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99</w:t>
            </w:r>
          </w:p>
        </w:tc>
        <w:tc>
          <w:tcPr>
            <w:tcW w:w="19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瓜山北苑129—135号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100</w:t>
            </w:r>
          </w:p>
        </w:tc>
        <w:tc>
          <w:tcPr>
            <w:tcW w:w="19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瓜山北苑136—139号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101</w:t>
            </w:r>
          </w:p>
        </w:tc>
        <w:tc>
          <w:tcPr>
            <w:tcW w:w="19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瓜山北苑150—151号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102</w:t>
            </w:r>
          </w:p>
        </w:tc>
        <w:tc>
          <w:tcPr>
            <w:tcW w:w="19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瓜山北苑152—156号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103</w:t>
            </w:r>
          </w:p>
        </w:tc>
        <w:tc>
          <w:tcPr>
            <w:tcW w:w="19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瓜山北苑157—162号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104</w:t>
            </w:r>
          </w:p>
        </w:tc>
        <w:tc>
          <w:tcPr>
            <w:tcW w:w="19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瓜山北苑163—176号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156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105</w:t>
            </w:r>
          </w:p>
        </w:tc>
        <w:tc>
          <w:tcPr>
            <w:tcW w:w="19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瓜山北苑177—191号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182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106</w:t>
            </w:r>
          </w:p>
        </w:tc>
        <w:tc>
          <w:tcPr>
            <w:tcW w:w="19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瓜山北苑192—213号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260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107</w:t>
            </w:r>
          </w:p>
        </w:tc>
        <w:tc>
          <w:tcPr>
            <w:tcW w:w="19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瓜山北苑215—250号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312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108</w:t>
            </w:r>
          </w:p>
        </w:tc>
        <w:tc>
          <w:tcPr>
            <w:tcW w:w="19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瓜山北苑251—281号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364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109</w:t>
            </w:r>
          </w:p>
        </w:tc>
        <w:tc>
          <w:tcPr>
            <w:tcW w:w="19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北苑高层1—5幢</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312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110</w:t>
            </w:r>
          </w:p>
        </w:tc>
        <w:tc>
          <w:tcPr>
            <w:tcW w:w="19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纵向1—53号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156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111</w:t>
            </w:r>
          </w:p>
        </w:tc>
        <w:tc>
          <w:tcPr>
            <w:tcW w:w="19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纵向4—61号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156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112</w:t>
            </w:r>
          </w:p>
        </w:tc>
        <w:tc>
          <w:tcPr>
            <w:tcW w:w="19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纵向62—150号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113</w:t>
            </w:r>
          </w:p>
        </w:tc>
        <w:tc>
          <w:tcPr>
            <w:tcW w:w="19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纵向70—151号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114</w:t>
            </w:r>
          </w:p>
        </w:tc>
        <w:tc>
          <w:tcPr>
            <w:tcW w:w="19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纵向152—251号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182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115</w:t>
            </w:r>
          </w:p>
        </w:tc>
        <w:tc>
          <w:tcPr>
            <w:tcW w:w="19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纵向156—266号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182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116</w:t>
            </w:r>
          </w:p>
        </w:tc>
        <w:tc>
          <w:tcPr>
            <w:tcW w:w="19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纵向172—267号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156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117</w:t>
            </w:r>
          </w:p>
        </w:tc>
        <w:tc>
          <w:tcPr>
            <w:tcW w:w="19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纵向176—281号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156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118</w:t>
            </w:r>
          </w:p>
        </w:tc>
        <w:tc>
          <w:tcPr>
            <w:tcW w:w="19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瓜山北苑后至管家漾</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150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119</w:t>
            </w:r>
          </w:p>
        </w:tc>
        <w:tc>
          <w:tcPr>
            <w:tcW w:w="19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拱康路至瓜山老年茶室</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120</w:t>
            </w:r>
          </w:p>
        </w:tc>
        <w:tc>
          <w:tcPr>
            <w:tcW w:w="19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 xml:space="preserve">瓜山东苑    </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瓜山东苑9弄（78-86）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121</w:t>
            </w:r>
          </w:p>
        </w:tc>
        <w:tc>
          <w:tcPr>
            <w:tcW w:w="19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瓜山东苑10弄（76-77）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122</w:t>
            </w:r>
          </w:p>
        </w:tc>
        <w:tc>
          <w:tcPr>
            <w:tcW w:w="19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瓜山东苑11弄（98-103）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123</w:t>
            </w:r>
          </w:p>
        </w:tc>
        <w:tc>
          <w:tcPr>
            <w:tcW w:w="19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瓜山东苑12弄（118-123）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124</w:t>
            </w:r>
          </w:p>
        </w:tc>
        <w:tc>
          <w:tcPr>
            <w:tcW w:w="19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瓜山东苑13弄（133-137）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125</w:t>
            </w:r>
          </w:p>
        </w:tc>
        <w:tc>
          <w:tcPr>
            <w:tcW w:w="19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瓜山东苑14弄（152-156）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126</w:t>
            </w:r>
          </w:p>
        </w:tc>
        <w:tc>
          <w:tcPr>
            <w:tcW w:w="19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 xml:space="preserve">瓜山东苑    </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瓜山东苑15弄（168-171）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127</w:t>
            </w:r>
          </w:p>
        </w:tc>
        <w:tc>
          <w:tcPr>
            <w:tcW w:w="19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瓜山东苑16弄（186-191）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128</w:t>
            </w:r>
          </w:p>
        </w:tc>
        <w:tc>
          <w:tcPr>
            <w:tcW w:w="19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瓜山东苑17弄（206-211）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129</w:t>
            </w:r>
          </w:p>
        </w:tc>
        <w:tc>
          <w:tcPr>
            <w:tcW w:w="19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瓜山东苑18弄（228-233）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130</w:t>
            </w:r>
          </w:p>
        </w:tc>
        <w:tc>
          <w:tcPr>
            <w:tcW w:w="19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瓜山东苑19弄（260-268）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131</w:t>
            </w:r>
          </w:p>
        </w:tc>
        <w:tc>
          <w:tcPr>
            <w:tcW w:w="19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瓜山东苑20弄（282-292）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130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132</w:t>
            </w:r>
          </w:p>
        </w:tc>
        <w:tc>
          <w:tcPr>
            <w:tcW w:w="19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瓜山东苑21弄（便民中心、1幢-6幢）</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494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133</w:t>
            </w:r>
          </w:p>
        </w:tc>
        <w:tc>
          <w:tcPr>
            <w:tcW w:w="19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瓜山东苑22弄（便民中心、1幢-6幢北）</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494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134</w:t>
            </w:r>
          </w:p>
        </w:tc>
        <w:tc>
          <w:tcPr>
            <w:tcW w:w="19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瓜山东苑23弄（厕所、293-301）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130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135</w:t>
            </w:r>
          </w:p>
        </w:tc>
        <w:tc>
          <w:tcPr>
            <w:tcW w:w="19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瓜山东苑24弄（269-281）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156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136</w:t>
            </w:r>
          </w:p>
        </w:tc>
        <w:tc>
          <w:tcPr>
            <w:tcW w:w="19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瓜山东苑25弄（235-259）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156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137</w:t>
            </w:r>
          </w:p>
        </w:tc>
        <w:tc>
          <w:tcPr>
            <w:tcW w:w="19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瓜山东苑26弄（212-227）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156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138</w:t>
            </w:r>
          </w:p>
        </w:tc>
        <w:tc>
          <w:tcPr>
            <w:tcW w:w="19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瓜山东苑27弄（192-205）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156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139</w:t>
            </w:r>
          </w:p>
        </w:tc>
        <w:tc>
          <w:tcPr>
            <w:tcW w:w="19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瓜山东苑28弄（172-185）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156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140</w:t>
            </w:r>
          </w:p>
        </w:tc>
        <w:tc>
          <w:tcPr>
            <w:tcW w:w="19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瓜山东苑29弄（157-167）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182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141</w:t>
            </w:r>
          </w:p>
        </w:tc>
        <w:tc>
          <w:tcPr>
            <w:tcW w:w="19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瓜山东苑30弄（125-132北）</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182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142</w:t>
            </w:r>
          </w:p>
        </w:tc>
        <w:tc>
          <w:tcPr>
            <w:tcW w:w="19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瓜山东苑31弄（125-132）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182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143</w:t>
            </w:r>
          </w:p>
        </w:tc>
        <w:tc>
          <w:tcPr>
            <w:tcW w:w="19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瓜山东苑32弄（105-117）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156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144</w:t>
            </w:r>
          </w:p>
        </w:tc>
        <w:tc>
          <w:tcPr>
            <w:tcW w:w="19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瓜山东苑33弄（87-97）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145</w:t>
            </w:r>
          </w:p>
        </w:tc>
        <w:tc>
          <w:tcPr>
            <w:tcW w:w="19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瓜山东苑34弄（南北向97-6幢）</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286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146</w:t>
            </w:r>
          </w:p>
        </w:tc>
        <w:tc>
          <w:tcPr>
            <w:tcW w:w="19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瓜山东苑35弄（南北向76-5幢）</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286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147</w:t>
            </w:r>
          </w:p>
        </w:tc>
        <w:tc>
          <w:tcPr>
            <w:tcW w:w="19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瓜山东苑36弄（南北向7-3幢）</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286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148</w:t>
            </w:r>
          </w:p>
        </w:tc>
        <w:tc>
          <w:tcPr>
            <w:tcW w:w="199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瓜山东苑</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瓜山东苑37弄（南北向1-1幢）</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286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149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中凯路</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城北钢材市场—石祥路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550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瓜山社区</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合计</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auto"/>
                <w:sz w:val="24"/>
                <w:highlight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44281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auto"/>
                <w:sz w:val="24"/>
                <w:highlight w:val="none"/>
              </w:rPr>
            </w:pPr>
          </w:p>
        </w:tc>
      </w:tr>
    </w:tbl>
    <w:p>
      <w:pPr>
        <w:pStyle w:val="2"/>
        <w:ind w:left="0" w:leftChars="0" w:firstLine="0" w:firstLineChars="0"/>
        <w:rPr>
          <w:rFonts w:hint="eastAsia" w:ascii="宋体" w:hAnsi="宋体" w:eastAsia="宋体" w:cs="宋体"/>
          <w:b/>
          <w:color w:val="auto"/>
          <w:sz w:val="36"/>
          <w:highlight w:val="none"/>
        </w:rPr>
      </w:pPr>
    </w:p>
    <w:tbl>
      <w:tblPr>
        <w:tblStyle w:val="22"/>
        <w:tblW w:w="9645" w:type="dxa"/>
        <w:jc w:val="center"/>
        <w:tblLayout w:type="autofit"/>
        <w:tblCellMar>
          <w:top w:w="0" w:type="dxa"/>
          <w:left w:w="0" w:type="dxa"/>
          <w:bottom w:w="0" w:type="dxa"/>
          <w:right w:w="0" w:type="dxa"/>
        </w:tblCellMar>
      </w:tblPr>
      <w:tblGrid>
        <w:gridCol w:w="837"/>
        <w:gridCol w:w="1663"/>
        <w:gridCol w:w="3708"/>
        <w:gridCol w:w="2069"/>
        <w:gridCol w:w="1368"/>
      </w:tblGrid>
      <w:tr>
        <w:tblPrEx>
          <w:tblCellMar>
            <w:top w:w="0" w:type="dxa"/>
            <w:left w:w="0" w:type="dxa"/>
            <w:bottom w:w="0" w:type="dxa"/>
            <w:right w:w="0" w:type="dxa"/>
          </w:tblCellMar>
        </w:tblPrEx>
        <w:trPr>
          <w:trHeight w:val="450" w:hRule="atLeast"/>
          <w:jc w:val="center"/>
        </w:trPr>
        <w:tc>
          <w:tcPr>
            <w:tcW w:w="964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拱墅区祥符街道非法涂写招贴广告清除范围</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序号</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道路名称</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起始点</w:t>
            </w:r>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道路长度(m)</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备注</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方家塘路</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莫干山路--学院路</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6857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正德里街</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莫干山路--学院北路</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2000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祥运路</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新文村--通益路</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891.6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祥兴路</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新文村--祥富路</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644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上祥街</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红旗路--余杭区界</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400.9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月亮路</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莫干山路--热电路</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4375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祥庆路</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杭行路--北软路</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460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祥泰路</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祥茂路--北软路</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1090.7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杭印路</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登云路线--石祥路</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8000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吉如路</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通益路--拆建地</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2880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11</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富强西路</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富强东路--益东路</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3150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祥符路</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莫干山路--西湖三墩界</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2000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13</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祥富路</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星桥路--杭行路</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1200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14</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祥新路</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祥富路--公交车站</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720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15</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隐秀路</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莫干山路--登云路</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2800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16</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俞家圩路</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庆隆路--余杭塘路</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1071.4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17</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小学路延伸</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莫干山路--何家村拆迁地块</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600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18</w:t>
            </w:r>
          </w:p>
        </w:tc>
        <w:tc>
          <w:tcPr>
            <w:tcW w:w="175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华立路</w:t>
            </w:r>
          </w:p>
        </w:tc>
        <w:tc>
          <w:tcPr>
            <w:tcW w:w="424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莫干山路--祥和缘酒店</w:t>
            </w:r>
          </w:p>
        </w:tc>
        <w:tc>
          <w:tcPr>
            <w:tcW w:w="165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400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19</w:t>
            </w:r>
          </w:p>
        </w:tc>
        <w:tc>
          <w:tcPr>
            <w:tcW w:w="17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星桥路</w:t>
            </w:r>
          </w:p>
        </w:tc>
        <w:tc>
          <w:tcPr>
            <w:tcW w:w="42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祥富路--莫干山路</w:t>
            </w:r>
          </w:p>
        </w:tc>
        <w:tc>
          <w:tcPr>
            <w:tcW w:w="16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1000</w:t>
            </w:r>
          </w:p>
        </w:tc>
        <w:tc>
          <w:tcPr>
            <w:tcW w:w="0" w:type="auto"/>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w:t>
            </w:r>
          </w:p>
        </w:tc>
        <w:tc>
          <w:tcPr>
            <w:tcW w:w="1755" w:type="dxa"/>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青年路</w:t>
            </w:r>
          </w:p>
        </w:tc>
        <w:tc>
          <w:tcPr>
            <w:tcW w:w="4245" w:type="dxa"/>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莫干山路--三墩路</w:t>
            </w:r>
          </w:p>
        </w:tc>
        <w:tc>
          <w:tcPr>
            <w:tcW w:w="1650" w:type="dxa"/>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2000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21</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新文路</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西厍荡--莫干山路</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1000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22</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大学生公寓道路</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青年路--庙门前</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1000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23</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祥宏路</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祥盛路--祥园路</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24</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祥园路</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莫干山路--通益路</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3400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25</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祥盛路</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祥宏路--杭行路</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800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26</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祥茂路</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祥富路--西厍荡</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650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27</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湘望路</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莫干山路--育苗路</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2000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28</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花园岗南支路</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旧货市场路--湖洲街</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700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29</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花园岗北支路</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石祥路--育苗路</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600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30</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旧货市场路</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杭行路--北支路</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1100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31</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丰庆路</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石祥路--余杭界</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3400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32</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庆隆路</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俞家圩路--河边</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1800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33</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棠子桥路</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庆隆河--学院北路</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930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34</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香郡路</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杭行路--花园岗街</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800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35</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水涟苑路</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长青路--长阳路</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600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36</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祥园北路</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总管路--通益路</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400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37</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文岚街</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通益路--小河路</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410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38</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杭印路</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通益路--吉如家园</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361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39</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三德里</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文岚街--河边</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181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40</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吉如街</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小河路--通益路</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630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41</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水月街</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丰潭路--学院北路</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1400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nil"/>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42</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拱苑路</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沁园路--水月街</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700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43</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富强路</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丰潭路--拱苑路</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360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44</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祥富路东段</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杭行路--总管堂</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1200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45</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杨家浜路</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祥园路--祥富路东段</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360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46</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总管路</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祥园北路--祥园路</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300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47</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红旗路</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杭行路--祥茂路</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280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48</w:t>
            </w:r>
          </w:p>
        </w:tc>
        <w:tc>
          <w:tcPr>
            <w:tcW w:w="175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北城街</w:t>
            </w:r>
          </w:p>
        </w:tc>
        <w:tc>
          <w:tcPr>
            <w:tcW w:w="424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西塘河--萍水东路</w:t>
            </w:r>
          </w:p>
        </w:tc>
        <w:tc>
          <w:tcPr>
            <w:tcW w:w="165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625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49</w:t>
            </w:r>
          </w:p>
        </w:tc>
        <w:tc>
          <w:tcPr>
            <w:tcW w:w="17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热电路</w:t>
            </w:r>
          </w:p>
        </w:tc>
        <w:tc>
          <w:tcPr>
            <w:tcW w:w="42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隐秀路--正徳里街</w:t>
            </w:r>
          </w:p>
        </w:tc>
        <w:tc>
          <w:tcPr>
            <w:tcW w:w="16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490</w:t>
            </w:r>
          </w:p>
        </w:tc>
        <w:tc>
          <w:tcPr>
            <w:tcW w:w="0" w:type="auto"/>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50</w:t>
            </w:r>
          </w:p>
        </w:tc>
        <w:tc>
          <w:tcPr>
            <w:tcW w:w="1755" w:type="dxa"/>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红旗路东段</w:t>
            </w:r>
          </w:p>
        </w:tc>
        <w:tc>
          <w:tcPr>
            <w:tcW w:w="4245" w:type="dxa"/>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杭印路--通益路</w:t>
            </w:r>
          </w:p>
        </w:tc>
        <w:tc>
          <w:tcPr>
            <w:tcW w:w="1650" w:type="dxa"/>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550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51</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广运弄</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杭行路--广茂巷</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253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52</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水月街</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学院北路--丰潭路</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1100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53</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兰里街</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丰潭路--塘萍路</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309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54</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安康路</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兰里街--方家北路</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380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55</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人文路</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申花路--水月街</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644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56</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学文弄</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人文路--学院北路</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175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57</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安康路</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润园街--水月街</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563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58</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润园街</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莫干山路--丰潭路</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1860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59</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春雀街</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工发路--夏萌巷</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365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60</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夏萌巷</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莫干山路--花园岗街</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288.3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61</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秋霞街</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学院北路--花园岗街</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523.2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62</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冬泽巷</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石祥西路--秋霞街</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305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63</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福茹弄</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莫干山路--和睦路</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700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64</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短浜巷</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福茹弄--短浜北路</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440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65</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短浜北路</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莫干山路--和睦路</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780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66</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桥弄街</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湖州街--通益路</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1400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67</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永固路</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萍水街--棠子桥路</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1200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68</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丽晶湾路</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祥符路--河边</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800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69</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郡庭路</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隐秀路--正德里街</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400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70</w:t>
            </w:r>
          </w:p>
        </w:tc>
        <w:tc>
          <w:tcPr>
            <w:tcW w:w="17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塘萍路</w:t>
            </w:r>
          </w:p>
        </w:tc>
        <w:tc>
          <w:tcPr>
            <w:tcW w:w="42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申花路--萍水街</w:t>
            </w:r>
          </w:p>
        </w:tc>
        <w:tc>
          <w:tcPr>
            <w:tcW w:w="1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540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71</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益乐路</w:t>
            </w:r>
          </w:p>
        </w:tc>
        <w:tc>
          <w:tcPr>
            <w:tcW w:w="4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水月街--沁园路</w:t>
            </w:r>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639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72</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合计</w:t>
            </w:r>
          </w:p>
        </w:tc>
        <w:tc>
          <w:tcPr>
            <w:tcW w:w="4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83332.1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bl>
    <w:p>
      <w:pPr>
        <w:pStyle w:val="2"/>
        <w:ind w:left="0" w:leftChars="0" w:firstLine="0" w:firstLineChars="0"/>
        <w:rPr>
          <w:rFonts w:hint="eastAsia" w:ascii="宋体" w:hAnsi="宋体" w:eastAsia="宋体" w:cs="宋体"/>
          <w:b/>
          <w:color w:val="auto"/>
          <w:sz w:val="36"/>
          <w:highlight w:val="none"/>
        </w:rPr>
      </w:pPr>
      <w:r>
        <w:rPr>
          <w:rFonts w:hint="eastAsia" w:ascii="宋体" w:hAnsi="宋体" w:eastAsia="宋体" w:cs="宋体"/>
          <w:b/>
          <w:color w:val="auto"/>
          <w:sz w:val="36"/>
          <w:highlight w:val="none"/>
        </w:rPr>
        <w:br w:type="page"/>
      </w:r>
    </w:p>
    <w:tbl>
      <w:tblPr>
        <w:tblStyle w:val="22"/>
        <w:tblW w:w="9585" w:type="dxa"/>
        <w:jc w:val="center"/>
        <w:tblLayout w:type="autofit"/>
        <w:tblCellMar>
          <w:top w:w="0" w:type="dxa"/>
          <w:left w:w="0" w:type="dxa"/>
          <w:bottom w:w="0" w:type="dxa"/>
          <w:right w:w="0" w:type="dxa"/>
        </w:tblCellMar>
      </w:tblPr>
      <w:tblGrid>
        <w:gridCol w:w="767"/>
        <w:gridCol w:w="2764"/>
        <w:gridCol w:w="3655"/>
        <w:gridCol w:w="1629"/>
        <w:gridCol w:w="770"/>
      </w:tblGrid>
      <w:tr>
        <w:tblPrEx>
          <w:tblCellMar>
            <w:top w:w="0" w:type="dxa"/>
            <w:left w:w="0" w:type="dxa"/>
            <w:bottom w:w="0" w:type="dxa"/>
            <w:right w:w="0" w:type="dxa"/>
          </w:tblCellMar>
        </w:tblPrEx>
        <w:trPr>
          <w:trHeight w:val="444" w:hRule="atLeast"/>
          <w:jc w:val="center"/>
        </w:trPr>
        <w:tc>
          <w:tcPr>
            <w:tcW w:w="958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拱墅区大关路以南部分道路（含运河游步道）非法涂写招贴广告清除范围</w:t>
            </w:r>
          </w:p>
        </w:tc>
      </w:tr>
      <w:tr>
        <w:tblPrEx>
          <w:tblCellMar>
            <w:top w:w="0" w:type="dxa"/>
            <w:left w:w="0" w:type="dxa"/>
            <w:bottom w:w="0" w:type="dxa"/>
            <w:right w:w="0" w:type="dxa"/>
          </w:tblCellMar>
        </w:tblPrEx>
        <w:trPr>
          <w:trHeight w:val="444"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序号</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道路名称</w:t>
            </w:r>
          </w:p>
        </w:tc>
        <w:tc>
          <w:tcPr>
            <w:tcW w:w="0" w:type="auto"/>
            <w:tcBorders>
              <w:top w:val="nil"/>
              <w:left w:val="nil"/>
              <w:bottom w:val="nil"/>
              <w:right w:val="nil"/>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道路起止点</w:t>
            </w:r>
          </w:p>
        </w:tc>
        <w:tc>
          <w:tcPr>
            <w:tcW w:w="1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道路长度(m)</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44"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莫干山路南片</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环城北路－-大关路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3600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44"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湖墅路南片</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环城北路－-大关桥</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3930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44"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上塘路南片</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石灰坝--大关路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44"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潮王路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莫干山路--潮王大酒店</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650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44"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文晖路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莫干山路--运河桥中</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960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44"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德胜路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湖墅南路-上塘河桥</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2050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44"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环城北路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密渡桥路-莫干山路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860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44"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文一路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莫干山路-湖墅南路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44"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密渡桥路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环城北路-湖墅南路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520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44"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密渡桥路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湖墅南路-莫干山路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44"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教工路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余杭塘路-莫干山路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830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44"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登云路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余杭塘河-上塘路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3855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44"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小河路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湖墅北路-和睦路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150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44"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景苑路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莫干山路-城管局</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188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44"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香积寺路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上塘桥中-上塘路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980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44"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大关路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莫干山路--上塘路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2010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44"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丽水路延伸段</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大关路--香积寺巷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1960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44"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余杭塘路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莫干山路--学院北路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44"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余杭塘路延伸段</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学院北路--丰潭路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1560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44"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长乐路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大关路--仁和仓街</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450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新增</w:t>
            </w:r>
          </w:p>
        </w:tc>
      </w:tr>
      <w:tr>
        <w:tblPrEx>
          <w:tblCellMar>
            <w:top w:w="0" w:type="dxa"/>
            <w:left w:w="0" w:type="dxa"/>
            <w:bottom w:w="0" w:type="dxa"/>
            <w:right w:w="0" w:type="dxa"/>
          </w:tblCellMar>
        </w:tblPrEx>
        <w:trPr>
          <w:trHeight w:val="444"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运河东侧</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长板巷--大关桥</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1700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新增</w:t>
            </w:r>
          </w:p>
        </w:tc>
      </w:tr>
      <w:tr>
        <w:tblPrEx>
          <w:tblCellMar>
            <w:top w:w="0" w:type="dxa"/>
            <w:left w:w="0" w:type="dxa"/>
            <w:bottom w:w="0" w:type="dxa"/>
            <w:right w:w="0" w:type="dxa"/>
          </w:tblCellMar>
        </w:tblPrEx>
        <w:trPr>
          <w:trHeight w:val="444"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运河东侧</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大关桥--北星桥</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3720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新增</w:t>
            </w:r>
          </w:p>
        </w:tc>
      </w:tr>
      <w:tr>
        <w:tblPrEx>
          <w:tblCellMar>
            <w:top w:w="0" w:type="dxa"/>
            <w:left w:w="0" w:type="dxa"/>
            <w:bottom w:w="0" w:type="dxa"/>
            <w:right w:w="0" w:type="dxa"/>
          </w:tblCellMar>
        </w:tblPrEx>
        <w:trPr>
          <w:trHeight w:val="444"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运河西侧</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环城北路--大关桥</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3930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新增</w:t>
            </w:r>
          </w:p>
        </w:tc>
      </w:tr>
      <w:tr>
        <w:tblPrEx>
          <w:tblCellMar>
            <w:top w:w="0" w:type="dxa"/>
            <w:left w:w="0" w:type="dxa"/>
            <w:bottom w:w="0" w:type="dxa"/>
            <w:right w:w="0" w:type="dxa"/>
          </w:tblCellMar>
        </w:tblPrEx>
        <w:trPr>
          <w:trHeight w:val="444"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运河西侧</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大关桥--北星桥</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3720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新增</w:t>
            </w:r>
          </w:p>
        </w:tc>
      </w:tr>
      <w:tr>
        <w:tblPrEx>
          <w:tblCellMar>
            <w:top w:w="0" w:type="dxa"/>
            <w:left w:w="0" w:type="dxa"/>
            <w:bottom w:w="0" w:type="dxa"/>
            <w:right w:w="0" w:type="dxa"/>
          </w:tblCellMar>
        </w:tblPrEx>
        <w:trPr>
          <w:trHeight w:val="444"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仁和仓街</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丽水路--红建河西</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420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新增</w:t>
            </w:r>
          </w:p>
        </w:tc>
      </w:tr>
      <w:tr>
        <w:tblPrEx>
          <w:tblCellMar>
            <w:top w:w="0" w:type="dxa"/>
            <w:left w:w="0" w:type="dxa"/>
            <w:bottom w:w="0" w:type="dxa"/>
            <w:right w:w="0" w:type="dxa"/>
          </w:tblCellMar>
        </w:tblPrEx>
        <w:trPr>
          <w:trHeight w:val="444"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合计</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41843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bl>
    <w:p>
      <w:pPr>
        <w:pStyle w:val="2"/>
        <w:ind w:left="0" w:leftChars="0" w:firstLine="0" w:firstLineChars="0"/>
        <w:rPr>
          <w:rFonts w:hint="eastAsia" w:ascii="宋体" w:hAnsi="宋体" w:eastAsia="宋体" w:cs="宋体"/>
          <w:b/>
          <w:color w:val="auto"/>
          <w:sz w:val="36"/>
          <w:highlight w:val="none"/>
        </w:rPr>
      </w:pPr>
      <w:r>
        <w:rPr>
          <w:rFonts w:hint="eastAsia" w:ascii="宋体" w:hAnsi="宋体" w:eastAsia="宋体" w:cs="宋体"/>
          <w:b/>
          <w:color w:val="auto"/>
          <w:sz w:val="36"/>
          <w:highlight w:val="none"/>
        </w:rPr>
        <w:br w:type="page"/>
      </w:r>
    </w:p>
    <w:tbl>
      <w:tblPr>
        <w:tblStyle w:val="22"/>
        <w:tblW w:w="9555" w:type="dxa"/>
        <w:jc w:val="center"/>
        <w:tblLayout w:type="autofit"/>
        <w:tblCellMar>
          <w:top w:w="0" w:type="dxa"/>
          <w:left w:w="0" w:type="dxa"/>
          <w:bottom w:w="0" w:type="dxa"/>
          <w:right w:w="0" w:type="dxa"/>
        </w:tblCellMar>
      </w:tblPr>
      <w:tblGrid>
        <w:gridCol w:w="643"/>
        <w:gridCol w:w="2269"/>
        <w:gridCol w:w="3971"/>
        <w:gridCol w:w="1631"/>
        <w:gridCol w:w="1041"/>
      </w:tblGrid>
      <w:tr>
        <w:tblPrEx>
          <w:tblCellMar>
            <w:top w:w="0" w:type="dxa"/>
            <w:left w:w="0" w:type="dxa"/>
            <w:bottom w:w="0" w:type="dxa"/>
            <w:right w:w="0" w:type="dxa"/>
          </w:tblCellMar>
        </w:tblPrEx>
        <w:trPr>
          <w:trHeight w:val="540" w:hRule="atLeast"/>
          <w:jc w:val="center"/>
        </w:trPr>
        <w:tc>
          <w:tcPr>
            <w:tcW w:w="955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拱墅区大关路以北部分主要道路非法涂写招贴广告清除范围(西)</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序号</w:t>
            </w:r>
          </w:p>
        </w:tc>
        <w:tc>
          <w:tcPr>
            <w:tcW w:w="1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道路名称</w:t>
            </w:r>
          </w:p>
        </w:tc>
        <w:tc>
          <w:tcPr>
            <w:tcW w:w="0" w:type="auto"/>
            <w:tcBorders>
              <w:top w:val="nil"/>
              <w:left w:val="nil"/>
              <w:bottom w:val="nil"/>
              <w:right w:val="nil"/>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道路起止点</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道路长度(m)</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备注</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莫干山路北片</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大关路－和睦中转站</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1614</w:t>
            </w:r>
          </w:p>
        </w:tc>
        <w:tc>
          <w:tcPr>
            <w:tcW w:w="0" w:type="auto"/>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莫干山路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和睦中转站-新文村</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4086</w:t>
            </w:r>
          </w:p>
        </w:tc>
        <w:tc>
          <w:tcPr>
            <w:tcW w:w="0" w:type="auto"/>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湖墅路北片</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大关桥-小河路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600</w:t>
            </w:r>
          </w:p>
        </w:tc>
        <w:tc>
          <w:tcPr>
            <w:tcW w:w="0" w:type="auto"/>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金华路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大关路-湖州街</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1765</w:t>
            </w:r>
          </w:p>
        </w:tc>
        <w:tc>
          <w:tcPr>
            <w:tcW w:w="0" w:type="auto"/>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温州路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丽水路口-上塘路口</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682</w:t>
            </w:r>
          </w:p>
        </w:tc>
        <w:tc>
          <w:tcPr>
            <w:tcW w:w="0" w:type="auto"/>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衢州街</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丽水路口-上塘路口</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700</w:t>
            </w:r>
          </w:p>
        </w:tc>
        <w:tc>
          <w:tcPr>
            <w:tcW w:w="0" w:type="auto"/>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宁波街</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金华路口-丽水路口</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266</w:t>
            </w:r>
          </w:p>
        </w:tc>
        <w:tc>
          <w:tcPr>
            <w:tcW w:w="0" w:type="auto"/>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湖州街</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莫干山路--茶汤桥</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3942</w:t>
            </w:r>
          </w:p>
        </w:tc>
        <w:tc>
          <w:tcPr>
            <w:tcW w:w="0" w:type="auto"/>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丽水路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大关路-湖州街</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2460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丽水路延伸</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湖州街-石祥路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835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绍兴路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沈塘湾桥--上塘路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960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丰潭路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丰潭桥--申花路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1800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申花路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莫干山路--丰潭路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2208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育苗路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莫干山路--农居点</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1795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杭行路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育苗路--石祥路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1840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巨州路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石祥路--余杭界</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17</w:t>
            </w:r>
          </w:p>
        </w:tc>
        <w:tc>
          <w:tcPr>
            <w:tcW w:w="1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 xml:space="preserve">通益路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登云路--石祥路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1700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18</w:t>
            </w:r>
          </w:p>
        </w:tc>
        <w:tc>
          <w:tcPr>
            <w:tcW w:w="1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育苗路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通益路--小河路</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380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19</w:t>
            </w:r>
          </w:p>
        </w:tc>
        <w:tc>
          <w:tcPr>
            <w:tcW w:w="1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严家桥街</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通益路--吉如村</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361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w:t>
            </w:r>
          </w:p>
        </w:tc>
        <w:tc>
          <w:tcPr>
            <w:tcW w:w="1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巨州路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石祥路--余杭界</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1500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21</w:t>
            </w:r>
          </w:p>
        </w:tc>
        <w:tc>
          <w:tcPr>
            <w:tcW w:w="1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赵伍路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大关路--登云路</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1650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22</w:t>
            </w:r>
          </w:p>
        </w:tc>
        <w:tc>
          <w:tcPr>
            <w:tcW w:w="1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小河路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会安桥--长征桥</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23</w:t>
            </w:r>
          </w:p>
        </w:tc>
        <w:tc>
          <w:tcPr>
            <w:tcW w:w="1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丰登街</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丰潭路--登云路</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1194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石祥路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北星桥--丰潭路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6800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杭印路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小河路--通益路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440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桥弄街</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小河路--后横港路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440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小河路北段</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昼锦街--湖州街</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1030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杭行路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花园岗路--湖州街</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学院北路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余杭塘路--留祥路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3767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育英路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莫干山路--丰潭路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1275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永固巷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萍水街--棠子桥路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195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拱苑路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塘萍路--萍水街</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820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塘萍路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丰登街--余杭塘路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540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正徳里街</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莫干山路北大桥北侧--化工路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550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萍水东路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严家桥路--石祥路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塘萍路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申花路--萍水街</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860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后横港巷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杭印路--连通港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165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三墩路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莫干山路--西湖区界</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3928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丰庆路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祥薄线--董家路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3000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环镇北路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丰庆路--镇东路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3000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长青路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丰庆路--古墩路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1300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长青路东段</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丰庆路--莫干山路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长阳路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董家路--西湖区界</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1600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环镇路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丰庆路--镇东河</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益乐路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丰登街--方家北路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萍水路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莫干山路--丰潭路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1800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祥园路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莫干山路--通益路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2694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育苗路东段</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杭行路--花园岗北支路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灯彩街</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丰庆路--河边</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广业街</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莫干山路--丰庆路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1100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杭行路北段</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石祥路--余杭界</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1140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丰潭路延伸段</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申花路--石祥路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1500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益乐路北段</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丰登街--方家北路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益乐路南段</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丰登街--余杭塘路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方家北路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丰潭路--东环河</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210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tcBorders>
              <w:top w:val="nil"/>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花园岗街东段</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通益路--小河路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北软路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石祥路--余杭界</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1140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严家桥路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短浜路--萍水路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tcBorders>
              <w:top w:val="nil"/>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短浜路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湖州街--严家桥路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356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祥薄线</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莫干山路--西湖区界</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董家路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丰庆路--西湖区界</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1800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tcBorders>
              <w:top w:val="nil"/>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花园岗街延伸段</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育苗路--小河路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680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隐秀路东段</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莫干山路--化工路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620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灯彩东街</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莫干山路--丰庆路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秉祥巷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莫干山路--湖墅北路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583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新增</w:t>
            </w: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拱苑路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益乐路--隐秀路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442.67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新增</w:t>
            </w: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棠子桥路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沁园路--庆隆河</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791.5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新增</w:t>
            </w: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润园街</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丰潭路--学院北路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新增</w:t>
            </w: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工发路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秋霞路--学院北路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1132.6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新增</w:t>
            </w: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合计</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88137.77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bl>
    <w:p>
      <w:pPr>
        <w:pStyle w:val="2"/>
        <w:ind w:left="0" w:leftChars="0" w:firstLine="0" w:firstLineChars="0"/>
        <w:rPr>
          <w:rFonts w:hint="eastAsia" w:ascii="宋体" w:hAnsi="宋体" w:eastAsia="宋体" w:cs="宋体"/>
          <w:b/>
          <w:color w:val="auto"/>
          <w:sz w:val="36"/>
          <w:highlight w:val="none"/>
        </w:rPr>
      </w:pPr>
    </w:p>
    <w:tbl>
      <w:tblPr>
        <w:tblStyle w:val="22"/>
        <w:tblW w:w="9600" w:type="dxa"/>
        <w:jc w:val="center"/>
        <w:tblLayout w:type="autofit"/>
        <w:tblCellMar>
          <w:top w:w="0" w:type="dxa"/>
          <w:left w:w="0" w:type="dxa"/>
          <w:bottom w:w="0" w:type="dxa"/>
          <w:right w:w="0" w:type="dxa"/>
        </w:tblCellMar>
      </w:tblPr>
      <w:tblGrid>
        <w:gridCol w:w="614"/>
        <w:gridCol w:w="1889"/>
        <w:gridCol w:w="4661"/>
        <w:gridCol w:w="1404"/>
        <w:gridCol w:w="1032"/>
      </w:tblGrid>
      <w:tr>
        <w:tblPrEx>
          <w:tblCellMar>
            <w:top w:w="0" w:type="dxa"/>
            <w:left w:w="0" w:type="dxa"/>
            <w:bottom w:w="0" w:type="dxa"/>
            <w:right w:w="0" w:type="dxa"/>
          </w:tblCellMar>
        </w:tblPrEx>
        <w:trPr>
          <w:trHeight w:val="510" w:hRule="atLeast"/>
          <w:jc w:val="center"/>
        </w:trPr>
        <w:tc>
          <w:tcPr>
            <w:tcW w:w="960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拱墅区大关路以北部分主要道路非法涂写招贴广告清除范围（东）</w:t>
            </w: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序号</w:t>
            </w:r>
          </w:p>
        </w:tc>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道路名称</w:t>
            </w:r>
          </w:p>
        </w:tc>
        <w:tc>
          <w:tcPr>
            <w:tcW w:w="0" w:type="auto"/>
            <w:tcBorders>
              <w:top w:val="nil"/>
              <w:left w:val="nil"/>
              <w:bottom w:val="nil"/>
              <w:right w:val="nil"/>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道路起止点</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道路长度(m)</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备注</w:t>
            </w: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湖州街</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茶汤桥--沈半路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1601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半山路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杭玻--半山桥</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1810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明园路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半山路--区委党校</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186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临丁路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沈半路--临丁桥中</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520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沈半路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石祥路--半山路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6700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舟山东路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上塘路--沈半路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1400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石祥路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北星桥--上塘河桥</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3600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w:t>
            </w:r>
          </w:p>
        </w:tc>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杭玻路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沈半路--运河桥中</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w:t>
            </w:r>
          </w:p>
        </w:tc>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杭枫路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半山路--余杭界</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5500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w:t>
            </w:r>
          </w:p>
        </w:tc>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天鹤路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笕丁路--鸡笼山</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744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11</w:t>
            </w:r>
          </w:p>
        </w:tc>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同协路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广济路--进香桥中</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359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w:t>
            </w:r>
          </w:p>
        </w:tc>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广济路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石桥路--笕丁路</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2100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笕丁路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广济路--营门口</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265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虎山路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青城路（碑坊）--上塘河（断头路）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980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华中路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广济路--建工路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150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建工路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广济路--华中路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346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青城路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广济路--虎山路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1061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重工路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沈半路--西联桥中间</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180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丹青路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田园夏意苑幢东南侧--广济路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931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明园南路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半山路--河畔路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170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河畔路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半山路--明园南路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240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上塘路北片</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大关路--拱康路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3800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沈半路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绍兴路--石祥路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2170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大关路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上塘路--绍兴路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860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华中路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建工路--上塘河桥中</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279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石塘路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杭枫路--余杭界</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880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桃源街</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沈半路--云锦路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950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萃锦路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丰源街--下塘河</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秋悦路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桃源街--西塘河</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262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夏莲路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桃源街--沈半路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依锦路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永宁街--桃源街</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390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金昌路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拱康路--跨运河昌运桥</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金昌路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拱康路--永宁桥</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766.5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茶汤路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石祥路--善贤路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780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嘉兴东路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上塘路--红建河</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343.6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东教路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绍兴路--石祥路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2026.5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夏连璐2段</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北秀街--桃源街</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413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桃源街2段</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金昌路--云锦路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560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云锦路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北秀街--沈半路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560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观桃路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北秀街--下塘河</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527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绣锦街</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北秀街--桃源街</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270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丰源街</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依锦路--下塘河</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1696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丁桥路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天鹤路--上塘河北</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395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安潭路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运河路--顾杨路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940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西洋直街</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康桥路--郁世门路（原前扬路）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620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蒋家桥路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康兴璐--拱康路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740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溪居路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金昌路--管家漾路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968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游龙港路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依水街--依山路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508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平安桥路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丽水路--拱康路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563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拱康路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石祥路--公交南门</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西文街</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沈半路--西联桥中</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科院路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石祥路--湖州街</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850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里杨路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后浜街--龙腾街</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220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新增</w:t>
            </w: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后浜街</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下塘路--丽水北路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590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新增</w:t>
            </w: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顾扬路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郁世门路--康桥路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760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新增</w:t>
            </w: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郁世门路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下塘路--拱康路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1284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新增</w:t>
            </w: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马桥路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拱康路--电厂热水河</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1338.4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新增</w:t>
            </w: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永宁路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金昌路--沈半路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2382.5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新增</w:t>
            </w: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皇蒋路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康桥路--郁世门路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756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新增</w:t>
            </w: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蒋扬路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顾扬路--皇蒋路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160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新增</w:t>
            </w: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科祥街</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拱康路--仲恺路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286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新增</w:t>
            </w: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龙山路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半山东路--依山路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新增</w:t>
            </w: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合计</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63645.5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bl>
    <w:p>
      <w:pPr>
        <w:pStyle w:val="2"/>
        <w:ind w:left="0" w:leftChars="0" w:firstLine="0" w:firstLineChars="0"/>
        <w:rPr>
          <w:rFonts w:hint="eastAsia" w:ascii="宋体" w:hAnsi="宋体" w:eastAsia="宋体" w:cs="宋体"/>
          <w:b/>
          <w:color w:val="auto"/>
          <w:sz w:val="36"/>
          <w:highlight w:val="none"/>
        </w:rPr>
      </w:pPr>
    </w:p>
    <w:tbl>
      <w:tblPr>
        <w:tblStyle w:val="22"/>
        <w:tblW w:w="9901" w:type="dxa"/>
        <w:jc w:val="center"/>
        <w:tblLayout w:type="fixed"/>
        <w:tblCellMar>
          <w:top w:w="0" w:type="dxa"/>
          <w:left w:w="0" w:type="dxa"/>
          <w:bottom w:w="0" w:type="dxa"/>
          <w:right w:w="0" w:type="dxa"/>
        </w:tblCellMar>
      </w:tblPr>
      <w:tblGrid>
        <w:gridCol w:w="473"/>
        <w:gridCol w:w="1605"/>
        <w:gridCol w:w="1815"/>
        <w:gridCol w:w="3406"/>
        <w:gridCol w:w="1522"/>
        <w:gridCol w:w="1080"/>
      </w:tblGrid>
      <w:tr>
        <w:tblPrEx>
          <w:tblCellMar>
            <w:top w:w="0" w:type="dxa"/>
            <w:left w:w="0" w:type="dxa"/>
            <w:bottom w:w="0" w:type="dxa"/>
            <w:right w:w="0" w:type="dxa"/>
          </w:tblCellMar>
        </w:tblPrEx>
        <w:trPr>
          <w:trHeight w:val="285" w:hRule="atLeast"/>
          <w:jc w:val="center"/>
        </w:trPr>
        <w:tc>
          <w:tcPr>
            <w:tcW w:w="8821" w:type="dxa"/>
            <w:gridSpan w:val="5"/>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拱墅区半山街道非法涂写招贴广告清除范围</w:t>
            </w:r>
          </w:p>
        </w:tc>
        <w:tc>
          <w:tcPr>
            <w:tcW w:w="108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644" w:hRule="atLeast"/>
          <w:jc w:val="center"/>
        </w:trPr>
        <w:tc>
          <w:tcPr>
            <w:tcW w:w="473"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kern w:val="0"/>
                <w:sz w:val="24"/>
                <w:highlight w:val="none"/>
                <w:lang w:bidi="ar"/>
              </w:rPr>
            </w:pPr>
            <w:r>
              <w:rPr>
                <w:rFonts w:hint="eastAsia" w:ascii="宋体" w:hAnsi="宋体" w:eastAsia="宋体" w:cs="宋体"/>
                <w:b/>
                <w:color w:val="auto"/>
                <w:kern w:val="0"/>
                <w:sz w:val="24"/>
                <w:highlight w:val="none"/>
                <w:lang w:bidi="ar"/>
              </w:rPr>
              <w:t>序</w:t>
            </w:r>
          </w:p>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号</w:t>
            </w:r>
          </w:p>
        </w:tc>
        <w:tc>
          <w:tcPr>
            <w:tcW w:w="1605" w:type="dxa"/>
            <w:tcBorders>
              <w:top w:val="single" w:color="auto"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社区名称</w:t>
            </w:r>
          </w:p>
        </w:tc>
        <w:tc>
          <w:tcPr>
            <w:tcW w:w="1815" w:type="dxa"/>
            <w:tcBorders>
              <w:top w:val="single" w:color="auto"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小区名称</w:t>
            </w:r>
          </w:p>
        </w:tc>
        <w:tc>
          <w:tcPr>
            <w:tcW w:w="3406"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幢间</w:t>
            </w:r>
          </w:p>
        </w:tc>
        <w:tc>
          <w:tcPr>
            <w:tcW w:w="152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长度（m）</w:t>
            </w:r>
          </w:p>
        </w:tc>
        <w:tc>
          <w:tcPr>
            <w:tcW w:w="108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备注</w:t>
            </w:r>
          </w:p>
        </w:tc>
      </w:tr>
      <w:tr>
        <w:tblPrEx>
          <w:tblCellMar>
            <w:top w:w="0" w:type="dxa"/>
            <w:left w:w="0" w:type="dxa"/>
            <w:bottom w:w="0" w:type="dxa"/>
            <w:right w:w="0" w:type="dxa"/>
          </w:tblCellMar>
        </w:tblPrEx>
        <w:trPr>
          <w:trHeight w:val="285" w:hRule="atLeast"/>
          <w:jc w:val="center"/>
        </w:trPr>
        <w:tc>
          <w:tcPr>
            <w:tcW w:w="47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w:t>
            </w:r>
          </w:p>
        </w:tc>
        <w:tc>
          <w:tcPr>
            <w:tcW w:w="16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田园社区</w:t>
            </w:r>
          </w:p>
        </w:tc>
        <w:tc>
          <w:tcPr>
            <w:tcW w:w="18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田园社区之一</w:t>
            </w: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宁和弄1幢（南）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50.5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宁和弄2幢（南）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51</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宁和弄1幢（北）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24</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宁和弄2幢（北）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24</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宁和弄3幢（北）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48</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宁和弄4幢（北）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48</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宁和弄5幢（北）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48</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宁和弄6幢（北）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48</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宁和弄7幢（北）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24</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宁和弄8幢（北）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24</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宁和弄9幢（北）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24</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宁和弄10幢（北）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24</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宁和弄1-9幢（西）</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62</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宁和弄2-10幢（东）</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62</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宁和弄2-10幢（西）</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116</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5" w:hRule="atLeast"/>
          <w:jc w:val="center"/>
        </w:trPr>
        <w:tc>
          <w:tcPr>
            <w:tcW w:w="47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w:t>
            </w: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田园社区之二</w:t>
            </w: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田园公寓11幢（北）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32</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田园公寓13幢（北）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32</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田园公寓15幢（北）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32</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田园公寓11—15幢（东）</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71</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田园公寓14幢（北）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48</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田园公寓16幢（北）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48</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田园公寓18、22幢（北）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56</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田园公寓20、24幢（北）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56</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田园公寓14-20幢（东）</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71</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宁和弄11幢（北）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宁和弄11幢（东）</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570"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山前横路(东:山前直路 西:半山村简易房)</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119</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570"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山前路(东:社区东大门 西:社区西大门)</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400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9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山前直路北段(南:山前路 北:山脚边)</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210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60" w:hRule="atLeast"/>
          <w:jc w:val="center"/>
        </w:trPr>
        <w:tc>
          <w:tcPr>
            <w:tcW w:w="47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w:t>
            </w: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田园社区之三</w:t>
            </w: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明园1幢（北）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99</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00"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明园2幢（北）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99</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9"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明园3幢（北）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99</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明园3幢（南）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99</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00"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明园4幢（北）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28</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9"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明园5幢（北）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28</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42"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明园6幢（北）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28</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9"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明园4、5、6幢（东）</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44</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00"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明园1、2、3幢（东）</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77</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42"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明园1-6幢（西）</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135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w:t>
            </w:r>
          </w:p>
        </w:tc>
        <w:tc>
          <w:tcPr>
            <w:tcW w:w="16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田园社区</w:t>
            </w:r>
          </w:p>
        </w:tc>
        <w:tc>
          <w:tcPr>
            <w:tcW w:w="18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田园社区之四</w:t>
            </w: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半山2号楼(北)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56</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田园公寓1幢(北)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田园公寓2幢(北)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32</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田园公寓3幢(北)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32</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田园公寓4幢(北)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32</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田园公寓5幢(北)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田园公寓6幢(北)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32</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田园公寓7幢(北)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田园公寓8幢(南、北)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38</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田园公寓9幢(南、北)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24</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田园公寓10幢(北)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24</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田园公寓12幢(北)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60.5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田园3、5、7幢（东）</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101</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田园公寓2-12幢(南)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 xml:space="preserve">山前直路南段(南：半山路 北：山前路 ) </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198</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 xml:space="preserve">宁和弄(南：半山路  北：山前路) </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w:t>
            </w:r>
          </w:p>
        </w:tc>
        <w:tc>
          <w:tcPr>
            <w:tcW w:w="160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北苑社区</w:t>
            </w:r>
          </w:p>
        </w:tc>
        <w:tc>
          <w:tcPr>
            <w:tcW w:w="18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北苑社区之一</w:t>
            </w: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1</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88</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2</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88</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3</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88</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4</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88</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5</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88</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北苑社区之二</w:t>
            </w: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7</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78</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8</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78</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9</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88</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10</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88</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11</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88</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12</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98</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康健路</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316</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北苑社区之三</w:t>
            </w: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17</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98</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18</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98</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19</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98</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25</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82</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26</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82</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27</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82</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北苑社区之四</w:t>
            </w: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30</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82</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31</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82</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32</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82</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40</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98</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41</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98</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42</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98</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38</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91</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39</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91</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北苑社区</w:t>
            </w:r>
          </w:p>
        </w:tc>
        <w:tc>
          <w:tcPr>
            <w:tcW w:w="18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北苑社区之五</w:t>
            </w: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35</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91</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36</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91</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00"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37</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91</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44</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98</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45</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98</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46</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98</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北苑社区之六</w:t>
            </w: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49</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99</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50</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99</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51</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99</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52</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99</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53</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99</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54</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96</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55</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96</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56</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96</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龙王弄</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北苑社区之七</w:t>
            </w: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57</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96</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58</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96</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59</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96</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61</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102.3</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62</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102.3</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64</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102.3</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65</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102.3</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67</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109.3</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68</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109.3</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69</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109.3</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70</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109.3</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北苑社区之八</w:t>
            </w: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崇光路</w:t>
            </w:r>
            <w:r>
              <w:rPr>
                <w:rStyle w:val="36"/>
                <w:rFonts w:hint="eastAsia" w:ascii="宋体" w:hAnsi="宋体" w:eastAsia="宋体" w:cs="宋体"/>
                <w:color w:val="auto"/>
                <w:highlight w:val="none"/>
                <w:lang w:bidi="ar"/>
              </w:rPr>
              <w:t>9</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107</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崇光路</w:t>
            </w:r>
            <w:r>
              <w:rPr>
                <w:rStyle w:val="36"/>
                <w:rFonts w:hint="eastAsia" w:ascii="宋体" w:hAnsi="宋体" w:eastAsia="宋体" w:cs="宋体"/>
                <w:color w:val="auto"/>
                <w:highlight w:val="none"/>
                <w:lang w:bidi="ar"/>
              </w:rPr>
              <w:t>11</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102.3</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 xml:space="preserve">雨花弄 </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升平路</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465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北苑社区之九</w:t>
            </w: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71</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107</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72</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107</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73</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107</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74</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107</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76</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102</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77</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102</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79</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115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80</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115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北苑</w:t>
            </w:r>
            <w:r>
              <w:rPr>
                <w:rStyle w:val="36"/>
                <w:rFonts w:hint="eastAsia" w:ascii="宋体" w:hAnsi="宋体" w:eastAsia="宋体" w:cs="宋体"/>
                <w:color w:val="auto"/>
                <w:highlight w:val="none"/>
                <w:lang w:bidi="ar"/>
              </w:rPr>
              <w:t>81</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115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w:t>
            </w:r>
          </w:p>
        </w:tc>
        <w:tc>
          <w:tcPr>
            <w:tcW w:w="160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南苑社区</w:t>
            </w:r>
          </w:p>
        </w:tc>
        <w:tc>
          <w:tcPr>
            <w:tcW w:w="181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南苑社区之一</w:t>
            </w: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东塘东路</w:t>
            </w:r>
            <w:r>
              <w:rPr>
                <w:rStyle w:val="36"/>
                <w:rFonts w:hint="eastAsia" w:ascii="宋体" w:hAnsi="宋体" w:eastAsia="宋体" w:cs="宋体"/>
                <w:color w:val="auto"/>
                <w:highlight w:val="none"/>
                <w:lang w:bidi="ar"/>
              </w:rPr>
              <w:t xml:space="preserve">      (1</w:t>
            </w:r>
            <w:r>
              <w:rPr>
                <w:rFonts w:hint="eastAsia" w:ascii="宋体" w:hAnsi="宋体" w:eastAsia="宋体" w:cs="宋体"/>
                <w:color w:val="auto"/>
                <w:kern w:val="0"/>
                <w:sz w:val="24"/>
                <w:highlight w:val="none"/>
                <w:lang w:bidi="ar"/>
              </w:rPr>
              <w:t>号</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250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w:t>
            </w:r>
            <w:r>
              <w:rPr>
                <w:rStyle w:val="36"/>
                <w:rFonts w:hint="eastAsia" w:ascii="宋体" w:hAnsi="宋体" w:eastAsia="宋体" w:cs="宋体"/>
                <w:color w:val="auto"/>
                <w:highlight w:val="none"/>
                <w:lang w:bidi="ar"/>
              </w:rPr>
              <w:t>2</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w:t>
            </w:r>
            <w:r>
              <w:rPr>
                <w:rStyle w:val="36"/>
                <w:rFonts w:hint="eastAsia" w:ascii="宋体" w:hAnsi="宋体" w:eastAsia="宋体" w:cs="宋体"/>
                <w:color w:val="auto"/>
                <w:highlight w:val="none"/>
                <w:lang w:bidi="ar"/>
              </w:rPr>
              <w:t>3—4</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150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w:t>
            </w:r>
            <w:r>
              <w:rPr>
                <w:rStyle w:val="36"/>
                <w:rFonts w:hint="eastAsia" w:ascii="宋体" w:hAnsi="宋体" w:eastAsia="宋体" w:cs="宋体"/>
                <w:color w:val="auto"/>
                <w:highlight w:val="none"/>
                <w:lang w:bidi="ar"/>
              </w:rPr>
              <w:t>5</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w:t>
            </w:r>
            <w:r>
              <w:rPr>
                <w:rStyle w:val="36"/>
                <w:rFonts w:hint="eastAsia" w:ascii="宋体" w:hAnsi="宋体" w:eastAsia="宋体" w:cs="宋体"/>
                <w:color w:val="auto"/>
                <w:highlight w:val="none"/>
                <w:lang w:bidi="ar"/>
              </w:rPr>
              <w:t>6</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40"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w:t>
            </w:r>
            <w:r>
              <w:rPr>
                <w:rStyle w:val="36"/>
                <w:rFonts w:hint="eastAsia" w:ascii="宋体" w:hAnsi="宋体" w:eastAsia="宋体" w:cs="宋体"/>
                <w:color w:val="auto"/>
                <w:highlight w:val="none"/>
                <w:lang w:bidi="ar"/>
              </w:rPr>
              <w:t>7</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22"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w:t>
            </w:r>
            <w:r>
              <w:rPr>
                <w:rStyle w:val="36"/>
                <w:rFonts w:hint="eastAsia" w:ascii="宋体" w:hAnsi="宋体" w:eastAsia="宋体" w:cs="宋体"/>
                <w:color w:val="auto"/>
                <w:highlight w:val="none"/>
                <w:lang w:bidi="ar"/>
              </w:rPr>
              <w:t>8</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东塘路</w:t>
            </w:r>
            <w:r>
              <w:rPr>
                <w:rStyle w:val="36"/>
                <w:rFonts w:hint="eastAsia" w:ascii="宋体" w:hAnsi="宋体" w:eastAsia="宋体" w:cs="宋体"/>
                <w:color w:val="auto"/>
                <w:highlight w:val="none"/>
                <w:lang w:bidi="ar"/>
              </w:rPr>
              <w:t xml:space="preserve">     </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300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南苑社区</w:t>
            </w:r>
          </w:p>
        </w:tc>
        <w:tc>
          <w:tcPr>
            <w:tcW w:w="181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南苑社区之二</w:t>
            </w: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w:t>
            </w:r>
            <w:r>
              <w:rPr>
                <w:rStyle w:val="36"/>
                <w:rFonts w:hint="eastAsia" w:ascii="宋体" w:hAnsi="宋体" w:eastAsia="宋体" w:cs="宋体"/>
                <w:color w:val="auto"/>
                <w:highlight w:val="none"/>
                <w:lang w:bidi="ar"/>
              </w:rPr>
              <w:t>9</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w:t>
            </w:r>
            <w:r>
              <w:rPr>
                <w:rStyle w:val="36"/>
                <w:rFonts w:hint="eastAsia" w:ascii="宋体" w:hAnsi="宋体" w:eastAsia="宋体" w:cs="宋体"/>
                <w:color w:val="auto"/>
                <w:highlight w:val="none"/>
                <w:lang w:bidi="ar"/>
              </w:rPr>
              <w:t>10</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w:t>
            </w:r>
            <w:r>
              <w:rPr>
                <w:rStyle w:val="36"/>
                <w:rFonts w:hint="eastAsia" w:ascii="宋体" w:hAnsi="宋体" w:eastAsia="宋体" w:cs="宋体"/>
                <w:color w:val="auto"/>
                <w:highlight w:val="none"/>
                <w:lang w:bidi="ar"/>
              </w:rPr>
              <w:t>11</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w:t>
            </w:r>
            <w:r>
              <w:rPr>
                <w:rStyle w:val="36"/>
                <w:rFonts w:hint="eastAsia" w:ascii="宋体" w:hAnsi="宋体" w:eastAsia="宋体" w:cs="宋体"/>
                <w:color w:val="auto"/>
                <w:highlight w:val="none"/>
                <w:lang w:bidi="ar"/>
              </w:rPr>
              <w:t>12</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w:t>
            </w:r>
            <w:r>
              <w:rPr>
                <w:rStyle w:val="36"/>
                <w:rFonts w:hint="eastAsia" w:ascii="宋体" w:hAnsi="宋体" w:eastAsia="宋体" w:cs="宋体"/>
                <w:color w:val="auto"/>
                <w:highlight w:val="none"/>
                <w:lang w:bidi="ar"/>
              </w:rPr>
              <w:t>13</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w:t>
            </w:r>
            <w:r>
              <w:rPr>
                <w:rStyle w:val="36"/>
                <w:rFonts w:hint="eastAsia" w:ascii="宋体" w:hAnsi="宋体" w:eastAsia="宋体" w:cs="宋体"/>
                <w:color w:val="auto"/>
                <w:highlight w:val="none"/>
                <w:lang w:bidi="ar"/>
              </w:rPr>
              <w:t>14</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w:t>
            </w:r>
            <w:r>
              <w:rPr>
                <w:rStyle w:val="36"/>
                <w:rFonts w:hint="eastAsia" w:ascii="宋体" w:hAnsi="宋体" w:eastAsia="宋体" w:cs="宋体"/>
                <w:color w:val="auto"/>
                <w:highlight w:val="none"/>
                <w:lang w:bidi="ar"/>
              </w:rPr>
              <w:t>15</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12-15幢西幢间路</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150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w:t>
            </w:r>
            <w:r>
              <w:rPr>
                <w:rStyle w:val="36"/>
                <w:rFonts w:hint="eastAsia" w:ascii="宋体" w:hAnsi="宋体" w:eastAsia="宋体" w:cs="宋体"/>
                <w:color w:val="auto"/>
                <w:highlight w:val="none"/>
                <w:lang w:bidi="ar"/>
              </w:rPr>
              <w:t>21</w:t>
            </w:r>
            <w:r>
              <w:rPr>
                <w:rFonts w:hint="eastAsia" w:ascii="宋体" w:hAnsi="宋体" w:eastAsia="宋体" w:cs="宋体"/>
                <w:color w:val="auto"/>
                <w:kern w:val="0"/>
                <w:sz w:val="24"/>
                <w:highlight w:val="none"/>
                <w:lang w:bidi="ar"/>
              </w:rPr>
              <w:t>幢北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w:t>
            </w:r>
            <w:r>
              <w:rPr>
                <w:rStyle w:val="36"/>
                <w:rFonts w:hint="eastAsia" w:ascii="宋体" w:hAnsi="宋体" w:eastAsia="宋体" w:cs="宋体"/>
                <w:color w:val="auto"/>
                <w:highlight w:val="none"/>
                <w:lang w:bidi="ar"/>
              </w:rPr>
              <w:t>22</w:t>
            </w:r>
            <w:r>
              <w:rPr>
                <w:rFonts w:hint="eastAsia" w:ascii="宋体" w:hAnsi="宋体" w:eastAsia="宋体" w:cs="宋体"/>
                <w:color w:val="auto"/>
                <w:kern w:val="0"/>
                <w:sz w:val="24"/>
                <w:highlight w:val="none"/>
                <w:lang w:bidi="ar"/>
              </w:rPr>
              <w:t>幢北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w:t>
            </w:r>
            <w:r>
              <w:rPr>
                <w:rStyle w:val="36"/>
                <w:rFonts w:hint="eastAsia" w:ascii="宋体" w:hAnsi="宋体" w:eastAsia="宋体" w:cs="宋体"/>
                <w:color w:val="auto"/>
                <w:highlight w:val="none"/>
                <w:lang w:bidi="ar"/>
              </w:rPr>
              <w:t>23</w:t>
            </w:r>
            <w:r>
              <w:rPr>
                <w:rFonts w:hint="eastAsia" w:ascii="宋体" w:hAnsi="宋体" w:eastAsia="宋体" w:cs="宋体"/>
                <w:color w:val="auto"/>
                <w:kern w:val="0"/>
                <w:sz w:val="24"/>
                <w:highlight w:val="none"/>
                <w:lang w:bidi="ar"/>
              </w:rPr>
              <w:t>幢北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w:t>
            </w:r>
            <w:r>
              <w:rPr>
                <w:rStyle w:val="36"/>
                <w:rFonts w:hint="eastAsia" w:ascii="宋体" w:hAnsi="宋体" w:eastAsia="宋体" w:cs="宋体"/>
                <w:color w:val="auto"/>
                <w:highlight w:val="none"/>
                <w:lang w:bidi="ar"/>
              </w:rPr>
              <w:t>24</w:t>
            </w:r>
            <w:r>
              <w:rPr>
                <w:rFonts w:hint="eastAsia" w:ascii="宋体" w:hAnsi="宋体" w:eastAsia="宋体" w:cs="宋体"/>
                <w:color w:val="auto"/>
                <w:kern w:val="0"/>
                <w:sz w:val="24"/>
                <w:highlight w:val="none"/>
                <w:lang w:bidi="ar"/>
              </w:rPr>
              <w:t>幢北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170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w:t>
            </w:r>
            <w:r>
              <w:rPr>
                <w:rStyle w:val="36"/>
                <w:rFonts w:hint="eastAsia" w:ascii="宋体" w:hAnsi="宋体" w:eastAsia="宋体" w:cs="宋体"/>
                <w:color w:val="auto"/>
                <w:highlight w:val="none"/>
                <w:lang w:bidi="ar"/>
              </w:rPr>
              <w:t>30</w:t>
            </w:r>
            <w:r>
              <w:rPr>
                <w:rFonts w:hint="eastAsia" w:ascii="宋体" w:hAnsi="宋体" w:eastAsia="宋体" w:cs="宋体"/>
                <w:color w:val="auto"/>
                <w:kern w:val="0"/>
                <w:sz w:val="24"/>
                <w:highlight w:val="none"/>
                <w:lang w:bidi="ar"/>
              </w:rPr>
              <w:t>幢北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w:t>
            </w:r>
            <w:r>
              <w:rPr>
                <w:rStyle w:val="36"/>
                <w:rFonts w:hint="eastAsia" w:ascii="宋体" w:hAnsi="宋体" w:eastAsia="宋体" w:cs="宋体"/>
                <w:color w:val="auto"/>
                <w:highlight w:val="none"/>
                <w:lang w:bidi="ar"/>
              </w:rPr>
              <w:t>31</w:t>
            </w:r>
            <w:r>
              <w:rPr>
                <w:rFonts w:hint="eastAsia" w:ascii="宋体" w:hAnsi="宋体" w:eastAsia="宋体" w:cs="宋体"/>
                <w:color w:val="auto"/>
                <w:kern w:val="0"/>
                <w:sz w:val="24"/>
                <w:highlight w:val="none"/>
                <w:lang w:bidi="ar"/>
              </w:rPr>
              <w:t>幢北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w:t>
            </w:r>
            <w:r>
              <w:rPr>
                <w:rStyle w:val="36"/>
                <w:rFonts w:hint="eastAsia" w:ascii="宋体" w:hAnsi="宋体" w:eastAsia="宋体" w:cs="宋体"/>
                <w:color w:val="auto"/>
                <w:highlight w:val="none"/>
                <w:lang w:bidi="ar"/>
              </w:rPr>
              <w:t>32</w:t>
            </w:r>
            <w:r>
              <w:rPr>
                <w:rFonts w:hint="eastAsia" w:ascii="宋体" w:hAnsi="宋体" w:eastAsia="宋体" w:cs="宋体"/>
                <w:color w:val="auto"/>
                <w:kern w:val="0"/>
                <w:sz w:val="24"/>
                <w:highlight w:val="none"/>
                <w:lang w:bidi="ar"/>
              </w:rPr>
              <w:t>幢北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南苑社区之三</w:t>
            </w: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三家塘中心路</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315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w:t>
            </w:r>
            <w:r>
              <w:rPr>
                <w:rStyle w:val="36"/>
                <w:rFonts w:hint="eastAsia" w:ascii="宋体" w:hAnsi="宋体" w:eastAsia="宋体" w:cs="宋体"/>
                <w:color w:val="auto"/>
                <w:highlight w:val="none"/>
                <w:lang w:bidi="ar"/>
              </w:rPr>
              <w:t>37</w:t>
            </w:r>
            <w:r>
              <w:rPr>
                <w:rFonts w:hint="eastAsia" w:ascii="宋体" w:hAnsi="宋体" w:eastAsia="宋体" w:cs="宋体"/>
                <w:color w:val="auto"/>
                <w:kern w:val="0"/>
                <w:sz w:val="24"/>
                <w:highlight w:val="none"/>
                <w:lang w:bidi="ar"/>
              </w:rPr>
              <w:t>幢南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w:t>
            </w:r>
            <w:r>
              <w:rPr>
                <w:rStyle w:val="36"/>
                <w:rFonts w:hint="eastAsia" w:ascii="宋体" w:hAnsi="宋体" w:eastAsia="宋体" w:cs="宋体"/>
                <w:color w:val="auto"/>
                <w:highlight w:val="none"/>
                <w:lang w:bidi="ar"/>
              </w:rPr>
              <w:t>38</w:t>
            </w:r>
            <w:r>
              <w:rPr>
                <w:rFonts w:hint="eastAsia" w:ascii="宋体" w:hAnsi="宋体" w:eastAsia="宋体" w:cs="宋体"/>
                <w:color w:val="auto"/>
                <w:kern w:val="0"/>
                <w:sz w:val="24"/>
                <w:highlight w:val="none"/>
                <w:lang w:bidi="ar"/>
              </w:rPr>
              <w:t>幢南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w:t>
            </w:r>
            <w:r>
              <w:rPr>
                <w:rStyle w:val="36"/>
                <w:rFonts w:hint="eastAsia" w:ascii="宋体" w:hAnsi="宋体" w:eastAsia="宋体" w:cs="宋体"/>
                <w:color w:val="auto"/>
                <w:highlight w:val="none"/>
                <w:lang w:bidi="ar"/>
              </w:rPr>
              <w:t>45-46</w:t>
            </w:r>
            <w:r>
              <w:rPr>
                <w:rFonts w:hint="eastAsia" w:ascii="宋体" w:hAnsi="宋体" w:eastAsia="宋体" w:cs="宋体"/>
                <w:color w:val="auto"/>
                <w:kern w:val="0"/>
                <w:sz w:val="24"/>
                <w:highlight w:val="none"/>
                <w:lang w:bidi="ar"/>
              </w:rPr>
              <w:t>幢中间</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150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w:t>
            </w:r>
            <w:r>
              <w:rPr>
                <w:rStyle w:val="36"/>
                <w:rFonts w:hint="eastAsia" w:ascii="宋体" w:hAnsi="宋体" w:eastAsia="宋体" w:cs="宋体"/>
                <w:color w:val="auto"/>
                <w:highlight w:val="none"/>
                <w:lang w:bidi="ar"/>
              </w:rPr>
              <w:t>39</w:t>
            </w:r>
            <w:r>
              <w:rPr>
                <w:rFonts w:hint="eastAsia" w:ascii="宋体" w:hAnsi="宋体" w:eastAsia="宋体" w:cs="宋体"/>
                <w:color w:val="auto"/>
                <w:kern w:val="0"/>
                <w:sz w:val="24"/>
                <w:highlight w:val="none"/>
                <w:lang w:bidi="ar"/>
              </w:rPr>
              <w:t>幢北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w:t>
            </w:r>
            <w:r>
              <w:rPr>
                <w:rStyle w:val="36"/>
                <w:rFonts w:hint="eastAsia" w:ascii="宋体" w:hAnsi="宋体" w:eastAsia="宋体" w:cs="宋体"/>
                <w:color w:val="auto"/>
                <w:highlight w:val="none"/>
                <w:lang w:bidi="ar"/>
              </w:rPr>
              <w:t>40</w:t>
            </w:r>
            <w:r>
              <w:rPr>
                <w:rFonts w:hint="eastAsia" w:ascii="宋体" w:hAnsi="宋体" w:eastAsia="宋体" w:cs="宋体"/>
                <w:color w:val="auto"/>
                <w:kern w:val="0"/>
                <w:sz w:val="24"/>
                <w:highlight w:val="none"/>
                <w:lang w:bidi="ar"/>
              </w:rPr>
              <w:t>幢北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w:t>
            </w:r>
            <w:r>
              <w:rPr>
                <w:rStyle w:val="36"/>
                <w:rFonts w:hint="eastAsia" w:ascii="宋体" w:hAnsi="宋体" w:eastAsia="宋体" w:cs="宋体"/>
                <w:color w:val="auto"/>
                <w:highlight w:val="none"/>
                <w:lang w:bidi="ar"/>
              </w:rPr>
              <w:t>47</w:t>
            </w:r>
            <w:r>
              <w:rPr>
                <w:rFonts w:hint="eastAsia" w:ascii="宋体" w:hAnsi="宋体" w:eastAsia="宋体" w:cs="宋体"/>
                <w:color w:val="auto"/>
                <w:kern w:val="0"/>
                <w:sz w:val="24"/>
                <w:highlight w:val="none"/>
                <w:lang w:bidi="ar"/>
              </w:rPr>
              <w:t>幢北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w:t>
            </w:r>
            <w:r>
              <w:rPr>
                <w:rStyle w:val="36"/>
                <w:rFonts w:hint="eastAsia" w:ascii="宋体" w:hAnsi="宋体" w:eastAsia="宋体" w:cs="宋体"/>
                <w:color w:val="auto"/>
                <w:highlight w:val="none"/>
                <w:lang w:bidi="ar"/>
              </w:rPr>
              <w:t>48</w:t>
            </w:r>
            <w:r>
              <w:rPr>
                <w:rFonts w:hint="eastAsia" w:ascii="宋体" w:hAnsi="宋体" w:eastAsia="宋体" w:cs="宋体"/>
                <w:color w:val="auto"/>
                <w:kern w:val="0"/>
                <w:sz w:val="24"/>
                <w:highlight w:val="none"/>
                <w:lang w:bidi="ar"/>
              </w:rPr>
              <w:t>幢北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53-56幢东幢间路</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w:t>
            </w:r>
            <w:r>
              <w:rPr>
                <w:rStyle w:val="36"/>
                <w:rFonts w:hint="eastAsia" w:ascii="宋体" w:hAnsi="宋体" w:eastAsia="宋体" w:cs="宋体"/>
                <w:color w:val="auto"/>
                <w:highlight w:val="none"/>
                <w:lang w:bidi="ar"/>
              </w:rPr>
              <w:t>53</w:t>
            </w:r>
            <w:r>
              <w:rPr>
                <w:rFonts w:hint="eastAsia" w:ascii="宋体" w:hAnsi="宋体" w:eastAsia="宋体" w:cs="宋体"/>
                <w:color w:val="auto"/>
                <w:kern w:val="0"/>
                <w:sz w:val="24"/>
                <w:highlight w:val="none"/>
                <w:lang w:bidi="ar"/>
              </w:rPr>
              <w:t>幢北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w:t>
            </w:r>
            <w:r>
              <w:rPr>
                <w:rStyle w:val="36"/>
                <w:rFonts w:hint="eastAsia" w:ascii="宋体" w:hAnsi="宋体" w:eastAsia="宋体" w:cs="宋体"/>
                <w:color w:val="auto"/>
                <w:highlight w:val="none"/>
                <w:lang w:bidi="ar"/>
              </w:rPr>
              <w:t>54</w:t>
            </w:r>
            <w:r>
              <w:rPr>
                <w:rFonts w:hint="eastAsia" w:ascii="宋体" w:hAnsi="宋体" w:eastAsia="宋体" w:cs="宋体"/>
                <w:color w:val="auto"/>
                <w:kern w:val="0"/>
                <w:sz w:val="24"/>
                <w:highlight w:val="none"/>
                <w:lang w:bidi="ar"/>
              </w:rPr>
              <w:t>幢北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w:t>
            </w:r>
            <w:r>
              <w:rPr>
                <w:rStyle w:val="36"/>
                <w:rFonts w:hint="eastAsia" w:ascii="宋体" w:hAnsi="宋体" w:eastAsia="宋体" w:cs="宋体"/>
                <w:color w:val="auto"/>
                <w:highlight w:val="none"/>
                <w:lang w:bidi="ar"/>
              </w:rPr>
              <w:t>55</w:t>
            </w:r>
            <w:r>
              <w:rPr>
                <w:rFonts w:hint="eastAsia" w:ascii="宋体" w:hAnsi="宋体" w:eastAsia="宋体" w:cs="宋体"/>
                <w:color w:val="auto"/>
                <w:kern w:val="0"/>
                <w:sz w:val="24"/>
                <w:highlight w:val="none"/>
                <w:lang w:bidi="ar"/>
              </w:rPr>
              <w:t>幢北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w:t>
            </w:r>
            <w:r>
              <w:rPr>
                <w:rStyle w:val="36"/>
                <w:rFonts w:hint="eastAsia" w:ascii="宋体" w:hAnsi="宋体" w:eastAsia="宋体" w:cs="宋体"/>
                <w:color w:val="auto"/>
                <w:highlight w:val="none"/>
                <w:lang w:bidi="ar"/>
              </w:rPr>
              <w:t>56</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 xml:space="preserve">    </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w:t>
            </w:r>
            <w:r>
              <w:rPr>
                <w:rStyle w:val="36"/>
                <w:rFonts w:hint="eastAsia" w:ascii="宋体" w:hAnsi="宋体" w:eastAsia="宋体" w:cs="宋体"/>
                <w:color w:val="auto"/>
                <w:highlight w:val="none"/>
                <w:lang w:bidi="ar"/>
              </w:rPr>
              <w:t>49</w:t>
            </w:r>
            <w:r>
              <w:rPr>
                <w:rFonts w:hint="eastAsia" w:ascii="宋体" w:hAnsi="宋体" w:eastAsia="宋体" w:cs="宋体"/>
                <w:color w:val="auto"/>
                <w:kern w:val="0"/>
                <w:sz w:val="24"/>
                <w:highlight w:val="none"/>
                <w:lang w:bidi="ar"/>
              </w:rPr>
              <w:t>幢北</w:t>
            </w:r>
            <w:r>
              <w:rPr>
                <w:rStyle w:val="36"/>
                <w:rFonts w:hint="eastAsia" w:ascii="宋体" w:hAnsi="宋体" w:eastAsia="宋体" w:cs="宋体"/>
                <w:color w:val="auto"/>
                <w:highlight w:val="none"/>
                <w:lang w:bidi="ar"/>
              </w:rPr>
              <w:t xml:space="preserve">     </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南苑社区之四</w:t>
            </w: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西塘中心路</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350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w:t>
            </w:r>
            <w:r>
              <w:rPr>
                <w:rStyle w:val="36"/>
                <w:rFonts w:hint="eastAsia" w:ascii="宋体" w:hAnsi="宋体" w:eastAsia="宋体" w:cs="宋体"/>
                <w:color w:val="auto"/>
                <w:highlight w:val="none"/>
                <w:lang w:bidi="ar"/>
              </w:rPr>
              <w:t>59</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 xml:space="preserve"> </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w:t>
            </w:r>
            <w:r>
              <w:rPr>
                <w:rStyle w:val="36"/>
                <w:rFonts w:hint="eastAsia" w:ascii="宋体" w:hAnsi="宋体" w:eastAsia="宋体" w:cs="宋体"/>
                <w:color w:val="auto"/>
                <w:highlight w:val="none"/>
                <w:lang w:bidi="ar"/>
              </w:rPr>
              <w:t>60</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 xml:space="preserve"> </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w:t>
            </w:r>
            <w:r>
              <w:rPr>
                <w:rStyle w:val="36"/>
                <w:rFonts w:hint="eastAsia" w:ascii="宋体" w:hAnsi="宋体" w:eastAsia="宋体" w:cs="宋体"/>
                <w:color w:val="auto"/>
                <w:highlight w:val="none"/>
                <w:lang w:bidi="ar"/>
              </w:rPr>
              <w:t>61</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 xml:space="preserve"> </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w:t>
            </w:r>
            <w:r>
              <w:rPr>
                <w:rStyle w:val="36"/>
                <w:rFonts w:hint="eastAsia" w:ascii="宋体" w:hAnsi="宋体" w:eastAsia="宋体" w:cs="宋体"/>
                <w:color w:val="auto"/>
                <w:highlight w:val="none"/>
                <w:lang w:bidi="ar"/>
              </w:rPr>
              <w:t>62</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 xml:space="preserve"> </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64幢北</w:t>
            </w:r>
            <w:r>
              <w:rPr>
                <w:rStyle w:val="36"/>
                <w:rFonts w:hint="eastAsia" w:ascii="宋体" w:hAnsi="宋体" w:eastAsia="宋体" w:cs="宋体"/>
                <w:color w:val="auto"/>
                <w:highlight w:val="none"/>
                <w:lang w:bidi="ar"/>
              </w:rPr>
              <w:t>—63</w:t>
            </w:r>
            <w:r>
              <w:rPr>
                <w:rFonts w:hint="eastAsia" w:ascii="宋体" w:hAnsi="宋体" w:eastAsia="宋体" w:cs="宋体"/>
                <w:color w:val="auto"/>
                <w:kern w:val="0"/>
                <w:sz w:val="24"/>
                <w:highlight w:val="none"/>
                <w:lang w:bidi="ar"/>
              </w:rPr>
              <w:t>幢南西塘中路</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300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57、</w:t>
            </w:r>
            <w:r>
              <w:rPr>
                <w:rStyle w:val="36"/>
                <w:rFonts w:hint="eastAsia" w:ascii="宋体" w:hAnsi="宋体" w:eastAsia="宋体" w:cs="宋体"/>
                <w:color w:val="auto"/>
                <w:highlight w:val="none"/>
                <w:lang w:bidi="ar"/>
              </w:rPr>
              <w:t>64</w:t>
            </w:r>
            <w:r>
              <w:rPr>
                <w:rFonts w:hint="eastAsia" w:ascii="宋体" w:hAnsi="宋体" w:eastAsia="宋体" w:cs="宋体"/>
                <w:color w:val="auto"/>
                <w:kern w:val="0"/>
                <w:sz w:val="24"/>
                <w:highlight w:val="none"/>
                <w:lang w:bidi="ar"/>
              </w:rPr>
              <w:t>幢北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w:t>
            </w:r>
            <w:r>
              <w:rPr>
                <w:rStyle w:val="36"/>
                <w:rFonts w:hint="eastAsia" w:ascii="宋体" w:hAnsi="宋体" w:eastAsia="宋体" w:cs="宋体"/>
                <w:color w:val="auto"/>
                <w:highlight w:val="none"/>
                <w:lang w:bidi="ar"/>
              </w:rPr>
              <w:t>66</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w:t>
            </w:r>
            <w:r>
              <w:rPr>
                <w:rStyle w:val="36"/>
                <w:rFonts w:hint="eastAsia" w:ascii="宋体" w:hAnsi="宋体" w:eastAsia="宋体" w:cs="宋体"/>
                <w:color w:val="auto"/>
                <w:highlight w:val="none"/>
                <w:lang w:bidi="ar"/>
              </w:rPr>
              <w:t>67</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w:t>
            </w:r>
            <w:r>
              <w:rPr>
                <w:rStyle w:val="36"/>
                <w:rFonts w:hint="eastAsia" w:ascii="宋体" w:hAnsi="宋体" w:eastAsia="宋体" w:cs="宋体"/>
                <w:color w:val="auto"/>
                <w:highlight w:val="none"/>
                <w:lang w:bidi="ar"/>
              </w:rPr>
              <w:t>68</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南苑社区之五</w:t>
            </w: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65幢东</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西塘西路</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230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w:t>
            </w:r>
            <w:r>
              <w:rPr>
                <w:rStyle w:val="36"/>
                <w:rFonts w:hint="eastAsia" w:ascii="宋体" w:hAnsi="宋体" w:eastAsia="宋体" w:cs="宋体"/>
                <w:color w:val="auto"/>
                <w:highlight w:val="none"/>
                <w:lang w:bidi="ar"/>
              </w:rPr>
              <w:t>18</w:t>
            </w:r>
            <w:r>
              <w:rPr>
                <w:rFonts w:hint="eastAsia" w:ascii="宋体" w:hAnsi="宋体" w:eastAsia="宋体" w:cs="宋体"/>
                <w:color w:val="auto"/>
                <w:kern w:val="0"/>
                <w:sz w:val="24"/>
                <w:highlight w:val="none"/>
                <w:lang w:bidi="ar"/>
              </w:rPr>
              <w:t>幢北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w:t>
            </w:r>
            <w:r>
              <w:rPr>
                <w:rStyle w:val="36"/>
                <w:rFonts w:hint="eastAsia" w:ascii="宋体" w:hAnsi="宋体" w:eastAsia="宋体" w:cs="宋体"/>
                <w:color w:val="auto"/>
                <w:highlight w:val="none"/>
                <w:lang w:bidi="ar"/>
              </w:rPr>
              <w:t>19</w:t>
            </w:r>
            <w:r>
              <w:rPr>
                <w:rFonts w:hint="eastAsia" w:ascii="宋体" w:hAnsi="宋体" w:eastAsia="宋体" w:cs="宋体"/>
                <w:color w:val="auto"/>
                <w:kern w:val="0"/>
                <w:sz w:val="24"/>
                <w:highlight w:val="none"/>
                <w:lang w:bidi="ar"/>
              </w:rPr>
              <w:t>幢北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w:t>
            </w:r>
            <w:r>
              <w:rPr>
                <w:rStyle w:val="36"/>
                <w:rFonts w:hint="eastAsia" w:ascii="宋体" w:hAnsi="宋体" w:eastAsia="宋体" w:cs="宋体"/>
                <w:color w:val="auto"/>
                <w:highlight w:val="none"/>
                <w:lang w:bidi="ar"/>
              </w:rPr>
              <w:t>17</w:t>
            </w:r>
            <w:r>
              <w:rPr>
                <w:rFonts w:hint="eastAsia" w:ascii="宋体" w:hAnsi="宋体" w:eastAsia="宋体" w:cs="宋体"/>
                <w:color w:val="auto"/>
                <w:kern w:val="0"/>
                <w:sz w:val="24"/>
                <w:highlight w:val="none"/>
                <w:lang w:bidi="ar"/>
              </w:rPr>
              <w:t>幢北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w:t>
            </w:r>
            <w:r>
              <w:rPr>
                <w:rStyle w:val="36"/>
                <w:rFonts w:hint="eastAsia" w:ascii="宋体" w:hAnsi="宋体" w:eastAsia="宋体" w:cs="宋体"/>
                <w:color w:val="auto"/>
                <w:highlight w:val="none"/>
                <w:lang w:bidi="ar"/>
              </w:rPr>
              <w:t>27</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 xml:space="preserve">    </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w:t>
            </w:r>
            <w:r>
              <w:rPr>
                <w:rStyle w:val="36"/>
                <w:rFonts w:hint="eastAsia" w:ascii="宋体" w:hAnsi="宋体" w:eastAsia="宋体" w:cs="宋体"/>
                <w:color w:val="auto"/>
                <w:highlight w:val="none"/>
                <w:lang w:bidi="ar"/>
              </w:rPr>
              <w:t>28</w:t>
            </w:r>
            <w:r>
              <w:rPr>
                <w:rFonts w:hint="eastAsia" w:ascii="宋体" w:hAnsi="宋体" w:eastAsia="宋体" w:cs="宋体"/>
                <w:color w:val="auto"/>
                <w:kern w:val="0"/>
                <w:sz w:val="24"/>
                <w:highlight w:val="none"/>
                <w:lang w:bidi="ar"/>
              </w:rPr>
              <w:t>幢北</w:t>
            </w:r>
            <w:r>
              <w:rPr>
                <w:rStyle w:val="36"/>
                <w:rFonts w:hint="eastAsia" w:ascii="宋体" w:hAnsi="宋体" w:eastAsia="宋体" w:cs="宋体"/>
                <w:color w:val="auto"/>
                <w:highlight w:val="none"/>
                <w:lang w:bidi="ar"/>
              </w:rPr>
              <w:t xml:space="preserve">      </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南苑社区</w:t>
            </w:r>
          </w:p>
        </w:tc>
        <w:tc>
          <w:tcPr>
            <w:tcW w:w="181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南苑社区之五</w:t>
            </w: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w:t>
            </w:r>
            <w:r>
              <w:rPr>
                <w:rStyle w:val="36"/>
                <w:rFonts w:hint="eastAsia" w:ascii="宋体" w:hAnsi="宋体" w:eastAsia="宋体" w:cs="宋体"/>
                <w:color w:val="auto"/>
                <w:highlight w:val="none"/>
                <w:lang w:bidi="ar"/>
              </w:rPr>
              <w:t>34</w:t>
            </w:r>
            <w:r>
              <w:rPr>
                <w:rFonts w:hint="eastAsia" w:ascii="宋体" w:hAnsi="宋体" w:eastAsia="宋体" w:cs="宋体"/>
                <w:color w:val="auto"/>
                <w:kern w:val="0"/>
                <w:sz w:val="24"/>
                <w:highlight w:val="none"/>
                <w:lang w:bidi="ar"/>
              </w:rPr>
              <w:t>幢北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165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7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w:t>
            </w:r>
            <w:r>
              <w:rPr>
                <w:rStyle w:val="36"/>
                <w:rFonts w:hint="eastAsia" w:ascii="宋体" w:hAnsi="宋体" w:eastAsia="宋体" w:cs="宋体"/>
                <w:color w:val="auto"/>
                <w:highlight w:val="none"/>
                <w:lang w:bidi="ar"/>
              </w:rPr>
              <w:t>35</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 xml:space="preserve"> </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165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7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w:t>
            </w:r>
            <w:r>
              <w:rPr>
                <w:rStyle w:val="36"/>
                <w:rFonts w:hint="eastAsia" w:ascii="宋体" w:hAnsi="宋体" w:eastAsia="宋体" w:cs="宋体"/>
                <w:color w:val="auto"/>
                <w:highlight w:val="none"/>
                <w:lang w:bidi="ar"/>
              </w:rPr>
              <w:t>42</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 xml:space="preserve"> </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165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w:t>
            </w:r>
            <w:r>
              <w:rPr>
                <w:rStyle w:val="36"/>
                <w:rFonts w:hint="eastAsia" w:ascii="宋体" w:hAnsi="宋体" w:eastAsia="宋体" w:cs="宋体"/>
                <w:color w:val="auto"/>
                <w:highlight w:val="none"/>
                <w:lang w:bidi="ar"/>
              </w:rPr>
              <w:t>51</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 xml:space="preserve"> </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115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44-52幢间路</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43幢西幢间路</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43幢东幢间路</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南苑社区之六</w:t>
            </w: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区内东西路</w:t>
            </w:r>
          </w:p>
        </w:tc>
        <w:tc>
          <w:tcPr>
            <w:tcW w:w="152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585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西塘传达室</w:t>
            </w:r>
            <w:r>
              <w:rPr>
                <w:rStyle w:val="36"/>
                <w:rFonts w:hint="eastAsia" w:ascii="宋体" w:hAnsi="宋体" w:eastAsia="宋体" w:cs="宋体"/>
                <w:color w:val="auto"/>
                <w:highlight w:val="none"/>
                <w:lang w:bidi="ar"/>
              </w:rPr>
              <w:t>-20</w:t>
            </w:r>
            <w:r>
              <w:rPr>
                <w:rFonts w:hint="eastAsia" w:ascii="宋体" w:hAnsi="宋体" w:eastAsia="宋体" w:cs="宋体"/>
                <w:color w:val="auto"/>
                <w:kern w:val="0"/>
                <w:sz w:val="24"/>
                <w:highlight w:val="none"/>
                <w:lang w:bidi="ar"/>
              </w:rPr>
              <w:t>幢北</w:t>
            </w:r>
          </w:p>
        </w:tc>
        <w:tc>
          <w:tcPr>
            <w:tcW w:w="152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w:t>
            </w:r>
          </w:p>
        </w:tc>
        <w:tc>
          <w:tcPr>
            <w:tcW w:w="160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阔板桥社区</w:t>
            </w:r>
          </w:p>
        </w:tc>
        <w:tc>
          <w:tcPr>
            <w:tcW w:w="181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阔板桥之一</w:t>
            </w: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阔板桥</w:t>
            </w:r>
            <w:r>
              <w:rPr>
                <w:rStyle w:val="36"/>
                <w:rFonts w:hint="eastAsia" w:ascii="宋体" w:hAnsi="宋体" w:eastAsia="宋体" w:cs="宋体"/>
                <w:color w:val="auto"/>
                <w:highlight w:val="none"/>
                <w:lang w:bidi="ar"/>
              </w:rPr>
              <w:t>7</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阔板桥</w:t>
            </w:r>
            <w:r>
              <w:rPr>
                <w:rStyle w:val="36"/>
                <w:rFonts w:hint="eastAsia" w:ascii="宋体" w:hAnsi="宋体" w:eastAsia="宋体" w:cs="宋体"/>
                <w:color w:val="auto"/>
                <w:highlight w:val="none"/>
                <w:lang w:bidi="ar"/>
              </w:rPr>
              <w:t>6</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阔板桥</w:t>
            </w:r>
            <w:r>
              <w:rPr>
                <w:rStyle w:val="36"/>
                <w:rFonts w:hint="eastAsia" w:ascii="宋体" w:hAnsi="宋体" w:eastAsia="宋体" w:cs="宋体"/>
                <w:color w:val="auto"/>
                <w:highlight w:val="none"/>
                <w:lang w:bidi="ar"/>
              </w:rPr>
              <w:t>5</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阔板桥</w:t>
            </w:r>
            <w:r>
              <w:rPr>
                <w:rStyle w:val="36"/>
                <w:rFonts w:hint="eastAsia" w:ascii="宋体" w:hAnsi="宋体" w:eastAsia="宋体" w:cs="宋体"/>
                <w:color w:val="auto"/>
                <w:highlight w:val="none"/>
                <w:lang w:bidi="ar"/>
              </w:rPr>
              <w:t>4</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阔板桥</w:t>
            </w:r>
            <w:r>
              <w:rPr>
                <w:rStyle w:val="36"/>
                <w:rFonts w:hint="eastAsia" w:ascii="宋体" w:hAnsi="宋体" w:eastAsia="宋体" w:cs="宋体"/>
                <w:color w:val="auto"/>
                <w:highlight w:val="none"/>
                <w:lang w:bidi="ar"/>
              </w:rPr>
              <w:t>3</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阔板桥</w:t>
            </w:r>
            <w:r>
              <w:rPr>
                <w:rStyle w:val="36"/>
                <w:rFonts w:hint="eastAsia" w:ascii="宋体" w:hAnsi="宋体" w:eastAsia="宋体" w:cs="宋体"/>
                <w:color w:val="auto"/>
                <w:highlight w:val="none"/>
                <w:lang w:bidi="ar"/>
              </w:rPr>
              <w:t>3</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阔板桥</w:t>
            </w:r>
            <w:r>
              <w:rPr>
                <w:rStyle w:val="36"/>
                <w:rFonts w:hint="eastAsia" w:ascii="宋体" w:hAnsi="宋体" w:eastAsia="宋体" w:cs="宋体"/>
                <w:color w:val="auto"/>
                <w:highlight w:val="none"/>
                <w:lang w:bidi="ar"/>
              </w:rPr>
              <w:t>4</w:t>
            </w:r>
            <w:r>
              <w:rPr>
                <w:rFonts w:hint="eastAsia" w:ascii="宋体" w:hAnsi="宋体" w:eastAsia="宋体" w:cs="宋体"/>
                <w:color w:val="auto"/>
                <w:kern w:val="0"/>
                <w:sz w:val="24"/>
                <w:highlight w:val="none"/>
                <w:lang w:bidi="ar"/>
              </w:rPr>
              <w:t>—</w:t>
            </w:r>
            <w:r>
              <w:rPr>
                <w:rStyle w:val="36"/>
                <w:rFonts w:hint="eastAsia" w:ascii="宋体" w:hAnsi="宋体" w:eastAsia="宋体" w:cs="宋体"/>
                <w:color w:val="auto"/>
                <w:highlight w:val="none"/>
                <w:lang w:bidi="ar"/>
              </w:rPr>
              <w:t>7</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（西）</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阔板桥</w:t>
            </w:r>
            <w:r>
              <w:rPr>
                <w:rStyle w:val="36"/>
                <w:rFonts w:hint="eastAsia" w:ascii="宋体" w:hAnsi="宋体" w:eastAsia="宋体" w:cs="宋体"/>
                <w:color w:val="auto"/>
                <w:highlight w:val="none"/>
                <w:lang w:bidi="ar"/>
              </w:rPr>
              <w:t>3</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（西）</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阔板桥</w:t>
            </w:r>
            <w:r>
              <w:rPr>
                <w:rStyle w:val="36"/>
                <w:rFonts w:hint="eastAsia" w:ascii="宋体" w:hAnsi="宋体" w:eastAsia="宋体" w:cs="宋体"/>
                <w:color w:val="auto"/>
                <w:highlight w:val="none"/>
                <w:lang w:bidi="ar"/>
              </w:rPr>
              <w:t>4</w:t>
            </w:r>
            <w:r>
              <w:rPr>
                <w:rFonts w:hint="eastAsia" w:ascii="宋体" w:hAnsi="宋体" w:eastAsia="宋体" w:cs="宋体"/>
                <w:color w:val="auto"/>
                <w:kern w:val="0"/>
                <w:sz w:val="24"/>
                <w:highlight w:val="none"/>
                <w:lang w:bidi="ar"/>
              </w:rPr>
              <w:t>—</w:t>
            </w:r>
            <w:r>
              <w:rPr>
                <w:rStyle w:val="36"/>
                <w:rFonts w:hint="eastAsia" w:ascii="宋体" w:hAnsi="宋体" w:eastAsia="宋体" w:cs="宋体"/>
                <w:color w:val="auto"/>
                <w:highlight w:val="none"/>
                <w:lang w:bidi="ar"/>
              </w:rPr>
              <w:t>7</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（东）</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阔板桥</w:t>
            </w:r>
            <w:r>
              <w:rPr>
                <w:rStyle w:val="36"/>
                <w:rFonts w:hint="eastAsia" w:ascii="宋体" w:hAnsi="宋体" w:eastAsia="宋体" w:cs="宋体"/>
                <w:color w:val="auto"/>
                <w:highlight w:val="none"/>
                <w:lang w:bidi="ar"/>
              </w:rPr>
              <w:t>11</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阔板桥</w:t>
            </w:r>
            <w:r>
              <w:rPr>
                <w:rStyle w:val="36"/>
                <w:rFonts w:hint="eastAsia" w:ascii="宋体" w:hAnsi="宋体" w:eastAsia="宋体" w:cs="宋体"/>
                <w:color w:val="auto"/>
                <w:highlight w:val="none"/>
                <w:lang w:bidi="ar"/>
              </w:rPr>
              <w:t>12</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阔板桥</w:t>
            </w:r>
            <w:r>
              <w:rPr>
                <w:rStyle w:val="36"/>
                <w:rFonts w:hint="eastAsia" w:ascii="宋体" w:hAnsi="宋体" w:eastAsia="宋体" w:cs="宋体"/>
                <w:color w:val="auto"/>
                <w:highlight w:val="none"/>
                <w:lang w:bidi="ar"/>
              </w:rPr>
              <w:t>13</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阔板桥</w:t>
            </w:r>
            <w:r>
              <w:rPr>
                <w:rStyle w:val="36"/>
                <w:rFonts w:hint="eastAsia" w:ascii="宋体" w:hAnsi="宋体" w:eastAsia="宋体" w:cs="宋体"/>
                <w:color w:val="auto"/>
                <w:highlight w:val="none"/>
                <w:lang w:bidi="ar"/>
              </w:rPr>
              <w:t>14</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阔板桥</w:t>
            </w:r>
            <w:r>
              <w:rPr>
                <w:rStyle w:val="36"/>
                <w:rFonts w:hint="eastAsia" w:ascii="宋体" w:hAnsi="宋体" w:eastAsia="宋体" w:cs="宋体"/>
                <w:color w:val="auto"/>
                <w:highlight w:val="none"/>
                <w:lang w:bidi="ar"/>
              </w:rPr>
              <w:t>15</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阔板桥</w:t>
            </w:r>
            <w:r>
              <w:rPr>
                <w:rStyle w:val="36"/>
                <w:rFonts w:hint="eastAsia" w:ascii="宋体" w:hAnsi="宋体" w:eastAsia="宋体" w:cs="宋体"/>
                <w:color w:val="auto"/>
                <w:highlight w:val="none"/>
                <w:lang w:bidi="ar"/>
              </w:rPr>
              <w:t>16</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阔板桥</w:t>
            </w:r>
            <w:r>
              <w:rPr>
                <w:rStyle w:val="36"/>
                <w:rFonts w:hint="eastAsia" w:ascii="宋体" w:hAnsi="宋体" w:eastAsia="宋体" w:cs="宋体"/>
                <w:color w:val="auto"/>
                <w:highlight w:val="none"/>
                <w:lang w:bidi="ar"/>
              </w:rPr>
              <w:t>19</w:t>
            </w:r>
            <w:r>
              <w:rPr>
                <w:rFonts w:hint="eastAsia" w:ascii="宋体" w:hAnsi="宋体" w:eastAsia="宋体" w:cs="宋体"/>
                <w:color w:val="auto"/>
                <w:kern w:val="0"/>
                <w:sz w:val="24"/>
                <w:highlight w:val="none"/>
                <w:lang w:bidi="ar"/>
              </w:rPr>
              <w:t>—</w:t>
            </w:r>
            <w:r>
              <w:rPr>
                <w:rStyle w:val="36"/>
                <w:rFonts w:hint="eastAsia" w:ascii="宋体" w:hAnsi="宋体" w:eastAsia="宋体" w:cs="宋体"/>
                <w:color w:val="auto"/>
                <w:highlight w:val="none"/>
                <w:lang w:bidi="ar"/>
              </w:rPr>
              <w:t>26</w:t>
            </w:r>
            <w:r>
              <w:rPr>
                <w:rFonts w:hint="eastAsia" w:ascii="宋体" w:hAnsi="宋体" w:eastAsia="宋体" w:cs="宋体"/>
                <w:color w:val="auto"/>
                <w:kern w:val="0"/>
                <w:sz w:val="24"/>
                <w:highlight w:val="none"/>
                <w:lang w:bidi="ar"/>
              </w:rPr>
              <w:t>幢   (西)</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阔板桥</w:t>
            </w:r>
            <w:r>
              <w:rPr>
                <w:rStyle w:val="36"/>
                <w:rFonts w:hint="eastAsia" w:ascii="宋体" w:hAnsi="宋体" w:eastAsia="宋体" w:cs="宋体"/>
                <w:color w:val="auto"/>
                <w:highlight w:val="none"/>
                <w:lang w:bidi="ar"/>
              </w:rPr>
              <w:t>19</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阔板桥</w:t>
            </w:r>
            <w:r>
              <w:rPr>
                <w:rStyle w:val="36"/>
                <w:rFonts w:hint="eastAsia" w:ascii="宋体" w:hAnsi="宋体" w:eastAsia="宋体" w:cs="宋体"/>
                <w:color w:val="auto"/>
                <w:highlight w:val="none"/>
                <w:lang w:bidi="ar"/>
              </w:rPr>
              <w:t>19</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阔板桥之二</w:t>
            </w: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阔板桥</w:t>
            </w:r>
            <w:r>
              <w:rPr>
                <w:rStyle w:val="36"/>
                <w:rFonts w:hint="eastAsia" w:ascii="宋体" w:hAnsi="宋体" w:eastAsia="宋体" w:cs="宋体"/>
                <w:color w:val="auto"/>
                <w:highlight w:val="none"/>
                <w:lang w:bidi="ar"/>
              </w:rPr>
              <w:t>20</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阔板桥</w:t>
            </w:r>
            <w:r>
              <w:rPr>
                <w:rStyle w:val="36"/>
                <w:rFonts w:hint="eastAsia" w:ascii="宋体" w:hAnsi="宋体" w:eastAsia="宋体" w:cs="宋体"/>
                <w:color w:val="auto"/>
                <w:highlight w:val="none"/>
                <w:lang w:bidi="ar"/>
              </w:rPr>
              <w:t>21</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阔板桥</w:t>
            </w:r>
            <w:r>
              <w:rPr>
                <w:rStyle w:val="36"/>
                <w:rFonts w:hint="eastAsia" w:ascii="宋体" w:hAnsi="宋体" w:eastAsia="宋体" w:cs="宋体"/>
                <w:color w:val="auto"/>
                <w:highlight w:val="none"/>
                <w:lang w:bidi="ar"/>
              </w:rPr>
              <w:t>22</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阔板桥</w:t>
            </w:r>
            <w:r>
              <w:rPr>
                <w:rStyle w:val="36"/>
                <w:rFonts w:hint="eastAsia" w:ascii="宋体" w:hAnsi="宋体" w:eastAsia="宋体" w:cs="宋体"/>
                <w:color w:val="auto"/>
                <w:highlight w:val="none"/>
                <w:lang w:bidi="ar"/>
              </w:rPr>
              <w:t>23</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阔板桥</w:t>
            </w:r>
            <w:r>
              <w:rPr>
                <w:rStyle w:val="36"/>
                <w:rFonts w:hint="eastAsia" w:ascii="宋体" w:hAnsi="宋体" w:eastAsia="宋体" w:cs="宋体"/>
                <w:color w:val="auto"/>
                <w:highlight w:val="none"/>
                <w:lang w:bidi="ar"/>
              </w:rPr>
              <w:t>24</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阔板桥</w:t>
            </w:r>
            <w:r>
              <w:rPr>
                <w:rStyle w:val="36"/>
                <w:rFonts w:hint="eastAsia" w:ascii="宋体" w:hAnsi="宋体" w:eastAsia="宋体" w:cs="宋体"/>
                <w:color w:val="auto"/>
                <w:highlight w:val="none"/>
                <w:lang w:bidi="ar"/>
              </w:rPr>
              <w:t>25</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阔板桥</w:t>
            </w:r>
            <w:r>
              <w:rPr>
                <w:rStyle w:val="36"/>
                <w:rFonts w:hint="eastAsia" w:ascii="宋体" w:hAnsi="宋体" w:eastAsia="宋体" w:cs="宋体"/>
                <w:color w:val="auto"/>
                <w:highlight w:val="none"/>
                <w:lang w:bidi="ar"/>
              </w:rPr>
              <w:t>26</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阔板桥</w:t>
            </w:r>
            <w:r>
              <w:rPr>
                <w:rStyle w:val="36"/>
                <w:rFonts w:hint="eastAsia" w:ascii="宋体" w:hAnsi="宋体" w:eastAsia="宋体" w:cs="宋体"/>
                <w:color w:val="auto"/>
                <w:highlight w:val="none"/>
                <w:lang w:bidi="ar"/>
              </w:rPr>
              <w:t>27</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东</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阔板桥</w:t>
            </w:r>
            <w:r>
              <w:rPr>
                <w:rStyle w:val="36"/>
                <w:rFonts w:hint="eastAsia" w:ascii="宋体" w:hAnsi="宋体" w:eastAsia="宋体" w:cs="宋体"/>
                <w:color w:val="auto"/>
                <w:highlight w:val="none"/>
                <w:lang w:bidi="ar"/>
              </w:rPr>
              <w:t>27</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阔板桥</w:t>
            </w:r>
            <w:r>
              <w:rPr>
                <w:rStyle w:val="36"/>
                <w:rFonts w:hint="eastAsia" w:ascii="宋体" w:hAnsi="宋体" w:eastAsia="宋体" w:cs="宋体"/>
                <w:color w:val="auto"/>
                <w:highlight w:val="none"/>
                <w:lang w:bidi="ar"/>
              </w:rPr>
              <w:t>27</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阔板桥</w:t>
            </w:r>
            <w:r>
              <w:rPr>
                <w:rStyle w:val="36"/>
                <w:rFonts w:hint="eastAsia" w:ascii="宋体" w:hAnsi="宋体" w:eastAsia="宋体" w:cs="宋体"/>
                <w:color w:val="auto"/>
                <w:highlight w:val="none"/>
                <w:lang w:bidi="ar"/>
              </w:rPr>
              <w:t>28</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阔板桥</w:t>
            </w:r>
            <w:r>
              <w:rPr>
                <w:rStyle w:val="36"/>
                <w:rFonts w:hint="eastAsia" w:ascii="宋体" w:hAnsi="宋体" w:eastAsia="宋体" w:cs="宋体"/>
                <w:color w:val="auto"/>
                <w:highlight w:val="none"/>
                <w:lang w:bidi="ar"/>
              </w:rPr>
              <w:t>29</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40"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137弄</w:t>
            </w:r>
            <w:r>
              <w:rPr>
                <w:rStyle w:val="36"/>
                <w:rFonts w:hint="eastAsia" w:ascii="宋体" w:hAnsi="宋体" w:eastAsia="宋体" w:cs="宋体"/>
                <w:color w:val="auto"/>
                <w:highlight w:val="none"/>
                <w:lang w:bidi="ar"/>
              </w:rPr>
              <w:t>1</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40"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137弄</w:t>
            </w:r>
            <w:r>
              <w:rPr>
                <w:rStyle w:val="36"/>
                <w:rFonts w:hint="eastAsia" w:ascii="宋体" w:hAnsi="宋体" w:eastAsia="宋体" w:cs="宋体"/>
                <w:color w:val="auto"/>
                <w:highlight w:val="none"/>
                <w:lang w:bidi="ar"/>
              </w:rPr>
              <w:t>4</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59"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137弄</w:t>
            </w:r>
            <w:r>
              <w:rPr>
                <w:rStyle w:val="36"/>
                <w:rFonts w:hint="eastAsia" w:ascii="宋体" w:hAnsi="宋体" w:eastAsia="宋体" w:cs="宋体"/>
                <w:color w:val="auto"/>
                <w:highlight w:val="none"/>
                <w:lang w:bidi="ar"/>
              </w:rPr>
              <w:t>6</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137弄</w:t>
            </w:r>
            <w:r>
              <w:rPr>
                <w:rStyle w:val="36"/>
                <w:rFonts w:hint="eastAsia" w:ascii="宋体" w:hAnsi="宋体" w:eastAsia="宋体" w:cs="宋体"/>
                <w:color w:val="auto"/>
                <w:highlight w:val="none"/>
                <w:lang w:bidi="ar"/>
              </w:rPr>
              <w:t>8</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40"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137弄</w:t>
            </w:r>
            <w:r>
              <w:rPr>
                <w:rStyle w:val="36"/>
                <w:rFonts w:hint="eastAsia" w:ascii="宋体" w:hAnsi="宋体" w:eastAsia="宋体" w:cs="宋体"/>
                <w:color w:val="auto"/>
                <w:highlight w:val="none"/>
                <w:lang w:bidi="ar"/>
              </w:rPr>
              <w:t>10</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22"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137弄</w:t>
            </w:r>
            <w:r>
              <w:rPr>
                <w:rStyle w:val="36"/>
                <w:rFonts w:hint="eastAsia" w:ascii="宋体" w:hAnsi="宋体" w:eastAsia="宋体" w:cs="宋体"/>
                <w:color w:val="auto"/>
                <w:highlight w:val="none"/>
                <w:lang w:bidi="ar"/>
              </w:rPr>
              <w:t>12</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40"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137弄</w:t>
            </w:r>
            <w:r>
              <w:rPr>
                <w:rStyle w:val="36"/>
                <w:rFonts w:hint="eastAsia" w:ascii="宋体" w:hAnsi="宋体" w:eastAsia="宋体" w:cs="宋体"/>
                <w:color w:val="auto"/>
                <w:highlight w:val="none"/>
                <w:lang w:bidi="ar"/>
              </w:rPr>
              <w:t>12</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南</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137弄</w:t>
            </w:r>
            <w:r>
              <w:rPr>
                <w:rStyle w:val="36"/>
                <w:rFonts w:hint="eastAsia" w:ascii="宋体" w:hAnsi="宋体" w:eastAsia="宋体" w:cs="宋体"/>
                <w:color w:val="auto"/>
                <w:highlight w:val="none"/>
                <w:lang w:bidi="ar"/>
              </w:rPr>
              <w:t>4</w:t>
            </w:r>
            <w:r>
              <w:rPr>
                <w:rFonts w:hint="eastAsia" w:ascii="宋体" w:hAnsi="宋体" w:eastAsia="宋体" w:cs="宋体"/>
                <w:color w:val="auto"/>
                <w:kern w:val="0"/>
                <w:sz w:val="24"/>
                <w:highlight w:val="none"/>
                <w:lang w:bidi="ar"/>
              </w:rPr>
              <w:t>—</w:t>
            </w:r>
            <w:r>
              <w:rPr>
                <w:rStyle w:val="36"/>
                <w:rFonts w:hint="eastAsia" w:ascii="宋体" w:hAnsi="宋体" w:eastAsia="宋体" w:cs="宋体"/>
                <w:color w:val="auto"/>
                <w:highlight w:val="none"/>
                <w:lang w:bidi="ar"/>
              </w:rPr>
              <w:t>12</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东</w:t>
            </w:r>
            <w:r>
              <w:rPr>
                <w:rStyle w:val="36"/>
                <w:rFonts w:hint="eastAsia" w:ascii="宋体" w:hAnsi="宋体" w:eastAsia="宋体" w:cs="宋体"/>
                <w:color w:val="auto"/>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2" w:hRule="atLeast"/>
          <w:jc w:val="center"/>
        </w:trPr>
        <w:tc>
          <w:tcPr>
            <w:tcW w:w="47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w:t>
            </w:r>
          </w:p>
        </w:tc>
        <w:tc>
          <w:tcPr>
            <w:tcW w:w="160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西苑社区</w:t>
            </w:r>
          </w:p>
        </w:tc>
        <w:tc>
          <w:tcPr>
            <w:tcW w:w="18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中轧焦化区</w:t>
            </w: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焦化</w:t>
            </w:r>
            <w:r>
              <w:rPr>
                <w:rStyle w:val="36"/>
                <w:rFonts w:hint="eastAsia" w:ascii="宋体" w:hAnsi="宋体" w:eastAsia="宋体" w:cs="宋体"/>
                <w:color w:val="auto"/>
                <w:highlight w:val="none"/>
                <w:lang w:bidi="ar"/>
              </w:rPr>
              <w:t>6</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2"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焦化</w:t>
            </w:r>
            <w:r>
              <w:rPr>
                <w:rStyle w:val="36"/>
                <w:rFonts w:hint="eastAsia" w:ascii="宋体" w:hAnsi="宋体" w:eastAsia="宋体" w:cs="宋体"/>
                <w:color w:val="auto"/>
                <w:highlight w:val="none"/>
                <w:lang w:bidi="ar"/>
              </w:rPr>
              <w:t>7</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2"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焦化</w:t>
            </w:r>
            <w:r>
              <w:rPr>
                <w:rStyle w:val="36"/>
                <w:rFonts w:hint="eastAsia" w:ascii="宋体" w:hAnsi="宋体" w:eastAsia="宋体" w:cs="宋体"/>
                <w:color w:val="auto"/>
                <w:highlight w:val="none"/>
                <w:lang w:bidi="ar"/>
              </w:rPr>
              <w:t>8</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2"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焦化</w:t>
            </w:r>
            <w:r>
              <w:rPr>
                <w:rStyle w:val="36"/>
                <w:rFonts w:hint="eastAsia" w:ascii="宋体" w:hAnsi="宋体" w:eastAsia="宋体" w:cs="宋体"/>
                <w:color w:val="auto"/>
                <w:highlight w:val="none"/>
                <w:lang w:bidi="ar"/>
              </w:rPr>
              <w:t>9</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2"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焦化</w:t>
            </w:r>
            <w:r>
              <w:rPr>
                <w:rStyle w:val="36"/>
                <w:rFonts w:hint="eastAsia" w:ascii="宋体" w:hAnsi="宋体" w:eastAsia="宋体" w:cs="宋体"/>
                <w:color w:val="auto"/>
                <w:highlight w:val="none"/>
                <w:lang w:bidi="ar"/>
              </w:rPr>
              <w:t>10</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2"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焦化</w:t>
            </w:r>
            <w:r>
              <w:rPr>
                <w:rStyle w:val="36"/>
                <w:rFonts w:hint="eastAsia" w:ascii="宋体" w:hAnsi="宋体" w:eastAsia="宋体" w:cs="宋体"/>
                <w:color w:val="auto"/>
                <w:highlight w:val="none"/>
                <w:lang w:bidi="ar"/>
              </w:rPr>
              <w:t>6</w:t>
            </w:r>
            <w:r>
              <w:rPr>
                <w:rFonts w:hint="eastAsia" w:ascii="宋体" w:hAnsi="宋体" w:eastAsia="宋体" w:cs="宋体"/>
                <w:color w:val="auto"/>
                <w:kern w:val="0"/>
                <w:sz w:val="24"/>
                <w:highlight w:val="none"/>
                <w:lang w:bidi="ar"/>
              </w:rPr>
              <w:t>—</w:t>
            </w:r>
            <w:r>
              <w:rPr>
                <w:rStyle w:val="36"/>
                <w:rFonts w:hint="eastAsia" w:ascii="宋体" w:hAnsi="宋体" w:eastAsia="宋体" w:cs="宋体"/>
                <w:color w:val="auto"/>
                <w:highlight w:val="none"/>
                <w:lang w:bidi="ar"/>
              </w:rPr>
              <w:t>10</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（西）</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266</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2"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焦化</w:t>
            </w:r>
            <w:r>
              <w:rPr>
                <w:rStyle w:val="36"/>
                <w:rFonts w:hint="eastAsia" w:ascii="宋体" w:hAnsi="宋体" w:eastAsia="宋体" w:cs="宋体"/>
                <w:color w:val="auto"/>
                <w:highlight w:val="none"/>
                <w:lang w:bidi="ar"/>
              </w:rPr>
              <w:t>6</w:t>
            </w:r>
            <w:r>
              <w:rPr>
                <w:rFonts w:hint="eastAsia" w:ascii="宋体" w:hAnsi="宋体" w:eastAsia="宋体" w:cs="宋体"/>
                <w:color w:val="auto"/>
                <w:kern w:val="0"/>
                <w:sz w:val="24"/>
                <w:highlight w:val="none"/>
                <w:lang w:bidi="ar"/>
              </w:rPr>
              <w:t>—</w:t>
            </w:r>
            <w:r>
              <w:rPr>
                <w:rStyle w:val="36"/>
                <w:rFonts w:hint="eastAsia" w:ascii="宋体" w:hAnsi="宋体" w:eastAsia="宋体" w:cs="宋体"/>
                <w:color w:val="auto"/>
                <w:highlight w:val="none"/>
                <w:lang w:bidi="ar"/>
              </w:rPr>
              <w:t>10</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（东）</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196</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2"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中轧</w:t>
            </w:r>
            <w:r>
              <w:rPr>
                <w:rStyle w:val="36"/>
                <w:rFonts w:hint="eastAsia" w:ascii="宋体" w:hAnsi="宋体" w:eastAsia="宋体" w:cs="宋体"/>
                <w:color w:val="auto"/>
                <w:highlight w:val="none"/>
                <w:lang w:bidi="ar"/>
              </w:rPr>
              <w:t>2</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（西）</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23</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2"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中轧</w:t>
            </w:r>
            <w:r>
              <w:rPr>
                <w:rStyle w:val="36"/>
                <w:rFonts w:hint="eastAsia" w:ascii="宋体" w:hAnsi="宋体" w:eastAsia="宋体" w:cs="宋体"/>
                <w:color w:val="auto"/>
                <w:highlight w:val="none"/>
                <w:lang w:bidi="ar"/>
              </w:rPr>
              <w:t>2</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2"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中轧</w:t>
            </w:r>
            <w:r>
              <w:rPr>
                <w:rStyle w:val="36"/>
                <w:rFonts w:hint="eastAsia" w:ascii="宋体" w:hAnsi="宋体" w:eastAsia="宋体" w:cs="宋体"/>
                <w:color w:val="auto"/>
                <w:highlight w:val="none"/>
                <w:lang w:bidi="ar"/>
              </w:rPr>
              <w:t>2</w:t>
            </w:r>
            <w:r>
              <w:rPr>
                <w:rFonts w:hint="eastAsia" w:ascii="宋体" w:hAnsi="宋体" w:eastAsia="宋体" w:cs="宋体"/>
                <w:color w:val="auto"/>
                <w:kern w:val="0"/>
                <w:sz w:val="24"/>
                <w:highlight w:val="none"/>
                <w:lang w:bidi="ar"/>
              </w:rPr>
              <w:t>—</w:t>
            </w:r>
            <w:r>
              <w:rPr>
                <w:rStyle w:val="36"/>
                <w:rFonts w:hint="eastAsia" w:ascii="宋体" w:hAnsi="宋体" w:eastAsia="宋体" w:cs="宋体"/>
                <w:color w:val="auto"/>
                <w:highlight w:val="none"/>
                <w:lang w:bidi="ar"/>
              </w:rPr>
              <w:t>9</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230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2"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中轧</w:t>
            </w:r>
            <w:r>
              <w:rPr>
                <w:rStyle w:val="36"/>
                <w:rFonts w:hint="eastAsia" w:ascii="宋体" w:hAnsi="宋体" w:eastAsia="宋体" w:cs="宋体"/>
                <w:color w:val="auto"/>
                <w:highlight w:val="none"/>
                <w:lang w:bidi="ar"/>
              </w:rPr>
              <w:t>1</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（东）</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2"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中轧</w:t>
            </w:r>
            <w:r>
              <w:rPr>
                <w:rStyle w:val="36"/>
                <w:rFonts w:hint="eastAsia" w:ascii="宋体" w:hAnsi="宋体" w:eastAsia="宋体" w:cs="宋体"/>
                <w:color w:val="auto"/>
                <w:highlight w:val="none"/>
                <w:lang w:bidi="ar"/>
              </w:rPr>
              <w:t>11</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（东）</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2"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中轧</w:t>
            </w:r>
            <w:r>
              <w:rPr>
                <w:rStyle w:val="36"/>
                <w:rFonts w:hint="eastAsia" w:ascii="宋体" w:hAnsi="宋体" w:eastAsia="宋体" w:cs="宋体"/>
                <w:color w:val="auto"/>
                <w:highlight w:val="none"/>
                <w:lang w:bidi="ar"/>
              </w:rPr>
              <w:t>11</w:t>
            </w:r>
            <w:r>
              <w:rPr>
                <w:rFonts w:hint="eastAsia" w:ascii="宋体" w:hAnsi="宋体" w:eastAsia="宋体" w:cs="宋体"/>
                <w:color w:val="auto"/>
                <w:kern w:val="0"/>
                <w:sz w:val="24"/>
                <w:highlight w:val="none"/>
                <w:lang w:bidi="ar"/>
              </w:rPr>
              <w:t>—</w:t>
            </w:r>
            <w:r>
              <w:rPr>
                <w:rStyle w:val="36"/>
                <w:rFonts w:hint="eastAsia" w:ascii="宋体" w:hAnsi="宋体" w:eastAsia="宋体" w:cs="宋体"/>
                <w:color w:val="auto"/>
                <w:highlight w:val="none"/>
                <w:lang w:bidi="ar"/>
              </w:rPr>
              <w:t>16</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150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2"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中轧</w:t>
            </w:r>
            <w:r>
              <w:rPr>
                <w:rStyle w:val="36"/>
                <w:rFonts w:hint="eastAsia" w:ascii="宋体" w:hAnsi="宋体" w:eastAsia="宋体" w:cs="宋体"/>
                <w:color w:val="auto"/>
                <w:highlight w:val="none"/>
                <w:lang w:bidi="ar"/>
              </w:rPr>
              <w:t>12</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（西）</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2"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中轧</w:t>
            </w:r>
            <w:r>
              <w:rPr>
                <w:rStyle w:val="36"/>
                <w:rFonts w:hint="eastAsia" w:ascii="宋体" w:hAnsi="宋体" w:eastAsia="宋体" w:cs="宋体"/>
                <w:color w:val="auto"/>
                <w:highlight w:val="none"/>
                <w:lang w:bidi="ar"/>
              </w:rPr>
              <w:t>14</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（西）</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2"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中轧</w:t>
            </w:r>
            <w:r>
              <w:rPr>
                <w:rStyle w:val="36"/>
                <w:rFonts w:hint="eastAsia" w:ascii="宋体" w:hAnsi="宋体" w:eastAsia="宋体" w:cs="宋体"/>
                <w:color w:val="auto"/>
                <w:highlight w:val="none"/>
                <w:lang w:bidi="ar"/>
              </w:rPr>
              <w:t>15</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2"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中轧</w:t>
            </w:r>
            <w:r>
              <w:rPr>
                <w:rStyle w:val="36"/>
                <w:rFonts w:hint="eastAsia" w:ascii="宋体" w:hAnsi="宋体" w:eastAsia="宋体" w:cs="宋体"/>
                <w:color w:val="auto"/>
                <w:highlight w:val="none"/>
                <w:lang w:bidi="ar"/>
              </w:rPr>
              <w:t>15</w:t>
            </w:r>
            <w:r>
              <w:rPr>
                <w:rFonts w:hint="eastAsia" w:ascii="宋体" w:hAnsi="宋体" w:eastAsia="宋体" w:cs="宋体"/>
                <w:color w:val="auto"/>
                <w:kern w:val="0"/>
                <w:sz w:val="24"/>
                <w:highlight w:val="none"/>
                <w:lang w:bidi="ar"/>
              </w:rPr>
              <w:t>—</w:t>
            </w:r>
            <w:r>
              <w:rPr>
                <w:rStyle w:val="36"/>
                <w:rFonts w:hint="eastAsia" w:ascii="宋体" w:hAnsi="宋体" w:eastAsia="宋体" w:cs="宋体"/>
                <w:color w:val="auto"/>
                <w:highlight w:val="none"/>
                <w:lang w:bidi="ar"/>
              </w:rPr>
              <w:t>16</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（西）</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2"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中轧营业房</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（西）</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2"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四食堂—中轧大门</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r>
              <w:rPr>
                <w:rStyle w:val="36"/>
                <w:rFonts w:hint="eastAsia" w:ascii="宋体" w:hAnsi="宋体" w:eastAsia="宋体" w:cs="宋体"/>
                <w:color w:val="auto"/>
                <w:highlight w:val="none"/>
                <w:lang w:bidi="ar"/>
              </w:rPr>
              <w:t xml:space="preserve">  </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175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2"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电炉小区</w:t>
            </w: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电炉</w:t>
            </w:r>
            <w:r>
              <w:rPr>
                <w:rStyle w:val="36"/>
                <w:rFonts w:hint="eastAsia" w:ascii="宋体" w:hAnsi="宋体" w:eastAsia="宋体" w:cs="宋体"/>
                <w:color w:val="auto"/>
                <w:highlight w:val="none"/>
                <w:lang w:bidi="ar"/>
              </w:rPr>
              <w:t>7</w:t>
            </w:r>
            <w:r>
              <w:rPr>
                <w:rFonts w:hint="eastAsia" w:ascii="宋体" w:hAnsi="宋体" w:eastAsia="宋体" w:cs="宋体"/>
                <w:color w:val="auto"/>
                <w:kern w:val="0"/>
                <w:sz w:val="24"/>
                <w:highlight w:val="none"/>
                <w:lang w:bidi="ar"/>
              </w:rPr>
              <w:t>—</w:t>
            </w:r>
            <w:r>
              <w:rPr>
                <w:rStyle w:val="36"/>
                <w:rFonts w:hint="eastAsia" w:ascii="宋体" w:hAnsi="宋体" w:eastAsia="宋体" w:cs="宋体"/>
                <w:color w:val="auto"/>
                <w:highlight w:val="none"/>
                <w:lang w:bidi="ar"/>
              </w:rPr>
              <w:t>11</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（西）</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180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2"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电炉文化中心—</w:t>
            </w:r>
            <w:r>
              <w:rPr>
                <w:rStyle w:val="36"/>
                <w:rFonts w:hint="eastAsia" w:ascii="宋体" w:hAnsi="宋体" w:eastAsia="宋体" w:cs="宋体"/>
                <w:color w:val="auto"/>
                <w:highlight w:val="none"/>
                <w:lang w:bidi="ar"/>
              </w:rPr>
              <w:t>20</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2"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电炉</w:t>
            </w:r>
            <w:r>
              <w:rPr>
                <w:rStyle w:val="36"/>
                <w:rFonts w:hint="eastAsia" w:ascii="宋体" w:hAnsi="宋体" w:eastAsia="宋体" w:cs="宋体"/>
                <w:color w:val="auto"/>
                <w:highlight w:val="none"/>
                <w:lang w:bidi="ar"/>
              </w:rPr>
              <w:t>20</w:t>
            </w:r>
            <w:r>
              <w:rPr>
                <w:rFonts w:hint="eastAsia" w:ascii="宋体" w:hAnsi="宋体" w:eastAsia="宋体" w:cs="宋体"/>
                <w:color w:val="auto"/>
                <w:kern w:val="0"/>
                <w:sz w:val="24"/>
                <w:highlight w:val="none"/>
                <w:lang w:bidi="ar"/>
              </w:rPr>
              <w:t>幢—光明小学</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（东）</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2"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幼儿园—</w:t>
            </w:r>
            <w:r>
              <w:rPr>
                <w:rStyle w:val="36"/>
                <w:rFonts w:hint="eastAsia" w:ascii="宋体" w:hAnsi="宋体" w:eastAsia="宋体" w:cs="宋体"/>
                <w:color w:val="auto"/>
                <w:highlight w:val="none"/>
                <w:lang w:bidi="ar"/>
              </w:rPr>
              <w:t>13</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（西）</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130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2"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电炉</w:t>
            </w:r>
            <w:r>
              <w:rPr>
                <w:rStyle w:val="36"/>
                <w:rFonts w:hint="eastAsia" w:ascii="宋体" w:hAnsi="宋体" w:eastAsia="宋体" w:cs="宋体"/>
                <w:color w:val="auto"/>
                <w:highlight w:val="none"/>
                <w:lang w:bidi="ar"/>
              </w:rPr>
              <w:t>7</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2"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电炉</w:t>
            </w:r>
            <w:r>
              <w:rPr>
                <w:rStyle w:val="36"/>
                <w:rFonts w:hint="eastAsia" w:ascii="宋体" w:hAnsi="宋体" w:eastAsia="宋体" w:cs="宋体"/>
                <w:color w:val="auto"/>
                <w:highlight w:val="none"/>
                <w:lang w:bidi="ar"/>
              </w:rPr>
              <w:t>8</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2"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电炉</w:t>
            </w:r>
            <w:r>
              <w:rPr>
                <w:rStyle w:val="36"/>
                <w:rFonts w:hint="eastAsia" w:ascii="宋体" w:hAnsi="宋体" w:eastAsia="宋体" w:cs="宋体"/>
                <w:color w:val="auto"/>
                <w:highlight w:val="none"/>
                <w:lang w:bidi="ar"/>
              </w:rPr>
              <w:t>9</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2"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电炉</w:t>
            </w:r>
            <w:r>
              <w:rPr>
                <w:rStyle w:val="36"/>
                <w:rFonts w:hint="eastAsia" w:ascii="宋体" w:hAnsi="宋体" w:eastAsia="宋体" w:cs="宋体"/>
                <w:color w:val="auto"/>
                <w:highlight w:val="none"/>
                <w:lang w:bidi="ar"/>
              </w:rPr>
              <w:t>10</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2"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电炉</w:t>
            </w:r>
            <w:r>
              <w:rPr>
                <w:rStyle w:val="36"/>
                <w:rFonts w:hint="eastAsia" w:ascii="宋体" w:hAnsi="宋体" w:eastAsia="宋体" w:cs="宋体"/>
                <w:color w:val="auto"/>
                <w:highlight w:val="none"/>
                <w:lang w:bidi="ar"/>
              </w:rPr>
              <w:t>11</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2"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电炉</w:t>
            </w:r>
            <w:r>
              <w:rPr>
                <w:rStyle w:val="36"/>
                <w:rFonts w:hint="eastAsia" w:ascii="宋体" w:hAnsi="宋体" w:eastAsia="宋体" w:cs="宋体"/>
                <w:color w:val="auto"/>
                <w:highlight w:val="none"/>
                <w:lang w:bidi="ar"/>
              </w:rPr>
              <w:t>3</w:t>
            </w:r>
            <w:r>
              <w:rPr>
                <w:rFonts w:hint="eastAsia" w:ascii="宋体" w:hAnsi="宋体" w:eastAsia="宋体" w:cs="宋体"/>
                <w:color w:val="auto"/>
                <w:kern w:val="0"/>
                <w:sz w:val="24"/>
                <w:highlight w:val="none"/>
                <w:lang w:bidi="ar"/>
              </w:rPr>
              <w:t>—</w:t>
            </w:r>
            <w:r>
              <w:rPr>
                <w:rStyle w:val="36"/>
                <w:rFonts w:hint="eastAsia" w:ascii="宋体" w:hAnsi="宋体" w:eastAsia="宋体" w:cs="宋体"/>
                <w:color w:val="auto"/>
                <w:highlight w:val="none"/>
                <w:lang w:bidi="ar"/>
              </w:rPr>
              <w:t>6</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（西）</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2"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电炉</w:t>
            </w:r>
            <w:r>
              <w:rPr>
                <w:rStyle w:val="36"/>
                <w:rFonts w:hint="eastAsia" w:ascii="宋体" w:hAnsi="宋体" w:eastAsia="宋体" w:cs="宋体"/>
                <w:color w:val="auto"/>
                <w:highlight w:val="none"/>
                <w:lang w:bidi="ar"/>
              </w:rPr>
              <w:t xml:space="preserve">3 </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2"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电炉</w:t>
            </w:r>
            <w:r>
              <w:rPr>
                <w:rStyle w:val="36"/>
                <w:rFonts w:hint="eastAsia" w:ascii="宋体" w:hAnsi="宋体" w:eastAsia="宋体" w:cs="宋体"/>
                <w:color w:val="auto"/>
                <w:highlight w:val="none"/>
                <w:lang w:bidi="ar"/>
              </w:rPr>
              <w:t>4</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2"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电炉</w:t>
            </w:r>
            <w:r>
              <w:rPr>
                <w:rStyle w:val="36"/>
                <w:rFonts w:hint="eastAsia" w:ascii="宋体" w:hAnsi="宋体" w:eastAsia="宋体" w:cs="宋体"/>
                <w:color w:val="auto"/>
                <w:highlight w:val="none"/>
                <w:lang w:bidi="ar"/>
              </w:rPr>
              <w:t xml:space="preserve">  6</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2"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电炉</w:t>
            </w:r>
            <w:r>
              <w:rPr>
                <w:rStyle w:val="36"/>
                <w:rFonts w:hint="eastAsia" w:ascii="宋体" w:hAnsi="宋体" w:eastAsia="宋体" w:cs="宋体"/>
                <w:color w:val="auto"/>
                <w:highlight w:val="none"/>
                <w:lang w:bidi="ar"/>
              </w:rPr>
              <w:t>1</w:t>
            </w:r>
            <w:r>
              <w:rPr>
                <w:rFonts w:hint="eastAsia" w:ascii="宋体" w:hAnsi="宋体" w:eastAsia="宋体" w:cs="宋体"/>
                <w:color w:val="auto"/>
                <w:kern w:val="0"/>
                <w:sz w:val="24"/>
                <w:highlight w:val="none"/>
                <w:lang w:bidi="ar"/>
              </w:rPr>
              <w:t>—</w:t>
            </w:r>
            <w:r>
              <w:rPr>
                <w:rStyle w:val="36"/>
                <w:rFonts w:hint="eastAsia" w:ascii="宋体" w:hAnsi="宋体" w:eastAsia="宋体" w:cs="宋体"/>
                <w:color w:val="auto"/>
                <w:highlight w:val="none"/>
                <w:lang w:bidi="ar"/>
              </w:rPr>
              <w:t>2</w:t>
            </w:r>
            <w:r>
              <w:rPr>
                <w:rFonts w:hint="eastAsia" w:ascii="宋体" w:hAnsi="宋体" w:eastAsia="宋体" w:cs="宋体"/>
                <w:color w:val="auto"/>
                <w:kern w:val="0"/>
                <w:sz w:val="24"/>
                <w:highlight w:val="none"/>
                <w:lang w:bidi="ar"/>
              </w:rPr>
              <w:t>南）</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2"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电炉</w:t>
            </w:r>
            <w:r>
              <w:rPr>
                <w:rStyle w:val="36"/>
                <w:rFonts w:hint="eastAsia" w:ascii="宋体" w:hAnsi="宋体" w:eastAsia="宋体" w:cs="宋体"/>
                <w:color w:val="auto"/>
                <w:highlight w:val="none"/>
                <w:lang w:bidi="ar"/>
              </w:rPr>
              <w:t xml:space="preserve">1 </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（西）</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2"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电炉小车库</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（西）</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2"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电炉</w:t>
            </w:r>
            <w:r>
              <w:rPr>
                <w:rStyle w:val="36"/>
                <w:rFonts w:hint="eastAsia" w:ascii="宋体" w:hAnsi="宋体" w:eastAsia="宋体" w:cs="宋体"/>
                <w:color w:val="auto"/>
                <w:highlight w:val="none"/>
                <w:lang w:bidi="ar"/>
              </w:rPr>
              <w:t>2</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2"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电炉</w:t>
            </w:r>
            <w:r>
              <w:rPr>
                <w:rStyle w:val="36"/>
                <w:rFonts w:hint="eastAsia" w:ascii="宋体" w:hAnsi="宋体" w:eastAsia="宋体" w:cs="宋体"/>
                <w:color w:val="auto"/>
                <w:highlight w:val="none"/>
                <w:lang w:bidi="ar"/>
              </w:rPr>
              <w:t>12</w:t>
            </w:r>
            <w:r>
              <w:rPr>
                <w:rFonts w:hint="eastAsia" w:ascii="宋体" w:hAnsi="宋体" w:eastAsia="宋体" w:cs="宋体"/>
                <w:color w:val="auto"/>
                <w:kern w:val="0"/>
                <w:sz w:val="24"/>
                <w:highlight w:val="none"/>
                <w:lang w:bidi="ar"/>
              </w:rPr>
              <w:t>幢</w:t>
            </w:r>
            <w:r>
              <w:rPr>
                <w:rStyle w:val="36"/>
                <w:rFonts w:hint="eastAsia" w:ascii="宋体" w:hAnsi="宋体" w:eastAsia="宋体" w:cs="宋体"/>
                <w:color w:val="auto"/>
                <w:highlight w:val="none"/>
                <w:lang w:bidi="ar"/>
              </w:rPr>
              <w:t xml:space="preserve">     </w:t>
            </w:r>
            <w:r>
              <w:rPr>
                <w:rFonts w:hint="eastAsia" w:ascii="宋体" w:hAnsi="宋体" w:eastAsia="宋体" w:cs="宋体"/>
                <w:color w:val="auto"/>
                <w:kern w:val="0"/>
                <w:sz w:val="24"/>
                <w:highlight w:val="none"/>
                <w:lang w:bidi="ar"/>
              </w:rPr>
              <w:t>（北）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2" w:hRule="atLeast"/>
          <w:jc w:val="center"/>
        </w:trPr>
        <w:tc>
          <w:tcPr>
            <w:tcW w:w="4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w:t>
            </w:r>
          </w:p>
        </w:tc>
        <w:tc>
          <w:tcPr>
            <w:tcW w:w="1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依山路1</w:t>
            </w: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笕丁路-同协路</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500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2" w:hRule="atLeast"/>
          <w:jc w:val="center"/>
        </w:trPr>
        <w:tc>
          <w:tcPr>
            <w:tcW w:w="4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w:t>
            </w:r>
          </w:p>
        </w:tc>
        <w:tc>
          <w:tcPr>
            <w:tcW w:w="1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依山路2</w:t>
            </w: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同协路—龙山路</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800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2" w:hRule="atLeast"/>
          <w:jc w:val="center"/>
        </w:trPr>
        <w:tc>
          <w:tcPr>
            <w:tcW w:w="47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w:t>
            </w:r>
          </w:p>
        </w:tc>
        <w:tc>
          <w:tcPr>
            <w:tcW w:w="1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依山路3  (含通福巷)</w:t>
            </w: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依山路3：龙山路—广济路</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820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2"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1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通福巷：建工路-上塘河（研究院附属小学门口）</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130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2" w:hRule="atLeast"/>
          <w:jc w:val="center"/>
        </w:trPr>
        <w:tc>
          <w:tcPr>
            <w:tcW w:w="4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w:t>
            </w:r>
          </w:p>
        </w:tc>
        <w:tc>
          <w:tcPr>
            <w:tcW w:w="1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明园路</w:t>
            </w: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半山路——山前路</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653</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2" w:hRule="atLeast"/>
          <w:jc w:val="center"/>
        </w:trPr>
        <w:tc>
          <w:tcPr>
            <w:tcW w:w="4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w:t>
            </w:r>
          </w:p>
        </w:tc>
        <w:tc>
          <w:tcPr>
            <w:tcW w:w="1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明园南路\河畔路</w:t>
            </w: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半山路-河畔路\半山路-明园南路</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381</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65" w:hRule="atLeast"/>
          <w:jc w:val="center"/>
        </w:trPr>
        <w:tc>
          <w:tcPr>
            <w:tcW w:w="4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11</w:t>
            </w:r>
          </w:p>
        </w:tc>
        <w:tc>
          <w:tcPr>
            <w:tcW w:w="1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丹青街</w:t>
            </w: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田园春晓苑南-田园夏意苑东围墙</w:t>
            </w: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田园春晓苑南-田园夏意苑东围墙</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758</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2" w:hRule="atLeast"/>
          <w:jc w:val="center"/>
        </w:trPr>
        <w:tc>
          <w:tcPr>
            <w:tcW w:w="4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w:t>
            </w:r>
          </w:p>
        </w:tc>
        <w:tc>
          <w:tcPr>
            <w:tcW w:w="1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阔板桥路</w:t>
            </w: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半山路-沈半路</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182</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2" w:hRule="atLeast"/>
          <w:jc w:val="center"/>
        </w:trPr>
        <w:tc>
          <w:tcPr>
            <w:tcW w:w="4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13</w:t>
            </w:r>
          </w:p>
        </w:tc>
        <w:tc>
          <w:tcPr>
            <w:tcW w:w="1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游龙港路</w:t>
            </w: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依水街--依山路</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508</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新增</w:t>
            </w:r>
          </w:p>
        </w:tc>
      </w:tr>
      <w:tr>
        <w:tblPrEx>
          <w:tblCellMar>
            <w:top w:w="0" w:type="dxa"/>
            <w:left w:w="0" w:type="dxa"/>
            <w:bottom w:w="0" w:type="dxa"/>
            <w:right w:w="0" w:type="dxa"/>
          </w:tblCellMar>
        </w:tblPrEx>
        <w:trPr>
          <w:trHeight w:val="282" w:hRule="atLeast"/>
          <w:jc w:val="center"/>
        </w:trPr>
        <w:tc>
          <w:tcPr>
            <w:tcW w:w="4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14</w:t>
            </w:r>
          </w:p>
        </w:tc>
        <w:tc>
          <w:tcPr>
            <w:tcW w:w="1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石桥路</w:t>
            </w:r>
          </w:p>
        </w:tc>
        <w:tc>
          <w:tcPr>
            <w:tcW w:w="3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半山路--半山隧道南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440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新增</w:t>
            </w:r>
          </w:p>
        </w:tc>
      </w:tr>
      <w:tr>
        <w:tblPrEx>
          <w:tblCellMar>
            <w:top w:w="0" w:type="dxa"/>
            <w:left w:w="0" w:type="dxa"/>
            <w:bottom w:w="0" w:type="dxa"/>
            <w:right w:w="0" w:type="dxa"/>
          </w:tblCellMar>
        </w:tblPrEx>
        <w:trPr>
          <w:trHeight w:val="525" w:hRule="atLeast"/>
          <w:jc w:val="center"/>
        </w:trPr>
        <w:tc>
          <w:tcPr>
            <w:tcW w:w="729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总长度</w:t>
            </w:r>
          </w:p>
        </w:tc>
        <w:tc>
          <w:tcPr>
            <w:tcW w:w="15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29480.7</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bl>
    <w:p>
      <w:pPr>
        <w:pStyle w:val="2"/>
        <w:ind w:left="0" w:leftChars="0" w:firstLine="0" w:firstLineChars="0"/>
        <w:rPr>
          <w:rFonts w:hint="eastAsia" w:ascii="宋体" w:hAnsi="宋体" w:eastAsia="宋体" w:cs="宋体"/>
          <w:b/>
          <w:color w:val="auto"/>
          <w:sz w:val="36"/>
          <w:highlight w:val="none"/>
        </w:rPr>
      </w:pPr>
    </w:p>
    <w:tbl>
      <w:tblPr>
        <w:tblStyle w:val="22"/>
        <w:tblW w:w="9690" w:type="dxa"/>
        <w:jc w:val="center"/>
        <w:tblLayout w:type="autofit"/>
        <w:tblCellMar>
          <w:top w:w="0" w:type="dxa"/>
          <w:left w:w="0" w:type="dxa"/>
          <w:bottom w:w="0" w:type="dxa"/>
          <w:right w:w="0" w:type="dxa"/>
        </w:tblCellMar>
      </w:tblPr>
      <w:tblGrid>
        <w:gridCol w:w="510"/>
        <w:gridCol w:w="1470"/>
        <w:gridCol w:w="5910"/>
        <w:gridCol w:w="1590"/>
        <w:gridCol w:w="512"/>
      </w:tblGrid>
      <w:tr>
        <w:tblPrEx>
          <w:tblCellMar>
            <w:top w:w="0" w:type="dxa"/>
            <w:left w:w="0" w:type="dxa"/>
            <w:bottom w:w="0" w:type="dxa"/>
            <w:right w:w="0" w:type="dxa"/>
          </w:tblCellMar>
        </w:tblPrEx>
        <w:trPr>
          <w:trHeight w:val="510" w:hRule="atLeast"/>
          <w:jc w:val="center"/>
        </w:trPr>
        <w:tc>
          <w:tcPr>
            <w:tcW w:w="969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拱墅区康桥街道非法涂写招贴广告清除范围</w:t>
            </w:r>
          </w:p>
        </w:tc>
      </w:tr>
      <w:tr>
        <w:tblPrEx>
          <w:tblCellMar>
            <w:top w:w="0" w:type="dxa"/>
            <w:left w:w="0" w:type="dxa"/>
            <w:bottom w:w="0" w:type="dxa"/>
            <w:right w:w="0" w:type="dxa"/>
          </w:tblCellMar>
        </w:tblPrEx>
        <w:trPr>
          <w:trHeight w:val="35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序号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道路名称</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道路起止点</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道路长度（m）</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备注</w:t>
            </w:r>
          </w:p>
        </w:tc>
      </w:tr>
      <w:tr>
        <w:tblPrEx>
          <w:tblCellMar>
            <w:top w:w="0" w:type="dxa"/>
            <w:left w:w="0" w:type="dxa"/>
            <w:bottom w:w="0" w:type="dxa"/>
            <w:right w:w="0" w:type="dxa"/>
          </w:tblCellMar>
        </w:tblPrEx>
        <w:trPr>
          <w:trHeight w:val="390" w:hRule="atLeast"/>
          <w:jc w:val="center"/>
        </w:trPr>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康桥东路</w:t>
            </w:r>
          </w:p>
        </w:tc>
        <w:tc>
          <w:tcPr>
            <w:tcW w:w="5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宣杭铁路--杭钢</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2300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康桥西路</w:t>
            </w:r>
          </w:p>
        </w:tc>
        <w:tc>
          <w:tcPr>
            <w:tcW w:w="5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拱康路--跨运河大桥</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2690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90" w:hRule="atLeast"/>
          <w:jc w:val="center"/>
        </w:trPr>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康桥中路</w:t>
            </w:r>
          </w:p>
        </w:tc>
        <w:tc>
          <w:tcPr>
            <w:tcW w:w="5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宣杭铁路--拱康路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康兴路</w:t>
            </w:r>
          </w:p>
        </w:tc>
        <w:tc>
          <w:tcPr>
            <w:tcW w:w="5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康桥路--洋湾路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1290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90" w:hRule="atLeast"/>
          <w:jc w:val="center"/>
        </w:trPr>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洋湾路</w:t>
            </w:r>
          </w:p>
        </w:tc>
        <w:tc>
          <w:tcPr>
            <w:tcW w:w="5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丽水路--康兴路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丽水路</w:t>
            </w:r>
          </w:p>
        </w:tc>
        <w:tc>
          <w:tcPr>
            <w:tcW w:w="5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康桥路--洋湾路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1300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4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w:t>
            </w:r>
          </w:p>
        </w:tc>
        <w:tc>
          <w:tcPr>
            <w:tcW w:w="0" w:type="auto"/>
            <w:vMerge w:val="restar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庙浜内主干道</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东路：庙浜1号--庙浜71号、西路：庙浜4号--庙</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3200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0" w:type="auto"/>
            <w:tcBorders>
              <w:top w:val="nil"/>
              <w:left w:val="single" w:color="000000" w:sz="4" w:space="0"/>
              <w:bottom w:val="nil"/>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浜76号、中路：知足桥--庙浜1号、支路：东至</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295"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vMerge w:val="restart"/>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及支路</w:t>
            </w:r>
          </w:p>
        </w:tc>
        <w:tc>
          <w:tcPr>
            <w:tcW w:w="0" w:type="auto"/>
            <w:tcBorders>
              <w:top w:val="nil"/>
              <w:left w:val="single" w:color="000000" w:sz="4" w:space="0"/>
              <w:bottom w:val="nil"/>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宣杭铁路、西至电厂河、南至庙浜中路、北至庙</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浜76号</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15"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w:t>
            </w:r>
          </w:p>
        </w:tc>
        <w:tc>
          <w:tcPr>
            <w:tcW w:w="0" w:type="auto"/>
            <w:vMerge w:val="restar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计家浜主干道</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东路：计家浜33号--计家浜25号、西路：铁路涵</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3300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25"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0" w:type="auto"/>
            <w:tcBorders>
              <w:top w:val="nil"/>
              <w:left w:val="single" w:color="000000" w:sz="4" w:space="0"/>
              <w:bottom w:val="nil"/>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洞--杭钢河、北路：宣杭铁路--庙浜66号、中路</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25"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vMerge w:val="restart"/>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及支路</w:t>
            </w:r>
          </w:p>
        </w:tc>
        <w:tc>
          <w:tcPr>
            <w:tcW w:w="0" w:type="auto"/>
            <w:tcBorders>
              <w:top w:val="nil"/>
              <w:left w:val="single" w:color="000000" w:sz="4" w:space="0"/>
              <w:bottom w:val="nil"/>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：铁路桥洞--杭钢围墙、支路：东至杭钢围墙、</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西至宣杭铁路、南至杭钢河、北至计家浜北路</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90" w:hRule="atLeast"/>
          <w:jc w:val="center"/>
        </w:trPr>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w:t>
            </w:r>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电厂路</w:t>
            </w:r>
          </w:p>
        </w:tc>
        <w:tc>
          <w:tcPr>
            <w:tcW w:w="5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电厂北大门—北康桥路</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w:t>
            </w:r>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王家门西路</w:t>
            </w:r>
          </w:p>
        </w:tc>
        <w:tc>
          <w:tcPr>
            <w:tcW w:w="5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电厂路—拱康路</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350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90" w:hRule="atLeast"/>
          <w:jc w:val="center"/>
        </w:trPr>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11</w:t>
            </w:r>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康桥直街</w:t>
            </w:r>
          </w:p>
        </w:tc>
        <w:tc>
          <w:tcPr>
            <w:tcW w:w="5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康桥直街4号—北康桥路153号</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w:t>
            </w:r>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王家门东路</w:t>
            </w:r>
          </w:p>
        </w:tc>
        <w:tc>
          <w:tcPr>
            <w:tcW w:w="5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东康桥直街—西电厂路</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13</w:t>
            </w:r>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学前路</w:t>
            </w:r>
          </w:p>
        </w:tc>
        <w:tc>
          <w:tcPr>
            <w:tcW w:w="5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南康桥路（康桥***）—北冯家塘18号</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14</w:t>
            </w:r>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康桥中学路</w:t>
            </w:r>
          </w:p>
        </w:tc>
        <w:tc>
          <w:tcPr>
            <w:tcW w:w="5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东康桥中学—西学前路</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90" w:hRule="atLeast"/>
          <w:jc w:val="center"/>
        </w:trPr>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15</w:t>
            </w:r>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平炼路</w:t>
            </w:r>
          </w:p>
        </w:tc>
        <w:tc>
          <w:tcPr>
            <w:tcW w:w="5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拱康路201号—炼油厂</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550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16</w:t>
            </w:r>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朱家坝路</w:t>
            </w:r>
          </w:p>
        </w:tc>
        <w:tc>
          <w:tcPr>
            <w:tcW w:w="5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平炼路11号—朱家坝路23号</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1700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90" w:hRule="atLeast"/>
          <w:jc w:val="center"/>
        </w:trPr>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17</w:t>
            </w:r>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平安桥路</w:t>
            </w:r>
          </w:p>
        </w:tc>
        <w:tc>
          <w:tcPr>
            <w:tcW w:w="5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拱康路195号—平安桥路10号</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吴家墩东苑</w:t>
            </w:r>
          </w:p>
        </w:tc>
        <w:tc>
          <w:tcPr>
            <w:tcW w:w="5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康贤路以东，康中路以南，吴家墩河以西</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4100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90" w:hRule="atLeast"/>
          <w:jc w:val="center"/>
        </w:trPr>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吴家墩南苑</w:t>
            </w:r>
          </w:p>
        </w:tc>
        <w:tc>
          <w:tcPr>
            <w:tcW w:w="5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南苑19号-南苑36号-南苑53号-南苑63号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770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吴家墩北苑</w:t>
            </w:r>
          </w:p>
        </w:tc>
        <w:tc>
          <w:tcPr>
            <w:tcW w:w="5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 xml:space="preserve">北苑1号-北苑11号-北苑35号-北苑45号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815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90" w:hRule="atLeast"/>
          <w:jc w:val="center"/>
        </w:trPr>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吴家墩西苑</w:t>
            </w:r>
          </w:p>
        </w:tc>
        <w:tc>
          <w:tcPr>
            <w:tcW w:w="5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康贤路以西，康政路以东，康中路以南</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2800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22</w:t>
            </w:r>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东杨村路</w:t>
            </w:r>
          </w:p>
        </w:tc>
        <w:tc>
          <w:tcPr>
            <w:tcW w:w="5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康桥路263号对面—东杨村52号</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90" w:hRule="atLeast"/>
          <w:jc w:val="center"/>
        </w:trPr>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23</w:t>
            </w:r>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沉安潭中路</w:t>
            </w:r>
          </w:p>
        </w:tc>
        <w:tc>
          <w:tcPr>
            <w:tcW w:w="5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沉安潭3号—沉安潭35号-沉安潭25号</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1100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24</w:t>
            </w:r>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西杨路</w:t>
            </w:r>
          </w:p>
        </w:tc>
        <w:tc>
          <w:tcPr>
            <w:tcW w:w="5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康兴路-西杨25号-前洋桥-莫世桥12号-康兴路</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2820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90" w:hRule="atLeast"/>
          <w:jc w:val="center"/>
        </w:trPr>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25</w:t>
            </w:r>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康兴支路</w:t>
            </w:r>
          </w:p>
        </w:tc>
        <w:tc>
          <w:tcPr>
            <w:tcW w:w="5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康桥路289号对面—莫世桥73号</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26</w:t>
            </w:r>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曹家斗西路</w:t>
            </w:r>
          </w:p>
        </w:tc>
        <w:tc>
          <w:tcPr>
            <w:tcW w:w="5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曹家斗74号—曹家斗96号</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600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90" w:hRule="atLeast"/>
          <w:jc w:val="center"/>
        </w:trPr>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27</w:t>
            </w:r>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义簖路</w:t>
            </w:r>
          </w:p>
        </w:tc>
        <w:tc>
          <w:tcPr>
            <w:tcW w:w="5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康桥路275号东—义簖桥坡前南40米</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900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28</w:t>
            </w:r>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曹家斗南路</w:t>
            </w:r>
          </w:p>
        </w:tc>
        <w:tc>
          <w:tcPr>
            <w:tcW w:w="5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曹家斗44号－曹家斗1号</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500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9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29</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曹家斗</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东至义簖路、西至曹家斗西路、南至曹家斗南路</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9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4条支路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北至康桥路</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9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30</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后洋浜路</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丽水路延伸段--杭州方安电力设备安装有限公司</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1210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39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及北路</w:t>
            </w:r>
          </w:p>
        </w:tc>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后洋浜北路：东恒石油对面--后洋浜34号</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31</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永和小区</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东路：康桥路111号--永和南路10号、北路：康</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1780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tcBorders>
              <w:top w:val="nil"/>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主干道及</w:t>
            </w:r>
          </w:p>
        </w:tc>
        <w:tc>
          <w:tcPr>
            <w:tcW w:w="0" w:type="auto"/>
            <w:tcBorders>
              <w:top w:val="nil"/>
              <w:left w:val="single" w:color="000000" w:sz="4" w:space="0"/>
              <w:bottom w:val="nil"/>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桥路96号--永和北路19号、康桥横街：康桥横街</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tcBorders>
              <w:top w:val="nil"/>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康桥横街</w:t>
            </w:r>
          </w:p>
        </w:tc>
        <w:tc>
          <w:tcPr>
            <w:tcW w:w="0" w:type="auto"/>
            <w:tcBorders>
              <w:top w:val="nil"/>
              <w:left w:val="single" w:color="000000" w:sz="4" w:space="0"/>
              <w:bottom w:val="nil"/>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1号--康家桥东、中路：康桥路129号--康桥横街</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28号、南路：康桥横街7号--永和南路9号</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32</w:t>
            </w:r>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拱康路</w:t>
            </w:r>
          </w:p>
        </w:tc>
        <w:tc>
          <w:tcPr>
            <w:tcW w:w="5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公交南门-康桥路</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2700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丽水路延伸段</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康桥路--余杭界</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谢村路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拱康路77号富康大厦--丽水路延伸段（谢村桥村道口）</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800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金昌路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拱康路--跨运河“昌运桥”（余杭界）</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1000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拱康路延伸段</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康桥路--洋湾路（余杭界）</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1300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平马巷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马桥路--平炼路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268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新增</w:t>
            </w: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38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拱馨弄</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拱康路--平马巷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181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新增</w:t>
            </w:r>
          </w:p>
        </w:tc>
      </w:tr>
      <w:tr>
        <w:tblPrEx>
          <w:tblCellMar>
            <w:top w:w="0" w:type="dxa"/>
            <w:left w:w="0" w:type="dxa"/>
            <w:bottom w:w="0" w:type="dxa"/>
            <w:right w:w="0" w:type="dxa"/>
          </w:tblCellMar>
        </w:tblPrEx>
        <w:trPr>
          <w:trHeight w:val="40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合计</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4"/>
                <w:highlight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bidi="ar"/>
              </w:rPr>
              <w:t>47724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auto"/>
                <w:sz w:val="24"/>
                <w:highlight w:val="none"/>
              </w:rPr>
            </w:pPr>
          </w:p>
        </w:tc>
      </w:tr>
    </w:tbl>
    <w:p>
      <w:pPr>
        <w:pStyle w:val="2"/>
        <w:ind w:left="0" w:leftChars="0" w:firstLine="0" w:firstLineChars="0"/>
        <w:rPr>
          <w:rFonts w:hint="eastAsia" w:ascii="宋体" w:hAnsi="宋体" w:eastAsia="宋体" w:cs="宋体"/>
          <w:b/>
          <w:color w:val="auto"/>
          <w:sz w:val="36"/>
          <w:highlight w:val="none"/>
        </w:rPr>
        <w:sectPr>
          <w:headerReference r:id="rId8" w:type="default"/>
          <w:footerReference r:id="rId9" w:type="default"/>
          <w:footerReference r:id="rId10" w:type="even"/>
          <w:pgSz w:w="11907" w:h="16840"/>
          <w:pgMar w:top="1418" w:right="1531" w:bottom="1418" w:left="1531" w:header="851" w:footer="851" w:gutter="0"/>
          <w:cols w:space="720" w:num="1"/>
          <w:docGrid w:type="lines" w:linePitch="312" w:charSpace="0"/>
        </w:sectPr>
      </w:pPr>
    </w:p>
    <w:p>
      <w:pPr>
        <w:spacing w:line="360" w:lineRule="auto"/>
        <w:jc w:val="center"/>
        <w:rPr>
          <w:rFonts w:hint="eastAsia" w:ascii="宋体" w:hAnsi="宋体" w:eastAsia="宋体" w:cs="宋体"/>
          <w:b/>
          <w:color w:val="auto"/>
          <w:sz w:val="36"/>
          <w:highlight w:val="none"/>
        </w:rPr>
      </w:pPr>
      <w:r>
        <w:rPr>
          <w:rFonts w:hint="eastAsia" w:ascii="宋体" w:hAnsi="宋体" w:eastAsia="宋体" w:cs="宋体"/>
          <w:b/>
          <w:color w:val="auto"/>
          <w:sz w:val="36"/>
          <w:highlight w:val="none"/>
        </w:rPr>
        <w:t>第四章、采购合同的一般和特殊条款</w:t>
      </w: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1．定义</w:t>
      </w: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1.1 “合同”即由甲乙双方签订的合同格式中的文件，包括所有的附件、附录和组成合同部分的所有其他文件。</w:t>
      </w:r>
    </w:p>
    <w:p>
      <w:pPr>
        <w:spacing w:line="440" w:lineRule="exact"/>
        <w:ind w:firstLine="480" w:firstLineChars="200"/>
        <w:rPr>
          <w:rFonts w:hint="eastAsia" w:ascii="宋体" w:hAnsi="宋体" w:eastAsia="宋体" w:cs="宋体"/>
          <w:b/>
          <w:color w:val="auto"/>
          <w:sz w:val="24"/>
          <w:highlight w:val="none"/>
          <w:u w:val="single"/>
        </w:rPr>
      </w:pPr>
      <w:r>
        <w:rPr>
          <w:rFonts w:hint="eastAsia" w:ascii="宋体" w:hAnsi="宋体" w:eastAsia="宋体" w:cs="宋体"/>
          <w:color w:val="auto"/>
          <w:sz w:val="24"/>
          <w:highlight w:val="none"/>
        </w:rPr>
        <w:t>合同将由杭州市拱墅区城市管理局（以下简称甲方）与经评审最终确定的中标人（以下简称乙方）结合本项目具体情况协商后签订。以下为采购单位提出涉及乙方的主要条款，投标人在投标文件中应对其进行确认或拒绝。如投标人在其投标文件中未做拒绝或提出修改要求的，采购单位将视作认同。中标人在收到中标通知书后，不得再提出实质性的修改意见。</w:t>
      </w: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1.2 “合同价格”系指根据合同规定，在服务商全面正确地履行合同义务时，采购人应支付给服务商的款项。</w:t>
      </w: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1.3 “服务”系指招标文件规定服务商须承担的作业道路人工保洁服务、技术协助以及其它类似的义务。</w:t>
      </w: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1.4 “甲方”系指通过采购接受合同及服务的采购单位杭州市拱墅区城市管理局。</w:t>
      </w: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1.5 “乙方”系指经评审最终确定的中标人。</w:t>
      </w: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1.6 “现场”系指将要进行作业道路人工保洁的地点。</w:t>
      </w: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1.7 “验收”系指采购人依据技术规范规定接受合同所依据的程序和条件。</w:t>
      </w: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2．适用范围</w:t>
      </w:r>
    </w:p>
    <w:p>
      <w:pPr>
        <w:spacing w:line="44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本合同条款适用于本次采购活动。项目实施范围详见附件——招标文件和投标文件及补充文件、承诺书等。</w:t>
      </w: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3．服务期限：本次合同总的承包期限为二年。如按照考核办法三次不达标的，终止合同。</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4、承包方式</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乙方就本合同的作业内容的质量、管理、费用、安全等实行总承包。本合同作业不得转包和分包。</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5、作业队伍</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乙方投入本合同的作业人员自行组织，本作业合同在实施中，如发现作业管理、质量达不到要求的，甲方有权进行扣罚，有权要求其进行整改，乙方必须接受，对不接受和多次（三次）要求整改的，视作违约处理，直至终止合同。</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6、作业承包价</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本作业合同的年承包价为人民币</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万元，实行固定总价包干。</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7、作业标准和质量</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乙方按照甲方提供的作业标准和质量要求进行管理和作业。</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8、设备和材料供应</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作业所用的设备和材料，由乙方自行解决。</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9、安全文明作业</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乙方应精心组织，按规定为作业人员落实“五金”，并加强对作业人员的管理和教育，做到安全文明作业，由于作业引起的安全及人身事故，全部由乙方负责，由此产生的费用全部由乙方承担。</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10、合同款的支付与结算</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合同款采用先作业后拨付的方式，根据市、区财政经费下达通知后及时拨付给作业单位，并扣除具体考核扣分金额。中标单位结算合同经费须出具正规有效票据。合同经费中已包括人工经费、机械设备、工具、材料等生产业务费用、劳动防护费用、城市管理应急保障经费和作业人员“五金”等一切费用。</w:t>
      </w:r>
    </w:p>
    <w:p>
      <w:pPr>
        <w:spacing w:line="360" w:lineRule="auto"/>
        <w:rPr>
          <w:rFonts w:hint="eastAsia" w:ascii="宋体" w:hAnsi="宋体" w:eastAsia="宋体" w:cs="宋体"/>
          <w:color w:val="auto"/>
          <w:sz w:val="24"/>
          <w:highlight w:val="none"/>
          <w:lang w:val="en-GB"/>
        </w:rPr>
      </w:pPr>
      <w:r>
        <w:rPr>
          <w:rFonts w:hint="eastAsia" w:ascii="宋体" w:hAnsi="宋体" w:eastAsia="宋体" w:cs="宋体"/>
          <w:color w:val="auto"/>
          <w:sz w:val="24"/>
          <w:highlight w:val="none"/>
          <w:lang w:val="en-GB"/>
        </w:rPr>
        <w:t>11、履约保证金</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（1）乙方在签订作业合同时需向甲方提交一年中标金额5％的合同履约质量保证金；在承包期满后十天内退还（不计息）。如承包期内，乙方没按要求履行合同则保证金不予归还。</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（2）在承包期内如因乙方原因造成甲方财产损失的，甲方有权酌情在履约保证金中扣除。</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乙方如未按时交纳履约保证金，甲方有权撤销其中标资格，并根据评标委员会确定的中标候选人名单与下一顺序中标候选人商谈合同，或报请批准后另行采购。</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12、不可抗力</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签约双方任一方由于不可抗力事故的影响而不能执行合同时，履行合同的期限应予以延长。不可抗力事故系指甲乙双方在缔结合同时所不能预见的，并且它的发生及其后果无法避免和无法克服的事故。</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13、本合同如遇不可抗拒的原因无法继续履行时，即自然终止，双方自行承担各自损失。</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14、本合同如有未尽事宜，双方可通过协商后签订补充协议。并报杭州市同级财政管理部门备案，补充协议与本合同有通同等法律效力。</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15、争议处理</w:t>
      </w:r>
    </w:p>
    <w:p>
      <w:pPr>
        <w:pStyle w:val="11"/>
        <w:spacing w:after="156"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15</w:t>
      </w:r>
      <w:r>
        <w:rPr>
          <w:rFonts w:hint="eastAsia" w:ascii="宋体" w:hAnsi="宋体" w:eastAsia="宋体" w:cs="宋体"/>
          <w:color w:val="auto"/>
          <w:sz w:val="24"/>
          <w:szCs w:val="24"/>
          <w:highlight w:val="none"/>
        </w:rPr>
        <w:t>．1在本合同履行过程中发生争议，双方应当协商解决。双方不愿协商、调解解决或者协商、调解不成的，可按有关规定</w:t>
      </w:r>
      <w:r>
        <w:rPr>
          <w:rFonts w:hint="eastAsia" w:ascii="宋体" w:hAnsi="宋体" w:eastAsia="宋体" w:cs="宋体"/>
          <w:color w:val="auto"/>
          <w:sz w:val="24"/>
          <w:highlight w:val="none"/>
        </w:rPr>
        <w:t>向杭州仲裁委员会</w:t>
      </w:r>
      <w:r>
        <w:rPr>
          <w:rFonts w:hint="eastAsia" w:ascii="宋体" w:hAnsi="宋体" w:eastAsia="宋体" w:cs="宋体"/>
          <w:color w:val="auto"/>
          <w:sz w:val="24"/>
          <w:szCs w:val="24"/>
          <w:highlight w:val="none"/>
        </w:rPr>
        <w:t>提起仲裁。</w:t>
      </w:r>
    </w:p>
    <w:p>
      <w:pPr>
        <w:pStyle w:val="11"/>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15</w:t>
      </w:r>
      <w:r>
        <w:rPr>
          <w:rFonts w:hint="eastAsia" w:ascii="宋体" w:hAnsi="宋体" w:eastAsia="宋体" w:cs="宋体"/>
          <w:color w:val="auto"/>
          <w:sz w:val="24"/>
          <w:szCs w:val="24"/>
          <w:highlight w:val="none"/>
        </w:rPr>
        <w:t>.2在仲裁期间，除正在进行仲裁的部分外，本合同其他部分应继续执行。</w:t>
      </w:r>
    </w:p>
    <w:p>
      <w:pPr>
        <w:pStyle w:val="11"/>
        <w:spacing w:line="500" w:lineRule="atLeas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16、其他</w:t>
      </w:r>
    </w:p>
    <w:p>
      <w:pPr>
        <w:pStyle w:val="11"/>
        <w:spacing w:line="500" w:lineRule="atLeas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16.1未经过甲方的书面同意，乙方不得转让其应履行的合同项下的义务，和将部分合同项下的义务分包给其他单位完成。</w:t>
      </w:r>
    </w:p>
    <w:p>
      <w:pPr>
        <w:pStyle w:val="11"/>
        <w:spacing w:line="500" w:lineRule="atLeas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16.2乙方不得参与可能与合同规定的与甲方的利益相冲突的任何活动。</w:t>
      </w:r>
    </w:p>
    <w:p>
      <w:pPr>
        <w:pStyle w:val="11"/>
        <w:spacing w:line="500" w:lineRule="atLeas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16.3乙方人员在甲方场地工作时，应遵守甲方相关规章、制度。</w:t>
      </w:r>
    </w:p>
    <w:p>
      <w:pPr>
        <w:pStyle w:val="11"/>
        <w:spacing w:line="500" w:lineRule="atLeas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16.4 合同任何一方给另一方的通知，都应以书面或传真的形式发送，而另一方应以书面形式确认并发送到对方明确的地址。</w:t>
      </w:r>
    </w:p>
    <w:p>
      <w:pPr>
        <w:pStyle w:val="11"/>
        <w:spacing w:line="500" w:lineRule="atLeas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16.5招标文件（编号： ）、投标文件及评标过程中形成的文字资料、询标纪要均作为本合同的组成部分，具有同等效力。</w:t>
      </w:r>
    </w:p>
    <w:p>
      <w:pPr>
        <w:pStyle w:val="11"/>
        <w:spacing w:line="500" w:lineRule="atLeast"/>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16.6 本合同经甲乙双方法定代表人或其委托人签字盖章，由乙方向甲方缴纳一年中标金额5％为履约保证金，经报杭州市同级财政管理部门备案后生效。</w:t>
      </w:r>
    </w:p>
    <w:p>
      <w:pPr>
        <w:pStyle w:val="11"/>
        <w:spacing w:line="500" w:lineRule="atLeas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16.7本合同一式六份，甲方、乙方各执二份，浙江省成套工程有限公司一份，杭州市同级财政管理部门一份。</w:t>
      </w:r>
    </w:p>
    <w:p>
      <w:pPr>
        <w:pStyle w:val="11"/>
        <w:spacing w:line="500" w:lineRule="atLeas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16.8 适用法律：本合同应按照中华人民共和国的法律进行解释。</w:t>
      </w:r>
    </w:p>
    <w:p>
      <w:pPr>
        <w:pStyle w:val="11"/>
        <w:spacing w:line="500" w:lineRule="atLeast"/>
        <w:rPr>
          <w:rFonts w:hint="eastAsia" w:ascii="宋体" w:hAnsi="宋体" w:eastAsia="宋体" w:cs="宋体"/>
          <w:color w:val="auto"/>
          <w:sz w:val="24"/>
          <w:szCs w:val="24"/>
          <w:highlight w:val="none"/>
        </w:rPr>
      </w:pPr>
    </w:p>
    <w:tbl>
      <w:tblPr>
        <w:tblStyle w:val="22"/>
        <w:tblW w:w="9458" w:type="dxa"/>
        <w:tblInd w:w="0" w:type="dxa"/>
        <w:tblLayout w:type="autofit"/>
        <w:tblCellMar>
          <w:top w:w="0" w:type="dxa"/>
          <w:left w:w="108" w:type="dxa"/>
          <w:bottom w:w="0" w:type="dxa"/>
          <w:right w:w="108" w:type="dxa"/>
        </w:tblCellMar>
      </w:tblPr>
      <w:tblGrid>
        <w:gridCol w:w="4729"/>
        <w:gridCol w:w="4729"/>
      </w:tblGrid>
      <w:tr>
        <w:tblPrEx>
          <w:tblCellMar>
            <w:top w:w="0" w:type="dxa"/>
            <w:left w:w="108" w:type="dxa"/>
            <w:bottom w:w="0" w:type="dxa"/>
            <w:right w:w="108" w:type="dxa"/>
          </w:tblCellMar>
        </w:tblPrEx>
        <w:trPr>
          <w:wBefore w:w="0" w:type="dxa"/>
        </w:trPr>
        <w:tc>
          <w:tcPr>
            <w:tcW w:w="4729" w:type="dxa"/>
            <w:noWrap w:val="0"/>
            <w:vAlign w:val="top"/>
          </w:tcPr>
          <w:p>
            <w:pPr>
              <w:pStyle w:val="11"/>
              <w:spacing w:line="500" w:lineRule="atLeas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甲方（盖章）：</w:t>
            </w:r>
          </w:p>
        </w:tc>
        <w:tc>
          <w:tcPr>
            <w:tcW w:w="4729" w:type="dxa"/>
            <w:noWrap w:val="0"/>
            <w:vAlign w:val="top"/>
          </w:tcPr>
          <w:p>
            <w:pPr>
              <w:pStyle w:val="11"/>
              <w:spacing w:line="500" w:lineRule="atLeas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乙方（盖章）：</w:t>
            </w:r>
          </w:p>
        </w:tc>
      </w:tr>
      <w:tr>
        <w:tblPrEx>
          <w:tblCellMar>
            <w:top w:w="0" w:type="dxa"/>
            <w:left w:w="108" w:type="dxa"/>
            <w:bottom w:w="0" w:type="dxa"/>
            <w:right w:w="108" w:type="dxa"/>
          </w:tblCellMar>
        </w:tblPrEx>
        <w:trPr>
          <w:wBefore w:w="0" w:type="dxa"/>
        </w:trPr>
        <w:tc>
          <w:tcPr>
            <w:tcW w:w="4729" w:type="dxa"/>
            <w:noWrap w:val="0"/>
            <w:vAlign w:val="top"/>
          </w:tcPr>
          <w:p>
            <w:pPr>
              <w:pStyle w:val="11"/>
              <w:spacing w:line="500" w:lineRule="atLeas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w:t>
            </w:r>
          </w:p>
          <w:p>
            <w:pPr>
              <w:pStyle w:val="11"/>
              <w:spacing w:line="500" w:lineRule="atLeas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或授权委托人（签字）：</w:t>
            </w:r>
          </w:p>
        </w:tc>
        <w:tc>
          <w:tcPr>
            <w:tcW w:w="4729" w:type="dxa"/>
            <w:noWrap w:val="0"/>
            <w:vAlign w:val="top"/>
          </w:tcPr>
          <w:p>
            <w:pPr>
              <w:pStyle w:val="11"/>
              <w:spacing w:line="500" w:lineRule="atLeas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w:t>
            </w:r>
          </w:p>
          <w:p>
            <w:pPr>
              <w:pStyle w:val="11"/>
              <w:spacing w:line="500" w:lineRule="atLeas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或授权委托人（签字）：</w:t>
            </w:r>
          </w:p>
        </w:tc>
      </w:tr>
      <w:tr>
        <w:tblPrEx>
          <w:tblCellMar>
            <w:top w:w="0" w:type="dxa"/>
            <w:left w:w="108" w:type="dxa"/>
            <w:bottom w:w="0" w:type="dxa"/>
            <w:right w:w="108" w:type="dxa"/>
          </w:tblCellMar>
        </w:tblPrEx>
        <w:trPr>
          <w:wBefore w:w="0" w:type="dxa"/>
        </w:trPr>
        <w:tc>
          <w:tcPr>
            <w:tcW w:w="4729" w:type="dxa"/>
            <w:noWrap w:val="0"/>
            <w:vAlign w:val="top"/>
          </w:tcPr>
          <w:p>
            <w:pPr>
              <w:pStyle w:val="11"/>
              <w:spacing w:line="500" w:lineRule="atLeas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p>
        </w:tc>
        <w:tc>
          <w:tcPr>
            <w:tcW w:w="4729" w:type="dxa"/>
            <w:noWrap w:val="0"/>
            <w:vAlign w:val="top"/>
          </w:tcPr>
          <w:p>
            <w:pPr>
              <w:pStyle w:val="11"/>
              <w:spacing w:line="500" w:lineRule="atLeas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p>
        </w:tc>
      </w:tr>
      <w:tr>
        <w:tblPrEx>
          <w:tblCellMar>
            <w:top w:w="0" w:type="dxa"/>
            <w:left w:w="108" w:type="dxa"/>
            <w:bottom w:w="0" w:type="dxa"/>
            <w:right w:w="108" w:type="dxa"/>
          </w:tblCellMar>
        </w:tblPrEx>
        <w:trPr>
          <w:wBefore w:w="0" w:type="dxa"/>
        </w:trPr>
        <w:tc>
          <w:tcPr>
            <w:tcW w:w="4729" w:type="dxa"/>
            <w:noWrap w:val="0"/>
            <w:vAlign w:val="top"/>
          </w:tcPr>
          <w:p>
            <w:pPr>
              <w:pStyle w:val="11"/>
              <w:spacing w:line="500" w:lineRule="atLeas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p>
        </w:tc>
        <w:tc>
          <w:tcPr>
            <w:tcW w:w="4729" w:type="dxa"/>
            <w:noWrap w:val="0"/>
            <w:vAlign w:val="top"/>
          </w:tcPr>
          <w:p>
            <w:pPr>
              <w:pStyle w:val="11"/>
              <w:spacing w:line="500" w:lineRule="atLeas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p>
        </w:tc>
      </w:tr>
      <w:tr>
        <w:tblPrEx>
          <w:tblCellMar>
            <w:top w:w="0" w:type="dxa"/>
            <w:left w:w="108" w:type="dxa"/>
            <w:bottom w:w="0" w:type="dxa"/>
            <w:right w:w="108" w:type="dxa"/>
          </w:tblCellMar>
        </w:tblPrEx>
        <w:trPr>
          <w:wBefore w:w="0" w:type="dxa"/>
        </w:trPr>
        <w:tc>
          <w:tcPr>
            <w:tcW w:w="4729" w:type="dxa"/>
            <w:noWrap w:val="0"/>
            <w:vAlign w:val="top"/>
          </w:tcPr>
          <w:p>
            <w:pPr>
              <w:pStyle w:val="11"/>
              <w:spacing w:line="500" w:lineRule="atLeas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p>
        </w:tc>
        <w:tc>
          <w:tcPr>
            <w:tcW w:w="4729" w:type="dxa"/>
            <w:noWrap w:val="0"/>
            <w:vAlign w:val="top"/>
          </w:tcPr>
          <w:p>
            <w:pPr>
              <w:pStyle w:val="11"/>
              <w:spacing w:line="500" w:lineRule="atLeas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p>
        </w:tc>
      </w:tr>
      <w:tr>
        <w:tblPrEx>
          <w:tblCellMar>
            <w:top w:w="0" w:type="dxa"/>
            <w:left w:w="108" w:type="dxa"/>
            <w:bottom w:w="0" w:type="dxa"/>
            <w:right w:w="108" w:type="dxa"/>
          </w:tblCellMar>
        </w:tblPrEx>
        <w:trPr>
          <w:wBefore w:w="0" w:type="dxa"/>
        </w:trPr>
        <w:tc>
          <w:tcPr>
            <w:tcW w:w="4729" w:type="dxa"/>
            <w:noWrap w:val="0"/>
            <w:vAlign w:val="top"/>
          </w:tcPr>
          <w:p>
            <w:pPr>
              <w:pStyle w:val="11"/>
              <w:spacing w:line="500" w:lineRule="atLeas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p>
        </w:tc>
        <w:tc>
          <w:tcPr>
            <w:tcW w:w="4729" w:type="dxa"/>
            <w:noWrap w:val="0"/>
            <w:vAlign w:val="top"/>
          </w:tcPr>
          <w:p>
            <w:pPr>
              <w:pStyle w:val="11"/>
              <w:spacing w:line="500" w:lineRule="atLeas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p>
        </w:tc>
      </w:tr>
      <w:tr>
        <w:tblPrEx>
          <w:tblCellMar>
            <w:top w:w="0" w:type="dxa"/>
            <w:left w:w="108" w:type="dxa"/>
            <w:bottom w:w="0" w:type="dxa"/>
            <w:right w:w="108" w:type="dxa"/>
          </w:tblCellMar>
        </w:tblPrEx>
        <w:trPr>
          <w:wBefore w:w="0" w:type="dxa"/>
        </w:trPr>
        <w:tc>
          <w:tcPr>
            <w:tcW w:w="4729" w:type="dxa"/>
            <w:noWrap w:val="0"/>
            <w:vAlign w:val="top"/>
          </w:tcPr>
          <w:p>
            <w:pPr>
              <w:pStyle w:val="11"/>
              <w:spacing w:line="500" w:lineRule="atLeas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w:t>
            </w:r>
          </w:p>
        </w:tc>
        <w:tc>
          <w:tcPr>
            <w:tcW w:w="4729" w:type="dxa"/>
            <w:noWrap w:val="0"/>
            <w:vAlign w:val="top"/>
          </w:tcPr>
          <w:p>
            <w:pPr>
              <w:pStyle w:val="11"/>
              <w:spacing w:line="500" w:lineRule="atLeas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w:t>
            </w:r>
          </w:p>
        </w:tc>
      </w:tr>
      <w:tr>
        <w:tblPrEx>
          <w:tblCellMar>
            <w:top w:w="0" w:type="dxa"/>
            <w:left w:w="108" w:type="dxa"/>
            <w:bottom w:w="0" w:type="dxa"/>
            <w:right w:w="108" w:type="dxa"/>
          </w:tblCellMar>
        </w:tblPrEx>
        <w:trPr>
          <w:wBefore w:w="0" w:type="dxa"/>
        </w:trPr>
        <w:tc>
          <w:tcPr>
            <w:tcW w:w="4729" w:type="dxa"/>
            <w:noWrap w:val="0"/>
            <w:vAlign w:val="top"/>
          </w:tcPr>
          <w:p>
            <w:pPr>
              <w:pStyle w:val="11"/>
              <w:spacing w:line="500" w:lineRule="atLeas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账号：</w:t>
            </w:r>
          </w:p>
        </w:tc>
        <w:tc>
          <w:tcPr>
            <w:tcW w:w="4729" w:type="dxa"/>
            <w:noWrap w:val="0"/>
            <w:vAlign w:val="top"/>
          </w:tcPr>
          <w:p>
            <w:pPr>
              <w:pStyle w:val="11"/>
              <w:spacing w:after="156" w:line="500" w:lineRule="atLeas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账号：</w:t>
            </w:r>
          </w:p>
        </w:tc>
      </w:tr>
    </w:tbl>
    <w:p>
      <w:pPr>
        <w:spacing w:line="360" w:lineRule="auto"/>
        <w:jc w:val="left"/>
        <w:rPr>
          <w:rFonts w:hint="eastAsia" w:ascii="宋体" w:hAnsi="宋体" w:eastAsia="宋体" w:cs="宋体"/>
          <w:b/>
          <w:bCs/>
          <w:color w:val="auto"/>
          <w:sz w:val="36"/>
          <w:highlight w:val="none"/>
        </w:rPr>
        <w:sectPr>
          <w:pgSz w:w="11907" w:h="16840"/>
          <w:pgMar w:top="1418" w:right="1418" w:bottom="1418" w:left="1531" w:header="851" w:footer="851" w:gutter="0"/>
          <w:cols w:space="720" w:num="1"/>
          <w:docGrid w:type="lines" w:linePitch="312" w:charSpace="0"/>
        </w:sectPr>
      </w:pPr>
    </w:p>
    <w:p>
      <w:pPr>
        <w:spacing w:line="360" w:lineRule="auto"/>
        <w:jc w:val="center"/>
        <w:rPr>
          <w:rFonts w:hint="eastAsia" w:ascii="宋体" w:hAnsi="宋体" w:eastAsia="宋体" w:cs="宋体"/>
          <w:b/>
          <w:bCs/>
          <w:color w:val="auto"/>
          <w:sz w:val="36"/>
          <w:highlight w:val="none"/>
        </w:rPr>
      </w:pPr>
      <w:r>
        <w:rPr>
          <w:rFonts w:hint="eastAsia" w:ascii="宋体" w:hAnsi="宋体" w:eastAsia="宋体" w:cs="宋体"/>
          <w:b/>
          <w:bCs/>
          <w:color w:val="auto"/>
          <w:sz w:val="36"/>
          <w:highlight w:val="none"/>
        </w:rPr>
        <w:t>第五章  应提交的有关格式范例</w:t>
      </w:r>
    </w:p>
    <w:p>
      <w:pPr>
        <w:snapToGrid w:val="0"/>
        <w:spacing w:before="156" w:beforeLines="50" w:after="50"/>
        <w:rPr>
          <w:rFonts w:hint="eastAsia" w:ascii="宋体" w:hAnsi="宋体" w:eastAsia="宋体" w:cs="宋体"/>
          <w:b/>
          <w:color w:val="auto"/>
          <w:sz w:val="30"/>
          <w:szCs w:val="30"/>
          <w:highlight w:val="none"/>
        </w:rPr>
      </w:pPr>
      <w:r>
        <w:rPr>
          <w:rFonts w:hint="eastAsia" w:ascii="宋体" w:hAnsi="宋体" w:eastAsia="宋体" w:cs="宋体"/>
          <w:color w:val="auto"/>
          <w:sz w:val="30"/>
          <w:szCs w:val="30"/>
          <w:highlight w:val="none"/>
        </w:rPr>
        <w:t>附件1</w:t>
      </w:r>
      <w:r>
        <w:rPr>
          <w:rFonts w:hint="eastAsia" w:ascii="宋体" w:hAnsi="宋体" w:eastAsia="宋体" w:cs="宋体"/>
          <w:b/>
          <w:color w:val="auto"/>
          <w:sz w:val="30"/>
          <w:szCs w:val="30"/>
          <w:highlight w:val="none"/>
        </w:rPr>
        <w:t xml:space="preserve">：                                   </w:t>
      </w:r>
    </w:p>
    <w:p>
      <w:pPr>
        <w:ind w:right="-110"/>
        <w:jc w:val="center"/>
        <w:rPr>
          <w:rFonts w:hint="eastAsia" w:ascii="宋体" w:hAnsi="宋体" w:eastAsia="宋体" w:cs="宋体"/>
          <w:color w:val="auto"/>
          <w:spacing w:val="40"/>
          <w:sz w:val="52"/>
          <w:szCs w:val="52"/>
          <w:highlight w:val="none"/>
        </w:rPr>
      </w:pPr>
      <w:r>
        <w:rPr>
          <w:rFonts w:hint="eastAsia" w:ascii="宋体" w:hAnsi="宋体" w:eastAsia="宋体" w:cs="宋体"/>
          <w:color w:val="auto"/>
          <w:spacing w:val="40"/>
          <w:sz w:val="52"/>
          <w:szCs w:val="52"/>
          <w:highlight w:val="none"/>
        </w:rPr>
        <w:t>项目名称</w:t>
      </w:r>
    </w:p>
    <w:p>
      <w:pPr>
        <w:spacing w:before="312" w:beforeLines="100" w:line="240" w:lineRule="atLeast"/>
        <w:ind w:right="-108"/>
        <w:jc w:val="center"/>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项目编号：（标项X）</w:t>
      </w:r>
    </w:p>
    <w:p>
      <w:pPr>
        <w:spacing w:after="100" w:afterAutospacing="1" w:line="800" w:lineRule="exact"/>
        <w:ind w:right="-108"/>
        <w:jc w:val="center"/>
        <w:rPr>
          <w:rFonts w:hint="eastAsia" w:ascii="宋体" w:hAnsi="宋体" w:eastAsia="宋体" w:cs="宋体"/>
          <w:b/>
          <w:color w:val="auto"/>
          <w:spacing w:val="40"/>
          <w:sz w:val="84"/>
          <w:szCs w:val="84"/>
          <w:highlight w:val="none"/>
        </w:rPr>
      </w:pPr>
    </w:p>
    <w:p>
      <w:pPr>
        <w:spacing w:after="100" w:afterAutospacing="1" w:line="360" w:lineRule="auto"/>
        <w:ind w:right="-108"/>
        <w:jc w:val="center"/>
        <w:rPr>
          <w:rFonts w:hint="eastAsia" w:ascii="宋体" w:hAnsi="宋体" w:eastAsia="宋体" w:cs="宋体"/>
          <w:b/>
          <w:color w:val="auto"/>
          <w:spacing w:val="40"/>
          <w:sz w:val="84"/>
          <w:szCs w:val="84"/>
          <w:highlight w:val="none"/>
        </w:rPr>
      </w:pPr>
      <w:r>
        <w:rPr>
          <w:rFonts w:hint="eastAsia" w:ascii="宋体" w:hAnsi="宋体" w:eastAsia="宋体" w:cs="宋体"/>
          <w:b/>
          <w:color w:val="auto"/>
          <w:spacing w:val="40"/>
          <w:sz w:val="84"/>
          <w:szCs w:val="84"/>
          <w:highlight w:val="none"/>
        </w:rPr>
        <w:t>资格审查文件</w:t>
      </w:r>
    </w:p>
    <w:p>
      <w:pPr>
        <w:spacing w:line="360" w:lineRule="auto"/>
        <w:ind w:firstLine="1280" w:firstLineChars="400"/>
        <w:rPr>
          <w:rFonts w:hint="eastAsia" w:ascii="宋体" w:hAnsi="宋体" w:eastAsia="宋体" w:cs="宋体"/>
          <w:color w:val="auto"/>
          <w:sz w:val="32"/>
          <w:highlight w:val="none"/>
        </w:rPr>
      </w:pPr>
    </w:p>
    <w:p>
      <w:pPr>
        <w:spacing w:line="360" w:lineRule="auto"/>
        <w:ind w:firstLine="1280" w:firstLineChars="400"/>
        <w:rPr>
          <w:rFonts w:hint="eastAsia" w:ascii="宋体" w:hAnsi="宋体" w:eastAsia="宋体" w:cs="宋体"/>
          <w:color w:val="auto"/>
          <w:sz w:val="32"/>
          <w:highlight w:val="none"/>
        </w:rPr>
      </w:pPr>
    </w:p>
    <w:p>
      <w:pPr>
        <w:spacing w:line="360" w:lineRule="auto"/>
        <w:ind w:firstLine="1280" w:firstLineChars="400"/>
        <w:rPr>
          <w:rFonts w:hint="eastAsia" w:ascii="宋体" w:hAnsi="宋体" w:eastAsia="宋体" w:cs="宋体"/>
          <w:color w:val="auto"/>
          <w:sz w:val="32"/>
          <w:highlight w:val="none"/>
        </w:rPr>
      </w:pPr>
    </w:p>
    <w:p>
      <w:pPr>
        <w:spacing w:line="360" w:lineRule="auto"/>
        <w:ind w:firstLine="1280" w:firstLineChars="400"/>
        <w:rPr>
          <w:rFonts w:hint="eastAsia" w:ascii="宋体" w:hAnsi="宋体" w:eastAsia="宋体" w:cs="宋体"/>
          <w:color w:val="auto"/>
          <w:sz w:val="32"/>
          <w:highlight w:val="none"/>
        </w:rPr>
      </w:pPr>
    </w:p>
    <w:p>
      <w:pPr>
        <w:spacing w:line="360" w:lineRule="auto"/>
        <w:ind w:firstLine="1280" w:firstLineChars="400"/>
        <w:rPr>
          <w:rFonts w:hint="eastAsia" w:ascii="宋体" w:hAnsi="宋体" w:eastAsia="宋体" w:cs="宋体"/>
          <w:color w:val="auto"/>
          <w:sz w:val="32"/>
          <w:highlight w:val="none"/>
        </w:rPr>
      </w:pPr>
    </w:p>
    <w:p>
      <w:pPr>
        <w:spacing w:line="360" w:lineRule="auto"/>
        <w:ind w:firstLine="1280" w:firstLineChars="400"/>
        <w:rPr>
          <w:rFonts w:hint="eastAsia" w:ascii="宋体" w:hAnsi="宋体" w:eastAsia="宋体" w:cs="宋体"/>
          <w:color w:val="auto"/>
          <w:sz w:val="32"/>
          <w:highlight w:val="none"/>
        </w:rPr>
      </w:pPr>
    </w:p>
    <w:p>
      <w:pPr>
        <w:spacing w:line="360" w:lineRule="auto"/>
        <w:ind w:firstLine="1280" w:firstLineChars="400"/>
        <w:rPr>
          <w:rFonts w:hint="eastAsia" w:ascii="宋体" w:hAnsi="宋体" w:eastAsia="宋体" w:cs="宋体"/>
          <w:color w:val="auto"/>
          <w:sz w:val="32"/>
          <w:highlight w:val="none"/>
        </w:rPr>
      </w:pPr>
    </w:p>
    <w:p>
      <w:pPr>
        <w:spacing w:line="360" w:lineRule="auto"/>
        <w:ind w:firstLine="1280" w:firstLineChars="400"/>
        <w:rPr>
          <w:rFonts w:hint="eastAsia" w:ascii="宋体" w:hAnsi="宋体" w:eastAsia="宋体" w:cs="宋体"/>
          <w:color w:val="auto"/>
          <w:sz w:val="32"/>
          <w:highlight w:val="none"/>
        </w:rPr>
      </w:pPr>
      <w:r>
        <w:rPr>
          <w:rFonts w:hint="eastAsia" w:ascii="宋体" w:hAnsi="宋体" w:eastAsia="宋体" w:cs="宋体"/>
          <w:color w:val="auto"/>
          <w:sz w:val="32"/>
          <w:highlight w:val="none"/>
        </w:rPr>
        <w:t>投标单位名称：（加盖单位公章）</w:t>
      </w:r>
    </w:p>
    <w:p>
      <w:pPr>
        <w:spacing w:line="360" w:lineRule="auto"/>
        <w:ind w:firstLine="1280" w:firstLineChars="400"/>
        <w:rPr>
          <w:rFonts w:hint="eastAsia" w:ascii="宋体" w:hAnsi="宋体" w:eastAsia="宋体" w:cs="宋体"/>
          <w:color w:val="auto"/>
          <w:sz w:val="32"/>
          <w:highlight w:val="none"/>
        </w:rPr>
      </w:pPr>
      <w:r>
        <w:rPr>
          <w:rFonts w:hint="eastAsia" w:ascii="宋体" w:hAnsi="宋体" w:eastAsia="宋体" w:cs="宋体"/>
          <w:color w:val="auto"/>
          <w:sz w:val="32"/>
          <w:highlight w:val="none"/>
        </w:rPr>
        <w:t>投标单位地址：</w:t>
      </w:r>
    </w:p>
    <w:p>
      <w:pPr>
        <w:spacing w:line="360" w:lineRule="auto"/>
        <w:ind w:firstLine="1280" w:firstLineChars="400"/>
        <w:rPr>
          <w:rFonts w:hint="eastAsia" w:ascii="宋体" w:hAnsi="宋体" w:eastAsia="宋体" w:cs="宋体"/>
          <w:color w:val="auto"/>
          <w:sz w:val="32"/>
          <w:highlight w:val="none"/>
        </w:rPr>
      </w:pPr>
      <w:r>
        <w:rPr>
          <w:rFonts w:hint="eastAsia" w:ascii="宋体" w:hAnsi="宋体" w:eastAsia="宋体" w:cs="宋体"/>
          <w:color w:val="auto"/>
          <w:sz w:val="32"/>
          <w:highlight w:val="none"/>
        </w:rPr>
        <w:t>投标单位法人或法人授权代表姓名：</w:t>
      </w:r>
    </w:p>
    <w:p>
      <w:pPr>
        <w:spacing w:line="360" w:lineRule="auto"/>
        <w:ind w:firstLine="1280" w:firstLineChars="400"/>
        <w:rPr>
          <w:rFonts w:hint="eastAsia" w:ascii="宋体" w:hAnsi="宋体" w:eastAsia="宋体" w:cs="宋体"/>
          <w:color w:val="auto"/>
          <w:sz w:val="32"/>
          <w:highlight w:val="none"/>
        </w:rPr>
      </w:pPr>
      <w:r>
        <w:rPr>
          <w:rFonts w:hint="eastAsia" w:ascii="宋体" w:hAnsi="宋体" w:eastAsia="宋体" w:cs="宋体"/>
          <w:color w:val="auto"/>
          <w:sz w:val="32"/>
          <w:highlight w:val="none"/>
        </w:rPr>
        <w:t>投标单位联系方式：</w:t>
      </w:r>
    </w:p>
    <w:p>
      <w:pPr>
        <w:spacing w:line="360" w:lineRule="auto"/>
        <w:rPr>
          <w:rFonts w:hint="eastAsia" w:ascii="宋体" w:hAnsi="宋体" w:eastAsia="宋体" w:cs="宋体"/>
          <w:color w:val="auto"/>
          <w:sz w:val="32"/>
          <w:highlight w:val="none"/>
        </w:rPr>
      </w:pPr>
    </w:p>
    <w:p>
      <w:pPr>
        <w:pStyle w:val="11"/>
        <w:spacing w:line="360" w:lineRule="auto"/>
        <w:ind w:firstLine="640" w:firstLineChars="200"/>
        <w:jc w:val="center"/>
        <w:rPr>
          <w:rFonts w:hint="eastAsia" w:ascii="宋体" w:hAnsi="宋体" w:eastAsia="宋体" w:cs="宋体"/>
          <w:color w:val="auto"/>
          <w:sz w:val="32"/>
          <w:szCs w:val="24"/>
          <w:highlight w:val="none"/>
        </w:rPr>
      </w:pPr>
      <w:r>
        <w:rPr>
          <w:rFonts w:hint="eastAsia" w:ascii="宋体" w:hAnsi="宋体" w:eastAsia="宋体" w:cs="宋体"/>
          <w:color w:val="auto"/>
          <w:sz w:val="32"/>
          <w:szCs w:val="24"/>
          <w:highlight w:val="none"/>
        </w:rPr>
        <w:t xml:space="preserve"> 年  月  日</w:t>
      </w:r>
    </w:p>
    <w:p>
      <w:pPr>
        <w:snapToGrid w:val="0"/>
        <w:spacing w:line="300" w:lineRule="auto"/>
        <w:rPr>
          <w:rFonts w:hint="eastAsia" w:ascii="宋体" w:hAnsi="宋体" w:eastAsia="宋体" w:cs="宋体"/>
          <w:color w:val="auto"/>
          <w:kern w:val="0"/>
          <w:sz w:val="28"/>
          <w:szCs w:val="28"/>
          <w:highlight w:val="none"/>
        </w:rPr>
      </w:pPr>
      <w:r>
        <w:rPr>
          <w:rFonts w:hint="eastAsia" w:ascii="宋体" w:hAnsi="宋体" w:eastAsia="宋体" w:cs="宋体"/>
          <w:b/>
          <w:color w:val="auto"/>
          <w:sz w:val="36"/>
          <w:szCs w:val="36"/>
          <w:highlight w:val="none"/>
        </w:rPr>
        <w:br w:type="page"/>
      </w:r>
    </w:p>
    <w:p>
      <w:pPr>
        <w:pStyle w:val="4"/>
        <w:tabs>
          <w:tab w:val="left" w:pos="2985"/>
        </w:tabs>
        <w:spacing w:before="120"/>
        <w:rPr>
          <w:rFonts w:hint="eastAsia" w:ascii="宋体" w:hAnsi="宋体" w:eastAsia="宋体" w:cs="宋体"/>
          <w:color w:val="auto"/>
          <w:highlight w:val="none"/>
        </w:rPr>
      </w:pPr>
      <w:bookmarkStart w:id="11" w:name="_Toc345575549"/>
      <w:bookmarkStart w:id="12" w:name="_Toc184635147"/>
      <w:bookmarkStart w:id="13" w:name="_Toc230930642"/>
      <w:bookmarkStart w:id="14" w:name="_Toc303030576"/>
      <w:bookmarkStart w:id="15" w:name="_Toc335138374"/>
      <w:r>
        <w:rPr>
          <w:rFonts w:hint="eastAsia" w:ascii="宋体" w:hAnsi="宋体" w:eastAsia="宋体" w:cs="宋体"/>
          <w:color w:val="auto"/>
          <w:highlight w:val="none"/>
        </w:rPr>
        <w:t>一、资格审查资料</w:t>
      </w:r>
      <w:bookmarkEnd w:id="11"/>
      <w:bookmarkEnd w:id="12"/>
      <w:bookmarkEnd w:id="13"/>
      <w:bookmarkEnd w:id="14"/>
      <w:bookmarkEnd w:id="15"/>
    </w:p>
    <w:p>
      <w:pPr>
        <w:autoSpaceDE w:val="0"/>
        <w:autoSpaceDN w:val="0"/>
        <w:adjustRightInd w:val="0"/>
        <w:snapToGrid w:val="0"/>
        <w:spacing w:line="300" w:lineRule="auto"/>
        <w:ind w:firstLine="560" w:firstLineChars="200"/>
        <w:jc w:val="left"/>
        <w:rPr>
          <w:rFonts w:hint="eastAsia" w:ascii="宋体" w:hAnsi="宋体" w:eastAsia="宋体" w:cs="宋体"/>
          <w:color w:val="auto"/>
          <w:kern w:val="0"/>
          <w:sz w:val="28"/>
          <w:szCs w:val="28"/>
          <w:highlight w:val="none"/>
        </w:rPr>
      </w:pPr>
      <w:bookmarkStart w:id="16" w:name="_Toc230930643"/>
      <w:bookmarkStart w:id="17" w:name="_Toc335138375"/>
      <w:bookmarkStart w:id="18" w:name="_Toc303030577"/>
      <w:r>
        <w:rPr>
          <w:rFonts w:hint="eastAsia" w:ascii="宋体" w:hAnsi="宋体" w:eastAsia="宋体" w:cs="宋体"/>
          <w:color w:val="auto"/>
          <w:kern w:val="0"/>
          <w:sz w:val="28"/>
          <w:szCs w:val="28"/>
          <w:highlight w:val="none"/>
        </w:rPr>
        <w:t>（一）资格审查须知</w:t>
      </w:r>
      <w:bookmarkEnd w:id="16"/>
      <w:bookmarkEnd w:id="17"/>
      <w:bookmarkEnd w:id="18"/>
    </w:p>
    <w:p>
      <w:pPr>
        <w:autoSpaceDE w:val="0"/>
        <w:autoSpaceDN w:val="0"/>
        <w:adjustRightInd w:val="0"/>
        <w:snapToGrid w:val="0"/>
        <w:spacing w:line="30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1、投标人必须认真填写招标文件规定的所有表格，并对其真实性负责，采购人有权对其进行调查核实和要求澄清。</w:t>
      </w:r>
    </w:p>
    <w:p>
      <w:pPr>
        <w:autoSpaceDE w:val="0"/>
        <w:autoSpaceDN w:val="0"/>
        <w:adjustRightInd w:val="0"/>
        <w:snapToGrid w:val="0"/>
        <w:spacing w:line="30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2、资格审查按通过和不通过两种方式进行评定，投标人的资格等方面的要求作为资格审查通过的强制性资格条件，经核实有一项不符合要求，则投标人的资格为不通过，不通过的投标人对其投标文件不进行后续评审。</w:t>
      </w:r>
    </w:p>
    <w:p>
      <w:pPr>
        <w:autoSpaceDE w:val="0"/>
        <w:autoSpaceDN w:val="0"/>
        <w:adjustRightInd w:val="0"/>
        <w:snapToGrid w:val="0"/>
        <w:spacing w:line="300" w:lineRule="auto"/>
        <w:ind w:firstLine="560" w:firstLineChars="200"/>
        <w:jc w:val="left"/>
        <w:rPr>
          <w:rFonts w:hint="eastAsia" w:ascii="宋体" w:hAnsi="宋体" w:eastAsia="宋体" w:cs="宋体"/>
          <w:color w:val="auto"/>
          <w:kern w:val="0"/>
          <w:sz w:val="28"/>
          <w:szCs w:val="28"/>
          <w:highlight w:val="none"/>
        </w:rPr>
      </w:pPr>
      <w:bookmarkStart w:id="19" w:name="_Toc179623472"/>
      <w:bookmarkStart w:id="20" w:name="_Toc335138376"/>
      <w:bookmarkStart w:id="21" w:name="_Toc208484561"/>
      <w:bookmarkStart w:id="22" w:name="_Toc208051215"/>
      <w:bookmarkStart w:id="23" w:name="_Toc204944488"/>
      <w:bookmarkStart w:id="24" w:name="_Toc227658251"/>
      <w:bookmarkStart w:id="25" w:name="_Toc191897610"/>
      <w:bookmarkStart w:id="26" w:name="_Toc179801514"/>
      <w:bookmarkStart w:id="27" w:name="_Toc303030578"/>
      <w:r>
        <w:rPr>
          <w:rFonts w:hint="eastAsia" w:ascii="宋体" w:hAnsi="宋体" w:eastAsia="宋体" w:cs="宋体"/>
          <w:color w:val="auto"/>
          <w:kern w:val="0"/>
          <w:sz w:val="28"/>
          <w:szCs w:val="28"/>
          <w:highlight w:val="none"/>
        </w:rPr>
        <w:t>（二）资格审查资料</w:t>
      </w:r>
      <w:bookmarkEnd w:id="19"/>
      <w:bookmarkEnd w:id="20"/>
      <w:bookmarkEnd w:id="21"/>
      <w:bookmarkEnd w:id="22"/>
      <w:bookmarkEnd w:id="23"/>
      <w:bookmarkEnd w:id="24"/>
      <w:bookmarkEnd w:id="25"/>
      <w:bookmarkEnd w:id="26"/>
      <w:bookmarkEnd w:id="27"/>
      <w:r>
        <w:rPr>
          <w:rFonts w:hint="eastAsia" w:ascii="宋体" w:hAnsi="宋体" w:eastAsia="宋体" w:cs="宋体"/>
          <w:color w:val="auto"/>
          <w:kern w:val="0"/>
          <w:sz w:val="28"/>
          <w:szCs w:val="28"/>
          <w:highlight w:val="none"/>
        </w:rPr>
        <w:t>格式</w:t>
      </w:r>
    </w:p>
    <w:p>
      <w:pPr>
        <w:autoSpaceDE w:val="0"/>
        <w:autoSpaceDN w:val="0"/>
        <w:adjustRightInd w:val="0"/>
        <w:snapToGrid w:val="0"/>
        <w:spacing w:line="30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表1 强制性资格条件</w:t>
      </w:r>
    </w:p>
    <w:p>
      <w:pPr>
        <w:autoSpaceDE w:val="0"/>
        <w:autoSpaceDN w:val="0"/>
        <w:adjustRightInd w:val="0"/>
        <w:snapToGrid w:val="0"/>
        <w:spacing w:line="30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表附件</w:t>
      </w:r>
    </w:p>
    <w:p>
      <w:pPr>
        <w:snapToGrid w:val="0"/>
        <w:spacing w:line="300" w:lineRule="auto"/>
        <w:ind w:left="280" w:hanging="280" w:hangingChars="100"/>
        <w:jc w:val="center"/>
        <w:outlineLvl w:val="2"/>
        <w:rPr>
          <w:rFonts w:hint="eastAsia" w:ascii="宋体" w:hAnsi="宋体" w:eastAsia="宋体" w:cs="宋体"/>
          <w:b/>
          <w:bCs/>
          <w:color w:val="auto"/>
          <w:sz w:val="28"/>
          <w:szCs w:val="28"/>
          <w:highlight w:val="none"/>
        </w:rPr>
      </w:pPr>
      <w:bookmarkStart w:id="28" w:name="_Toc204944489"/>
      <w:bookmarkStart w:id="29" w:name="_Toc179801515"/>
      <w:bookmarkStart w:id="30" w:name="_Toc208484562"/>
      <w:bookmarkStart w:id="31" w:name="_Toc191897470"/>
      <w:bookmarkStart w:id="32" w:name="_Toc227658252"/>
      <w:bookmarkStart w:id="33" w:name="_Toc191897611"/>
      <w:bookmarkStart w:id="34" w:name="_Toc208051216"/>
      <w:r>
        <w:rPr>
          <w:rFonts w:hint="eastAsia" w:ascii="宋体" w:hAnsi="宋体" w:eastAsia="宋体" w:cs="宋体"/>
          <w:color w:val="auto"/>
          <w:sz w:val="28"/>
          <w:szCs w:val="28"/>
          <w:highlight w:val="none"/>
        </w:rPr>
        <w:br w:type="page"/>
      </w:r>
      <w:bookmarkEnd w:id="28"/>
      <w:bookmarkEnd w:id="29"/>
      <w:bookmarkEnd w:id="30"/>
      <w:bookmarkEnd w:id="31"/>
      <w:bookmarkEnd w:id="32"/>
      <w:bookmarkEnd w:id="33"/>
      <w:bookmarkEnd w:id="34"/>
      <w:r>
        <w:rPr>
          <w:rFonts w:hint="eastAsia" w:ascii="宋体" w:hAnsi="宋体" w:eastAsia="宋体" w:cs="宋体"/>
          <w:b/>
          <w:bCs/>
          <w:color w:val="auto"/>
          <w:sz w:val="28"/>
          <w:szCs w:val="28"/>
          <w:highlight w:val="none"/>
        </w:rPr>
        <w:t>表1：强制性资格条件表</w:t>
      </w:r>
    </w:p>
    <w:p>
      <w:pPr>
        <w:snapToGrid w:val="0"/>
        <w:spacing w:line="30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项目名称：</w:t>
      </w:r>
      <w:r>
        <w:rPr>
          <w:rFonts w:hint="eastAsia" w:ascii="宋体" w:hAnsi="宋体" w:eastAsia="宋体" w:cs="宋体"/>
          <w:color w:val="auto"/>
          <w:kern w:val="0"/>
          <w:sz w:val="24"/>
          <w:highlight w:val="none"/>
        </w:rPr>
        <w:t>拱墅区清除非法涂写招贴广告作业项目</w:t>
      </w:r>
    </w:p>
    <w:p>
      <w:pPr>
        <w:snapToGrid w:val="0"/>
        <w:spacing w:line="30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项目编号：CTSC-2020-019</w:t>
      </w:r>
    </w:p>
    <w:p>
      <w:pPr>
        <w:pStyle w:val="77"/>
        <w:ind w:firstLine="0" w:firstLineChars="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标项名称：</w:t>
      </w:r>
      <w:r>
        <w:rPr>
          <w:rFonts w:hint="eastAsia" w:ascii="宋体" w:hAnsi="宋体" w:eastAsia="宋体" w:cs="宋体"/>
          <w:bCs/>
          <w:color w:val="auto"/>
          <w:sz w:val="28"/>
          <w:szCs w:val="28"/>
          <w:highlight w:val="none"/>
        </w:rPr>
        <w:t xml:space="preserve"> </w:t>
      </w:r>
    </w:p>
    <w:tbl>
      <w:tblPr>
        <w:tblStyle w:val="2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9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8" w:type="dxa"/>
            <w:noWrap w:val="0"/>
            <w:vAlign w:val="center"/>
          </w:tcPr>
          <w:p>
            <w:pPr>
              <w:snapToGrid w:val="0"/>
              <w:spacing w:line="30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序号</w:t>
            </w:r>
          </w:p>
        </w:tc>
        <w:tc>
          <w:tcPr>
            <w:tcW w:w="9138" w:type="dxa"/>
            <w:noWrap w:val="0"/>
            <w:vAlign w:val="center"/>
          </w:tcPr>
          <w:p>
            <w:pPr>
              <w:snapToGrid w:val="0"/>
              <w:spacing w:line="30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强制性资格条件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8" w:type="dxa"/>
            <w:noWrap w:val="0"/>
            <w:vAlign w:val="center"/>
          </w:tcPr>
          <w:p>
            <w:pPr>
              <w:snapToGrid w:val="0"/>
              <w:spacing w:line="30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p>
        </w:tc>
        <w:tc>
          <w:tcPr>
            <w:tcW w:w="9138" w:type="dxa"/>
            <w:noWrap w:val="0"/>
            <w:vAlign w:val="center"/>
          </w:tcPr>
          <w:p>
            <w:pPr>
              <w:pStyle w:val="11"/>
              <w:snapToGrid w:val="0"/>
              <w:spacing w:line="400" w:lineRule="exact"/>
              <w:ind w:firstLine="562" w:firstLineChars="200"/>
              <w:contextualSpacing/>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一般要求：</w:t>
            </w:r>
          </w:p>
          <w:p>
            <w:pPr>
              <w:pStyle w:val="11"/>
              <w:snapToGrid w:val="0"/>
              <w:spacing w:line="400" w:lineRule="exact"/>
              <w:ind w:firstLine="560" w:firstLineChars="200"/>
              <w:contextualSpacing/>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符合《中华人民共和国政府采购法》第二十二条的规定；</w:t>
            </w:r>
          </w:p>
          <w:p>
            <w:pPr>
              <w:widowControl/>
              <w:adjustRightInd w:val="0"/>
              <w:snapToGrid w:val="0"/>
              <w:spacing w:line="40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（1）具有独立承担民事责任的能力；</w:t>
            </w:r>
          </w:p>
          <w:p>
            <w:pPr>
              <w:widowControl/>
              <w:adjustRightInd w:val="0"/>
              <w:snapToGrid w:val="0"/>
              <w:spacing w:line="40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（2）具有良好的商业信誉和健全的财务会计制度；</w:t>
            </w:r>
          </w:p>
          <w:p>
            <w:pPr>
              <w:widowControl/>
              <w:adjustRightInd w:val="0"/>
              <w:snapToGrid w:val="0"/>
              <w:spacing w:line="40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（3）具有履行合同所必需的设备和专业技术能力；</w:t>
            </w:r>
          </w:p>
          <w:p>
            <w:pPr>
              <w:widowControl/>
              <w:adjustRightInd w:val="0"/>
              <w:snapToGrid w:val="0"/>
              <w:spacing w:line="40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（4）有依法缴纳税收和社会保障资金的良好记录；</w:t>
            </w:r>
          </w:p>
          <w:p>
            <w:pPr>
              <w:widowControl/>
              <w:snapToGrid w:val="0"/>
              <w:spacing w:line="40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（5）参加政府采购活动前三年内，在经营活动中没有重大违法记录；</w:t>
            </w:r>
          </w:p>
          <w:p>
            <w:pPr>
              <w:pStyle w:val="11"/>
              <w:snapToGrid w:val="0"/>
              <w:spacing w:line="400" w:lineRule="exact"/>
              <w:ind w:firstLine="562" w:firstLineChars="200"/>
              <w:contextualSpacing/>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特定资格条件：</w:t>
            </w:r>
          </w:p>
          <w:p>
            <w:pPr>
              <w:widowControl/>
              <w:adjustRightInd w:val="0"/>
              <w:snapToGrid w:val="0"/>
              <w:spacing w:line="40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（1）单位负责人为同一人或者存在直接控股、管理关系的不同供应商，不得参加同一合同项下的政府采购活动；</w:t>
            </w:r>
          </w:p>
          <w:p>
            <w:pPr>
              <w:widowControl/>
              <w:adjustRightInd w:val="0"/>
              <w:snapToGrid w:val="0"/>
              <w:spacing w:line="40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（2）供应商未被列入失信被执行人名单、重大税收违法案件当事人名单、政府采购严重违法失信行为记录名单，信用信息以信用中国网站（www.creditchina.gov.cn）、中国政府采购网（www.ccgp.gov.cn）公布为准；</w:t>
            </w:r>
          </w:p>
          <w:p>
            <w:pPr>
              <w:pStyle w:val="11"/>
              <w:snapToGrid w:val="0"/>
              <w:spacing w:line="400" w:lineRule="exact"/>
              <w:ind w:firstLine="560" w:firstLineChars="200"/>
              <w:contextualSpacing/>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zh-CN"/>
              </w:rPr>
              <w:t>（</w:t>
            </w:r>
            <w:r>
              <w:rPr>
                <w:rFonts w:hint="eastAsia" w:ascii="宋体" w:hAnsi="宋体" w:eastAsia="宋体" w:cs="宋体"/>
                <w:color w:val="auto"/>
                <w:sz w:val="28"/>
                <w:szCs w:val="28"/>
                <w:highlight w:val="none"/>
              </w:rPr>
              <w:t>3</w:t>
            </w:r>
            <w:r>
              <w:rPr>
                <w:rFonts w:hint="eastAsia" w:ascii="宋体" w:hAnsi="宋体" w:eastAsia="宋体" w:cs="宋体"/>
                <w:color w:val="auto"/>
                <w:sz w:val="28"/>
                <w:szCs w:val="28"/>
                <w:highlight w:val="none"/>
                <w:lang w:val="zh-CN"/>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8" w:type="dxa"/>
            <w:noWrap w:val="0"/>
            <w:vAlign w:val="center"/>
          </w:tcPr>
          <w:p>
            <w:pPr>
              <w:snapToGrid w:val="0"/>
              <w:spacing w:line="300" w:lineRule="auto"/>
              <w:jc w:val="center"/>
              <w:rPr>
                <w:rFonts w:hint="eastAsia" w:ascii="宋体" w:hAnsi="宋体" w:eastAsia="宋体" w:cs="宋体"/>
                <w:color w:val="auto"/>
                <w:sz w:val="28"/>
                <w:szCs w:val="28"/>
                <w:highlight w:val="none"/>
              </w:rPr>
            </w:pPr>
          </w:p>
        </w:tc>
        <w:tc>
          <w:tcPr>
            <w:tcW w:w="9138" w:type="dxa"/>
            <w:noWrap w:val="0"/>
            <w:vAlign w:val="center"/>
          </w:tcPr>
          <w:p>
            <w:pPr>
              <w:snapToGrid w:val="0"/>
              <w:spacing w:line="30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证明资料附此表后（盖单位公章）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8" w:type="dxa"/>
            <w:noWrap w:val="0"/>
            <w:vAlign w:val="center"/>
          </w:tcPr>
          <w:p>
            <w:pPr>
              <w:snapToGrid w:val="0"/>
              <w:spacing w:line="30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p>
        </w:tc>
        <w:tc>
          <w:tcPr>
            <w:tcW w:w="9138" w:type="dxa"/>
            <w:noWrap w:val="0"/>
            <w:vAlign w:val="center"/>
          </w:tcPr>
          <w:p>
            <w:pPr>
              <w:snapToGrid w:val="0"/>
              <w:spacing w:line="300" w:lineRule="auto"/>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（1）法人或者其他组织的营业执照等能证明供应商具有独立承担民事责任的能力的证明文件；</w:t>
            </w:r>
          </w:p>
          <w:p>
            <w:pPr>
              <w:snapToGrid w:val="0"/>
              <w:spacing w:line="300" w:lineRule="auto"/>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（2）财务状况报告（最近的财务报告）；</w:t>
            </w:r>
          </w:p>
          <w:p>
            <w:pPr>
              <w:snapToGrid w:val="0"/>
              <w:spacing w:line="300" w:lineRule="auto"/>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（3）最近依法缴纳税收（税收缴纳凭证）和社会保障资金（社会保障资金缴纳凭证）的相关材料（依法免税或不需要缴纳社会保障资金的投标人，应提供相应文件证明其依法免税或不需要缴纳社会保障资金）；</w:t>
            </w:r>
          </w:p>
          <w:p>
            <w:pPr>
              <w:snapToGrid w:val="0"/>
              <w:spacing w:line="300" w:lineRule="auto"/>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（4）承诺函（附件一）；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8" w:type="dxa"/>
            <w:noWrap w:val="0"/>
            <w:vAlign w:val="center"/>
          </w:tcPr>
          <w:p>
            <w:pPr>
              <w:snapToGrid w:val="0"/>
              <w:spacing w:line="300" w:lineRule="auto"/>
              <w:jc w:val="center"/>
              <w:rPr>
                <w:rFonts w:hint="eastAsia" w:ascii="宋体" w:hAnsi="宋体" w:eastAsia="宋体" w:cs="宋体"/>
                <w:color w:val="auto"/>
                <w:sz w:val="28"/>
                <w:szCs w:val="28"/>
                <w:highlight w:val="none"/>
              </w:rPr>
            </w:pPr>
          </w:p>
        </w:tc>
        <w:tc>
          <w:tcPr>
            <w:tcW w:w="9138" w:type="dxa"/>
            <w:noWrap w:val="0"/>
            <w:vAlign w:val="center"/>
          </w:tcPr>
          <w:p>
            <w:pPr>
              <w:snapToGrid w:val="0"/>
              <w:spacing w:line="30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投标人对能达到程度的简述（投标人填写）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8" w:type="dxa"/>
            <w:tcBorders>
              <w:bottom w:val="single" w:color="auto" w:sz="4" w:space="0"/>
            </w:tcBorders>
            <w:noWrap w:val="0"/>
            <w:vAlign w:val="center"/>
          </w:tcPr>
          <w:p>
            <w:pPr>
              <w:snapToGrid w:val="0"/>
              <w:spacing w:line="30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w:t>
            </w:r>
          </w:p>
        </w:tc>
        <w:tc>
          <w:tcPr>
            <w:tcW w:w="9138" w:type="dxa"/>
            <w:tcBorders>
              <w:bottom w:val="single" w:color="auto" w:sz="4" w:space="0"/>
            </w:tcBorders>
            <w:noWrap w:val="0"/>
            <w:vAlign w:val="center"/>
          </w:tcPr>
          <w:p>
            <w:pPr>
              <w:snapToGrid w:val="0"/>
              <w:spacing w:line="30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符合</w:t>
            </w:r>
          </w:p>
        </w:tc>
      </w:tr>
    </w:tbl>
    <w:p>
      <w:pPr>
        <w:snapToGrid w:val="0"/>
        <w:spacing w:line="300" w:lineRule="auto"/>
        <w:ind w:firstLine="562" w:firstLineChars="200"/>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注：1、证明材料复印件需齐全，不得缺页，否则证明无效。</w:t>
      </w:r>
    </w:p>
    <w:p>
      <w:pPr>
        <w:snapToGrid w:val="0"/>
        <w:spacing w:line="300" w:lineRule="auto"/>
        <w:ind w:firstLine="562" w:firstLineChars="200"/>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2、证明材料因具备充分性，与要求相对应，否则由此产生的责任和风险投标人承担。</w:t>
      </w:r>
    </w:p>
    <w:p>
      <w:pPr>
        <w:snapToGrid w:val="0"/>
        <w:spacing w:line="300" w:lineRule="auto"/>
        <w:ind w:firstLine="560" w:firstLineChars="200"/>
        <w:rPr>
          <w:rFonts w:hint="eastAsia" w:ascii="宋体" w:hAnsi="宋体" w:eastAsia="宋体" w:cs="宋体"/>
          <w:color w:val="auto"/>
          <w:sz w:val="28"/>
          <w:szCs w:val="28"/>
          <w:highlight w:val="none"/>
        </w:rPr>
      </w:pPr>
      <w:bookmarkStart w:id="35" w:name="_Toc413337003"/>
    </w:p>
    <w:p>
      <w:pPr>
        <w:snapToGrid w:val="0"/>
        <w:spacing w:line="30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投标人名称（电子签名）：</w:t>
      </w:r>
    </w:p>
    <w:p>
      <w:pPr>
        <w:snapToGrid w:val="0"/>
        <w:spacing w:line="30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日期：   年  月  日</w:t>
      </w:r>
    </w:p>
    <w:p>
      <w:pPr>
        <w:widowControl/>
        <w:jc w:val="left"/>
        <w:rPr>
          <w:rFonts w:hint="eastAsia" w:ascii="宋体" w:hAnsi="宋体" w:eastAsia="宋体" w:cs="宋体"/>
          <w:color w:val="auto"/>
          <w:highlight w:val="none"/>
        </w:rPr>
      </w:pPr>
      <w:r>
        <w:rPr>
          <w:rFonts w:hint="eastAsia" w:ascii="宋体" w:hAnsi="宋体" w:eastAsia="宋体" w:cs="宋体"/>
          <w:color w:val="auto"/>
          <w:highlight w:val="none"/>
        </w:rPr>
        <w:br w:type="page"/>
      </w:r>
    </w:p>
    <w:p>
      <w:pPr>
        <w:rPr>
          <w:rFonts w:hint="eastAsia" w:ascii="宋体" w:hAnsi="宋体" w:eastAsia="宋体" w:cs="宋体"/>
          <w:color w:val="auto"/>
          <w:highlight w:val="none"/>
        </w:rPr>
      </w:pPr>
    </w:p>
    <w:p>
      <w:pPr>
        <w:snapToGrid w:val="0"/>
        <w:spacing w:line="300" w:lineRule="auto"/>
        <w:ind w:left="281" w:hanging="281" w:hangingChars="100"/>
        <w:jc w:val="center"/>
        <w:outlineLvl w:val="2"/>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相关证明资料</w:t>
      </w:r>
    </w:p>
    <w:p>
      <w:pPr>
        <w:snapToGrid w:val="0"/>
        <w:spacing w:line="300" w:lineRule="auto"/>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（1）法人或者其他组织的营业执照等能证明供应商具有独立承担民事责任的能力的证明文件；</w:t>
      </w:r>
    </w:p>
    <w:p>
      <w:pPr>
        <w:snapToGrid w:val="0"/>
        <w:spacing w:line="300" w:lineRule="auto"/>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（2）财务状况报告（最近的财务报告）；</w:t>
      </w:r>
    </w:p>
    <w:p>
      <w:pPr>
        <w:snapToGrid w:val="0"/>
        <w:spacing w:line="300" w:lineRule="auto"/>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（3）最近依法缴纳税收（税收缴纳凭证）和社会保障资金（社会保障资金缴纳凭证）的相关材料（依法免税或不需要缴纳社会保障资金的投标人，应提供相应文件证明其依法免税或不需要缴纳社会保障资金）；</w:t>
      </w:r>
    </w:p>
    <w:p>
      <w:pPr>
        <w:snapToGrid w:val="0"/>
        <w:spacing w:line="300" w:lineRule="auto"/>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（4）承诺函（附件一）；</w:t>
      </w:r>
    </w:p>
    <w:p>
      <w:pPr>
        <w:snapToGrid w:val="0"/>
        <w:spacing w:line="30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br w:type="page"/>
      </w:r>
      <w:bookmarkEnd w:id="35"/>
    </w:p>
    <w:p>
      <w:pPr>
        <w:snapToGrid w:val="0"/>
        <w:spacing w:line="300" w:lineRule="auto"/>
        <w:ind w:left="281" w:hanging="281" w:hangingChars="100"/>
        <w:jc w:val="center"/>
        <w:outlineLvl w:val="2"/>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附件一：承诺函</w:t>
      </w:r>
    </w:p>
    <w:p>
      <w:pPr>
        <w:snapToGrid w:val="0"/>
        <w:spacing w:line="300" w:lineRule="auto"/>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u w:val="single"/>
        </w:rPr>
        <w:t>杭州市拱墅区城市管理局：</w:t>
      </w:r>
    </w:p>
    <w:p>
      <w:pPr>
        <w:snapToGrid w:val="0"/>
        <w:spacing w:line="30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我方</w:t>
      </w:r>
      <w:r>
        <w:rPr>
          <w:rFonts w:hint="eastAsia" w:ascii="宋体" w:hAnsi="宋体" w:eastAsia="宋体" w:cs="宋体"/>
          <w:color w:val="auto"/>
          <w:sz w:val="28"/>
          <w:szCs w:val="28"/>
          <w:highlight w:val="none"/>
          <w:u w:val="single"/>
        </w:rPr>
        <w:t xml:space="preserve">        （供应商）             </w:t>
      </w:r>
      <w:r>
        <w:rPr>
          <w:rFonts w:hint="eastAsia" w:ascii="宋体" w:hAnsi="宋体" w:eastAsia="宋体" w:cs="宋体"/>
          <w:color w:val="auto"/>
          <w:sz w:val="28"/>
          <w:szCs w:val="28"/>
          <w:highlight w:val="none"/>
        </w:rPr>
        <w:t>具有良好的商业信誉，依法缴纳税收和社会保障资金，</w:t>
      </w:r>
      <w:r>
        <w:rPr>
          <w:rFonts w:hint="eastAsia" w:ascii="宋体" w:hAnsi="宋体" w:eastAsia="宋体" w:cs="宋体"/>
          <w:color w:val="auto"/>
          <w:kern w:val="0"/>
          <w:sz w:val="28"/>
          <w:szCs w:val="28"/>
          <w:highlight w:val="none"/>
        </w:rPr>
        <w:t>具有履行合同所必需的设备和专业技术能力，未被列入失信被执行人名单、重大税收违法案件当事人名单、政府采购严重违法失信行为记录名单，</w:t>
      </w:r>
      <w:r>
        <w:rPr>
          <w:rFonts w:hint="eastAsia" w:ascii="宋体" w:hAnsi="宋体" w:eastAsia="宋体" w:cs="宋体"/>
          <w:color w:val="auto"/>
          <w:sz w:val="28"/>
          <w:szCs w:val="28"/>
          <w:highlight w:val="none"/>
        </w:rPr>
        <w:t>在参加政府采购活动前三年内没有重大违法记录（重大违法记录是指因违法经营受到刑事处罚、没有被责令停产停业、被吊销许可证或者执照、被处以较大数额罚款等行政处罚），没有因违法经营被禁止参加政府采购活动的期限未满情形，与其他供应商不存在单位负责人为同一人或者直接控股、管理关系</w:t>
      </w:r>
      <w:r>
        <w:rPr>
          <w:rFonts w:hint="eastAsia" w:ascii="宋体" w:hAnsi="宋体" w:eastAsia="宋体" w:cs="宋体"/>
          <w:color w:val="auto"/>
          <w:kern w:val="0"/>
          <w:sz w:val="28"/>
          <w:szCs w:val="28"/>
          <w:highlight w:val="none"/>
        </w:rPr>
        <w:t>。如有虚假，采购人可取消我方任何资格（投标/中标/签订合同），我方对此无任何异议。</w:t>
      </w:r>
    </w:p>
    <w:p>
      <w:pPr>
        <w:snapToGrid w:val="0"/>
        <w:spacing w:line="30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特此承诺！</w:t>
      </w:r>
    </w:p>
    <w:p>
      <w:pPr>
        <w:snapToGrid w:val="0"/>
        <w:spacing w:line="300" w:lineRule="auto"/>
        <w:ind w:firstLine="560" w:firstLineChars="200"/>
        <w:rPr>
          <w:rFonts w:hint="eastAsia" w:ascii="宋体" w:hAnsi="宋体" w:eastAsia="宋体" w:cs="宋体"/>
          <w:color w:val="auto"/>
          <w:kern w:val="0"/>
          <w:sz w:val="28"/>
          <w:szCs w:val="28"/>
          <w:highlight w:val="none"/>
        </w:rPr>
      </w:pPr>
    </w:p>
    <w:p>
      <w:pPr>
        <w:snapToGrid w:val="0"/>
        <w:spacing w:line="30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投标人名称（电子签名）：</w:t>
      </w:r>
    </w:p>
    <w:p>
      <w:pPr>
        <w:snapToGrid w:val="0"/>
        <w:spacing w:line="300" w:lineRule="auto"/>
        <w:ind w:firstLine="640" w:firstLineChars="200"/>
        <w:rPr>
          <w:rFonts w:hint="eastAsia" w:ascii="宋体" w:hAnsi="宋体" w:eastAsia="宋体" w:cs="宋体"/>
          <w:color w:val="auto"/>
          <w:sz w:val="28"/>
          <w:szCs w:val="28"/>
          <w:highlight w:val="none"/>
        </w:rPr>
      </w:pPr>
      <w:r>
        <w:rPr>
          <w:rFonts w:hint="eastAsia" w:ascii="宋体" w:hAnsi="宋体" w:eastAsia="宋体" w:cs="宋体"/>
          <w:color w:val="auto"/>
          <w:spacing w:val="20"/>
          <w:sz w:val="28"/>
          <w:szCs w:val="28"/>
          <w:highlight w:val="none"/>
        </w:rPr>
        <w:t>日期：</w:t>
      </w:r>
      <w:r>
        <w:rPr>
          <w:rFonts w:hint="eastAsia" w:ascii="宋体" w:hAnsi="宋体" w:eastAsia="宋体" w:cs="宋体"/>
          <w:color w:val="auto"/>
          <w:sz w:val="28"/>
          <w:szCs w:val="28"/>
          <w:highlight w:val="none"/>
        </w:rPr>
        <w:t xml:space="preserve">   年  月  日</w:t>
      </w:r>
    </w:p>
    <w:p>
      <w:pPr>
        <w:ind w:right="-110"/>
        <w:jc w:val="center"/>
        <w:rPr>
          <w:rFonts w:hint="eastAsia" w:ascii="宋体" w:hAnsi="宋体" w:eastAsia="宋体" w:cs="宋体"/>
          <w:color w:val="auto"/>
          <w:spacing w:val="40"/>
          <w:sz w:val="52"/>
          <w:szCs w:val="52"/>
          <w:highlight w:val="none"/>
        </w:rPr>
      </w:pPr>
      <w:r>
        <w:rPr>
          <w:rFonts w:hint="eastAsia" w:ascii="宋体" w:hAnsi="宋体" w:eastAsia="宋体" w:cs="宋体"/>
          <w:b/>
          <w:color w:val="auto"/>
          <w:sz w:val="36"/>
          <w:szCs w:val="36"/>
          <w:highlight w:val="none"/>
        </w:rPr>
        <w:br w:type="page"/>
      </w:r>
      <w:r>
        <w:rPr>
          <w:rFonts w:hint="eastAsia" w:ascii="宋体" w:hAnsi="宋体" w:eastAsia="宋体" w:cs="宋体"/>
          <w:color w:val="auto"/>
          <w:spacing w:val="40"/>
          <w:sz w:val="52"/>
          <w:szCs w:val="52"/>
          <w:highlight w:val="none"/>
        </w:rPr>
        <w:t>项目名称</w:t>
      </w:r>
    </w:p>
    <w:p>
      <w:pPr>
        <w:spacing w:before="312" w:beforeLines="100" w:line="240" w:lineRule="atLeast"/>
        <w:ind w:right="-108"/>
        <w:jc w:val="center"/>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项目编号：（标项X）</w:t>
      </w:r>
    </w:p>
    <w:p>
      <w:pPr>
        <w:spacing w:after="100" w:afterAutospacing="1" w:line="800" w:lineRule="exact"/>
        <w:ind w:right="-108"/>
        <w:jc w:val="center"/>
        <w:rPr>
          <w:rFonts w:hint="eastAsia" w:ascii="宋体" w:hAnsi="宋体" w:eastAsia="宋体" w:cs="宋体"/>
          <w:b/>
          <w:color w:val="auto"/>
          <w:spacing w:val="40"/>
          <w:sz w:val="84"/>
          <w:szCs w:val="84"/>
          <w:highlight w:val="none"/>
        </w:rPr>
      </w:pPr>
    </w:p>
    <w:p>
      <w:pPr>
        <w:spacing w:after="100" w:afterAutospacing="1" w:line="360" w:lineRule="auto"/>
        <w:ind w:right="-108"/>
        <w:jc w:val="center"/>
        <w:rPr>
          <w:rFonts w:hint="eastAsia" w:ascii="宋体" w:hAnsi="宋体" w:eastAsia="宋体" w:cs="宋体"/>
          <w:b/>
          <w:color w:val="auto"/>
          <w:spacing w:val="40"/>
          <w:sz w:val="84"/>
          <w:szCs w:val="84"/>
          <w:highlight w:val="none"/>
        </w:rPr>
      </w:pPr>
      <w:r>
        <w:rPr>
          <w:rFonts w:hint="eastAsia" w:ascii="宋体" w:hAnsi="宋体" w:eastAsia="宋体" w:cs="宋体"/>
          <w:b/>
          <w:color w:val="auto"/>
          <w:spacing w:val="40"/>
          <w:sz w:val="84"/>
          <w:szCs w:val="84"/>
          <w:highlight w:val="none"/>
        </w:rPr>
        <w:t>商务报价文件</w:t>
      </w:r>
    </w:p>
    <w:p>
      <w:pPr>
        <w:spacing w:line="360" w:lineRule="auto"/>
        <w:ind w:firstLine="1280" w:firstLineChars="400"/>
        <w:rPr>
          <w:rFonts w:hint="eastAsia" w:ascii="宋体" w:hAnsi="宋体" w:eastAsia="宋体" w:cs="宋体"/>
          <w:color w:val="auto"/>
          <w:sz w:val="32"/>
          <w:highlight w:val="none"/>
        </w:rPr>
      </w:pPr>
    </w:p>
    <w:p>
      <w:pPr>
        <w:spacing w:line="360" w:lineRule="auto"/>
        <w:ind w:firstLine="1280" w:firstLineChars="400"/>
        <w:rPr>
          <w:rFonts w:hint="eastAsia" w:ascii="宋体" w:hAnsi="宋体" w:eastAsia="宋体" w:cs="宋体"/>
          <w:color w:val="auto"/>
          <w:sz w:val="32"/>
          <w:highlight w:val="none"/>
        </w:rPr>
      </w:pPr>
    </w:p>
    <w:p>
      <w:pPr>
        <w:spacing w:line="360" w:lineRule="auto"/>
        <w:ind w:firstLine="1280" w:firstLineChars="400"/>
        <w:rPr>
          <w:rFonts w:hint="eastAsia" w:ascii="宋体" w:hAnsi="宋体" w:eastAsia="宋体" w:cs="宋体"/>
          <w:color w:val="auto"/>
          <w:sz w:val="32"/>
          <w:highlight w:val="none"/>
        </w:rPr>
      </w:pPr>
    </w:p>
    <w:p>
      <w:pPr>
        <w:spacing w:line="360" w:lineRule="auto"/>
        <w:ind w:firstLine="1280" w:firstLineChars="400"/>
        <w:rPr>
          <w:rFonts w:hint="eastAsia" w:ascii="宋体" w:hAnsi="宋体" w:eastAsia="宋体" w:cs="宋体"/>
          <w:color w:val="auto"/>
          <w:sz w:val="32"/>
          <w:highlight w:val="none"/>
        </w:rPr>
      </w:pPr>
    </w:p>
    <w:p>
      <w:pPr>
        <w:spacing w:line="360" w:lineRule="auto"/>
        <w:ind w:firstLine="1280" w:firstLineChars="400"/>
        <w:rPr>
          <w:rFonts w:hint="eastAsia" w:ascii="宋体" w:hAnsi="宋体" w:eastAsia="宋体" w:cs="宋体"/>
          <w:color w:val="auto"/>
          <w:sz w:val="32"/>
          <w:highlight w:val="none"/>
        </w:rPr>
      </w:pPr>
    </w:p>
    <w:p>
      <w:pPr>
        <w:spacing w:line="360" w:lineRule="auto"/>
        <w:ind w:firstLine="1280" w:firstLineChars="400"/>
        <w:rPr>
          <w:rFonts w:hint="eastAsia" w:ascii="宋体" w:hAnsi="宋体" w:eastAsia="宋体" w:cs="宋体"/>
          <w:color w:val="auto"/>
          <w:sz w:val="32"/>
          <w:highlight w:val="none"/>
        </w:rPr>
      </w:pPr>
    </w:p>
    <w:p>
      <w:pPr>
        <w:spacing w:line="360" w:lineRule="auto"/>
        <w:ind w:firstLine="1280" w:firstLineChars="400"/>
        <w:rPr>
          <w:rFonts w:hint="eastAsia" w:ascii="宋体" w:hAnsi="宋体" w:eastAsia="宋体" w:cs="宋体"/>
          <w:color w:val="auto"/>
          <w:sz w:val="32"/>
          <w:highlight w:val="none"/>
        </w:rPr>
      </w:pPr>
    </w:p>
    <w:p>
      <w:pPr>
        <w:spacing w:line="360" w:lineRule="auto"/>
        <w:ind w:firstLine="1280" w:firstLineChars="400"/>
        <w:rPr>
          <w:rFonts w:hint="eastAsia" w:ascii="宋体" w:hAnsi="宋体" w:eastAsia="宋体" w:cs="宋体"/>
          <w:color w:val="auto"/>
          <w:sz w:val="32"/>
          <w:highlight w:val="none"/>
        </w:rPr>
      </w:pPr>
      <w:r>
        <w:rPr>
          <w:rFonts w:hint="eastAsia" w:ascii="宋体" w:hAnsi="宋体" w:eastAsia="宋体" w:cs="宋体"/>
          <w:color w:val="auto"/>
          <w:sz w:val="32"/>
          <w:highlight w:val="none"/>
        </w:rPr>
        <w:t>投标单位名称：（加盖单位公章）</w:t>
      </w:r>
    </w:p>
    <w:p>
      <w:pPr>
        <w:spacing w:line="360" w:lineRule="auto"/>
        <w:ind w:firstLine="1280" w:firstLineChars="400"/>
        <w:rPr>
          <w:rFonts w:hint="eastAsia" w:ascii="宋体" w:hAnsi="宋体" w:eastAsia="宋体" w:cs="宋体"/>
          <w:color w:val="auto"/>
          <w:sz w:val="32"/>
          <w:highlight w:val="none"/>
        </w:rPr>
      </w:pPr>
      <w:r>
        <w:rPr>
          <w:rFonts w:hint="eastAsia" w:ascii="宋体" w:hAnsi="宋体" w:eastAsia="宋体" w:cs="宋体"/>
          <w:color w:val="auto"/>
          <w:sz w:val="32"/>
          <w:highlight w:val="none"/>
        </w:rPr>
        <w:t>投标单位地址：</w:t>
      </w:r>
    </w:p>
    <w:p>
      <w:pPr>
        <w:spacing w:line="360" w:lineRule="auto"/>
        <w:ind w:firstLine="1280" w:firstLineChars="400"/>
        <w:rPr>
          <w:rFonts w:hint="eastAsia" w:ascii="宋体" w:hAnsi="宋体" w:eastAsia="宋体" w:cs="宋体"/>
          <w:color w:val="auto"/>
          <w:sz w:val="32"/>
          <w:highlight w:val="none"/>
        </w:rPr>
      </w:pPr>
      <w:r>
        <w:rPr>
          <w:rFonts w:hint="eastAsia" w:ascii="宋体" w:hAnsi="宋体" w:eastAsia="宋体" w:cs="宋体"/>
          <w:color w:val="auto"/>
          <w:sz w:val="32"/>
          <w:highlight w:val="none"/>
        </w:rPr>
        <w:t>投标单位法人或法人授权代表（签字或盖章）：</w:t>
      </w:r>
    </w:p>
    <w:p>
      <w:pPr>
        <w:spacing w:line="360" w:lineRule="auto"/>
        <w:ind w:firstLine="1280" w:firstLineChars="400"/>
        <w:rPr>
          <w:rFonts w:hint="eastAsia" w:ascii="宋体" w:hAnsi="宋体" w:eastAsia="宋体" w:cs="宋体"/>
          <w:color w:val="auto"/>
          <w:sz w:val="32"/>
          <w:highlight w:val="none"/>
        </w:rPr>
      </w:pPr>
      <w:r>
        <w:rPr>
          <w:rFonts w:hint="eastAsia" w:ascii="宋体" w:hAnsi="宋体" w:eastAsia="宋体" w:cs="宋体"/>
          <w:color w:val="auto"/>
          <w:sz w:val="32"/>
          <w:highlight w:val="none"/>
        </w:rPr>
        <w:t>投标单位联系方式：</w:t>
      </w:r>
    </w:p>
    <w:p>
      <w:pPr>
        <w:spacing w:line="360" w:lineRule="auto"/>
        <w:rPr>
          <w:rFonts w:hint="eastAsia" w:ascii="宋体" w:hAnsi="宋体" w:eastAsia="宋体" w:cs="宋体"/>
          <w:color w:val="auto"/>
          <w:sz w:val="32"/>
          <w:highlight w:val="none"/>
        </w:rPr>
      </w:pPr>
    </w:p>
    <w:p>
      <w:pPr>
        <w:pStyle w:val="11"/>
        <w:spacing w:line="360" w:lineRule="auto"/>
        <w:ind w:firstLine="640" w:firstLineChars="200"/>
        <w:jc w:val="center"/>
        <w:rPr>
          <w:rFonts w:hint="eastAsia" w:ascii="宋体" w:hAnsi="宋体" w:eastAsia="宋体" w:cs="宋体"/>
          <w:color w:val="auto"/>
          <w:sz w:val="32"/>
          <w:szCs w:val="24"/>
          <w:highlight w:val="none"/>
        </w:rPr>
      </w:pPr>
      <w:r>
        <w:rPr>
          <w:rFonts w:hint="eastAsia" w:ascii="宋体" w:hAnsi="宋体" w:eastAsia="宋体" w:cs="宋体"/>
          <w:color w:val="auto"/>
          <w:sz w:val="32"/>
          <w:szCs w:val="24"/>
          <w:highlight w:val="none"/>
        </w:rPr>
        <w:t xml:space="preserve"> 年  月  日</w:t>
      </w:r>
    </w:p>
    <w:p>
      <w:pPr>
        <w:pStyle w:val="11"/>
        <w:spacing w:line="360" w:lineRule="auto"/>
        <w:ind w:firstLine="723" w:firstLineChars="200"/>
        <w:jc w:val="center"/>
        <w:rPr>
          <w:rFonts w:hint="eastAsia" w:ascii="宋体" w:hAnsi="宋体" w:eastAsia="宋体" w:cs="宋体"/>
          <w:color w:val="auto"/>
          <w:sz w:val="24"/>
          <w:highlight w:val="none"/>
        </w:rPr>
      </w:pPr>
      <w:r>
        <w:rPr>
          <w:rFonts w:hint="eastAsia" w:ascii="宋体" w:hAnsi="宋体" w:eastAsia="宋体" w:cs="宋体"/>
          <w:b/>
          <w:color w:val="auto"/>
          <w:sz w:val="36"/>
          <w:szCs w:val="36"/>
          <w:highlight w:val="none"/>
        </w:rPr>
        <w:br w:type="page"/>
      </w:r>
      <w:r>
        <w:rPr>
          <w:rFonts w:hint="eastAsia" w:ascii="宋体" w:hAnsi="宋体" w:eastAsia="宋体" w:cs="宋体"/>
          <w:b/>
          <w:color w:val="auto"/>
          <w:sz w:val="36"/>
          <w:szCs w:val="36"/>
          <w:highlight w:val="none"/>
        </w:rPr>
        <w:t>商务报价部分</w:t>
      </w:r>
    </w:p>
    <w:p>
      <w:pPr>
        <w:pStyle w:val="11"/>
        <w:spacing w:line="360" w:lineRule="auto"/>
        <w:jc w:val="center"/>
        <w:rPr>
          <w:rFonts w:hint="eastAsia" w:ascii="宋体" w:hAnsi="宋体" w:eastAsia="宋体" w:cs="宋体"/>
          <w:color w:val="auto"/>
          <w:sz w:val="24"/>
          <w:highlight w:val="none"/>
        </w:rPr>
      </w:pPr>
      <w:r>
        <w:rPr>
          <w:rFonts w:hint="eastAsia" w:ascii="宋体" w:hAnsi="宋体" w:eastAsia="宋体" w:cs="宋体"/>
          <w:b/>
          <w:color w:val="auto"/>
          <w:sz w:val="24"/>
          <w:highlight w:val="none"/>
        </w:rPr>
        <w:t>目  录</w:t>
      </w:r>
    </w:p>
    <w:p>
      <w:pPr>
        <w:pStyle w:val="11"/>
        <w:numPr>
          <w:ilvl w:val="0"/>
          <w:numId w:val="6"/>
        </w:num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投标响应函…………………………………………………………………页码</w:t>
      </w:r>
    </w:p>
    <w:p>
      <w:pPr>
        <w:pStyle w:val="11"/>
        <w:numPr>
          <w:ilvl w:val="0"/>
          <w:numId w:val="6"/>
        </w:num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投标（开标）一览表………………………………………………………页码</w:t>
      </w:r>
    </w:p>
    <w:p>
      <w:pPr>
        <w:pStyle w:val="11"/>
        <w:numPr>
          <w:ilvl w:val="0"/>
          <w:numId w:val="6"/>
        </w:num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报价明细清单………………………………………………………………页码</w:t>
      </w:r>
    </w:p>
    <w:p>
      <w:pPr>
        <w:pStyle w:val="11"/>
        <w:numPr>
          <w:ilvl w:val="0"/>
          <w:numId w:val="6"/>
        </w:num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中小企业声明函、监狱企业声明函及其相关的充分的证明材料、残疾人福利性单位声明函…………………………………………………………………页码</w:t>
      </w:r>
    </w:p>
    <w:p>
      <w:pPr>
        <w:pStyle w:val="11"/>
        <w:spacing w:line="360" w:lineRule="auto"/>
        <w:ind w:left="720"/>
        <w:rPr>
          <w:rFonts w:hint="eastAsia" w:ascii="宋体" w:hAnsi="宋体" w:eastAsia="宋体" w:cs="宋体"/>
          <w:color w:val="auto"/>
          <w:sz w:val="24"/>
          <w:highlight w:val="none"/>
        </w:rPr>
      </w:pPr>
    </w:p>
    <w:p>
      <w:pPr>
        <w:pStyle w:val="11"/>
        <w:spacing w:line="360" w:lineRule="auto"/>
        <w:rPr>
          <w:rFonts w:hint="eastAsia" w:ascii="宋体" w:hAnsi="宋体" w:eastAsia="宋体" w:cs="宋体"/>
          <w:color w:val="auto"/>
          <w:sz w:val="24"/>
          <w:highlight w:val="none"/>
        </w:rPr>
      </w:pPr>
    </w:p>
    <w:p>
      <w:pPr>
        <w:ind w:firstLine="3000" w:firstLineChars="1250"/>
        <w:rPr>
          <w:rFonts w:hint="eastAsia" w:ascii="宋体" w:hAnsi="宋体" w:eastAsia="宋体" w:cs="宋体"/>
          <w:b/>
          <w:color w:val="auto"/>
          <w:sz w:val="36"/>
          <w:szCs w:val="36"/>
          <w:highlight w:val="none"/>
        </w:rPr>
      </w:pPr>
      <w:r>
        <w:rPr>
          <w:rFonts w:hint="eastAsia" w:ascii="宋体" w:hAnsi="宋体" w:eastAsia="宋体" w:cs="宋体"/>
          <w:color w:val="auto"/>
          <w:sz w:val="24"/>
          <w:szCs w:val="20"/>
          <w:highlight w:val="none"/>
        </w:rPr>
        <w:br w:type="page"/>
      </w:r>
      <w:r>
        <w:rPr>
          <w:rFonts w:hint="eastAsia" w:ascii="宋体" w:hAnsi="宋体" w:eastAsia="宋体" w:cs="宋体"/>
          <w:b/>
          <w:color w:val="auto"/>
          <w:sz w:val="36"/>
          <w:szCs w:val="36"/>
          <w:highlight w:val="none"/>
        </w:rPr>
        <w:t>一、投标响应函</w:t>
      </w:r>
    </w:p>
    <w:p>
      <w:pPr>
        <w:pStyle w:val="11"/>
        <w:adjustRightInd w:val="0"/>
        <w:snapToGrid w:val="0"/>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杭州市拱墅区城市管理局</w:t>
      </w:r>
      <w:r>
        <w:rPr>
          <w:rFonts w:hint="eastAsia" w:ascii="宋体" w:hAnsi="宋体" w:eastAsia="宋体" w:cs="宋体"/>
          <w:color w:val="auto"/>
          <w:sz w:val="24"/>
          <w:szCs w:val="24"/>
          <w:highlight w:val="none"/>
        </w:rPr>
        <w:t>：</w:t>
      </w:r>
    </w:p>
    <w:p>
      <w:pPr>
        <w:pStyle w:val="11"/>
        <w:adjustRightInd w:val="0"/>
        <w:snapToGrid w:val="0"/>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浙江省成套工程有限公司</w:t>
      </w:r>
      <w:r>
        <w:rPr>
          <w:rFonts w:hint="eastAsia" w:ascii="宋体" w:hAnsi="宋体" w:eastAsia="宋体" w:cs="宋体"/>
          <w:color w:val="auto"/>
          <w:sz w:val="24"/>
          <w:szCs w:val="24"/>
          <w:highlight w:val="none"/>
        </w:rPr>
        <w:t>：</w:t>
      </w:r>
    </w:p>
    <w:p>
      <w:pPr>
        <w:pStyle w:val="11"/>
        <w:adjustRightInd w:val="0"/>
        <w:snapToGrid w:val="0"/>
        <w:spacing w:line="44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（投标人全称）参加你方组织的</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u w:val="single"/>
        </w:rPr>
        <w:t>CTSC-2020-019</w:t>
      </w:r>
      <w:r>
        <w:rPr>
          <w:rFonts w:hint="eastAsia" w:ascii="宋体" w:hAnsi="宋体" w:eastAsia="宋体" w:cs="宋体"/>
          <w:color w:val="auto"/>
          <w:sz w:val="24"/>
          <w:szCs w:val="24"/>
          <w:highlight w:val="none"/>
        </w:rPr>
        <w:t>（项目编号）招标的有关活动，并对</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color w:val="auto"/>
          <w:sz w:val="24"/>
          <w:szCs w:val="24"/>
          <w:highlight w:val="none"/>
        </w:rPr>
        <w:t>（标项名称）进行投标。为此我方：</w:t>
      </w:r>
    </w:p>
    <w:p>
      <w:pPr>
        <w:adjustRightInd w:val="0"/>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1、承诺在投标人</w:t>
      </w:r>
      <w:r>
        <w:rPr>
          <w:rFonts w:hint="eastAsia" w:ascii="宋体" w:hAnsi="宋体" w:eastAsia="宋体" w:cs="宋体"/>
          <w:color w:val="auto"/>
          <w:kern w:val="44"/>
          <w:sz w:val="24"/>
          <w:highlight w:val="none"/>
        </w:rPr>
        <w:t>须知</w:t>
      </w:r>
      <w:r>
        <w:rPr>
          <w:rFonts w:hint="eastAsia" w:ascii="宋体" w:hAnsi="宋体" w:eastAsia="宋体" w:cs="宋体"/>
          <w:color w:val="auto"/>
          <w:sz w:val="24"/>
          <w:highlight w:val="none"/>
        </w:rPr>
        <w:t>规定的投标截止日起遵守本投标文件中的承诺，且在投标有效期满之前均具有约束力。本投标文件的有效期为自投标截止时间起120天。</w:t>
      </w:r>
    </w:p>
    <w:p>
      <w:pPr>
        <w:adjustRightInd w:val="0"/>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2、承诺已经具备《中华人民共和国政府采购法》中规定的参加政府采购活动的投标人应当具备的条件及采购人规定的特定条件。</w:t>
      </w:r>
    </w:p>
    <w:p>
      <w:pPr>
        <w:adjustRightInd w:val="0"/>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3、已详细审核全部招标文件，包括招标文件补充（如果有）、参考资料及有关附件，确认无误。</w:t>
      </w:r>
    </w:p>
    <w:p>
      <w:pPr>
        <w:adjustRightInd w:val="0"/>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4、提供</w:t>
      </w:r>
      <w:r>
        <w:rPr>
          <w:rFonts w:hint="eastAsia" w:ascii="宋体" w:hAnsi="宋体" w:eastAsia="宋体" w:cs="宋体"/>
          <w:color w:val="auto"/>
          <w:kern w:val="44"/>
          <w:sz w:val="24"/>
          <w:highlight w:val="none"/>
        </w:rPr>
        <w:t>投标人须知</w:t>
      </w:r>
      <w:r>
        <w:rPr>
          <w:rFonts w:hint="eastAsia" w:ascii="宋体" w:hAnsi="宋体" w:eastAsia="宋体" w:cs="宋体"/>
          <w:color w:val="auto"/>
          <w:sz w:val="24"/>
          <w:highlight w:val="none"/>
        </w:rPr>
        <w:t>规定的全部投标文件。</w:t>
      </w:r>
    </w:p>
    <w:p>
      <w:pPr>
        <w:adjustRightInd w:val="0"/>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5、投标报价详见《开标一览表》。</w:t>
      </w:r>
    </w:p>
    <w:p>
      <w:pPr>
        <w:adjustRightInd w:val="0"/>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6、保证遵守招标文件中的其他有关规定。</w:t>
      </w:r>
    </w:p>
    <w:p>
      <w:pPr>
        <w:adjustRightInd w:val="0"/>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7、完全理解不一定接受最低价中标。</w:t>
      </w:r>
    </w:p>
    <w:p>
      <w:pPr>
        <w:adjustRightInd w:val="0"/>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8、我公司自愿参加本项目的投标，并保证投标文件中所列举的投标报价文件及相关资料和公司基本情况资料是真实的、合法的。愿意向贵方提供任何与该项目投标有关的数据、情况和技术资料。若贵方需要，愿意提供我方做出的一切承诺的证明材料。</w:t>
      </w:r>
    </w:p>
    <w:p>
      <w:pPr>
        <w:adjustRightInd w:val="0"/>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9、保证忠实地执行双方所签订的合同，并承担合同规定的责任和义务。</w:t>
      </w:r>
    </w:p>
    <w:p>
      <w:pPr>
        <w:adjustRightInd w:val="0"/>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10、我方承诺不存在以下情况：</w:t>
      </w:r>
    </w:p>
    <w:p>
      <w:pPr>
        <w:adjustRightInd w:val="0"/>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a）提供虚假材料谋取中标、成交的；</w:t>
      </w:r>
    </w:p>
    <w:p>
      <w:pPr>
        <w:adjustRightInd w:val="0"/>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b）采取不正当手段诋毁、排挤其他供应商的；</w:t>
      </w:r>
    </w:p>
    <w:p>
      <w:pPr>
        <w:adjustRightInd w:val="0"/>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c）与采购人、其它供应商或者采购代理机构恶意串通的；</w:t>
      </w:r>
    </w:p>
    <w:p>
      <w:pPr>
        <w:adjustRightInd w:val="0"/>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d）向采购人、采购代理机构行贿或者提供其他不正当利益的；</w:t>
      </w:r>
    </w:p>
    <w:p>
      <w:pPr>
        <w:adjustRightInd w:val="0"/>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e）在招标采购过程中与采购人进行协商谈判的；</w:t>
      </w:r>
    </w:p>
    <w:p>
      <w:pPr>
        <w:adjustRightInd w:val="0"/>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f）拒绝有关部门监督检查或提供虚假情况的。</w:t>
      </w:r>
    </w:p>
    <w:p>
      <w:pPr>
        <w:pStyle w:val="11"/>
        <w:adjustRightInd w:val="0"/>
        <w:snapToGrid w:val="0"/>
        <w:spacing w:line="44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投标人名称（电子签名）：</w:t>
      </w:r>
    </w:p>
    <w:p>
      <w:pPr>
        <w:pStyle w:val="11"/>
        <w:adjustRightInd w:val="0"/>
        <w:snapToGrid w:val="0"/>
        <w:spacing w:line="440" w:lineRule="exact"/>
        <w:ind w:firstLine="48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日期：</w:t>
      </w:r>
      <w:r>
        <w:rPr>
          <w:rFonts w:hint="eastAsia" w:ascii="宋体" w:hAnsi="宋体" w:eastAsia="宋体" w:cs="宋体"/>
          <w:color w:val="auto"/>
          <w:kern w:val="0"/>
          <w:sz w:val="24"/>
          <w:szCs w:val="24"/>
          <w:highlight w:val="none"/>
        </w:rPr>
        <w:t xml:space="preserve">   年  月  日</w:t>
      </w:r>
    </w:p>
    <w:p>
      <w:pPr>
        <w:spacing w:line="440" w:lineRule="exact"/>
        <w:ind w:left="2"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单位地址：邮编：电话：传真：</w:t>
      </w: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color w:val="auto"/>
          <w:highlight w:val="none"/>
        </w:rPr>
        <w:sectPr>
          <w:pgSz w:w="11907" w:h="16840"/>
          <w:pgMar w:top="1418" w:right="1418" w:bottom="1418" w:left="1531" w:header="851" w:footer="851" w:gutter="0"/>
          <w:cols w:space="720" w:num="1"/>
          <w:docGrid w:type="lines" w:linePitch="312" w:charSpace="0"/>
        </w:sectPr>
      </w:pPr>
    </w:p>
    <w:p>
      <w:pPr>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 xml:space="preserve">二、投标（开标）一览表   </w:t>
      </w:r>
    </w:p>
    <w:p>
      <w:pPr>
        <w:spacing w:line="360" w:lineRule="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杭州市拱墅区城市管理局：</w:t>
      </w:r>
    </w:p>
    <w:p>
      <w:pPr>
        <w:spacing w:line="360" w:lineRule="auto"/>
        <w:rPr>
          <w:rFonts w:hint="eastAsia" w:ascii="宋体" w:hAnsi="宋体" w:eastAsia="宋体" w:cs="宋体"/>
          <w:b/>
          <w:color w:val="auto"/>
          <w:sz w:val="24"/>
          <w:highlight w:val="none"/>
        </w:rPr>
      </w:pP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rPr>
        <w:t xml:space="preserve">  按你方招标文件要求，我们，本标书签字方，谨此向你方发出要约如下：如你方接受本投标，我方承诺按照如下投标（开标）一览表的价格完成编号为</w:t>
      </w:r>
      <w:r>
        <w:rPr>
          <w:rFonts w:hint="eastAsia" w:ascii="宋体" w:hAnsi="宋体" w:eastAsia="宋体" w:cs="宋体"/>
          <w:b/>
          <w:color w:val="auto"/>
          <w:sz w:val="24"/>
          <w:highlight w:val="none"/>
        </w:rPr>
        <w:t>CTSC-2020-019</w:t>
      </w:r>
      <w:r>
        <w:rPr>
          <w:rFonts w:hint="eastAsia" w:ascii="宋体" w:hAnsi="宋体" w:eastAsia="宋体" w:cs="宋体"/>
          <w:color w:val="auto"/>
          <w:sz w:val="24"/>
          <w:highlight w:val="none"/>
        </w:rPr>
        <w:t>的招标文件[项目名称: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之标项的实施。</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   标项名称：</w:t>
      </w:r>
      <w:r>
        <w:rPr>
          <w:rFonts w:hint="eastAsia" w:ascii="宋体" w:hAnsi="宋体" w:eastAsia="宋体" w:cs="宋体"/>
          <w:b/>
          <w:color w:val="auto"/>
          <w:sz w:val="24"/>
          <w:highlight w:val="none"/>
          <w:u w:val="single"/>
        </w:rPr>
        <w:t xml:space="preserve">标项                      </w:t>
      </w:r>
      <w:r>
        <w:rPr>
          <w:rFonts w:hint="eastAsia" w:ascii="宋体" w:hAnsi="宋体" w:eastAsia="宋体" w:cs="宋体"/>
          <w:b/>
          <w:color w:val="auto"/>
          <w:sz w:val="24"/>
          <w:highlight w:val="none"/>
        </w:rPr>
        <w:t xml:space="preserve">(单位均为人民币元)  </w:t>
      </w:r>
    </w:p>
    <w:tbl>
      <w:tblPr>
        <w:tblStyle w:val="22"/>
        <w:tblW w:w="5000" w:type="pct"/>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80"/>
        <w:gridCol w:w="4097"/>
        <w:gridCol w:w="1445"/>
        <w:gridCol w:w="2895"/>
        <w:gridCol w:w="2601"/>
        <w:gridCol w:w="218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auto"/>
          <w:wAfter w:w="0" w:type="auto"/>
          <w:trHeight w:val="390" w:hRule="atLeast"/>
        </w:trPr>
        <w:tc>
          <w:tcPr>
            <w:tcW w:w="312" w:type="pct"/>
            <w:noWrap w:val="0"/>
            <w:vAlign w:val="center"/>
          </w:tcPr>
          <w:p>
            <w:pPr>
              <w:jc w:val="center"/>
              <w:rPr>
                <w:rFonts w:hint="eastAsia" w:ascii="宋体" w:hAnsi="宋体" w:eastAsia="宋体" w:cs="宋体"/>
                <w:color w:val="auto"/>
                <w:spacing w:val="20"/>
                <w:highlight w:val="none"/>
              </w:rPr>
            </w:pPr>
            <w:r>
              <w:rPr>
                <w:rFonts w:hint="eastAsia" w:ascii="宋体" w:hAnsi="宋体" w:eastAsia="宋体" w:cs="宋体"/>
                <w:color w:val="auto"/>
                <w:spacing w:val="20"/>
                <w:highlight w:val="none"/>
              </w:rPr>
              <w:t>序号</w:t>
            </w:r>
          </w:p>
        </w:tc>
        <w:tc>
          <w:tcPr>
            <w:tcW w:w="1452" w:type="pct"/>
            <w:noWrap w:val="0"/>
            <w:vAlign w:val="center"/>
          </w:tcPr>
          <w:p>
            <w:pPr>
              <w:jc w:val="center"/>
              <w:rPr>
                <w:rFonts w:hint="eastAsia" w:ascii="宋体" w:hAnsi="宋体" w:eastAsia="宋体" w:cs="宋体"/>
                <w:color w:val="auto"/>
                <w:spacing w:val="20"/>
                <w:highlight w:val="none"/>
              </w:rPr>
            </w:pPr>
            <w:r>
              <w:rPr>
                <w:rFonts w:hint="eastAsia" w:ascii="宋体" w:hAnsi="宋体" w:eastAsia="宋体" w:cs="宋体"/>
                <w:color w:val="auto"/>
                <w:spacing w:val="20"/>
                <w:highlight w:val="none"/>
              </w:rPr>
              <w:t>项目名称</w:t>
            </w:r>
          </w:p>
        </w:tc>
        <w:tc>
          <w:tcPr>
            <w:tcW w:w="512" w:type="pct"/>
            <w:noWrap w:val="0"/>
            <w:vAlign w:val="center"/>
          </w:tcPr>
          <w:p>
            <w:pPr>
              <w:jc w:val="center"/>
              <w:rPr>
                <w:rFonts w:hint="eastAsia" w:ascii="宋体" w:hAnsi="宋体" w:eastAsia="宋体" w:cs="宋体"/>
                <w:color w:val="auto"/>
                <w:spacing w:val="20"/>
                <w:highlight w:val="none"/>
              </w:rPr>
            </w:pPr>
            <w:r>
              <w:rPr>
                <w:rFonts w:hint="eastAsia" w:ascii="宋体" w:hAnsi="宋体" w:eastAsia="宋体" w:cs="宋体"/>
                <w:color w:val="auto"/>
                <w:spacing w:val="20"/>
                <w:highlight w:val="none"/>
              </w:rPr>
              <w:t>投标货币</w:t>
            </w:r>
          </w:p>
        </w:tc>
        <w:tc>
          <w:tcPr>
            <w:tcW w:w="1026" w:type="pct"/>
            <w:noWrap w:val="0"/>
            <w:vAlign w:val="center"/>
          </w:tcPr>
          <w:p>
            <w:pPr>
              <w:jc w:val="center"/>
              <w:rPr>
                <w:rFonts w:hint="eastAsia" w:ascii="宋体" w:hAnsi="宋体" w:eastAsia="宋体" w:cs="宋体"/>
                <w:color w:val="auto"/>
                <w:spacing w:val="20"/>
                <w:highlight w:val="none"/>
              </w:rPr>
            </w:pPr>
            <w:r>
              <w:rPr>
                <w:rFonts w:hint="eastAsia" w:ascii="宋体" w:hAnsi="宋体" w:eastAsia="宋体" w:cs="宋体"/>
                <w:color w:val="auto"/>
                <w:spacing w:val="20"/>
                <w:highlight w:val="none"/>
              </w:rPr>
              <w:t>投标单价（每年）</w:t>
            </w:r>
          </w:p>
        </w:tc>
        <w:tc>
          <w:tcPr>
            <w:tcW w:w="922" w:type="pct"/>
            <w:noWrap w:val="0"/>
            <w:vAlign w:val="center"/>
          </w:tcPr>
          <w:p>
            <w:pPr>
              <w:jc w:val="center"/>
              <w:rPr>
                <w:rFonts w:hint="eastAsia" w:ascii="宋体" w:hAnsi="宋体" w:eastAsia="宋体" w:cs="宋体"/>
                <w:color w:val="auto"/>
                <w:spacing w:val="20"/>
                <w:highlight w:val="none"/>
              </w:rPr>
            </w:pPr>
            <w:r>
              <w:rPr>
                <w:rFonts w:hint="eastAsia" w:ascii="宋体" w:hAnsi="宋体" w:eastAsia="宋体" w:cs="宋体"/>
                <w:color w:val="auto"/>
                <w:spacing w:val="20"/>
                <w:highlight w:val="none"/>
              </w:rPr>
              <w:t>服务期限</w:t>
            </w:r>
          </w:p>
        </w:tc>
        <w:tc>
          <w:tcPr>
            <w:tcW w:w="773" w:type="pct"/>
            <w:noWrap w:val="0"/>
            <w:vAlign w:val="center"/>
          </w:tcPr>
          <w:p>
            <w:pPr>
              <w:jc w:val="center"/>
              <w:rPr>
                <w:rFonts w:hint="eastAsia" w:ascii="宋体" w:hAnsi="宋体" w:eastAsia="宋体" w:cs="宋体"/>
                <w:color w:val="auto"/>
                <w:spacing w:val="20"/>
                <w:highlight w:val="none"/>
              </w:rPr>
            </w:pPr>
            <w:r>
              <w:rPr>
                <w:rFonts w:hint="eastAsia" w:ascii="宋体" w:hAnsi="宋体" w:eastAsia="宋体" w:cs="宋体"/>
                <w:color w:val="auto"/>
                <w:spacing w:val="20"/>
                <w:highlight w:val="none"/>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auto"/>
          <w:wAfter w:w="0" w:type="auto"/>
          <w:trHeight w:val="390" w:hRule="atLeast"/>
        </w:trPr>
        <w:tc>
          <w:tcPr>
            <w:tcW w:w="312" w:type="pct"/>
            <w:noWrap w:val="0"/>
            <w:vAlign w:val="center"/>
          </w:tcPr>
          <w:p>
            <w:pPr>
              <w:jc w:val="center"/>
              <w:rPr>
                <w:rFonts w:hint="eastAsia" w:ascii="宋体" w:hAnsi="宋体" w:eastAsia="宋体" w:cs="宋体"/>
                <w:color w:val="auto"/>
                <w:spacing w:val="20"/>
                <w:highlight w:val="none"/>
              </w:rPr>
            </w:pPr>
            <w:r>
              <w:rPr>
                <w:rFonts w:hint="eastAsia" w:ascii="宋体" w:hAnsi="宋体" w:eastAsia="宋体" w:cs="宋体"/>
                <w:color w:val="auto"/>
                <w:spacing w:val="20"/>
                <w:highlight w:val="none"/>
              </w:rPr>
              <w:t>1</w:t>
            </w:r>
          </w:p>
        </w:tc>
        <w:tc>
          <w:tcPr>
            <w:tcW w:w="1452" w:type="pct"/>
            <w:noWrap w:val="0"/>
            <w:vAlign w:val="top"/>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人员经费</w:t>
            </w:r>
          </w:p>
        </w:tc>
        <w:tc>
          <w:tcPr>
            <w:tcW w:w="512" w:type="pct"/>
            <w:noWrap w:val="0"/>
            <w:vAlign w:val="center"/>
          </w:tcPr>
          <w:p>
            <w:pPr>
              <w:rPr>
                <w:rFonts w:hint="eastAsia" w:ascii="宋体" w:hAnsi="宋体" w:eastAsia="宋体" w:cs="宋体"/>
                <w:color w:val="auto"/>
                <w:spacing w:val="20"/>
                <w:highlight w:val="none"/>
              </w:rPr>
            </w:pPr>
          </w:p>
        </w:tc>
        <w:tc>
          <w:tcPr>
            <w:tcW w:w="1026" w:type="pct"/>
            <w:noWrap w:val="0"/>
            <w:vAlign w:val="center"/>
          </w:tcPr>
          <w:p>
            <w:pPr>
              <w:rPr>
                <w:rFonts w:hint="eastAsia" w:ascii="宋体" w:hAnsi="宋体" w:eastAsia="宋体" w:cs="宋体"/>
                <w:color w:val="auto"/>
                <w:spacing w:val="20"/>
                <w:highlight w:val="none"/>
              </w:rPr>
            </w:pPr>
          </w:p>
        </w:tc>
        <w:tc>
          <w:tcPr>
            <w:tcW w:w="922" w:type="pct"/>
            <w:noWrap w:val="0"/>
            <w:vAlign w:val="center"/>
          </w:tcPr>
          <w:p>
            <w:pPr>
              <w:rPr>
                <w:rFonts w:hint="eastAsia" w:ascii="宋体" w:hAnsi="宋体" w:eastAsia="宋体" w:cs="宋体"/>
                <w:color w:val="auto"/>
                <w:spacing w:val="20"/>
                <w:highlight w:val="none"/>
              </w:rPr>
            </w:pPr>
          </w:p>
        </w:tc>
        <w:tc>
          <w:tcPr>
            <w:tcW w:w="773" w:type="pct"/>
            <w:noWrap w:val="0"/>
            <w:vAlign w:val="center"/>
          </w:tcPr>
          <w:p>
            <w:pPr>
              <w:rPr>
                <w:rFonts w:hint="eastAsia" w:ascii="宋体" w:hAnsi="宋体" w:eastAsia="宋体" w:cs="宋体"/>
                <w:color w:val="auto"/>
                <w:spacing w:val="2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auto"/>
          <w:wAfter w:w="0" w:type="auto"/>
          <w:trHeight w:val="390" w:hRule="atLeast"/>
        </w:trPr>
        <w:tc>
          <w:tcPr>
            <w:tcW w:w="312" w:type="pct"/>
            <w:noWrap w:val="0"/>
            <w:vAlign w:val="center"/>
          </w:tcPr>
          <w:p>
            <w:pPr>
              <w:jc w:val="center"/>
              <w:rPr>
                <w:rFonts w:hint="eastAsia" w:ascii="宋体" w:hAnsi="宋体" w:eastAsia="宋体" w:cs="宋体"/>
                <w:color w:val="auto"/>
                <w:spacing w:val="20"/>
                <w:highlight w:val="none"/>
              </w:rPr>
            </w:pPr>
            <w:r>
              <w:rPr>
                <w:rFonts w:hint="eastAsia" w:ascii="宋体" w:hAnsi="宋体" w:eastAsia="宋体" w:cs="宋体"/>
                <w:color w:val="auto"/>
                <w:spacing w:val="20"/>
                <w:highlight w:val="none"/>
              </w:rPr>
              <w:t>2</w:t>
            </w:r>
          </w:p>
        </w:tc>
        <w:tc>
          <w:tcPr>
            <w:tcW w:w="1452" w:type="pct"/>
            <w:noWrap w:val="0"/>
            <w:vAlign w:val="top"/>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材料费用</w:t>
            </w:r>
          </w:p>
        </w:tc>
        <w:tc>
          <w:tcPr>
            <w:tcW w:w="512" w:type="pct"/>
            <w:noWrap w:val="0"/>
            <w:vAlign w:val="center"/>
          </w:tcPr>
          <w:p>
            <w:pPr>
              <w:rPr>
                <w:rFonts w:hint="eastAsia" w:ascii="宋体" w:hAnsi="宋体" w:eastAsia="宋体" w:cs="宋体"/>
                <w:color w:val="auto"/>
                <w:spacing w:val="20"/>
                <w:highlight w:val="none"/>
              </w:rPr>
            </w:pPr>
          </w:p>
        </w:tc>
        <w:tc>
          <w:tcPr>
            <w:tcW w:w="1026" w:type="pct"/>
            <w:noWrap w:val="0"/>
            <w:vAlign w:val="center"/>
          </w:tcPr>
          <w:p>
            <w:pPr>
              <w:rPr>
                <w:rFonts w:hint="eastAsia" w:ascii="宋体" w:hAnsi="宋体" w:eastAsia="宋体" w:cs="宋体"/>
                <w:color w:val="auto"/>
                <w:spacing w:val="20"/>
                <w:highlight w:val="none"/>
              </w:rPr>
            </w:pPr>
          </w:p>
        </w:tc>
        <w:tc>
          <w:tcPr>
            <w:tcW w:w="922" w:type="pct"/>
            <w:noWrap w:val="0"/>
            <w:vAlign w:val="center"/>
          </w:tcPr>
          <w:p>
            <w:pPr>
              <w:rPr>
                <w:rFonts w:hint="eastAsia" w:ascii="宋体" w:hAnsi="宋体" w:eastAsia="宋体" w:cs="宋体"/>
                <w:color w:val="auto"/>
                <w:spacing w:val="20"/>
                <w:highlight w:val="none"/>
              </w:rPr>
            </w:pPr>
          </w:p>
        </w:tc>
        <w:tc>
          <w:tcPr>
            <w:tcW w:w="773" w:type="pct"/>
            <w:noWrap w:val="0"/>
            <w:vAlign w:val="center"/>
          </w:tcPr>
          <w:p>
            <w:pPr>
              <w:rPr>
                <w:rFonts w:hint="eastAsia" w:ascii="宋体" w:hAnsi="宋体" w:eastAsia="宋体" w:cs="宋体"/>
                <w:color w:val="auto"/>
                <w:spacing w:val="2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auto"/>
          <w:wAfter w:w="0" w:type="auto"/>
          <w:trHeight w:val="390" w:hRule="atLeast"/>
        </w:trPr>
        <w:tc>
          <w:tcPr>
            <w:tcW w:w="312" w:type="pct"/>
            <w:noWrap w:val="0"/>
            <w:vAlign w:val="center"/>
          </w:tcPr>
          <w:p>
            <w:pPr>
              <w:jc w:val="center"/>
              <w:rPr>
                <w:rFonts w:hint="eastAsia" w:ascii="宋体" w:hAnsi="宋体" w:eastAsia="宋体" w:cs="宋体"/>
                <w:color w:val="auto"/>
                <w:spacing w:val="20"/>
                <w:highlight w:val="none"/>
              </w:rPr>
            </w:pPr>
            <w:r>
              <w:rPr>
                <w:rFonts w:hint="eastAsia" w:ascii="宋体" w:hAnsi="宋体" w:eastAsia="宋体" w:cs="宋体"/>
                <w:color w:val="auto"/>
                <w:spacing w:val="20"/>
                <w:highlight w:val="none"/>
              </w:rPr>
              <w:t>3</w:t>
            </w:r>
          </w:p>
        </w:tc>
        <w:tc>
          <w:tcPr>
            <w:tcW w:w="1452" w:type="pct"/>
            <w:noWrap w:val="0"/>
            <w:vAlign w:val="top"/>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设备费用</w:t>
            </w:r>
          </w:p>
        </w:tc>
        <w:tc>
          <w:tcPr>
            <w:tcW w:w="512" w:type="pct"/>
            <w:noWrap w:val="0"/>
            <w:vAlign w:val="center"/>
          </w:tcPr>
          <w:p>
            <w:pPr>
              <w:rPr>
                <w:rFonts w:hint="eastAsia" w:ascii="宋体" w:hAnsi="宋体" w:eastAsia="宋体" w:cs="宋体"/>
                <w:color w:val="auto"/>
                <w:spacing w:val="20"/>
                <w:highlight w:val="none"/>
              </w:rPr>
            </w:pPr>
          </w:p>
        </w:tc>
        <w:tc>
          <w:tcPr>
            <w:tcW w:w="1026" w:type="pct"/>
            <w:noWrap w:val="0"/>
            <w:vAlign w:val="center"/>
          </w:tcPr>
          <w:p>
            <w:pPr>
              <w:rPr>
                <w:rFonts w:hint="eastAsia" w:ascii="宋体" w:hAnsi="宋体" w:eastAsia="宋体" w:cs="宋体"/>
                <w:color w:val="auto"/>
                <w:spacing w:val="20"/>
                <w:highlight w:val="none"/>
              </w:rPr>
            </w:pPr>
          </w:p>
        </w:tc>
        <w:tc>
          <w:tcPr>
            <w:tcW w:w="922" w:type="pct"/>
            <w:noWrap w:val="0"/>
            <w:vAlign w:val="center"/>
          </w:tcPr>
          <w:p>
            <w:pPr>
              <w:rPr>
                <w:rFonts w:hint="eastAsia" w:ascii="宋体" w:hAnsi="宋体" w:eastAsia="宋体" w:cs="宋体"/>
                <w:color w:val="auto"/>
                <w:spacing w:val="20"/>
                <w:highlight w:val="none"/>
              </w:rPr>
            </w:pPr>
          </w:p>
        </w:tc>
        <w:tc>
          <w:tcPr>
            <w:tcW w:w="773" w:type="pct"/>
            <w:noWrap w:val="0"/>
            <w:vAlign w:val="center"/>
          </w:tcPr>
          <w:p>
            <w:pPr>
              <w:rPr>
                <w:rFonts w:hint="eastAsia" w:ascii="宋体" w:hAnsi="宋体" w:eastAsia="宋体" w:cs="宋体"/>
                <w:color w:val="auto"/>
                <w:spacing w:val="2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auto"/>
          <w:wAfter w:w="0" w:type="auto"/>
          <w:trHeight w:val="390" w:hRule="atLeast"/>
        </w:trPr>
        <w:tc>
          <w:tcPr>
            <w:tcW w:w="312" w:type="pct"/>
            <w:noWrap w:val="0"/>
            <w:vAlign w:val="center"/>
          </w:tcPr>
          <w:p>
            <w:pPr>
              <w:jc w:val="center"/>
              <w:rPr>
                <w:rFonts w:hint="eastAsia" w:ascii="宋体" w:hAnsi="宋体" w:eastAsia="宋体" w:cs="宋体"/>
                <w:color w:val="auto"/>
                <w:spacing w:val="20"/>
                <w:highlight w:val="none"/>
              </w:rPr>
            </w:pPr>
            <w:r>
              <w:rPr>
                <w:rFonts w:hint="eastAsia" w:ascii="宋体" w:hAnsi="宋体" w:eastAsia="宋体" w:cs="宋体"/>
                <w:color w:val="auto"/>
                <w:spacing w:val="20"/>
                <w:highlight w:val="none"/>
              </w:rPr>
              <w:t>4</w:t>
            </w:r>
          </w:p>
        </w:tc>
        <w:tc>
          <w:tcPr>
            <w:tcW w:w="1452" w:type="pct"/>
            <w:noWrap w:val="0"/>
            <w:vAlign w:val="top"/>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管理费用</w:t>
            </w:r>
          </w:p>
        </w:tc>
        <w:tc>
          <w:tcPr>
            <w:tcW w:w="512" w:type="pct"/>
            <w:noWrap w:val="0"/>
            <w:vAlign w:val="center"/>
          </w:tcPr>
          <w:p>
            <w:pPr>
              <w:rPr>
                <w:rFonts w:hint="eastAsia" w:ascii="宋体" w:hAnsi="宋体" w:eastAsia="宋体" w:cs="宋体"/>
                <w:color w:val="auto"/>
                <w:spacing w:val="20"/>
                <w:highlight w:val="none"/>
              </w:rPr>
            </w:pPr>
          </w:p>
        </w:tc>
        <w:tc>
          <w:tcPr>
            <w:tcW w:w="1026" w:type="pct"/>
            <w:noWrap w:val="0"/>
            <w:vAlign w:val="center"/>
          </w:tcPr>
          <w:p>
            <w:pPr>
              <w:rPr>
                <w:rFonts w:hint="eastAsia" w:ascii="宋体" w:hAnsi="宋体" w:eastAsia="宋体" w:cs="宋体"/>
                <w:color w:val="auto"/>
                <w:spacing w:val="20"/>
                <w:highlight w:val="none"/>
              </w:rPr>
            </w:pPr>
          </w:p>
        </w:tc>
        <w:tc>
          <w:tcPr>
            <w:tcW w:w="922" w:type="pct"/>
            <w:noWrap w:val="0"/>
            <w:vAlign w:val="center"/>
          </w:tcPr>
          <w:p>
            <w:pPr>
              <w:rPr>
                <w:rFonts w:hint="eastAsia" w:ascii="宋体" w:hAnsi="宋体" w:eastAsia="宋体" w:cs="宋体"/>
                <w:color w:val="auto"/>
                <w:spacing w:val="20"/>
                <w:highlight w:val="none"/>
              </w:rPr>
            </w:pPr>
          </w:p>
        </w:tc>
        <w:tc>
          <w:tcPr>
            <w:tcW w:w="773" w:type="pct"/>
            <w:noWrap w:val="0"/>
            <w:vAlign w:val="center"/>
          </w:tcPr>
          <w:p>
            <w:pPr>
              <w:rPr>
                <w:rFonts w:hint="eastAsia" w:ascii="宋体" w:hAnsi="宋体" w:eastAsia="宋体" w:cs="宋体"/>
                <w:color w:val="auto"/>
                <w:spacing w:val="2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auto"/>
          <w:wAfter w:w="0" w:type="auto"/>
          <w:trHeight w:val="390" w:hRule="atLeast"/>
        </w:trPr>
        <w:tc>
          <w:tcPr>
            <w:tcW w:w="312" w:type="pct"/>
            <w:noWrap w:val="0"/>
            <w:vAlign w:val="center"/>
          </w:tcPr>
          <w:p>
            <w:pPr>
              <w:jc w:val="center"/>
              <w:rPr>
                <w:rFonts w:hint="eastAsia" w:ascii="宋体" w:hAnsi="宋体" w:eastAsia="宋体" w:cs="宋体"/>
                <w:color w:val="auto"/>
                <w:spacing w:val="20"/>
                <w:highlight w:val="none"/>
              </w:rPr>
            </w:pPr>
            <w:r>
              <w:rPr>
                <w:rFonts w:hint="eastAsia" w:ascii="宋体" w:hAnsi="宋体" w:eastAsia="宋体" w:cs="宋体"/>
                <w:color w:val="auto"/>
                <w:spacing w:val="20"/>
                <w:highlight w:val="none"/>
              </w:rPr>
              <w:t>5</w:t>
            </w:r>
          </w:p>
        </w:tc>
        <w:tc>
          <w:tcPr>
            <w:tcW w:w="1452" w:type="pct"/>
            <w:noWrap w:val="0"/>
            <w:vAlign w:val="top"/>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重大活动保障和整治经费</w:t>
            </w:r>
          </w:p>
        </w:tc>
        <w:tc>
          <w:tcPr>
            <w:tcW w:w="512" w:type="pct"/>
            <w:noWrap w:val="0"/>
            <w:vAlign w:val="center"/>
          </w:tcPr>
          <w:p>
            <w:pPr>
              <w:rPr>
                <w:rFonts w:hint="eastAsia" w:ascii="宋体" w:hAnsi="宋体" w:eastAsia="宋体" w:cs="宋体"/>
                <w:color w:val="auto"/>
                <w:spacing w:val="20"/>
                <w:highlight w:val="none"/>
              </w:rPr>
            </w:pPr>
          </w:p>
        </w:tc>
        <w:tc>
          <w:tcPr>
            <w:tcW w:w="1026" w:type="pct"/>
            <w:noWrap w:val="0"/>
            <w:vAlign w:val="center"/>
          </w:tcPr>
          <w:p>
            <w:pPr>
              <w:rPr>
                <w:rFonts w:hint="eastAsia" w:ascii="宋体" w:hAnsi="宋体" w:eastAsia="宋体" w:cs="宋体"/>
                <w:color w:val="auto"/>
                <w:spacing w:val="20"/>
                <w:highlight w:val="none"/>
              </w:rPr>
            </w:pPr>
          </w:p>
        </w:tc>
        <w:tc>
          <w:tcPr>
            <w:tcW w:w="922" w:type="pct"/>
            <w:noWrap w:val="0"/>
            <w:vAlign w:val="center"/>
          </w:tcPr>
          <w:p>
            <w:pPr>
              <w:rPr>
                <w:rFonts w:hint="eastAsia" w:ascii="宋体" w:hAnsi="宋体" w:eastAsia="宋体" w:cs="宋体"/>
                <w:color w:val="auto"/>
                <w:spacing w:val="20"/>
                <w:highlight w:val="none"/>
              </w:rPr>
            </w:pPr>
          </w:p>
        </w:tc>
        <w:tc>
          <w:tcPr>
            <w:tcW w:w="773" w:type="pct"/>
            <w:noWrap w:val="0"/>
            <w:vAlign w:val="center"/>
          </w:tcPr>
          <w:p>
            <w:pPr>
              <w:rPr>
                <w:rFonts w:hint="eastAsia" w:ascii="宋体" w:hAnsi="宋体" w:eastAsia="宋体" w:cs="宋体"/>
                <w:color w:val="auto"/>
                <w:spacing w:val="2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auto"/>
          <w:wAfter w:w="0" w:type="auto"/>
          <w:trHeight w:val="390" w:hRule="atLeast"/>
        </w:trPr>
        <w:tc>
          <w:tcPr>
            <w:tcW w:w="312" w:type="pct"/>
            <w:noWrap w:val="0"/>
            <w:vAlign w:val="center"/>
          </w:tcPr>
          <w:p>
            <w:pPr>
              <w:jc w:val="center"/>
              <w:rPr>
                <w:rFonts w:hint="eastAsia" w:ascii="宋体" w:hAnsi="宋体" w:eastAsia="宋体" w:cs="宋体"/>
                <w:color w:val="auto"/>
                <w:spacing w:val="20"/>
                <w:highlight w:val="none"/>
              </w:rPr>
            </w:pPr>
            <w:r>
              <w:rPr>
                <w:rFonts w:hint="eastAsia" w:ascii="宋体" w:hAnsi="宋体" w:eastAsia="宋体" w:cs="宋体"/>
                <w:color w:val="auto"/>
                <w:spacing w:val="20"/>
                <w:highlight w:val="none"/>
              </w:rPr>
              <w:t>6</w:t>
            </w:r>
          </w:p>
        </w:tc>
        <w:tc>
          <w:tcPr>
            <w:tcW w:w="1452" w:type="pct"/>
            <w:noWrap w:val="0"/>
            <w:vAlign w:val="top"/>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税率</w:t>
            </w:r>
          </w:p>
        </w:tc>
        <w:tc>
          <w:tcPr>
            <w:tcW w:w="512" w:type="pct"/>
            <w:noWrap w:val="0"/>
            <w:vAlign w:val="center"/>
          </w:tcPr>
          <w:p>
            <w:pPr>
              <w:rPr>
                <w:rFonts w:hint="eastAsia" w:ascii="宋体" w:hAnsi="宋体" w:eastAsia="宋体" w:cs="宋体"/>
                <w:color w:val="auto"/>
                <w:spacing w:val="20"/>
                <w:highlight w:val="none"/>
              </w:rPr>
            </w:pPr>
          </w:p>
        </w:tc>
        <w:tc>
          <w:tcPr>
            <w:tcW w:w="1026" w:type="pct"/>
            <w:noWrap w:val="0"/>
            <w:vAlign w:val="center"/>
          </w:tcPr>
          <w:p>
            <w:pPr>
              <w:rPr>
                <w:rFonts w:hint="eastAsia" w:ascii="宋体" w:hAnsi="宋体" w:eastAsia="宋体" w:cs="宋体"/>
                <w:color w:val="auto"/>
                <w:spacing w:val="20"/>
                <w:highlight w:val="none"/>
              </w:rPr>
            </w:pPr>
          </w:p>
        </w:tc>
        <w:tc>
          <w:tcPr>
            <w:tcW w:w="922" w:type="pct"/>
            <w:noWrap w:val="0"/>
            <w:vAlign w:val="center"/>
          </w:tcPr>
          <w:p>
            <w:pPr>
              <w:rPr>
                <w:rFonts w:hint="eastAsia" w:ascii="宋体" w:hAnsi="宋体" w:eastAsia="宋体" w:cs="宋体"/>
                <w:color w:val="auto"/>
                <w:spacing w:val="20"/>
                <w:highlight w:val="none"/>
              </w:rPr>
            </w:pPr>
          </w:p>
        </w:tc>
        <w:tc>
          <w:tcPr>
            <w:tcW w:w="773" w:type="pct"/>
            <w:noWrap w:val="0"/>
            <w:vAlign w:val="center"/>
          </w:tcPr>
          <w:p>
            <w:pPr>
              <w:rPr>
                <w:rFonts w:hint="eastAsia" w:ascii="宋体" w:hAnsi="宋体" w:eastAsia="宋体" w:cs="宋体"/>
                <w:color w:val="auto"/>
                <w:spacing w:val="2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auto"/>
          <w:wAfter w:w="0" w:type="auto"/>
          <w:trHeight w:val="390" w:hRule="atLeast"/>
        </w:trPr>
        <w:tc>
          <w:tcPr>
            <w:tcW w:w="312" w:type="pct"/>
            <w:noWrap w:val="0"/>
            <w:vAlign w:val="center"/>
          </w:tcPr>
          <w:p>
            <w:pPr>
              <w:jc w:val="center"/>
              <w:rPr>
                <w:rFonts w:hint="eastAsia" w:ascii="宋体" w:hAnsi="宋体" w:eastAsia="宋体" w:cs="宋体"/>
                <w:color w:val="auto"/>
                <w:spacing w:val="20"/>
                <w:highlight w:val="none"/>
              </w:rPr>
            </w:pPr>
            <w:r>
              <w:rPr>
                <w:rFonts w:hint="eastAsia" w:ascii="宋体" w:hAnsi="宋体" w:eastAsia="宋体" w:cs="宋体"/>
                <w:color w:val="auto"/>
                <w:spacing w:val="20"/>
                <w:highlight w:val="none"/>
              </w:rPr>
              <w:t>7</w:t>
            </w:r>
          </w:p>
        </w:tc>
        <w:tc>
          <w:tcPr>
            <w:tcW w:w="1452" w:type="pct"/>
            <w:noWrap w:val="0"/>
            <w:vAlign w:val="top"/>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利润</w:t>
            </w:r>
          </w:p>
        </w:tc>
        <w:tc>
          <w:tcPr>
            <w:tcW w:w="512" w:type="pct"/>
            <w:noWrap w:val="0"/>
            <w:vAlign w:val="center"/>
          </w:tcPr>
          <w:p>
            <w:pPr>
              <w:rPr>
                <w:rFonts w:hint="eastAsia" w:ascii="宋体" w:hAnsi="宋体" w:eastAsia="宋体" w:cs="宋体"/>
                <w:color w:val="auto"/>
                <w:spacing w:val="20"/>
                <w:highlight w:val="none"/>
              </w:rPr>
            </w:pPr>
          </w:p>
        </w:tc>
        <w:tc>
          <w:tcPr>
            <w:tcW w:w="1026" w:type="pct"/>
            <w:noWrap w:val="0"/>
            <w:vAlign w:val="center"/>
          </w:tcPr>
          <w:p>
            <w:pPr>
              <w:rPr>
                <w:rFonts w:hint="eastAsia" w:ascii="宋体" w:hAnsi="宋体" w:eastAsia="宋体" w:cs="宋体"/>
                <w:color w:val="auto"/>
                <w:spacing w:val="20"/>
                <w:highlight w:val="none"/>
              </w:rPr>
            </w:pPr>
          </w:p>
        </w:tc>
        <w:tc>
          <w:tcPr>
            <w:tcW w:w="922" w:type="pct"/>
            <w:noWrap w:val="0"/>
            <w:vAlign w:val="center"/>
          </w:tcPr>
          <w:p>
            <w:pPr>
              <w:rPr>
                <w:rFonts w:hint="eastAsia" w:ascii="宋体" w:hAnsi="宋体" w:eastAsia="宋体" w:cs="宋体"/>
                <w:color w:val="auto"/>
                <w:spacing w:val="20"/>
                <w:highlight w:val="none"/>
              </w:rPr>
            </w:pPr>
          </w:p>
        </w:tc>
        <w:tc>
          <w:tcPr>
            <w:tcW w:w="773" w:type="pct"/>
            <w:noWrap w:val="0"/>
            <w:vAlign w:val="center"/>
          </w:tcPr>
          <w:p>
            <w:pPr>
              <w:rPr>
                <w:rFonts w:hint="eastAsia" w:ascii="宋体" w:hAnsi="宋体" w:eastAsia="宋体" w:cs="宋体"/>
                <w:color w:val="auto"/>
                <w:spacing w:val="2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auto"/>
          <w:wAfter w:w="0" w:type="auto"/>
          <w:trHeight w:val="390" w:hRule="atLeast"/>
        </w:trPr>
        <w:tc>
          <w:tcPr>
            <w:tcW w:w="312" w:type="pct"/>
            <w:noWrap w:val="0"/>
            <w:vAlign w:val="center"/>
          </w:tcPr>
          <w:p>
            <w:pPr>
              <w:jc w:val="center"/>
              <w:rPr>
                <w:rFonts w:hint="eastAsia" w:ascii="宋体" w:hAnsi="宋体" w:eastAsia="宋体" w:cs="宋体"/>
                <w:color w:val="auto"/>
                <w:spacing w:val="20"/>
                <w:highlight w:val="none"/>
              </w:rPr>
            </w:pPr>
            <w:r>
              <w:rPr>
                <w:rFonts w:hint="eastAsia" w:ascii="宋体" w:hAnsi="宋体" w:eastAsia="宋体" w:cs="宋体"/>
                <w:color w:val="auto"/>
                <w:spacing w:val="20"/>
                <w:highlight w:val="none"/>
              </w:rPr>
              <w:t>8</w:t>
            </w:r>
          </w:p>
        </w:tc>
        <w:tc>
          <w:tcPr>
            <w:tcW w:w="1452" w:type="pct"/>
            <w:noWrap w:val="0"/>
            <w:vAlign w:val="center"/>
          </w:tcPr>
          <w:p>
            <w:pPr>
              <w:jc w:val="center"/>
              <w:rPr>
                <w:rFonts w:hint="eastAsia" w:ascii="宋体" w:hAnsi="宋体" w:eastAsia="宋体" w:cs="宋体"/>
                <w:color w:val="auto"/>
                <w:spacing w:val="20"/>
                <w:highlight w:val="none"/>
              </w:rPr>
            </w:pPr>
            <w:r>
              <w:rPr>
                <w:rFonts w:hint="eastAsia" w:ascii="宋体" w:hAnsi="宋体" w:eastAsia="宋体" w:cs="宋体"/>
                <w:color w:val="auto"/>
                <w:spacing w:val="20"/>
                <w:highlight w:val="none"/>
              </w:rPr>
              <w:t>……</w:t>
            </w:r>
          </w:p>
        </w:tc>
        <w:tc>
          <w:tcPr>
            <w:tcW w:w="512" w:type="pct"/>
            <w:noWrap w:val="0"/>
            <w:vAlign w:val="center"/>
          </w:tcPr>
          <w:p>
            <w:pPr>
              <w:rPr>
                <w:rFonts w:hint="eastAsia" w:ascii="宋体" w:hAnsi="宋体" w:eastAsia="宋体" w:cs="宋体"/>
                <w:color w:val="auto"/>
                <w:spacing w:val="20"/>
                <w:highlight w:val="none"/>
              </w:rPr>
            </w:pPr>
          </w:p>
        </w:tc>
        <w:tc>
          <w:tcPr>
            <w:tcW w:w="1026" w:type="pct"/>
            <w:noWrap w:val="0"/>
            <w:vAlign w:val="center"/>
          </w:tcPr>
          <w:p>
            <w:pPr>
              <w:rPr>
                <w:rFonts w:hint="eastAsia" w:ascii="宋体" w:hAnsi="宋体" w:eastAsia="宋体" w:cs="宋体"/>
                <w:color w:val="auto"/>
                <w:spacing w:val="20"/>
                <w:highlight w:val="none"/>
              </w:rPr>
            </w:pPr>
          </w:p>
        </w:tc>
        <w:tc>
          <w:tcPr>
            <w:tcW w:w="922" w:type="pct"/>
            <w:noWrap w:val="0"/>
            <w:vAlign w:val="center"/>
          </w:tcPr>
          <w:p>
            <w:pPr>
              <w:rPr>
                <w:rFonts w:hint="eastAsia" w:ascii="宋体" w:hAnsi="宋体" w:eastAsia="宋体" w:cs="宋体"/>
                <w:color w:val="auto"/>
                <w:spacing w:val="20"/>
                <w:highlight w:val="none"/>
              </w:rPr>
            </w:pPr>
          </w:p>
        </w:tc>
        <w:tc>
          <w:tcPr>
            <w:tcW w:w="773" w:type="pct"/>
            <w:noWrap w:val="0"/>
            <w:vAlign w:val="center"/>
          </w:tcPr>
          <w:p>
            <w:pPr>
              <w:rPr>
                <w:rFonts w:hint="eastAsia" w:ascii="宋体" w:hAnsi="宋体" w:eastAsia="宋体" w:cs="宋体"/>
                <w:color w:val="auto"/>
                <w:spacing w:val="2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auto"/>
          <w:wAfter w:w="0" w:type="auto"/>
          <w:trHeight w:val="390" w:hRule="atLeast"/>
        </w:trPr>
        <w:tc>
          <w:tcPr>
            <w:tcW w:w="5000" w:type="pct"/>
            <w:gridSpan w:val="6"/>
            <w:noWrap w:val="0"/>
            <w:vAlign w:val="center"/>
          </w:tcPr>
          <w:p>
            <w:pPr>
              <w:rPr>
                <w:rFonts w:hint="eastAsia" w:ascii="宋体" w:hAnsi="宋体" w:eastAsia="宋体" w:cs="宋体"/>
                <w:color w:val="auto"/>
                <w:spacing w:val="20"/>
                <w:highlight w:val="none"/>
              </w:rPr>
            </w:pPr>
            <w:r>
              <w:rPr>
                <w:rFonts w:hint="eastAsia" w:ascii="宋体" w:hAnsi="宋体" w:eastAsia="宋体" w:cs="宋体"/>
                <w:b/>
                <w:color w:val="auto"/>
                <w:spacing w:val="20"/>
                <w:highlight w:val="none"/>
              </w:rPr>
              <w:t>合计投标价（每年）</w:t>
            </w:r>
            <w:r>
              <w:rPr>
                <w:rFonts w:hint="eastAsia" w:ascii="宋体" w:hAnsi="宋体" w:eastAsia="宋体" w:cs="宋体"/>
                <w:color w:val="auto"/>
                <w:spacing w:val="20"/>
                <w:highlight w:val="none"/>
              </w:rPr>
              <w:t>（人民币大写）</w:t>
            </w:r>
            <w:r>
              <w:rPr>
                <w:rFonts w:hint="eastAsia" w:ascii="宋体" w:hAnsi="宋体" w:eastAsia="宋体" w:cs="宋体"/>
                <w:b/>
                <w:color w:val="auto"/>
                <w:spacing w:val="20"/>
                <w:highlight w:val="none"/>
              </w:rPr>
              <w:t>：</w:t>
            </w:r>
          </w:p>
        </w:tc>
      </w:tr>
    </w:tbl>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注：以上表格中各项可进一步细分，栏数不够可自加。</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1、本应标文件及其所附文件涵盖了我方要约的全部内容。</w:t>
      </w:r>
    </w:p>
    <w:p>
      <w:pPr>
        <w:numPr>
          <w:ilvl w:val="0"/>
          <w:numId w:val="7"/>
        </w:num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我方要约有效期为自应标截止日起90天；</w:t>
      </w:r>
    </w:p>
    <w:p>
      <w:pPr>
        <w:numPr>
          <w:ilvl w:val="0"/>
          <w:numId w:val="7"/>
        </w:num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我方同意标期可作延长；</w:t>
      </w:r>
    </w:p>
    <w:p>
      <w:pPr>
        <w:numPr>
          <w:ilvl w:val="0"/>
          <w:numId w:val="7"/>
        </w:num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在标期内，我方受应标文件之价目表上我方要约金额的约束。</w:t>
      </w:r>
    </w:p>
    <w:p>
      <w:pPr>
        <w:numPr>
          <w:ilvl w:val="0"/>
          <w:numId w:val="8"/>
        </w:num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本应标文件，你方之接受函，包括条款栏，标的规格要求栏和其它有关文件在内的应标文件对我们双方均具约束力。</w:t>
      </w:r>
    </w:p>
    <w:p>
      <w:pPr>
        <w:numPr>
          <w:ilvl w:val="0"/>
          <w:numId w:val="8"/>
        </w:num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根据具体情况而拒绝任一或所有标书完全取决于你方，你方没有义务一定要接受最低报价的标书或某一特定标书，也不需为拒绝某一标书作出任何解释。</w:t>
      </w:r>
    </w:p>
    <w:p>
      <w:pPr>
        <w:numPr>
          <w:ilvl w:val="0"/>
          <w:numId w:val="8"/>
        </w:num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另外，我方承诺还将就你方所要求的进一步信息提供给你方。</w:t>
      </w:r>
    </w:p>
    <w:p>
      <w:pPr>
        <w:numPr>
          <w:ilvl w:val="0"/>
          <w:numId w:val="8"/>
        </w:num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如果我方中标，我方愿意提供如下优惠条件：</w:t>
      </w:r>
    </w:p>
    <w:p>
      <w:pPr>
        <w:spacing w:line="360" w:lineRule="auto"/>
        <w:ind w:firstLine="240" w:firstLineChars="1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u w:val="single"/>
        </w:rPr>
        <w:t xml:space="preserve">                                       </w:t>
      </w:r>
    </w:p>
    <w:p>
      <w:pPr>
        <w:spacing w:line="360" w:lineRule="auto"/>
        <w:ind w:firstLine="240" w:firstLineChars="1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u w:val="single"/>
        </w:rPr>
        <w:t xml:space="preserve">                                       </w:t>
      </w:r>
    </w:p>
    <w:p>
      <w:pPr>
        <w:spacing w:line="360" w:lineRule="auto"/>
        <w:ind w:firstLine="240" w:firstLineChars="1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（3）</w:t>
      </w:r>
      <w:r>
        <w:rPr>
          <w:rFonts w:hint="eastAsia" w:ascii="宋体" w:hAnsi="宋体" w:eastAsia="宋体" w:cs="宋体"/>
          <w:color w:val="auto"/>
          <w:sz w:val="24"/>
          <w:highlight w:val="none"/>
          <w:u w:val="single"/>
        </w:rPr>
        <w:t xml:space="preserve">                                       </w:t>
      </w:r>
    </w:p>
    <w:p>
      <w:pPr>
        <w:tabs>
          <w:tab w:val="left" w:pos="4575"/>
        </w:tabs>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ab/>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投标人名称（电子签名）：</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联 系 电 话：</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联系地址：</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邮政编码：</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传 真 号 码：</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rPr>
          <w:rFonts w:hint="eastAsia" w:ascii="宋体" w:hAnsi="宋体" w:eastAsia="宋体" w:cs="宋体"/>
          <w:i/>
          <w:color w:val="auto"/>
          <w:spacing w:val="20"/>
          <w:sz w:val="24"/>
          <w:highlight w:val="none"/>
        </w:rPr>
      </w:pPr>
    </w:p>
    <w:p>
      <w:pPr>
        <w:rPr>
          <w:rFonts w:hint="eastAsia" w:ascii="宋体" w:hAnsi="宋体" w:eastAsia="宋体" w:cs="宋体"/>
          <w:i/>
          <w:color w:val="auto"/>
          <w:spacing w:val="20"/>
          <w:sz w:val="24"/>
          <w:highlight w:val="none"/>
        </w:rPr>
      </w:pPr>
      <w:r>
        <w:rPr>
          <w:rFonts w:hint="eastAsia" w:ascii="宋体" w:hAnsi="宋体" w:eastAsia="宋体" w:cs="宋体"/>
          <w:i/>
          <w:color w:val="auto"/>
          <w:spacing w:val="20"/>
          <w:sz w:val="24"/>
          <w:highlight w:val="none"/>
        </w:rPr>
        <w:t>注：1、此表在不改变表式的情况下，可自行制作。</w:t>
      </w:r>
    </w:p>
    <w:p>
      <w:pPr>
        <w:ind w:firstLine="560" w:firstLineChars="200"/>
        <w:rPr>
          <w:rFonts w:hint="eastAsia" w:ascii="宋体" w:hAnsi="宋体" w:eastAsia="宋体" w:cs="宋体"/>
          <w:b/>
          <w:i/>
          <w:color w:val="auto"/>
          <w:spacing w:val="20"/>
          <w:sz w:val="24"/>
          <w:highlight w:val="none"/>
        </w:rPr>
      </w:pPr>
      <w:r>
        <w:rPr>
          <w:rFonts w:hint="eastAsia" w:ascii="宋体" w:hAnsi="宋体" w:eastAsia="宋体" w:cs="宋体"/>
          <w:b/>
          <w:i/>
          <w:color w:val="auto"/>
          <w:spacing w:val="20"/>
          <w:sz w:val="24"/>
          <w:highlight w:val="none"/>
        </w:rPr>
        <w:t>2、此表按标项填写，每个标项一张。</w:t>
      </w:r>
    </w:p>
    <w:p>
      <w:pPr>
        <w:ind w:firstLine="560" w:firstLineChars="200"/>
        <w:rPr>
          <w:rFonts w:hint="eastAsia" w:ascii="宋体" w:hAnsi="宋体" w:eastAsia="宋体" w:cs="宋体"/>
          <w:color w:val="auto"/>
          <w:spacing w:val="20"/>
          <w:sz w:val="24"/>
          <w:highlight w:val="none"/>
        </w:rPr>
        <w:sectPr>
          <w:pgSz w:w="16840" w:h="11907" w:orient="landscape"/>
          <w:pgMar w:top="1418" w:right="1418" w:bottom="1418" w:left="1531" w:header="851" w:footer="851" w:gutter="0"/>
          <w:cols w:space="720" w:num="1"/>
          <w:titlePg/>
          <w:docGrid w:type="linesAndChars" w:linePitch="312" w:charSpace="0"/>
        </w:sectPr>
      </w:pPr>
      <w:r>
        <w:rPr>
          <w:rFonts w:hint="eastAsia" w:ascii="宋体" w:hAnsi="宋体" w:eastAsia="宋体" w:cs="宋体"/>
          <w:color w:val="auto"/>
          <w:spacing w:val="20"/>
          <w:sz w:val="24"/>
          <w:highlight w:val="none"/>
        </w:rPr>
        <w:t xml:space="preserve">    </w:t>
      </w:r>
    </w:p>
    <w:p>
      <w:pPr>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三、报价明细清单</w:t>
      </w:r>
    </w:p>
    <w:p>
      <w:pPr>
        <w:rPr>
          <w:rFonts w:hint="eastAsia" w:ascii="宋体" w:hAnsi="宋体" w:eastAsia="宋体" w:cs="宋体"/>
          <w:color w:val="auto"/>
          <w:spacing w:val="20"/>
          <w:sz w:val="24"/>
          <w:highlight w:val="none"/>
        </w:rPr>
      </w:pPr>
    </w:p>
    <w:tbl>
      <w:tblPr>
        <w:tblStyle w:val="22"/>
        <w:tblW w:w="5000" w:type="pct"/>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111"/>
        <w:gridCol w:w="1696"/>
        <w:gridCol w:w="1074"/>
        <w:gridCol w:w="1448"/>
        <w:gridCol w:w="1081"/>
        <w:gridCol w:w="1440"/>
        <w:gridCol w:w="109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00" w:hRule="atLeast"/>
        </w:trPr>
        <w:tc>
          <w:tcPr>
            <w:tcW w:w="621" w:type="pct"/>
            <w:noWrap w:val="0"/>
            <w:vAlign w:val="center"/>
          </w:tcPr>
          <w:p>
            <w:pPr>
              <w:jc w:val="center"/>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序号</w:t>
            </w:r>
          </w:p>
        </w:tc>
        <w:tc>
          <w:tcPr>
            <w:tcW w:w="948" w:type="pct"/>
            <w:noWrap w:val="0"/>
            <w:vAlign w:val="center"/>
          </w:tcPr>
          <w:p>
            <w:pPr>
              <w:jc w:val="center"/>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名称</w:t>
            </w:r>
          </w:p>
        </w:tc>
        <w:tc>
          <w:tcPr>
            <w:tcW w:w="600" w:type="pct"/>
            <w:tcBorders>
              <w:right w:val="single" w:color="auto" w:sz="4" w:space="0"/>
            </w:tcBorders>
            <w:noWrap w:val="0"/>
            <w:vAlign w:val="center"/>
          </w:tcPr>
          <w:p>
            <w:pPr>
              <w:jc w:val="center"/>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数量</w:t>
            </w:r>
          </w:p>
        </w:tc>
        <w:tc>
          <w:tcPr>
            <w:tcW w:w="809" w:type="pct"/>
            <w:tcBorders>
              <w:left w:val="single" w:color="auto" w:sz="4" w:space="0"/>
            </w:tcBorders>
            <w:noWrap w:val="0"/>
            <w:vAlign w:val="center"/>
          </w:tcPr>
          <w:p>
            <w:pPr>
              <w:jc w:val="center"/>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单价</w:t>
            </w:r>
          </w:p>
        </w:tc>
        <w:tc>
          <w:tcPr>
            <w:tcW w:w="604" w:type="pct"/>
            <w:noWrap w:val="0"/>
            <w:vAlign w:val="center"/>
          </w:tcPr>
          <w:p>
            <w:pPr>
              <w:jc w:val="center"/>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合计</w:t>
            </w:r>
          </w:p>
        </w:tc>
        <w:tc>
          <w:tcPr>
            <w:tcW w:w="805" w:type="pct"/>
            <w:noWrap w:val="0"/>
            <w:vAlign w:val="center"/>
          </w:tcPr>
          <w:p>
            <w:pPr>
              <w:jc w:val="center"/>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价格组成要素明细</w:t>
            </w:r>
          </w:p>
        </w:tc>
        <w:tc>
          <w:tcPr>
            <w:tcW w:w="614" w:type="pct"/>
            <w:noWrap w:val="0"/>
            <w:vAlign w:val="center"/>
          </w:tcPr>
          <w:p>
            <w:pPr>
              <w:jc w:val="center"/>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00" w:hRule="atLeast"/>
        </w:trPr>
        <w:tc>
          <w:tcPr>
            <w:tcW w:w="621" w:type="pct"/>
            <w:noWrap w:val="0"/>
            <w:vAlign w:val="center"/>
          </w:tcPr>
          <w:p>
            <w:pPr>
              <w:jc w:val="center"/>
              <w:rPr>
                <w:rFonts w:hint="eastAsia" w:ascii="宋体" w:hAnsi="宋体" w:eastAsia="宋体" w:cs="宋体"/>
                <w:color w:val="auto"/>
                <w:spacing w:val="20"/>
                <w:sz w:val="24"/>
                <w:highlight w:val="none"/>
              </w:rPr>
            </w:pPr>
          </w:p>
        </w:tc>
        <w:tc>
          <w:tcPr>
            <w:tcW w:w="948" w:type="pct"/>
            <w:noWrap w:val="0"/>
            <w:vAlign w:val="center"/>
          </w:tcPr>
          <w:p>
            <w:pPr>
              <w:jc w:val="center"/>
              <w:rPr>
                <w:rFonts w:hint="eastAsia" w:ascii="宋体" w:hAnsi="宋体" w:eastAsia="宋体" w:cs="宋体"/>
                <w:color w:val="auto"/>
                <w:spacing w:val="20"/>
                <w:sz w:val="24"/>
                <w:highlight w:val="none"/>
              </w:rPr>
            </w:pPr>
          </w:p>
        </w:tc>
        <w:tc>
          <w:tcPr>
            <w:tcW w:w="600" w:type="pct"/>
            <w:tcBorders>
              <w:right w:val="single" w:color="auto" w:sz="4" w:space="0"/>
            </w:tcBorders>
            <w:noWrap w:val="0"/>
            <w:vAlign w:val="center"/>
          </w:tcPr>
          <w:p>
            <w:pPr>
              <w:jc w:val="center"/>
              <w:rPr>
                <w:rFonts w:hint="eastAsia" w:ascii="宋体" w:hAnsi="宋体" w:eastAsia="宋体" w:cs="宋体"/>
                <w:color w:val="auto"/>
                <w:spacing w:val="20"/>
                <w:sz w:val="24"/>
                <w:highlight w:val="none"/>
              </w:rPr>
            </w:pPr>
          </w:p>
        </w:tc>
        <w:tc>
          <w:tcPr>
            <w:tcW w:w="809" w:type="pct"/>
            <w:tcBorders>
              <w:left w:val="single" w:color="auto" w:sz="4" w:space="0"/>
            </w:tcBorders>
            <w:noWrap w:val="0"/>
            <w:vAlign w:val="center"/>
          </w:tcPr>
          <w:p>
            <w:pPr>
              <w:jc w:val="center"/>
              <w:rPr>
                <w:rFonts w:hint="eastAsia" w:ascii="宋体" w:hAnsi="宋体" w:eastAsia="宋体" w:cs="宋体"/>
                <w:color w:val="auto"/>
                <w:spacing w:val="20"/>
                <w:sz w:val="24"/>
                <w:highlight w:val="none"/>
              </w:rPr>
            </w:pPr>
          </w:p>
        </w:tc>
        <w:tc>
          <w:tcPr>
            <w:tcW w:w="604" w:type="pct"/>
            <w:noWrap w:val="0"/>
            <w:vAlign w:val="center"/>
          </w:tcPr>
          <w:p>
            <w:pPr>
              <w:jc w:val="center"/>
              <w:rPr>
                <w:rFonts w:hint="eastAsia" w:ascii="宋体" w:hAnsi="宋体" w:eastAsia="宋体" w:cs="宋体"/>
                <w:color w:val="auto"/>
                <w:spacing w:val="20"/>
                <w:sz w:val="24"/>
                <w:highlight w:val="none"/>
              </w:rPr>
            </w:pPr>
          </w:p>
        </w:tc>
        <w:tc>
          <w:tcPr>
            <w:tcW w:w="805" w:type="pct"/>
            <w:noWrap w:val="0"/>
            <w:vAlign w:val="center"/>
          </w:tcPr>
          <w:p>
            <w:pPr>
              <w:jc w:val="center"/>
              <w:rPr>
                <w:rFonts w:hint="eastAsia" w:ascii="宋体" w:hAnsi="宋体" w:eastAsia="宋体" w:cs="宋体"/>
                <w:color w:val="auto"/>
                <w:spacing w:val="20"/>
                <w:sz w:val="24"/>
                <w:highlight w:val="none"/>
              </w:rPr>
            </w:pPr>
          </w:p>
        </w:tc>
        <w:tc>
          <w:tcPr>
            <w:tcW w:w="614" w:type="pct"/>
            <w:noWrap w:val="0"/>
            <w:vAlign w:val="center"/>
          </w:tcPr>
          <w:p>
            <w:pPr>
              <w:jc w:val="center"/>
              <w:rPr>
                <w:rFonts w:hint="eastAsia" w:ascii="宋体" w:hAnsi="宋体" w:eastAsia="宋体" w:cs="宋体"/>
                <w:color w:val="auto"/>
                <w:spacing w:val="20"/>
                <w:sz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00" w:hRule="atLeast"/>
        </w:trPr>
        <w:tc>
          <w:tcPr>
            <w:tcW w:w="621" w:type="pct"/>
            <w:noWrap w:val="0"/>
            <w:vAlign w:val="center"/>
          </w:tcPr>
          <w:p>
            <w:pPr>
              <w:jc w:val="center"/>
              <w:rPr>
                <w:rFonts w:hint="eastAsia" w:ascii="宋体" w:hAnsi="宋体" w:eastAsia="宋体" w:cs="宋体"/>
                <w:color w:val="auto"/>
                <w:spacing w:val="20"/>
                <w:sz w:val="24"/>
                <w:highlight w:val="none"/>
              </w:rPr>
            </w:pPr>
          </w:p>
        </w:tc>
        <w:tc>
          <w:tcPr>
            <w:tcW w:w="948" w:type="pct"/>
            <w:noWrap w:val="0"/>
            <w:vAlign w:val="center"/>
          </w:tcPr>
          <w:p>
            <w:pPr>
              <w:jc w:val="center"/>
              <w:rPr>
                <w:rFonts w:hint="eastAsia" w:ascii="宋体" w:hAnsi="宋体" w:eastAsia="宋体" w:cs="宋体"/>
                <w:color w:val="auto"/>
                <w:spacing w:val="20"/>
                <w:sz w:val="24"/>
                <w:highlight w:val="none"/>
              </w:rPr>
            </w:pPr>
          </w:p>
        </w:tc>
        <w:tc>
          <w:tcPr>
            <w:tcW w:w="600" w:type="pct"/>
            <w:tcBorders>
              <w:right w:val="single" w:color="auto" w:sz="4" w:space="0"/>
            </w:tcBorders>
            <w:noWrap w:val="0"/>
            <w:vAlign w:val="center"/>
          </w:tcPr>
          <w:p>
            <w:pPr>
              <w:jc w:val="center"/>
              <w:rPr>
                <w:rFonts w:hint="eastAsia" w:ascii="宋体" w:hAnsi="宋体" w:eastAsia="宋体" w:cs="宋体"/>
                <w:color w:val="auto"/>
                <w:spacing w:val="20"/>
                <w:sz w:val="24"/>
                <w:highlight w:val="none"/>
              </w:rPr>
            </w:pPr>
          </w:p>
        </w:tc>
        <w:tc>
          <w:tcPr>
            <w:tcW w:w="809" w:type="pct"/>
            <w:tcBorders>
              <w:left w:val="single" w:color="auto" w:sz="4" w:space="0"/>
            </w:tcBorders>
            <w:noWrap w:val="0"/>
            <w:vAlign w:val="center"/>
          </w:tcPr>
          <w:p>
            <w:pPr>
              <w:jc w:val="center"/>
              <w:rPr>
                <w:rFonts w:hint="eastAsia" w:ascii="宋体" w:hAnsi="宋体" w:eastAsia="宋体" w:cs="宋体"/>
                <w:color w:val="auto"/>
                <w:spacing w:val="20"/>
                <w:sz w:val="24"/>
                <w:highlight w:val="none"/>
              </w:rPr>
            </w:pPr>
          </w:p>
        </w:tc>
        <w:tc>
          <w:tcPr>
            <w:tcW w:w="604" w:type="pct"/>
            <w:noWrap w:val="0"/>
            <w:vAlign w:val="center"/>
          </w:tcPr>
          <w:p>
            <w:pPr>
              <w:jc w:val="center"/>
              <w:rPr>
                <w:rFonts w:hint="eastAsia" w:ascii="宋体" w:hAnsi="宋体" w:eastAsia="宋体" w:cs="宋体"/>
                <w:color w:val="auto"/>
                <w:spacing w:val="20"/>
                <w:sz w:val="24"/>
                <w:highlight w:val="none"/>
              </w:rPr>
            </w:pPr>
          </w:p>
        </w:tc>
        <w:tc>
          <w:tcPr>
            <w:tcW w:w="805" w:type="pct"/>
            <w:noWrap w:val="0"/>
            <w:vAlign w:val="center"/>
          </w:tcPr>
          <w:p>
            <w:pPr>
              <w:jc w:val="center"/>
              <w:rPr>
                <w:rFonts w:hint="eastAsia" w:ascii="宋体" w:hAnsi="宋体" w:eastAsia="宋体" w:cs="宋体"/>
                <w:color w:val="auto"/>
                <w:spacing w:val="20"/>
                <w:sz w:val="24"/>
                <w:highlight w:val="none"/>
              </w:rPr>
            </w:pPr>
          </w:p>
        </w:tc>
        <w:tc>
          <w:tcPr>
            <w:tcW w:w="614" w:type="pct"/>
            <w:noWrap w:val="0"/>
            <w:vAlign w:val="center"/>
          </w:tcPr>
          <w:p>
            <w:pPr>
              <w:jc w:val="center"/>
              <w:rPr>
                <w:rFonts w:hint="eastAsia" w:ascii="宋体" w:hAnsi="宋体" w:eastAsia="宋体" w:cs="宋体"/>
                <w:color w:val="auto"/>
                <w:spacing w:val="20"/>
                <w:sz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00" w:hRule="atLeast"/>
        </w:trPr>
        <w:tc>
          <w:tcPr>
            <w:tcW w:w="621" w:type="pct"/>
            <w:noWrap w:val="0"/>
            <w:vAlign w:val="center"/>
          </w:tcPr>
          <w:p>
            <w:pPr>
              <w:jc w:val="center"/>
              <w:rPr>
                <w:rFonts w:hint="eastAsia" w:ascii="宋体" w:hAnsi="宋体" w:eastAsia="宋体" w:cs="宋体"/>
                <w:color w:val="auto"/>
                <w:spacing w:val="20"/>
                <w:sz w:val="24"/>
                <w:highlight w:val="none"/>
              </w:rPr>
            </w:pPr>
          </w:p>
        </w:tc>
        <w:tc>
          <w:tcPr>
            <w:tcW w:w="948" w:type="pct"/>
            <w:noWrap w:val="0"/>
            <w:vAlign w:val="center"/>
          </w:tcPr>
          <w:p>
            <w:pPr>
              <w:jc w:val="center"/>
              <w:rPr>
                <w:rFonts w:hint="eastAsia" w:ascii="宋体" w:hAnsi="宋体" w:eastAsia="宋体" w:cs="宋体"/>
                <w:color w:val="auto"/>
                <w:spacing w:val="20"/>
                <w:sz w:val="24"/>
                <w:highlight w:val="none"/>
              </w:rPr>
            </w:pPr>
          </w:p>
        </w:tc>
        <w:tc>
          <w:tcPr>
            <w:tcW w:w="600" w:type="pct"/>
            <w:tcBorders>
              <w:right w:val="single" w:color="auto" w:sz="4" w:space="0"/>
            </w:tcBorders>
            <w:noWrap w:val="0"/>
            <w:vAlign w:val="center"/>
          </w:tcPr>
          <w:p>
            <w:pPr>
              <w:jc w:val="center"/>
              <w:rPr>
                <w:rFonts w:hint="eastAsia" w:ascii="宋体" w:hAnsi="宋体" w:eastAsia="宋体" w:cs="宋体"/>
                <w:color w:val="auto"/>
                <w:spacing w:val="20"/>
                <w:sz w:val="24"/>
                <w:highlight w:val="none"/>
              </w:rPr>
            </w:pPr>
          </w:p>
        </w:tc>
        <w:tc>
          <w:tcPr>
            <w:tcW w:w="809" w:type="pct"/>
            <w:tcBorders>
              <w:left w:val="single" w:color="auto" w:sz="4" w:space="0"/>
            </w:tcBorders>
            <w:noWrap w:val="0"/>
            <w:vAlign w:val="center"/>
          </w:tcPr>
          <w:p>
            <w:pPr>
              <w:jc w:val="center"/>
              <w:rPr>
                <w:rFonts w:hint="eastAsia" w:ascii="宋体" w:hAnsi="宋体" w:eastAsia="宋体" w:cs="宋体"/>
                <w:color w:val="auto"/>
                <w:spacing w:val="20"/>
                <w:sz w:val="24"/>
                <w:highlight w:val="none"/>
              </w:rPr>
            </w:pPr>
          </w:p>
        </w:tc>
        <w:tc>
          <w:tcPr>
            <w:tcW w:w="604" w:type="pct"/>
            <w:noWrap w:val="0"/>
            <w:vAlign w:val="center"/>
          </w:tcPr>
          <w:p>
            <w:pPr>
              <w:jc w:val="center"/>
              <w:rPr>
                <w:rFonts w:hint="eastAsia" w:ascii="宋体" w:hAnsi="宋体" w:eastAsia="宋体" w:cs="宋体"/>
                <w:color w:val="auto"/>
                <w:spacing w:val="20"/>
                <w:sz w:val="24"/>
                <w:highlight w:val="none"/>
              </w:rPr>
            </w:pPr>
          </w:p>
        </w:tc>
        <w:tc>
          <w:tcPr>
            <w:tcW w:w="805" w:type="pct"/>
            <w:noWrap w:val="0"/>
            <w:vAlign w:val="center"/>
          </w:tcPr>
          <w:p>
            <w:pPr>
              <w:jc w:val="center"/>
              <w:rPr>
                <w:rFonts w:hint="eastAsia" w:ascii="宋体" w:hAnsi="宋体" w:eastAsia="宋体" w:cs="宋体"/>
                <w:color w:val="auto"/>
                <w:spacing w:val="20"/>
                <w:sz w:val="24"/>
                <w:highlight w:val="none"/>
              </w:rPr>
            </w:pPr>
          </w:p>
        </w:tc>
        <w:tc>
          <w:tcPr>
            <w:tcW w:w="614" w:type="pct"/>
            <w:noWrap w:val="0"/>
            <w:vAlign w:val="center"/>
          </w:tcPr>
          <w:p>
            <w:pPr>
              <w:jc w:val="center"/>
              <w:rPr>
                <w:rFonts w:hint="eastAsia" w:ascii="宋体" w:hAnsi="宋体" w:eastAsia="宋体" w:cs="宋体"/>
                <w:color w:val="auto"/>
                <w:spacing w:val="20"/>
                <w:sz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00" w:hRule="atLeast"/>
        </w:trPr>
        <w:tc>
          <w:tcPr>
            <w:tcW w:w="621" w:type="pct"/>
            <w:noWrap w:val="0"/>
            <w:vAlign w:val="center"/>
          </w:tcPr>
          <w:p>
            <w:pPr>
              <w:jc w:val="center"/>
              <w:rPr>
                <w:rFonts w:hint="eastAsia" w:ascii="宋体" w:hAnsi="宋体" w:eastAsia="宋体" w:cs="宋体"/>
                <w:color w:val="auto"/>
                <w:spacing w:val="20"/>
                <w:sz w:val="24"/>
                <w:highlight w:val="none"/>
              </w:rPr>
            </w:pPr>
          </w:p>
        </w:tc>
        <w:tc>
          <w:tcPr>
            <w:tcW w:w="948" w:type="pct"/>
            <w:noWrap w:val="0"/>
            <w:vAlign w:val="center"/>
          </w:tcPr>
          <w:p>
            <w:pPr>
              <w:jc w:val="center"/>
              <w:rPr>
                <w:rFonts w:hint="eastAsia" w:ascii="宋体" w:hAnsi="宋体" w:eastAsia="宋体" w:cs="宋体"/>
                <w:color w:val="auto"/>
                <w:spacing w:val="20"/>
                <w:sz w:val="24"/>
                <w:highlight w:val="none"/>
              </w:rPr>
            </w:pPr>
          </w:p>
        </w:tc>
        <w:tc>
          <w:tcPr>
            <w:tcW w:w="600" w:type="pct"/>
            <w:tcBorders>
              <w:right w:val="single" w:color="auto" w:sz="4" w:space="0"/>
            </w:tcBorders>
            <w:noWrap w:val="0"/>
            <w:vAlign w:val="center"/>
          </w:tcPr>
          <w:p>
            <w:pPr>
              <w:jc w:val="center"/>
              <w:rPr>
                <w:rFonts w:hint="eastAsia" w:ascii="宋体" w:hAnsi="宋体" w:eastAsia="宋体" w:cs="宋体"/>
                <w:color w:val="auto"/>
                <w:spacing w:val="20"/>
                <w:sz w:val="24"/>
                <w:highlight w:val="none"/>
              </w:rPr>
            </w:pPr>
          </w:p>
        </w:tc>
        <w:tc>
          <w:tcPr>
            <w:tcW w:w="809" w:type="pct"/>
            <w:tcBorders>
              <w:left w:val="single" w:color="auto" w:sz="4" w:space="0"/>
            </w:tcBorders>
            <w:noWrap w:val="0"/>
            <w:vAlign w:val="center"/>
          </w:tcPr>
          <w:p>
            <w:pPr>
              <w:jc w:val="center"/>
              <w:rPr>
                <w:rFonts w:hint="eastAsia" w:ascii="宋体" w:hAnsi="宋体" w:eastAsia="宋体" w:cs="宋体"/>
                <w:color w:val="auto"/>
                <w:spacing w:val="20"/>
                <w:sz w:val="24"/>
                <w:highlight w:val="none"/>
              </w:rPr>
            </w:pPr>
          </w:p>
        </w:tc>
        <w:tc>
          <w:tcPr>
            <w:tcW w:w="604" w:type="pct"/>
            <w:noWrap w:val="0"/>
            <w:vAlign w:val="center"/>
          </w:tcPr>
          <w:p>
            <w:pPr>
              <w:jc w:val="center"/>
              <w:rPr>
                <w:rFonts w:hint="eastAsia" w:ascii="宋体" w:hAnsi="宋体" w:eastAsia="宋体" w:cs="宋体"/>
                <w:color w:val="auto"/>
                <w:spacing w:val="20"/>
                <w:sz w:val="24"/>
                <w:highlight w:val="none"/>
              </w:rPr>
            </w:pPr>
          </w:p>
        </w:tc>
        <w:tc>
          <w:tcPr>
            <w:tcW w:w="805" w:type="pct"/>
            <w:noWrap w:val="0"/>
            <w:vAlign w:val="center"/>
          </w:tcPr>
          <w:p>
            <w:pPr>
              <w:jc w:val="center"/>
              <w:rPr>
                <w:rFonts w:hint="eastAsia" w:ascii="宋体" w:hAnsi="宋体" w:eastAsia="宋体" w:cs="宋体"/>
                <w:color w:val="auto"/>
                <w:spacing w:val="20"/>
                <w:sz w:val="24"/>
                <w:highlight w:val="none"/>
              </w:rPr>
            </w:pPr>
          </w:p>
        </w:tc>
        <w:tc>
          <w:tcPr>
            <w:tcW w:w="614" w:type="pct"/>
            <w:noWrap w:val="0"/>
            <w:vAlign w:val="center"/>
          </w:tcPr>
          <w:p>
            <w:pPr>
              <w:jc w:val="center"/>
              <w:rPr>
                <w:rFonts w:hint="eastAsia" w:ascii="宋体" w:hAnsi="宋体" w:eastAsia="宋体" w:cs="宋体"/>
                <w:color w:val="auto"/>
                <w:spacing w:val="20"/>
                <w:sz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00" w:hRule="atLeast"/>
        </w:trPr>
        <w:tc>
          <w:tcPr>
            <w:tcW w:w="621" w:type="pct"/>
            <w:noWrap w:val="0"/>
            <w:vAlign w:val="center"/>
          </w:tcPr>
          <w:p>
            <w:pPr>
              <w:jc w:val="center"/>
              <w:rPr>
                <w:rFonts w:hint="eastAsia" w:ascii="宋体" w:hAnsi="宋体" w:eastAsia="宋体" w:cs="宋体"/>
                <w:color w:val="auto"/>
                <w:spacing w:val="20"/>
                <w:sz w:val="24"/>
                <w:highlight w:val="none"/>
              </w:rPr>
            </w:pPr>
          </w:p>
        </w:tc>
        <w:tc>
          <w:tcPr>
            <w:tcW w:w="948" w:type="pct"/>
            <w:noWrap w:val="0"/>
            <w:vAlign w:val="center"/>
          </w:tcPr>
          <w:p>
            <w:pPr>
              <w:jc w:val="center"/>
              <w:rPr>
                <w:rFonts w:hint="eastAsia" w:ascii="宋体" w:hAnsi="宋体" w:eastAsia="宋体" w:cs="宋体"/>
                <w:color w:val="auto"/>
                <w:spacing w:val="20"/>
                <w:sz w:val="24"/>
                <w:highlight w:val="none"/>
              </w:rPr>
            </w:pPr>
          </w:p>
        </w:tc>
        <w:tc>
          <w:tcPr>
            <w:tcW w:w="600" w:type="pct"/>
            <w:tcBorders>
              <w:right w:val="single" w:color="auto" w:sz="4" w:space="0"/>
            </w:tcBorders>
            <w:noWrap w:val="0"/>
            <w:vAlign w:val="center"/>
          </w:tcPr>
          <w:p>
            <w:pPr>
              <w:jc w:val="center"/>
              <w:rPr>
                <w:rFonts w:hint="eastAsia" w:ascii="宋体" w:hAnsi="宋体" w:eastAsia="宋体" w:cs="宋体"/>
                <w:color w:val="auto"/>
                <w:spacing w:val="20"/>
                <w:sz w:val="24"/>
                <w:highlight w:val="none"/>
              </w:rPr>
            </w:pPr>
          </w:p>
        </w:tc>
        <w:tc>
          <w:tcPr>
            <w:tcW w:w="809" w:type="pct"/>
            <w:tcBorders>
              <w:left w:val="single" w:color="auto" w:sz="4" w:space="0"/>
            </w:tcBorders>
            <w:noWrap w:val="0"/>
            <w:vAlign w:val="center"/>
          </w:tcPr>
          <w:p>
            <w:pPr>
              <w:jc w:val="center"/>
              <w:rPr>
                <w:rFonts w:hint="eastAsia" w:ascii="宋体" w:hAnsi="宋体" w:eastAsia="宋体" w:cs="宋体"/>
                <w:color w:val="auto"/>
                <w:spacing w:val="20"/>
                <w:sz w:val="24"/>
                <w:highlight w:val="none"/>
              </w:rPr>
            </w:pPr>
          </w:p>
        </w:tc>
        <w:tc>
          <w:tcPr>
            <w:tcW w:w="604" w:type="pct"/>
            <w:noWrap w:val="0"/>
            <w:vAlign w:val="center"/>
          </w:tcPr>
          <w:p>
            <w:pPr>
              <w:jc w:val="center"/>
              <w:rPr>
                <w:rFonts w:hint="eastAsia" w:ascii="宋体" w:hAnsi="宋体" w:eastAsia="宋体" w:cs="宋体"/>
                <w:color w:val="auto"/>
                <w:spacing w:val="20"/>
                <w:sz w:val="24"/>
                <w:highlight w:val="none"/>
              </w:rPr>
            </w:pPr>
          </w:p>
        </w:tc>
        <w:tc>
          <w:tcPr>
            <w:tcW w:w="805" w:type="pct"/>
            <w:noWrap w:val="0"/>
            <w:vAlign w:val="center"/>
          </w:tcPr>
          <w:p>
            <w:pPr>
              <w:jc w:val="center"/>
              <w:rPr>
                <w:rFonts w:hint="eastAsia" w:ascii="宋体" w:hAnsi="宋体" w:eastAsia="宋体" w:cs="宋体"/>
                <w:color w:val="auto"/>
                <w:spacing w:val="20"/>
                <w:sz w:val="24"/>
                <w:highlight w:val="none"/>
              </w:rPr>
            </w:pPr>
          </w:p>
        </w:tc>
        <w:tc>
          <w:tcPr>
            <w:tcW w:w="614" w:type="pct"/>
            <w:noWrap w:val="0"/>
            <w:vAlign w:val="center"/>
          </w:tcPr>
          <w:p>
            <w:pPr>
              <w:jc w:val="center"/>
              <w:rPr>
                <w:rFonts w:hint="eastAsia" w:ascii="宋体" w:hAnsi="宋体" w:eastAsia="宋体" w:cs="宋体"/>
                <w:color w:val="auto"/>
                <w:spacing w:val="20"/>
                <w:sz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00" w:hRule="atLeast"/>
        </w:trPr>
        <w:tc>
          <w:tcPr>
            <w:tcW w:w="1569" w:type="pct"/>
            <w:gridSpan w:val="2"/>
            <w:noWrap w:val="0"/>
            <w:vAlign w:val="center"/>
          </w:tcPr>
          <w:p>
            <w:pPr>
              <w:jc w:val="center"/>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投标总价（小写）</w:t>
            </w:r>
          </w:p>
        </w:tc>
        <w:tc>
          <w:tcPr>
            <w:tcW w:w="3431" w:type="pct"/>
            <w:gridSpan w:val="5"/>
            <w:noWrap w:val="0"/>
            <w:vAlign w:val="center"/>
          </w:tcPr>
          <w:p>
            <w:pPr>
              <w:jc w:val="center"/>
              <w:rPr>
                <w:rFonts w:hint="eastAsia" w:ascii="宋体" w:hAnsi="宋体" w:eastAsia="宋体" w:cs="宋体"/>
                <w:color w:val="auto"/>
                <w:spacing w:val="20"/>
                <w:sz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00" w:hRule="atLeast"/>
        </w:trPr>
        <w:tc>
          <w:tcPr>
            <w:tcW w:w="1569" w:type="pct"/>
            <w:gridSpan w:val="2"/>
            <w:noWrap w:val="0"/>
            <w:vAlign w:val="center"/>
          </w:tcPr>
          <w:p>
            <w:pPr>
              <w:jc w:val="center"/>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投标总价（大写）</w:t>
            </w:r>
          </w:p>
        </w:tc>
        <w:tc>
          <w:tcPr>
            <w:tcW w:w="3431" w:type="pct"/>
            <w:gridSpan w:val="5"/>
            <w:noWrap w:val="0"/>
            <w:vAlign w:val="center"/>
          </w:tcPr>
          <w:p>
            <w:pPr>
              <w:jc w:val="center"/>
              <w:rPr>
                <w:rFonts w:hint="eastAsia" w:ascii="宋体" w:hAnsi="宋体" w:eastAsia="宋体" w:cs="宋体"/>
                <w:color w:val="auto"/>
                <w:spacing w:val="20"/>
                <w:sz w:val="24"/>
                <w:highlight w:val="none"/>
              </w:rPr>
            </w:pPr>
          </w:p>
        </w:tc>
      </w:tr>
    </w:tbl>
    <w:p>
      <w:pPr>
        <w:spacing w:line="360" w:lineRule="auto"/>
        <w:rPr>
          <w:rFonts w:hint="eastAsia" w:ascii="宋体" w:hAnsi="宋体" w:eastAsia="宋体" w:cs="宋体"/>
          <w:i/>
          <w:color w:val="auto"/>
          <w:spacing w:val="20"/>
          <w:sz w:val="24"/>
          <w:highlight w:val="none"/>
        </w:rPr>
      </w:pPr>
    </w:p>
    <w:p>
      <w:pPr>
        <w:spacing w:line="360" w:lineRule="auto"/>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注：</w:t>
      </w:r>
    </w:p>
    <w:p>
      <w:pPr>
        <w:spacing w:line="360" w:lineRule="auto"/>
        <w:ind w:firstLine="420" w:firstLineChars="150"/>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1、要求细分项目及报价，包括：（1）作业成本经费。含人员工资、劳保用品费、清扫保洁易耗工具费。根据浙政办发〔2015〕30号和杭政办〔2008〕14号文件规定的工资标准，包含人员基础工资，环卫特殊岗位津贴、高温费、社会保险费、住房公积金、双休日及法定节假日加班费、医疗体检费等。其中人员基础工资不得低于最新出台的杭州市城镇职工最低工资标准的110%）同时考虑杭州市每年调整最低工资的因素。（2）合理利润及法规要求涉及的保障费用。含突发性及应急保障方面所发生的保洁费、由于重大活动引起保洁频次增加的费用。</w:t>
      </w:r>
    </w:p>
    <w:p>
      <w:pPr>
        <w:spacing w:line="360" w:lineRule="auto"/>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 xml:space="preserve">   2、此表仅提供了表格形式，投标人应根据需要来填写完整的报价明细清单。</w:t>
      </w:r>
    </w:p>
    <w:p>
      <w:pPr>
        <w:spacing w:line="360" w:lineRule="auto"/>
        <w:rPr>
          <w:rFonts w:hint="eastAsia" w:ascii="宋体" w:hAnsi="宋体" w:eastAsia="宋体" w:cs="宋体"/>
          <w:color w:val="auto"/>
          <w:spacing w:val="20"/>
          <w:sz w:val="24"/>
          <w:highlight w:val="none"/>
        </w:rPr>
      </w:pPr>
    </w:p>
    <w:p>
      <w:pPr>
        <w:spacing w:line="360" w:lineRule="auto"/>
        <w:ind w:firstLine="4264" w:firstLineChars="1777"/>
        <w:rPr>
          <w:rFonts w:hint="eastAsia" w:ascii="宋体" w:hAnsi="宋体" w:eastAsia="宋体" w:cs="宋体"/>
          <w:color w:val="auto"/>
          <w:spacing w:val="20"/>
          <w:sz w:val="24"/>
          <w:highlight w:val="none"/>
        </w:rPr>
      </w:pPr>
      <w:r>
        <w:rPr>
          <w:rFonts w:hint="eastAsia" w:ascii="宋体" w:hAnsi="宋体" w:eastAsia="宋体" w:cs="宋体"/>
          <w:color w:val="auto"/>
          <w:sz w:val="24"/>
          <w:highlight w:val="none"/>
        </w:rPr>
        <w:t>投标人名称（电子签名）：</w:t>
      </w:r>
      <w:r>
        <w:rPr>
          <w:rFonts w:hint="eastAsia" w:ascii="宋体" w:hAnsi="宋体" w:eastAsia="宋体" w:cs="宋体"/>
          <w:color w:val="auto"/>
          <w:spacing w:val="20"/>
          <w:sz w:val="24"/>
          <w:highlight w:val="none"/>
        </w:rPr>
        <w:t xml:space="preserve">    </w:t>
      </w:r>
    </w:p>
    <w:p>
      <w:pPr>
        <w:spacing w:line="360" w:lineRule="auto"/>
        <w:ind w:firstLine="4415" w:firstLineChars="1577"/>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日期：2020年   月   日</w:t>
      </w:r>
    </w:p>
    <w:p>
      <w:pPr>
        <w:pStyle w:val="4"/>
        <w:tabs>
          <w:tab w:val="left" w:pos="2985"/>
        </w:tabs>
        <w:spacing w:before="120"/>
        <w:jc w:val="center"/>
        <w:rPr>
          <w:rFonts w:hint="eastAsia" w:ascii="宋体" w:hAnsi="宋体" w:eastAsia="宋体" w:cs="宋体"/>
          <w:color w:val="auto"/>
          <w:sz w:val="24"/>
          <w:szCs w:val="24"/>
          <w:highlight w:val="none"/>
        </w:rPr>
      </w:pPr>
      <w:r>
        <w:rPr>
          <w:rFonts w:hint="eastAsia" w:ascii="宋体" w:hAnsi="宋体" w:eastAsia="宋体" w:cs="宋体"/>
          <w:color w:val="auto"/>
          <w:spacing w:val="20"/>
          <w:sz w:val="24"/>
          <w:highlight w:val="none"/>
        </w:rPr>
        <w:br w:type="page"/>
      </w:r>
      <w:r>
        <w:rPr>
          <w:rFonts w:hint="eastAsia" w:ascii="宋体" w:hAnsi="宋体" w:eastAsia="宋体" w:cs="宋体"/>
          <w:color w:val="auto"/>
          <w:sz w:val="24"/>
          <w:szCs w:val="24"/>
          <w:highlight w:val="none"/>
        </w:rPr>
        <w:t>四、中小企业声明函、监狱企业声明函及其相关的充分的证明材料、残疾人福利性单位声明函</w:t>
      </w:r>
    </w:p>
    <w:p>
      <w:pPr>
        <w:spacing w:line="588" w:lineRule="exact"/>
        <w:jc w:val="center"/>
        <w:rPr>
          <w:rFonts w:hint="eastAsia" w:ascii="宋体" w:hAnsi="宋体" w:eastAsia="宋体" w:cs="宋体"/>
          <w:b/>
          <w:color w:val="auto"/>
          <w:spacing w:val="6"/>
          <w:sz w:val="24"/>
          <w:highlight w:val="none"/>
        </w:rPr>
      </w:pPr>
      <w:r>
        <w:rPr>
          <w:rFonts w:hint="eastAsia" w:ascii="宋体" w:hAnsi="宋体" w:eastAsia="宋体" w:cs="宋体"/>
          <w:b/>
          <w:color w:val="auto"/>
          <w:spacing w:val="6"/>
          <w:sz w:val="24"/>
          <w:highlight w:val="none"/>
        </w:rPr>
        <w:t>中小企业声明函</w:t>
      </w:r>
    </w:p>
    <w:p>
      <w:pPr>
        <w:spacing w:before="312" w:beforeLines="100" w:line="5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本公司郑重声明，根据《政府采购促进中小企业发展暂行办法》（财库〔2011〕181号）的规定，本公司为     （请填写：中型、小型、微型）企业。即，本公司同时满足以下条件：</w:t>
      </w:r>
    </w:p>
    <w:p>
      <w:pPr>
        <w:spacing w:line="5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1．根据《工业和信息化部、国家统计局、国家发展和改革委员会、财政部关于印发中小企业划型标准规定的通知》（工信部联企业〔2011〕300号）规定的划分标准，本公司为     （请填写：中型、小型、微型）企业。</w:t>
      </w:r>
    </w:p>
    <w:p>
      <w:pPr>
        <w:spacing w:line="5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2．本公司参加     单位的     项目采购活动提供本企业制造的货物，由本企业承担工程、提供服务，或者提供其他      （请填写：中型、小型、微型）企业制造的货物。本条所称货物不包括使用大型企业注册商标的货物。</w:t>
      </w:r>
    </w:p>
    <w:p>
      <w:pPr>
        <w:spacing w:line="5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本公司对上述声明的真实性负责。如有虚假，将依法承担相应责任。</w:t>
      </w:r>
    </w:p>
    <w:p>
      <w:pPr>
        <w:spacing w:line="500" w:lineRule="exact"/>
        <w:ind w:firstLine="480" w:firstLineChars="200"/>
        <w:rPr>
          <w:rFonts w:hint="eastAsia" w:ascii="宋体" w:hAnsi="宋体" w:eastAsia="宋体" w:cs="宋体"/>
          <w:color w:val="auto"/>
          <w:sz w:val="24"/>
          <w:highlight w:val="none"/>
        </w:rPr>
      </w:pPr>
    </w:p>
    <w:p>
      <w:pPr>
        <w:spacing w:line="500" w:lineRule="exact"/>
        <w:ind w:firstLine="480" w:firstLineChars="200"/>
        <w:rPr>
          <w:rFonts w:hint="eastAsia" w:ascii="宋体" w:hAnsi="宋体" w:eastAsia="宋体" w:cs="宋体"/>
          <w:color w:val="auto"/>
          <w:sz w:val="24"/>
          <w:highlight w:val="none"/>
        </w:rPr>
      </w:pPr>
    </w:p>
    <w:p>
      <w:pPr>
        <w:spacing w:line="500" w:lineRule="exact"/>
        <w:ind w:firstLine="480" w:firstLineChars="20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投标人名称（电子签名）：</w:t>
      </w:r>
    </w:p>
    <w:p>
      <w:pPr>
        <w:snapToGrid w:val="0"/>
        <w:spacing w:line="360" w:lineRule="auto"/>
        <w:ind w:firstLine="5760" w:firstLineChars="2400"/>
        <w:rPr>
          <w:rFonts w:hint="eastAsia" w:ascii="宋体" w:hAnsi="宋体" w:eastAsia="宋体" w:cs="宋体"/>
          <w:color w:val="auto"/>
          <w:sz w:val="28"/>
          <w:szCs w:val="28"/>
          <w:highlight w:val="none"/>
        </w:rPr>
      </w:pPr>
      <w:r>
        <w:rPr>
          <w:rFonts w:hint="eastAsia" w:ascii="宋体" w:hAnsi="宋体" w:eastAsia="宋体" w:cs="宋体"/>
          <w:color w:val="auto"/>
          <w:sz w:val="24"/>
          <w:highlight w:val="none"/>
        </w:rPr>
        <w:t xml:space="preserve">日  期：   </w:t>
      </w:r>
      <w:r>
        <w:rPr>
          <w:rFonts w:hint="eastAsia" w:ascii="宋体" w:hAnsi="宋体" w:eastAsia="宋体" w:cs="宋体"/>
          <w:color w:val="auto"/>
          <w:sz w:val="28"/>
          <w:szCs w:val="28"/>
          <w:highlight w:val="none"/>
        </w:rPr>
        <w:t xml:space="preserve"> </w:t>
      </w:r>
    </w:p>
    <w:p>
      <w:pPr>
        <w:snapToGrid w:val="0"/>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附：国家企业信用信息公示系统——小微企业名录”开标前一周内页面查询结果并加盖公章</w:t>
      </w:r>
    </w:p>
    <w:p>
      <w:pPr>
        <w:snapToGrid w:val="0"/>
        <w:spacing w:before="156" w:beforeLines="50" w:after="5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说明：根据财库〔2011〕181号的相关规定，在评审时对小型和微型企业的投标报价给予相应的扣除（详见投标人须知前附表），取扣除后的价格作为最终投标报价（此最终投标报价仅作为价格分计算）。属于小型和微型企业的，投标文件中必须同时提供《中小企业声明函》、“国家企业信用信息公示系统——小微企业名录”页面查询结果（查询时间为投标前7日内，并加盖单位公章）。(注：未提供以上材料的，均不给予价格扣除）</w:t>
      </w:r>
    </w:p>
    <w:p>
      <w:pPr>
        <w:rPr>
          <w:rFonts w:hint="eastAsia" w:ascii="宋体" w:hAnsi="宋体" w:eastAsia="宋体" w:cs="宋体"/>
          <w:color w:val="auto"/>
          <w:highlight w:val="none"/>
        </w:rPr>
      </w:pPr>
      <w:r>
        <w:rPr>
          <w:rFonts w:hint="eastAsia" w:ascii="宋体" w:hAnsi="宋体" w:eastAsia="宋体" w:cs="宋体"/>
          <w:color w:val="auto"/>
          <w:sz w:val="30"/>
          <w:szCs w:val="30"/>
          <w:highlight w:val="none"/>
        </w:rPr>
        <w:br w:type="page"/>
      </w:r>
    </w:p>
    <w:p>
      <w:pPr>
        <w:spacing w:line="588" w:lineRule="exact"/>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残疾人福利性单位声明函</w:t>
      </w:r>
    </w:p>
    <w:p>
      <w:pPr>
        <w:spacing w:line="588" w:lineRule="exact"/>
        <w:rPr>
          <w:rFonts w:hint="eastAsia" w:ascii="宋体" w:hAnsi="宋体" w:eastAsia="宋体" w:cs="宋体"/>
          <w:b/>
          <w:color w:val="auto"/>
          <w:spacing w:val="6"/>
          <w:sz w:val="30"/>
          <w:szCs w:val="30"/>
          <w:highlight w:val="none"/>
        </w:rPr>
      </w:pP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本单位对上述声明的真实性负责。如有虚假，将依法承担相应责任。</w:t>
      </w:r>
    </w:p>
    <w:p>
      <w:pPr>
        <w:snapToGrid w:val="0"/>
        <w:spacing w:line="360" w:lineRule="auto"/>
        <w:ind w:firstLine="480" w:firstLineChars="200"/>
        <w:rPr>
          <w:rFonts w:hint="eastAsia" w:ascii="宋体" w:hAnsi="宋体" w:eastAsia="宋体" w:cs="宋体"/>
          <w:color w:val="auto"/>
          <w:sz w:val="24"/>
          <w:highlight w:val="none"/>
        </w:rPr>
      </w:pPr>
    </w:p>
    <w:p>
      <w:pPr>
        <w:spacing w:line="588" w:lineRule="exact"/>
        <w:ind w:firstLine="504" w:firstLineChars="200"/>
        <w:rPr>
          <w:rFonts w:hint="eastAsia" w:ascii="宋体" w:hAnsi="宋体" w:eastAsia="宋体" w:cs="宋体"/>
          <w:color w:val="auto"/>
          <w:spacing w:val="6"/>
          <w:sz w:val="24"/>
          <w:highlight w:val="none"/>
        </w:rPr>
      </w:pPr>
    </w:p>
    <w:p>
      <w:pPr>
        <w:snapToGrid w:val="0"/>
        <w:spacing w:line="360" w:lineRule="auto"/>
        <w:ind w:firstLine="480" w:firstLineChars="20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投标人名称（电子签名）：</w:t>
      </w:r>
    </w:p>
    <w:p>
      <w:pPr>
        <w:spacing w:line="360" w:lineRule="auto"/>
        <w:ind w:firstLine="3547" w:firstLineChars="1478"/>
        <w:jc w:val="right"/>
        <w:rPr>
          <w:rFonts w:hint="eastAsia" w:ascii="宋体" w:hAnsi="宋体" w:eastAsia="宋体" w:cs="宋体"/>
          <w:color w:val="auto"/>
          <w:spacing w:val="20"/>
          <w:sz w:val="24"/>
          <w:highlight w:val="none"/>
        </w:rPr>
      </w:pPr>
      <w:r>
        <w:rPr>
          <w:rFonts w:hint="eastAsia" w:ascii="宋体" w:hAnsi="宋体" w:eastAsia="宋体" w:cs="宋体"/>
          <w:color w:val="auto"/>
          <w:sz w:val="24"/>
          <w:highlight w:val="none"/>
        </w:rPr>
        <w:t>日  期：</w:t>
      </w:r>
    </w:p>
    <w:p>
      <w:pPr>
        <w:rPr>
          <w:rFonts w:hint="eastAsia" w:ascii="宋体" w:hAnsi="宋体" w:eastAsia="宋体" w:cs="宋体"/>
          <w:b/>
          <w:iCs/>
          <w:color w:val="auto"/>
          <w:spacing w:val="20"/>
          <w:sz w:val="24"/>
          <w:highlight w:val="none"/>
        </w:rPr>
      </w:pPr>
    </w:p>
    <w:p>
      <w:pPr>
        <w:spacing w:line="360" w:lineRule="auto"/>
        <w:rPr>
          <w:rFonts w:hint="eastAsia" w:ascii="宋体" w:hAnsi="宋体" w:eastAsia="宋体" w:cs="宋体"/>
          <w:b/>
          <w:color w:val="auto"/>
          <w:spacing w:val="20"/>
          <w:sz w:val="24"/>
          <w:highlight w:val="none"/>
        </w:rPr>
      </w:pPr>
    </w:p>
    <w:p>
      <w:pPr>
        <w:snapToGrid w:val="0"/>
        <w:spacing w:before="156" w:beforeLines="50" w:after="50"/>
        <w:rPr>
          <w:rFonts w:hint="eastAsia" w:ascii="宋体" w:hAnsi="宋体" w:eastAsia="宋体" w:cs="宋体"/>
          <w:b/>
          <w:color w:val="auto"/>
          <w:sz w:val="28"/>
          <w:szCs w:val="28"/>
          <w:highlight w:val="none"/>
        </w:rPr>
      </w:pPr>
    </w:p>
    <w:p>
      <w:pPr>
        <w:snapToGrid w:val="0"/>
        <w:spacing w:before="156" w:beforeLines="50" w:after="50"/>
        <w:rPr>
          <w:rFonts w:hint="eastAsia" w:ascii="宋体" w:hAnsi="宋体" w:eastAsia="宋体" w:cs="宋体"/>
          <w:b/>
          <w:color w:val="auto"/>
          <w:sz w:val="30"/>
          <w:szCs w:val="30"/>
          <w:highlight w:val="none"/>
        </w:rPr>
      </w:pPr>
      <w:r>
        <w:rPr>
          <w:rFonts w:hint="eastAsia" w:ascii="宋体" w:hAnsi="宋体" w:eastAsia="宋体" w:cs="宋体"/>
          <w:b/>
          <w:color w:val="auto"/>
          <w:sz w:val="28"/>
          <w:szCs w:val="28"/>
          <w:highlight w:val="none"/>
        </w:rPr>
        <w:br w:type="page"/>
      </w:r>
    </w:p>
    <w:p>
      <w:pPr>
        <w:ind w:right="-110"/>
        <w:jc w:val="center"/>
        <w:rPr>
          <w:rFonts w:hint="eastAsia" w:ascii="宋体" w:hAnsi="宋体" w:eastAsia="宋体" w:cs="宋体"/>
          <w:color w:val="auto"/>
          <w:spacing w:val="40"/>
          <w:sz w:val="52"/>
          <w:szCs w:val="52"/>
          <w:highlight w:val="none"/>
        </w:rPr>
      </w:pPr>
      <w:r>
        <w:rPr>
          <w:rFonts w:hint="eastAsia" w:ascii="宋体" w:hAnsi="宋体" w:eastAsia="宋体" w:cs="宋体"/>
          <w:color w:val="auto"/>
          <w:spacing w:val="40"/>
          <w:sz w:val="52"/>
          <w:szCs w:val="52"/>
          <w:highlight w:val="none"/>
        </w:rPr>
        <w:t>项目名称</w:t>
      </w:r>
    </w:p>
    <w:p>
      <w:pPr>
        <w:spacing w:before="312" w:beforeLines="100" w:line="240" w:lineRule="atLeast"/>
        <w:ind w:right="-108"/>
        <w:jc w:val="center"/>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项目编号：（标项X）</w:t>
      </w:r>
    </w:p>
    <w:p>
      <w:pPr>
        <w:spacing w:after="100" w:afterAutospacing="1" w:line="800" w:lineRule="exact"/>
        <w:ind w:right="-108"/>
        <w:jc w:val="center"/>
        <w:rPr>
          <w:rFonts w:hint="eastAsia" w:ascii="宋体" w:hAnsi="宋体" w:eastAsia="宋体" w:cs="宋体"/>
          <w:b/>
          <w:color w:val="auto"/>
          <w:spacing w:val="40"/>
          <w:sz w:val="84"/>
          <w:szCs w:val="84"/>
          <w:highlight w:val="none"/>
        </w:rPr>
      </w:pPr>
    </w:p>
    <w:p>
      <w:pPr>
        <w:spacing w:after="100" w:afterAutospacing="1" w:line="360" w:lineRule="auto"/>
        <w:ind w:right="-108"/>
        <w:jc w:val="center"/>
        <w:rPr>
          <w:rFonts w:hint="eastAsia" w:ascii="宋体" w:hAnsi="宋体" w:eastAsia="宋体" w:cs="宋体"/>
          <w:b/>
          <w:color w:val="auto"/>
          <w:spacing w:val="40"/>
          <w:sz w:val="84"/>
          <w:szCs w:val="84"/>
          <w:highlight w:val="none"/>
        </w:rPr>
      </w:pPr>
    </w:p>
    <w:p>
      <w:pPr>
        <w:spacing w:after="100" w:afterAutospacing="1" w:line="360" w:lineRule="auto"/>
        <w:ind w:right="-108"/>
        <w:jc w:val="center"/>
        <w:rPr>
          <w:rFonts w:hint="eastAsia" w:ascii="宋体" w:hAnsi="宋体" w:eastAsia="宋体" w:cs="宋体"/>
          <w:b/>
          <w:color w:val="auto"/>
          <w:spacing w:val="40"/>
          <w:sz w:val="84"/>
          <w:szCs w:val="84"/>
          <w:highlight w:val="none"/>
        </w:rPr>
      </w:pPr>
      <w:r>
        <w:rPr>
          <w:rFonts w:hint="eastAsia" w:ascii="宋体" w:hAnsi="宋体" w:eastAsia="宋体" w:cs="宋体"/>
          <w:b/>
          <w:color w:val="auto"/>
          <w:spacing w:val="40"/>
          <w:sz w:val="84"/>
          <w:szCs w:val="84"/>
          <w:highlight w:val="none"/>
        </w:rPr>
        <w:t>资信技术文件</w:t>
      </w:r>
    </w:p>
    <w:p>
      <w:pPr>
        <w:spacing w:line="500" w:lineRule="exact"/>
        <w:ind w:right="532"/>
        <w:jc w:val="center"/>
        <w:rPr>
          <w:rFonts w:hint="eastAsia" w:ascii="宋体" w:hAnsi="宋体" w:eastAsia="宋体" w:cs="宋体"/>
          <w:color w:val="auto"/>
          <w:sz w:val="36"/>
          <w:szCs w:val="36"/>
          <w:highlight w:val="none"/>
        </w:rPr>
      </w:pPr>
    </w:p>
    <w:p>
      <w:pPr>
        <w:spacing w:line="360" w:lineRule="auto"/>
        <w:ind w:firstLine="1280" w:firstLineChars="400"/>
        <w:rPr>
          <w:rFonts w:hint="eastAsia" w:ascii="宋体" w:hAnsi="宋体" w:eastAsia="宋体" w:cs="宋体"/>
          <w:color w:val="auto"/>
          <w:sz w:val="32"/>
          <w:highlight w:val="none"/>
        </w:rPr>
      </w:pPr>
    </w:p>
    <w:p>
      <w:pPr>
        <w:spacing w:line="360" w:lineRule="auto"/>
        <w:ind w:firstLine="1280" w:firstLineChars="400"/>
        <w:rPr>
          <w:rFonts w:hint="eastAsia" w:ascii="宋体" w:hAnsi="宋体" w:eastAsia="宋体" w:cs="宋体"/>
          <w:color w:val="auto"/>
          <w:sz w:val="32"/>
          <w:highlight w:val="none"/>
        </w:rPr>
      </w:pPr>
    </w:p>
    <w:p>
      <w:pPr>
        <w:spacing w:line="360" w:lineRule="auto"/>
        <w:ind w:firstLine="1280" w:firstLineChars="400"/>
        <w:rPr>
          <w:rFonts w:hint="eastAsia" w:ascii="宋体" w:hAnsi="宋体" w:eastAsia="宋体" w:cs="宋体"/>
          <w:color w:val="auto"/>
          <w:sz w:val="32"/>
          <w:highlight w:val="none"/>
        </w:rPr>
      </w:pPr>
    </w:p>
    <w:p>
      <w:pPr>
        <w:spacing w:line="360" w:lineRule="auto"/>
        <w:ind w:firstLine="1280" w:firstLineChars="400"/>
        <w:rPr>
          <w:rFonts w:hint="eastAsia" w:ascii="宋体" w:hAnsi="宋体" w:eastAsia="宋体" w:cs="宋体"/>
          <w:color w:val="auto"/>
          <w:sz w:val="32"/>
          <w:highlight w:val="none"/>
        </w:rPr>
      </w:pPr>
    </w:p>
    <w:p>
      <w:pPr>
        <w:spacing w:line="360" w:lineRule="auto"/>
        <w:ind w:firstLine="1280" w:firstLineChars="400"/>
        <w:rPr>
          <w:rFonts w:hint="eastAsia" w:ascii="宋体" w:hAnsi="宋体" w:eastAsia="宋体" w:cs="宋体"/>
          <w:color w:val="auto"/>
          <w:sz w:val="32"/>
          <w:highlight w:val="none"/>
        </w:rPr>
      </w:pPr>
    </w:p>
    <w:p>
      <w:pPr>
        <w:spacing w:line="360" w:lineRule="auto"/>
        <w:ind w:firstLine="1280" w:firstLineChars="400"/>
        <w:rPr>
          <w:rFonts w:hint="eastAsia" w:ascii="宋体" w:hAnsi="宋体" w:eastAsia="宋体" w:cs="宋体"/>
          <w:color w:val="auto"/>
          <w:sz w:val="32"/>
          <w:highlight w:val="none"/>
        </w:rPr>
      </w:pPr>
      <w:r>
        <w:rPr>
          <w:rFonts w:hint="eastAsia" w:ascii="宋体" w:hAnsi="宋体" w:eastAsia="宋体" w:cs="宋体"/>
          <w:color w:val="auto"/>
          <w:sz w:val="32"/>
          <w:highlight w:val="none"/>
        </w:rPr>
        <w:t>投标单位名称：（加盖单位公章）</w:t>
      </w:r>
    </w:p>
    <w:p>
      <w:pPr>
        <w:spacing w:line="360" w:lineRule="auto"/>
        <w:ind w:firstLine="1280" w:firstLineChars="400"/>
        <w:rPr>
          <w:rFonts w:hint="eastAsia" w:ascii="宋体" w:hAnsi="宋体" w:eastAsia="宋体" w:cs="宋体"/>
          <w:color w:val="auto"/>
          <w:sz w:val="32"/>
          <w:highlight w:val="none"/>
        </w:rPr>
      </w:pPr>
      <w:r>
        <w:rPr>
          <w:rFonts w:hint="eastAsia" w:ascii="宋体" w:hAnsi="宋体" w:eastAsia="宋体" w:cs="宋体"/>
          <w:color w:val="auto"/>
          <w:sz w:val="32"/>
          <w:highlight w:val="none"/>
        </w:rPr>
        <w:t>投标单位地址：</w:t>
      </w:r>
    </w:p>
    <w:p>
      <w:pPr>
        <w:spacing w:line="360" w:lineRule="auto"/>
        <w:ind w:firstLine="1280" w:firstLineChars="400"/>
        <w:rPr>
          <w:rFonts w:hint="eastAsia" w:ascii="宋体" w:hAnsi="宋体" w:eastAsia="宋体" w:cs="宋体"/>
          <w:color w:val="auto"/>
          <w:sz w:val="32"/>
          <w:highlight w:val="none"/>
        </w:rPr>
      </w:pPr>
      <w:r>
        <w:rPr>
          <w:rFonts w:hint="eastAsia" w:ascii="宋体" w:hAnsi="宋体" w:eastAsia="宋体" w:cs="宋体"/>
          <w:color w:val="auto"/>
          <w:sz w:val="32"/>
          <w:highlight w:val="none"/>
        </w:rPr>
        <w:t>投标单位法人或法人授权代表（签字或盖章）：</w:t>
      </w:r>
    </w:p>
    <w:p>
      <w:pPr>
        <w:spacing w:line="360" w:lineRule="auto"/>
        <w:ind w:firstLine="1280" w:firstLineChars="400"/>
        <w:rPr>
          <w:rFonts w:hint="eastAsia" w:ascii="宋体" w:hAnsi="宋体" w:eastAsia="宋体" w:cs="宋体"/>
          <w:color w:val="auto"/>
          <w:sz w:val="32"/>
          <w:highlight w:val="none"/>
        </w:rPr>
      </w:pPr>
      <w:r>
        <w:rPr>
          <w:rFonts w:hint="eastAsia" w:ascii="宋体" w:hAnsi="宋体" w:eastAsia="宋体" w:cs="宋体"/>
          <w:color w:val="auto"/>
          <w:sz w:val="32"/>
          <w:highlight w:val="none"/>
        </w:rPr>
        <w:t>投标单位联系方式：</w:t>
      </w:r>
    </w:p>
    <w:p>
      <w:pPr>
        <w:spacing w:line="360" w:lineRule="auto"/>
        <w:jc w:val="center"/>
        <w:rPr>
          <w:rFonts w:hint="eastAsia" w:ascii="宋体" w:hAnsi="宋体" w:eastAsia="宋体" w:cs="宋体"/>
          <w:color w:val="auto"/>
          <w:sz w:val="32"/>
          <w:highlight w:val="none"/>
        </w:rPr>
      </w:pPr>
    </w:p>
    <w:p>
      <w:pPr>
        <w:spacing w:line="360" w:lineRule="auto"/>
        <w:jc w:val="center"/>
        <w:rPr>
          <w:rFonts w:hint="eastAsia" w:ascii="宋体" w:hAnsi="宋体" w:eastAsia="宋体" w:cs="宋体"/>
          <w:color w:val="auto"/>
          <w:sz w:val="32"/>
          <w:highlight w:val="none"/>
        </w:rPr>
      </w:pPr>
      <w:r>
        <w:rPr>
          <w:rFonts w:hint="eastAsia" w:ascii="宋体" w:hAnsi="宋体" w:eastAsia="宋体" w:cs="宋体"/>
          <w:color w:val="auto"/>
          <w:sz w:val="32"/>
          <w:highlight w:val="none"/>
        </w:rPr>
        <w:t>年  月  日</w:t>
      </w:r>
    </w:p>
    <w:p>
      <w:pPr>
        <w:spacing w:line="360" w:lineRule="auto"/>
        <w:jc w:val="center"/>
        <w:rPr>
          <w:rFonts w:hint="eastAsia" w:ascii="宋体" w:hAnsi="宋体" w:eastAsia="宋体" w:cs="宋体"/>
          <w:b/>
          <w:color w:val="auto"/>
          <w:spacing w:val="20"/>
          <w:sz w:val="36"/>
          <w:szCs w:val="36"/>
          <w:highlight w:val="none"/>
        </w:rPr>
      </w:pPr>
      <w:r>
        <w:rPr>
          <w:rFonts w:hint="eastAsia" w:ascii="宋体" w:hAnsi="宋体" w:eastAsia="宋体" w:cs="宋体"/>
          <w:b/>
          <w:color w:val="auto"/>
          <w:spacing w:val="20"/>
          <w:sz w:val="36"/>
          <w:szCs w:val="36"/>
          <w:highlight w:val="none"/>
        </w:rPr>
        <w:t>资信技术文件部分</w:t>
      </w:r>
    </w:p>
    <w:p>
      <w:pPr>
        <w:spacing w:line="360" w:lineRule="auto"/>
        <w:jc w:val="center"/>
        <w:rPr>
          <w:rFonts w:hint="eastAsia" w:ascii="宋体" w:hAnsi="宋体" w:eastAsia="宋体" w:cs="宋体"/>
          <w:b/>
          <w:color w:val="auto"/>
          <w:spacing w:val="20"/>
          <w:sz w:val="24"/>
          <w:highlight w:val="none"/>
        </w:rPr>
      </w:pPr>
    </w:p>
    <w:p>
      <w:pPr>
        <w:spacing w:line="360" w:lineRule="auto"/>
        <w:jc w:val="center"/>
        <w:rPr>
          <w:rFonts w:hint="eastAsia" w:ascii="宋体" w:hAnsi="宋体" w:eastAsia="宋体" w:cs="宋体"/>
          <w:b/>
          <w:color w:val="auto"/>
          <w:spacing w:val="20"/>
          <w:sz w:val="28"/>
          <w:szCs w:val="28"/>
          <w:highlight w:val="none"/>
        </w:rPr>
      </w:pPr>
      <w:r>
        <w:rPr>
          <w:rFonts w:hint="eastAsia" w:ascii="宋体" w:hAnsi="宋体" w:eastAsia="宋体" w:cs="宋体"/>
          <w:b/>
          <w:color w:val="auto"/>
          <w:spacing w:val="20"/>
          <w:sz w:val="28"/>
          <w:szCs w:val="28"/>
          <w:highlight w:val="none"/>
        </w:rPr>
        <w:t>目  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（1）法人授权委托书，法定代表人及授权委托人的身份证（复印件）；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（2）投标人的营业执照和资质证书等企业资质文件的复印件及公司介绍（投标人应对投标人的企业基本概况、经营理念、管理目标、竞争优势、已取得的业绩及企业资信情况等进行简要介绍和说明）；</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（3）银行出具的企业信用等级证书；</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（4）投标人的相关业绩以及相应的证明文件（中标通知书、合同或业主证明，原件备查）；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（5）商务偏离说明表；</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（6）年度清除非法涂写招贴广告作业计划方案；</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（7）清除非法涂写招贴广告作业措施设想；</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（8）内部考核制度和人员配置及管理情况方案；</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（9）参与本项目的管理人员和主要技术骨干名单及简历（包括年龄、学历、职称或技术等级、执业证明等）；</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（10）技术偏离说明表；</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（11）关于对招标文件中有关条款的拒绝声明（如果有）；</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（12）投标人认为需要的其他文件或说明；</w:t>
      </w:r>
    </w:p>
    <w:p>
      <w:pPr>
        <w:pStyle w:val="11"/>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w:t>
      </w:r>
      <w:r>
        <w:rPr>
          <w:rFonts w:hint="eastAsia" w:ascii="宋体" w:hAnsi="宋体" w:eastAsia="宋体" w:cs="宋体"/>
          <w:color w:val="auto"/>
          <w:kern w:val="0"/>
          <w:sz w:val="24"/>
          <w:highlight w:val="none"/>
          <w:lang w:val="zh-CN"/>
        </w:rPr>
        <w:t>优惠条件及特殊承诺。</w:t>
      </w:r>
    </w:p>
    <w:p>
      <w:pPr>
        <w:spacing w:line="360" w:lineRule="auto"/>
        <w:rPr>
          <w:rFonts w:hint="eastAsia" w:ascii="宋体" w:hAnsi="宋体" w:eastAsia="宋体" w:cs="宋体"/>
          <w:b/>
          <w:color w:val="auto"/>
          <w:spacing w:val="20"/>
          <w:sz w:val="24"/>
          <w:highlight w:val="none"/>
        </w:rPr>
      </w:pPr>
      <w:r>
        <w:rPr>
          <w:rFonts w:hint="eastAsia" w:ascii="宋体" w:hAnsi="宋体" w:eastAsia="宋体" w:cs="宋体"/>
          <w:b/>
          <w:color w:val="auto"/>
          <w:spacing w:val="20"/>
          <w:sz w:val="24"/>
          <w:highlight w:val="none"/>
        </w:rPr>
        <w:t>注：以上目录是编制投标技术文件的基本格式要求，各投标人可根据自身情况进一步细化。</w:t>
      </w:r>
    </w:p>
    <w:p>
      <w:pPr>
        <w:spacing w:line="360" w:lineRule="auto"/>
        <w:jc w:val="center"/>
        <w:rPr>
          <w:rFonts w:hint="eastAsia" w:ascii="宋体" w:hAnsi="宋体" w:eastAsia="宋体" w:cs="宋体"/>
          <w:b/>
          <w:color w:val="auto"/>
          <w:spacing w:val="20"/>
          <w:sz w:val="24"/>
          <w:highlight w:val="none"/>
        </w:rPr>
      </w:pPr>
      <w:r>
        <w:rPr>
          <w:rFonts w:hint="eastAsia" w:ascii="宋体" w:hAnsi="宋体" w:eastAsia="宋体" w:cs="宋体"/>
          <w:b/>
          <w:color w:val="auto"/>
          <w:spacing w:val="20"/>
          <w:sz w:val="24"/>
          <w:highlight w:val="none"/>
        </w:rPr>
        <w:br w:type="page"/>
      </w:r>
      <w:r>
        <w:rPr>
          <w:rFonts w:hint="eastAsia" w:ascii="宋体" w:hAnsi="宋体" w:eastAsia="宋体" w:cs="宋体"/>
          <w:b/>
          <w:color w:val="auto"/>
          <w:spacing w:val="20"/>
          <w:sz w:val="24"/>
          <w:highlight w:val="none"/>
        </w:rPr>
        <w:t>一、授权委托书</w:t>
      </w:r>
    </w:p>
    <w:p>
      <w:pPr>
        <w:spacing w:line="360" w:lineRule="auto"/>
        <w:rPr>
          <w:rFonts w:hint="eastAsia" w:ascii="宋体" w:hAnsi="宋体" w:eastAsia="宋体" w:cs="宋体"/>
          <w:color w:val="auto"/>
          <w:spacing w:val="20"/>
          <w:sz w:val="24"/>
          <w:highlight w:val="none"/>
        </w:rPr>
      </w:pPr>
    </w:p>
    <w:p>
      <w:pPr>
        <w:spacing w:line="360" w:lineRule="auto"/>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致：杭州市拱墅区城市管理局/浙江省成套工程有限公司</w:t>
      </w:r>
    </w:p>
    <w:p>
      <w:pPr>
        <w:spacing w:line="360" w:lineRule="auto"/>
        <w:rPr>
          <w:rFonts w:hint="eastAsia" w:ascii="宋体" w:hAnsi="宋体" w:eastAsia="宋体" w:cs="宋体"/>
          <w:color w:val="auto"/>
          <w:spacing w:val="20"/>
          <w:sz w:val="24"/>
          <w:highlight w:val="none"/>
        </w:rPr>
      </w:pPr>
    </w:p>
    <w:p>
      <w:pPr>
        <w:spacing w:line="360" w:lineRule="auto"/>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 xml:space="preserve">    本授权书声明：注册于 </w:t>
      </w:r>
      <w:r>
        <w:rPr>
          <w:rFonts w:hint="eastAsia" w:ascii="宋体" w:hAnsi="宋体" w:eastAsia="宋体" w:cs="宋体"/>
          <w:color w:val="auto"/>
          <w:spacing w:val="20"/>
          <w:sz w:val="24"/>
          <w:highlight w:val="none"/>
          <w:u w:val="single"/>
        </w:rPr>
        <w:t>（</w:t>
      </w:r>
      <w:r>
        <w:rPr>
          <w:rFonts w:hint="eastAsia" w:ascii="宋体" w:hAnsi="宋体" w:eastAsia="宋体" w:cs="宋体"/>
          <w:i/>
          <w:color w:val="auto"/>
          <w:spacing w:val="20"/>
          <w:sz w:val="24"/>
          <w:highlight w:val="none"/>
          <w:u w:val="single"/>
        </w:rPr>
        <w:t>国家或地区的名称</w:t>
      </w:r>
      <w:r>
        <w:rPr>
          <w:rFonts w:hint="eastAsia" w:ascii="宋体" w:hAnsi="宋体" w:eastAsia="宋体" w:cs="宋体"/>
          <w:color w:val="auto"/>
          <w:spacing w:val="20"/>
          <w:sz w:val="24"/>
          <w:highlight w:val="none"/>
          <w:u w:val="single"/>
        </w:rPr>
        <w:t>）</w:t>
      </w:r>
      <w:r>
        <w:rPr>
          <w:rFonts w:hint="eastAsia" w:ascii="宋体" w:hAnsi="宋体" w:eastAsia="宋体" w:cs="宋体"/>
          <w:color w:val="auto"/>
          <w:spacing w:val="20"/>
          <w:sz w:val="24"/>
          <w:highlight w:val="none"/>
        </w:rPr>
        <w:t xml:space="preserve">的 </w:t>
      </w:r>
      <w:r>
        <w:rPr>
          <w:rFonts w:hint="eastAsia" w:ascii="宋体" w:hAnsi="宋体" w:eastAsia="宋体" w:cs="宋体"/>
          <w:color w:val="auto"/>
          <w:spacing w:val="20"/>
          <w:sz w:val="24"/>
          <w:highlight w:val="none"/>
          <w:u w:val="single"/>
        </w:rPr>
        <w:t>（</w:t>
      </w:r>
      <w:r>
        <w:rPr>
          <w:rFonts w:hint="eastAsia" w:ascii="宋体" w:hAnsi="宋体" w:eastAsia="宋体" w:cs="宋体"/>
          <w:i/>
          <w:color w:val="auto"/>
          <w:spacing w:val="20"/>
          <w:sz w:val="24"/>
          <w:highlight w:val="none"/>
          <w:u w:val="single"/>
        </w:rPr>
        <w:t>公司名称</w:t>
      </w:r>
      <w:r>
        <w:rPr>
          <w:rFonts w:hint="eastAsia" w:ascii="宋体" w:hAnsi="宋体" w:eastAsia="宋体" w:cs="宋体"/>
          <w:color w:val="auto"/>
          <w:spacing w:val="20"/>
          <w:sz w:val="24"/>
          <w:highlight w:val="none"/>
          <w:u w:val="single"/>
        </w:rPr>
        <w:t>）</w:t>
      </w:r>
      <w:r>
        <w:rPr>
          <w:rFonts w:hint="eastAsia" w:ascii="宋体" w:hAnsi="宋体" w:eastAsia="宋体" w:cs="宋体"/>
          <w:color w:val="auto"/>
          <w:spacing w:val="20"/>
          <w:sz w:val="24"/>
          <w:highlight w:val="none"/>
        </w:rPr>
        <w:t xml:space="preserve">                  的</w:t>
      </w:r>
      <w:r>
        <w:rPr>
          <w:rFonts w:hint="eastAsia" w:ascii="宋体" w:hAnsi="宋体" w:eastAsia="宋体" w:cs="宋体"/>
          <w:color w:val="auto"/>
          <w:spacing w:val="20"/>
          <w:sz w:val="24"/>
          <w:highlight w:val="none"/>
          <w:u w:val="single"/>
        </w:rPr>
        <w:t xml:space="preserve"> （</w:t>
      </w:r>
      <w:r>
        <w:rPr>
          <w:rFonts w:hint="eastAsia" w:ascii="宋体" w:hAnsi="宋体" w:eastAsia="宋体" w:cs="宋体"/>
          <w:i/>
          <w:color w:val="auto"/>
          <w:spacing w:val="20"/>
          <w:sz w:val="24"/>
          <w:highlight w:val="none"/>
          <w:u w:val="single"/>
        </w:rPr>
        <w:t>法人代表姓名、职务，身份证号码</w:t>
      </w:r>
      <w:r>
        <w:rPr>
          <w:rFonts w:hint="eastAsia" w:ascii="宋体" w:hAnsi="宋体" w:eastAsia="宋体" w:cs="宋体"/>
          <w:color w:val="auto"/>
          <w:spacing w:val="20"/>
          <w:sz w:val="24"/>
          <w:highlight w:val="none"/>
          <w:u w:val="single"/>
        </w:rPr>
        <w:t>）</w:t>
      </w:r>
      <w:r>
        <w:rPr>
          <w:rFonts w:hint="eastAsia" w:ascii="宋体" w:hAnsi="宋体" w:eastAsia="宋体" w:cs="宋体"/>
          <w:color w:val="auto"/>
          <w:spacing w:val="20"/>
          <w:sz w:val="24"/>
          <w:highlight w:val="none"/>
        </w:rPr>
        <w:t xml:space="preserve"> 代表本公司授权  </w:t>
      </w:r>
      <w:r>
        <w:rPr>
          <w:rFonts w:hint="eastAsia" w:ascii="宋体" w:hAnsi="宋体" w:eastAsia="宋体" w:cs="宋体"/>
          <w:color w:val="auto"/>
          <w:spacing w:val="20"/>
          <w:sz w:val="24"/>
          <w:highlight w:val="none"/>
          <w:u w:val="single"/>
        </w:rPr>
        <w:t>（</w:t>
      </w:r>
      <w:r>
        <w:rPr>
          <w:rFonts w:hint="eastAsia" w:ascii="宋体" w:hAnsi="宋体" w:eastAsia="宋体" w:cs="宋体"/>
          <w:i/>
          <w:color w:val="auto"/>
          <w:spacing w:val="20"/>
          <w:sz w:val="24"/>
          <w:highlight w:val="none"/>
          <w:u w:val="single"/>
        </w:rPr>
        <w:t>单位名称</w:t>
      </w:r>
      <w:r>
        <w:rPr>
          <w:rFonts w:hint="eastAsia" w:ascii="宋体" w:hAnsi="宋体" w:eastAsia="宋体" w:cs="宋体"/>
          <w:color w:val="auto"/>
          <w:spacing w:val="20"/>
          <w:sz w:val="24"/>
          <w:highlight w:val="none"/>
          <w:u w:val="single"/>
        </w:rPr>
        <w:t>）</w:t>
      </w:r>
      <w:r>
        <w:rPr>
          <w:rFonts w:hint="eastAsia" w:ascii="宋体" w:hAnsi="宋体" w:eastAsia="宋体" w:cs="宋体"/>
          <w:color w:val="auto"/>
          <w:spacing w:val="20"/>
          <w:sz w:val="24"/>
          <w:highlight w:val="none"/>
        </w:rPr>
        <w:t xml:space="preserve"> 的在下面签字的 </w:t>
      </w:r>
      <w:r>
        <w:rPr>
          <w:rFonts w:hint="eastAsia" w:ascii="宋体" w:hAnsi="宋体" w:eastAsia="宋体" w:cs="宋体"/>
          <w:color w:val="auto"/>
          <w:spacing w:val="20"/>
          <w:sz w:val="24"/>
          <w:highlight w:val="none"/>
          <w:u w:val="single"/>
        </w:rPr>
        <w:t>（</w:t>
      </w:r>
      <w:r>
        <w:rPr>
          <w:rFonts w:hint="eastAsia" w:ascii="宋体" w:hAnsi="宋体" w:eastAsia="宋体" w:cs="宋体"/>
          <w:i/>
          <w:color w:val="auto"/>
          <w:spacing w:val="20"/>
          <w:sz w:val="24"/>
          <w:highlight w:val="none"/>
          <w:u w:val="single"/>
        </w:rPr>
        <w:t>被授权人的姓名、职务，身份证号码</w:t>
      </w:r>
      <w:r>
        <w:rPr>
          <w:rFonts w:hint="eastAsia" w:ascii="宋体" w:hAnsi="宋体" w:eastAsia="宋体" w:cs="宋体"/>
          <w:color w:val="auto"/>
          <w:spacing w:val="20"/>
          <w:sz w:val="24"/>
          <w:highlight w:val="none"/>
          <w:u w:val="single"/>
        </w:rPr>
        <w:t>）</w:t>
      </w:r>
      <w:r>
        <w:rPr>
          <w:rFonts w:hint="eastAsia" w:ascii="宋体" w:hAnsi="宋体" w:eastAsia="宋体" w:cs="宋体"/>
          <w:color w:val="auto"/>
          <w:spacing w:val="20"/>
          <w:sz w:val="24"/>
          <w:highlight w:val="none"/>
        </w:rPr>
        <w:t>为本公司的合法代理人，就</w:t>
      </w:r>
      <w:r>
        <w:rPr>
          <w:rFonts w:hint="eastAsia" w:ascii="宋体" w:hAnsi="宋体" w:eastAsia="宋体" w:cs="宋体"/>
          <w:color w:val="auto"/>
          <w:spacing w:val="20"/>
          <w:sz w:val="24"/>
          <w:highlight w:val="none"/>
          <w:u w:val="single"/>
        </w:rPr>
        <w:t>（</w:t>
      </w:r>
      <w:r>
        <w:rPr>
          <w:rFonts w:hint="eastAsia" w:ascii="宋体" w:hAnsi="宋体" w:eastAsia="宋体" w:cs="宋体"/>
          <w:i/>
          <w:color w:val="auto"/>
          <w:spacing w:val="20"/>
          <w:sz w:val="24"/>
          <w:highlight w:val="none"/>
          <w:u w:val="single"/>
        </w:rPr>
        <w:t>项目名称、招标编号</w:t>
      </w:r>
      <w:r>
        <w:rPr>
          <w:rFonts w:hint="eastAsia" w:ascii="宋体" w:hAnsi="宋体" w:eastAsia="宋体" w:cs="宋体"/>
          <w:color w:val="auto"/>
          <w:spacing w:val="20"/>
          <w:sz w:val="24"/>
          <w:highlight w:val="none"/>
          <w:u w:val="single"/>
        </w:rPr>
        <w:t>）</w:t>
      </w:r>
      <w:r>
        <w:rPr>
          <w:rFonts w:hint="eastAsia" w:ascii="宋体" w:hAnsi="宋体" w:eastAsia="宋体" w:cs="宋体"/>
          <w:color w:val="auto"/>
          <w:spacing w:val="20"/>
          <w:sz w:val="24"/>
          <w:highlight w:val="none"/>
        </w:rPr>
        <w:t>的投标，以本公司名义处理一切与之有关的事物。</w:t>
      </w:r>
    </w:p>
    <w:p>
      <w:pPr>
        <w:spacing w:line="360" w:lineRule="auto"/>
        <w:rPr>
          <w:rFonts w:hint="eastAsia" w:ascii="宋体" w:hAnsi="宋体" w:eastAsia="宋体" w:cs="宋体"/>
          <w:color w:val="auto"/>
          <w:spacing w:val="20"/>
          <w:sz w:val="24"/>
          <w:highlight w:val="none"/>
        </w:rPr>
      </w:pPr>
    </w:p>
    <w:p>
      <w:pPr>
        <w:spacing w:line="360" w:lineRule="auto"/>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 xml:space="preserve">    本授权书于</w:t>
      </w:r>
      <w:r>
        <w:rPr>
          <w:rFonts w:hint="eastAsia" w:ascii="宋体" w:hAnsi="宋体" w:eastAsia="宋体" w:cs="宋体"/>
          <w:color w:val="auto"/>
          <w:spacing w:val="20"/>
          <w:sz w:val="24"/>
          <w:highlight w:val="none"/>
          <w:u w:val="single"/>
        </w:rPr>
        <w:t xml:space="preserve">     </w:t>
      </w:r>
      <w:r>
        <w:rPr>
          <w:rFonts w:hint="eastAsia" w:ascii="宋体" w:hAnsi="宋体" w:eastAsia="宋体" w:cs="宋体"/>
          <w:color w:val="auto"/>
          <w:spacing w:val="20"/>
          <w:sz w:val="24"/>
          <w:highlight w:val="none"/>
        </w:rPr>
        <w:t>年</w:t>
      </w:r>
      <w:r>
        <w:rPr>
          <w:rFonts w:hint="eastAsia" w:ascii="宋体" w:hAnsi="宋体" w:eastAsia="宋体" w:cs="宋体"/>
          <w:color w:val="auto"/>
          <w:spacing w:val="20"/>
          <w:sz w:val="24"/>
          <w:highlight w:val="none"/>
          <w:u w:val="single"/>
        </w:rPr>
        <w:t xml:space="preserve">   </w:t>
      </w:r>
      <w:r>
        <w:rPr>
          <w:rFonts w:hint="eastAsia" w:ascii="宋体" w:hAnsi="宋体" w:eastAsia="宋体" w:cs="宋体"/>
          <w:color w:val="auto"/>
          <w:spacing w:val="20"/>
          <w:sz w:val="24"/>
          <w:highlight w:val="none"/>
        </w:rPr>
        <w:t>月</w:t>
      </w:r>
      <w:r>
        <w:rPr>
          <w:rFonts w:hint="eastAsia" w:ascii="宋体" w:hAnsi="宋体" w:eastAsia="宋体" w:cs="宋体"/>
          <w:color w:val="auto"/>
          <w:spacing w:val="20"/>
          <w:sz w:val="24"/>
          <w:highlight w:val="none"/>
          <w:u w:val="single"/>
        </w:rPr>
        <w:t xml:space="preserve">  </w:t>
      </w:r>
      <w:r>
        <w:rPr>
          <w:rFonts w:hint="eastAsia" w:ascii="宋体" w:hAnsi="宋体" w:eastAsia="宋体" w:cs="宋体"/>
          <w:color w:val="auto"/>
          <w:spacing w:val="20"/>
          <w:sz w:val="24"/>
          <w:highlight w:val="none"/>
        </w:rPr>
        <w:t xml:space="preserve"> 日签字生效，特此声明。</w:t>
      </w:r>
    </w:p>
    <w:p>
      <w:pPr>
        <w:spacing w:line="360" w:lineRule="auto"/>
        <w:rPr>
          <w:rFonts w:hint="eastAsia" w:ascii="宋体" w:hAnsi="宋体" w:eastAsia="宋体" w:cs="宋体"/>
          <w:color w:val="auto"/>
          <w:spacing w:val="20"/>
          <w:sz w:val="24"/>
          <w:highlight w:val="none"/>
        </w:rPr>
      </w:pPr>
    </w:p>
    <w:p>
      <w:pPr>
        <w:wordWrap w:val="0"/>
        <w:spacing w:line="360" w:lineRule="auto"/>
        <w:ind w:right="560" w:firstLine="4620" w:firstLineChars="1650"/>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 xml:space="preserve">  </w:t>
      </w:r>
      <w:r>
        <w:rPr>
          <w:rFonts w:hint="eastAsia" w:ascii="宋体" w:hAnsi="宋体" w:eastAsia="宋体" w:cs="宋体"/>
          <w:color w:val="auto"/>
          <w:sz w:val="24"/>
          <w:highlight w:val="none"/>
        </w:rPr>
        <w:t>投标人名称（电子签名）：</w:t>
      </w:r>
    </w:p>
    <w:p>
      <w:pPr>
        <w:wordWrap w:val="0"/>
        <w:spacing w:line="360" w:lineRule="auto"/>
        <w:jc w:val="right"/>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 xml:space="preserve">签发日期：         </w:t>
      </w:r>
    </w:p>
    <w:p>
      <w:pPr>
        <w:spacing w:line="360" w:lineRule="auto"/>
        <w:rPr>
          <w:rFonts w:hint="eastAsia" w:ascii="宋体" w:hAnsi="宋体" w:eastAsia="宋体" w:cs="宋体"/>
          <w:color w:val="auto"/>
          <w:spacing w:val="20"/>
          <w:sz w:val="24"/>
          <w:highlight w:val="none"/>
          <w:u w:val="single"/>
        </w:rPr>
      </w:pPr>
    </w:p>
    <w:p>
      <w:pPr>
        <w:spacing w:line="360" w:lineRule="auto"/>
        <w:ind w:firstLine="2520" w:firstLineChars="900"/>
        <w:rPr>
          <w:rFonts w:hint="eastAsia" w:ascii="宋体" w:hAnsi="宋体" w:eastAsia="宋体" w:cs="宋体"/>
          <w:b/>
          <w:color w:val="auto"/>
          <w:spacing w:val="20"/>
          <w:sz w:val="24"/>
          <w:highlight w:val="none"/>
        </w:rPr>
      </w:pPr>
      <w:r>
        <w:rPr>
          <w:rFonts w:hint="eastAsia" w:ascii="宋体" w:hAnsi="宋体" w:eastAsia="宋体" w:cs="宋体"/>
          <w:color w:val="auto"/>
          <w:spacing w:val="20"/>
          <w:sz w:val="24"/>
          <w:highlight w:val="none"/>
          <w:u w:val="single"/>
        </w:rPr>
        <w:br w:type="page"/>
      </w:r>
      <w:r>
        <w:rPr>
          <w:rFonts w:hint="eastAsia" w:ascii="宋体" w:hAnsi="宋体" w:eastAsia="宋体" w:cs="宋体"/>
          <w:b/>
          <w:color w:val="auto"/>
          <w:spacing w:val="20"/>
          <w:sz w:val="24"/>
          <w:highlight w:val="none"/>
        </w:rPr>
        <w:t>二、法定代表人资格证明书</w:t>
      </w:r>
    </w:p>
    <w:p>
      <w:pPr>
        <w:spacing w:line="360" w:lineRule="auto"/>
        <w:rPr>
          <w:rFonts w:hint="eastAsia" w:ascii="宋体" w:hAnsi="宋体" w:eastAsia="宋体" w:cs="宋体"/>
          <w:color w:val="auto"/>
          <w:spacing w:val="20"/>
          <w:sz w:val="24"/>
          <w:highlight w:val="none"/>
        </w:rPr>
      </w:pPr>
    </w:p>
    <w:p>
      <w:pPr>
        <w:spacing w:line="360" w:lineRule="auto"/>
        <w:rPr>
          <w:rFonts w:hint="eastAsia" w:ascii="宋体" w:hAnsi="宋体" w:eastAsia="宋体" w:cs="宋体"/>
          <w:color w:val="auto"/>
          <w:spacing w:val="20"/>
          <w:sz w:val="24"/>
          <w:highlight w:val="none"/>
          <w:u w:val="single"/>
        </w:rPr>
      </w:pPr>
      <w:r>
        <w:rPr>
          <w:rFonts w:hint="eastAsia" w:ascii="宋体" w:hAnsi="宋体" w:eastAsia="宋体" w:cs="宋体"/>
          <w:color w:val="auto"/>
          <w:spacing w:val="20"/>
          <w:sz w:val="24"/>
          <w:highlight w:val="none"/>
        </w:rPr>
        <w:t>单位名称：</w:t>
      </w:r>
      <w:r>
        <w:rPr>
          <w:rFonts w:hint="eastAsia" w:ascii="宋体" w:hAnsi="宋体" w:eastAsia="宋体" w:cs="宋体"/>
          <w:color w:val="auto"/>
          <w:spacing w:val="20"/>
          <w:sz w:val="24"/>
          <w:highlight w:val="none"/>
          <w:u w:val="single"/>
        </w:rPr>
        <w:t xml:space="preserve">                           </w:t>
      </w:r>
    </w:p>
    <w:p>
      <w:pPr>
        <w:spacing w:line="360" w:lineRule="auto"/>
        <w:rPr>
          <w:rFonts w:hint="eastAsia" w:ascii="宋体" w:hAnsi="宋体" w:eastAsia="宋体" w:cs="宋体"/>
          <w:color w:val="auto"/>
          <w:spacing w:val="20"/>
          <w:sz w:val="24"/>
          <w:highlight w:val="none"/>
          <w:u w:val="single"/>
        </w:rPr>
      </w:pPr>
      <w:r>
        <w:rPr>
          <w:rFonts w:hint="eastAsia" w:ascii="宋体" w:hAnsi="宋体" w:eastAsia="宋体" w:cs="宋体"/>
          <w:color w:val="auto"/>
          <w:spacing w:val="20"/>
          <w:sz w:val="24"/>
          <w:highlight w:val="none"/>
        </w:rPr>
        <w:t>地址：</w:t>
      </w:r>
      <w:r>
        <w:rPr>
          <w:rFonts w:hint="eastAsia" w:ascii="宋体" w:hAnsi="宋体" w:eastAsia="宋体" w:cs="宋体"/>
          <w:color w:val="auto"/>
          <w:spacing w:val="20"/>
          <w:sz w:val="24"/>
          <w:highlight w:val="none"/>
          <w:u w:val="single"/>
        </w:rPr>
        <w:t xml:space="preserve">                       </w:t>
      </w:r>
    </w:p>
    <w:p>
      <w:pPr>
        <w:spacing w:line="360" w:lineRule="auto"/>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姓名：</w:t>
      </w:r>
      <w:r>
        <w:rPr>
          <w:rFonts w:hint="eastAsia" w:ascii="宋体" w:hAnsi="宋体" w:eastAsia="宋体" w:cs="宋体"/>
          <w:color w:val="auto"/>
          <w:spacing w:val="20"/>
          <w:sz w:val="24"/>
          <w:highlight w:val="none"/>
          <w:u w:val="single"/>
        </w:rPr>
        <w:t xml:space="preserve">               </w:t>
      </w:r>
      <w:r>
        <w:rPr>
          <w:rFonts w:hint="eastAsia" w:ascii="宋体" w:hAnsi="宋体" w:eastAsia="宋体" w:cs="宋体"/>
          <w:color w:val="auto"/>
          <w:spacing w:val="20"/>
          <w:sz w:val="24"/>
          <w:highlight w:val="none"/>
        </w:rPr>
        <w:t xml:space="preserve">       性别：</w:t>
      </w:r>
      <w:r>
        <w:rPr>
          <w:rFonts w:hint="eastAsia" w:ascii="宋体" w:hAnsi="宋体" w:eastAsia="宋体" w:cs="宋体"/>
          <w:color w:val="auto"/>
          <w:spacing w:val="20"/>
          <w:sz w:val="24"/>
          <w:highlight w:val="none"/>
          <w:u w:val="single"/>
        </w:rPr>
        <w:t xml:space="preserve">               </w:t>
      </w:r>
      <w:r>
        <w:rPr>
          <w:rFonts w:hint="eastAsia" w:ascii="宋体" w:hAnsi="宋体" w:eastAsia="宋体" w:cs="宋体"/>
          <w:color w:val="auto"/>
          <w:spacing w:val="20"/>
          <w:sz w:val="24"/>
          <w:highlight w:val="none"/>
        </w:rPr>
        <w:t xml:space="preserve"> </w:t>
      </w:r>
    </w:p>
    <w:p>
      <w:pPr>
        <w:spacing w:line="360" w:lineRule="auto"/>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年龄：</w:t>
      </w:r>
      <w:r>
        <w:rPr>
          <w:rFonts w:hint="eastAsia" w:ascii="宋体" w:hAnsi="宋体" w:eastAsia="宋体" w:cs="宋体"/>
          <w:color w:val="auto"/>
          <w:spacing w:val="20"/>
          <w:sz w:val="24"/>
          <w:highlight w:val="none"/>
          <w:u w:val="single"/>
        </w:rPr>
        <w:t xml:space="preserve">               </w:t>
      </w:r>
      <w:r>
        <w:rPr>
          <w:rFonts w:hint="eastAsia" w:ascii="宋体" w:hAnsi="宋体" w:eastAsia="宋体" w:cs="宋体"/>
          <w:color w:val="auto"/>
          <w:spacing w:val="20"/>
          <w:sz w:val="24"/>
          <w:highlight w:val="none"/>
        </w:rPr>
        <w:t xml:space="preserve">       职务：</w:t>
      </w:r>
      <w:r>
        <w:rPr>
          <w:rFonts w:hint="eastAsia" w:ascii="宋体" w:hAnsi="宋体" w:eastAsia="宋体" w:cs="宋体"/>
          <w:color w:val="auto"/>
          <w:spacing w:val="20"/>
          <w:sz w:val="24"/>
          <w:highlight w:val="none"/>
          <w:u w:val="single"/>
        </w:rPr>
        <w:t xml:space="preserve">               </w:t>
      </w:r>
      <w:r>
        <w:rPr>
          <w:rFonts w:hint="eastAsia" w:ascii="宋体" w:hAnsi="宋体" w:eastAsia="宋体" w:cs="宋体"/>
          <w:color w:val="auto"/>
          <w:spacing w:val="20"/>
          <w:sz w:val="24"/>
          <w:highlight w:val="none"/>
        </w:rPr>
        <w:t xml:space="preserve"> </w:t>
      </w:r>
    </w:p>
    <w:p>
      <w:pPr>
        <w:spacing w:line="360" w:lineRule="auto"/>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身份证号码：</w:t>
      </w:r>
      <w:r>
        <w:rPr>
          <w:rFonts w:hint="eastAsia" w:ascii="宋体" w:hAnsi="宋体" w:eastAsia="宋体" w:cs="宋体"/>
          <w:color w:val="auto"/>
          <w:spacing w:val="20"/>
          <w:sz w:val="24"/>
          <w:highlight w:val="none"/>
          <w:u w:val="single"/>
        </w:rPr>
        <w:t xml:space="preserve">                               </w:t>
      </w:r>
      <w:r>
        <w:rPr>
          <w:rFonts w:hint="eastAsia" w:ascii="宋体" w:hAnsi="宋体" w:eastAsia="宋体" w:cs="宋体"/>
          <w:color w:val="auto"/>
          <w:spacing w:val="20"/>
          <w:sz w:val="24"/>
          <w:highlight w:val="none"/>
        </w:rPr>
        <w:t xml:space="preserve"> </w:t>
      </w:r>
    </w:p>
    <w:p>
      <w:pPr>
        <w:spacing w:line="360" w:lineRule="auto"/>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系</w:t>
      </w:r>
      <w:r>
        <w:rPr>
          <w:rFonts w:hint="eastAsia" w:ascii="宋体" w:hAnsi="宋体" w:eastAsia="宋体" w:cs="宋体"/>
          <w:color w:val="auto"/>
          <w:spacing w:val="20"/>
          <w:sz w:val="24"/>
          <w:highlight w:val="none"/>
          <w:u w:val="single"/>
        </w:rPr>
        <w:t xml:space="preserve">                      </w:t>
      </w:r>
      <w:r>
        <w:rPr>
          <w:rFonts w:hint="eastAsia" w:ascii="宋体" w:hAnsi="宋体" w:eastAsia="宋体" w:cs="宋体"/>
          <w:color w:val="auto"/>
          <w:spacing w:val="20"/>
          <w:sz w:val="24"/>
          <w:highlight w:val="none"/>
        </w:rPr>
        <w:t>的法定代表人，为</w:t>
      </w:r>
      <w:r>
        <w:rPr>
          <w:rFonts w:hint="eastAsia" w:ascii="宋体" w:hAnsi="宋体" w:eastAsia="宋体" w:cs="宋体"/>
          <w:color w:val="auto"/>
          <w:spacing w:val="20"/>
          <w:sz w:val="24"/>
          <w:highlight w:val="none"/>
          <w:u w:val="single"/>
        </w:rPr>
        <w:t xml:space="preserve">              </w:t>
      </w:r>
      <w:r>
        <w:rPr>
          <w:rFonts w:hint="eastAsia" w:ascii="宋体" w:hAnsi="宋体" w:eastAsia="宋体" w:cs="宋体"/>
          <w:color w:val="auto"/>
          <w:spacing w:val="20"/>
          <w:sz w:val="24"/>
          <w:highlight w:val="none"/>
        </w:rPr>
        <w:t xml:space="preserve"> 保洁，签署上述工程的投标文件，进行合同谈判、签署合同和处理与之有关的一切事宜。</w:t>
      </w:r>
    </w:p>
    <w:p>
      <w:pPr>
        <w:spacing w:line="360" w:lineRule="auto"/>
        <w:ind w:firstLine="560" w:firstLineChars="200"/>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特此证明。</w:t>
      </w:r>
    </w:p>
    <w:p>
      <w:pPr>
        <w:spacing w:line="360" w:lineRule="auto"/>
        <w:jc w:val="center"/>
        <w:rPr>
          <w:rFonts w:hint="eastAsia" w:ascii="宋体" w:hAnsi="宋体" w:eastAsia="宋体" w:cs="宋体"/>
          <w:b/>
          <w:color w:val="auto"/>
          <w:spacing w:val="20"/>
          <w:sz w:val="24"/>
          <w:highlight w:val="none"/>
        </w:rPr>
      </w:pPr>
    </w:p>
    <w:p>
      <w:pPr>
        <w:spacing w:line="360" w:lineRule="auto"/>
        <w:jc w:val="center"/>
        <w:rPr>
          <w:rFonts w:hint="eastAsia" w:ascii="宋体" w:hAnsi="宋体" w:eastAsia="宋体" w:cs="宋体"/>
          <w:b/>
          <w:color w:val="auto"/>
          <w:spacing w:val="20"/>
          <w:sz w:val="24"/>
          <w:highlight w:val="none"/>
        </w:rPr>
      </w:pPr>
    </w:p>
    <w:p>
      <w:pPr>
        <w:spacing w:line="360" w:lineRule="auto"/>
        <w:jc w:val="center"/>
        <w:rPr>
          <w:rFonts w:hint="eastAsia" w:ascii="宋体" w:hAnsi="宋体" w:eastAsia="宋体" w:cs="宋体"/>
          <w:b/>
          <w:color w:val="auto"/>
          <w:spacing w:val="20"/>
          <w:sz w:val="24"/>
          <w:highlight w:val="none"/>
        </w:rPr>
      </w:pPr>
    </w:p>
    <w:p>
      <w:pPr>
        <w:spacing w:line="360" w:lineRule="auto"/>
        <w:jc w:val="center"/>
        <w:rPr>
          <w:rFonts w:hint="eastAsia" w:ascii="宋体" w:hAnsi="宋体" w:eastAsia="宋体" w:cs="宋体"/>
          <w:b/>
          <w:color w:val="auto"/>
          <w:spacing w:val="20"/>
          <w:sz w:val="24"/>
          <w:highlight w:val="none"/>
        </w:rPr>
      </w:pPr>
      <w:r>
        <w:rPr>
          <w:rFonts w:hint="eastAsia" w:ascii="宋体" w:hAnsi="宋体" w:eastAsia="宋体" w:cs="宋体"/>
          <w:b/>
          <w:color w:val="auto"/>
          <w:spacing w:val="20"/>
          <w:sz w:val="24"/>
          <w:highlight w:val="none"/>
        </w:rPr>
        <w:t>三、法定代表人及授权委托人的身份证（复印件）</w:t>
      </w:r>
    </w:p>
    <w:p>
      <w:pPr>
        <w:spacing w:line="360" w:lineRule="auto"/>
        <w:jc w:val="center"/>
        <w:rPr>
          <w:rFonts w:hint="eastAsia" w:ascii="宋体" w:hAnsi="宋体" w:eastAsia="宋体" w:cs="宋体"/>
          <w:color w:val="auto"/>
          <w:spacing w:val="20"/>
          <w:sz w:val="24"/>
          <w:highlight w:val="none"/>
        </w:rPr>
      </w:pPr>
    </w:p>
    <w:p>
      <w:pPr>
        <w:jc w:val="center"/>
        <w:rPr>
          <w:rFonts w:hint="eastAsia" w:ascii="宋体" w:hAnsi="宋体" w:eastAsia="宋体" w:cs="宋体"/>
          <w:b/>
          <w:color w:val="auto"/>
          <w:spacing w:val="20"/>
          <w:sz w:val="24"/>
          <w:highlight w:val="none"/>
        </w:rPr>
      </w:pPr>
      <w:r>
        <w:rPr>
          <w:rFonts w:hint="eastAsia" w:ascii="宋体" w:hAnsi="宋体" w:eastAsia="宋体" w:cs="宋体"/>
          <w:color w:val="auto"/>
          <w:spacing w:val="20"/>
          <w:sz w:val="24"/>
          <w:highlight w:val="none"/>
        </w:rPr>
        <w:br w:type="page"/>
      </w:r>
      <w:r>
        <w:rPr>
          <w:rFonts w:hint="eastAsia" w:ascii="宋体" w:hAnsi="宋体" w:eastAsia="宋体" w:cs="宋体"/>
          <w:b/>
          <w:color w:val="auto"/>
          <w:spacing w:val="20"/>
          <w:sz w:val="24"/>
          <w:highlight w:val="none"/>
        </w:rPr>
        <w:t>四、声明书</w:t>
      </w:r>
    </w:p>
    <w:p>
      <w:pPr>
        <w:rPr>
          <w:rFonts w:hint="eastAsia" w:ascii="宋体" w:hAnsi="宋体" w:eastAsia="宋体" w:cs="宋体"/>
          <w:color w:val="auto"/>
          <w:spacing w:val="20"/>
          <w:sz w:val="24"/>
          <w:highlight w:val="none"/>
        </w:rPr>
      </w:pPr>
    </w:p>
    <w:p>
      <w:pPr>
        <w:spacing w:line="360" w:lineRule="auto"/>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杭州市拱墅区城市管理局、浙江省成套工程有限公司：</w:t>
      </w:r>
    </w:p>
    <w:p>
      <w:pPr>
        <w:spacing w:line="360" w:lineRule="auto"/>
        <w:ind w:firstLine="645"/>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本单位自愿参加“</w:t>
      </w:r>
      <w:r>
        <w:rPr>
          <w:rFonts w:hint="eastAsia" w:ascii="宋体" w:hAnsi="宋体" w:eastAsia="宋体" w:cs="宋体"/>
          <w:color w:val="auto"/>
          <w:spacing w:val="20"/>
          <w:sz w:val="24"/>
          <w:highlight w:val="none"/>
          <w:u w:val="single"/>
        </w:rPr>
        <w:t xml:space="preserve">         </w:t>
      </w:r>
      <w:r>
        <w:rPr>
          <w:rFonts w:hint="eastAsia" w:ascii="宋体" w:hAnsi="宋体" w:eastAsia="宋体" w:cs="宋体"/>
          <w:color w:val="auto"/>
          <w:spacing w:val="20"/>
          <w:sz w:val="24"/>
          <w:highlight w:val="none"/>
        </w:rPr>
        <w:t>采购项目”（编号：</w:t>
      </w:r>
      <w:r>
        <w:rPr>
          <w:rFonts w:hint="eastAsia" w:ascii="宋体" w:hAnsi="宋体" w:eastAsia="宋体" w:cs="宋体"/>
          <w:color w:val="auto"/>
          <w:spacing w:val="20"/>
          <w:sz w:val="24"/>
          <w:highlight w:val="none"/>
          <w:u w:val="single"/>
        </w:rPr>
        <w:t xml:space="preserve">     </w:t>
      </w:r>
      <w:r>
        <w:rPr>
          <w:rFonts w:hint="eastAsia" w:ascii="宋体" w:hAnsi="宋体" w:eastAsia="宋体" w:cs="宋体"/>
          <w:color w:val="auto"/>
          <w:spacing w:val="20"/>
          <w:sz w:val="24"/>
          <w:highlight w:val="none"/>
        </w:rPr>
        <w:t>）政府采购项目的投标，并保证投标文件中所列举的投标报价文件及相关资料和公司基本情况资料时真实的、合法的。</w:t>
      </w:r>
    </w:p>
    <w:p>
      <w:pPr>
        <w:spacing w:line="360" w:lineRule="auto"/>
        <w:ind w:firstLine="645"/>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同意此次招标文件中的各项内容。</w:t>
      </w:r>
    </w:p>
    <w:p>
      <w:pPr>
        <w:spacing w:line="360" w:lineRule="auto"/>
        <w:ind w:firstLine="645"/>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同意提供按照贵方可能要求的与投标有关的一切数据或资料等。</w:t>
      </w:r>
    </w:p>
    <w:p>
      <w:pPr>
        <w:spacing w:line="360" w:lineRule="auto"/>
        <w:ind w:firstLine="645"/>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本单位如中标，保证按照投标文件的承诺与贵方签订合同，保证履行合同条款并缴纳履约保证金。</w:t>
      </w:r>
    </w:p>
    <w:p>
      <w:pPr>
        <w:rPr>
          <w:rFonts w:hint="eastAsia" w:ascii="宋体" w:hAnsi="宋体" w:eastAsia="宋体" w:cs="宋体"/>
          <w:color w:val="auto"/>
          <w:spacing w:val="20"/>
          <w:sz w:val="24"/>
          <w:highlight w:val="none"/>
        </w:rPr>
      </w:pPr>
    </w:p>
    <w:p>
      <w:pPr>
        <w:rPr>
          <w:rFonts w:hint="eastAsia" w:ascii="宋体" w:hAnsi="宋体" w:eastAsia="宋体" w:cs="宋体"/>
          <w:color w:val="auto"/>
          <w:spacing w:val="20"/>
          <w:sz w:val="24"/>
          <w:highlight w:val="none"/>
        </w:rPr>
      </w:pPr>
    </w:p>
    <w:p>
      <w:pPr>
        <w:rPr>
          <w:rFonts w:hint="eastAsia" w:ascii="宋体" w:hAnsi="宋体" w:eastAsia="宋体" w:cs="宋体"/>
          <w:color w:val="auto"/>
          <w:spacing w:val="20"/>
          <w:sz w:val="24"/>
          <w:highlight w:val="none"/>
        </w:rPr>
      </w:pPr>
    </w:p>
    <w:p>
      <w:pPr>
        <w:spacing w:line="360" w:lineRule="auto"/>
        <w:jc w:val="right"/>
        <w:rPr>
          <w:rFonts w:hint="eastAsia" w:ascii="宋体" w:hAnsi="宋体" w:eastAsia="宋体" w:cs="宋体"/>
          <w:color w:val="auto"/>
          <w:spacing w:val="20"/>
          <w:sz w:val="24"/>
          <w:highlight w:val="none"/>
        </w:rPr>
      </w:pPr>
      <w:r>
        <w:rPr>
          <w:rFonts w:hint="eastAsia" w:ascii="宋体" w:hAnsi="宋体" w:eastAsia="宋体" w:cs="宋体"/>
          <w:color w:val="auto"/>
          <w:sz w:val="24"/>
          <w:highlight w:val="none"/>
        </w:rPr>
        <w:t>投标人名称（电子签名）：</w:t>
      </w:r>
      <w:r>
        <w:rPr>
          <w:rFonts w:hint="eastAsia" w:ascii="宋体" w:hAnsi="宋体" w:eastAsia="宋体" w:cs="宋体"/>
          <w:color w:val="auto"/>
          <w:spacing w:val="20"/>
          <w:sz w:val="24"/>
          <w:highlight w:val="none"/>
        </w:rPr>
        <w:t xml:space="preserve">         </w:t>
      </w:r>
    </w:p>
    <w:p>
      <w:pPr>
        <w:spacing w:line="360" w:lineRule="auto"/>
        <w:jc w:val="right"/>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日期：2020年   月   日</w:t>
      </w:r>
    </w:p>
    <w:p>
      <w:pPr>
        <w:jc w:val="center"/>
        <w:rPr>
          <w:rFonts w:hint="eastAsia" w:ascii="宋体" w:hAnsi="宋体" w:eastAsia="宋体" w:cs="宋体"/>
          <w:color w:val="auto"/>
          <w:spacing w:val="20"/>
          <w:sz w:val="24"/>
          <w:highlight w:val="none"/>
        </w:rPr>
      </w:pPr>
    </w:p>
    <w:p>
      <w:pPr>
        <w:jc w:val="center"/>
        <w:rPr>
          <w:rFonts w:hint="eastAsia" w:ascii="宋体" w:hAnsi="宋体" w:eastAsia="宋体" w:cs="宋体"/>
          <w:b/>
          <w:color w:val="auto"/>
          <w:spacing w:val="20"/>
          <w:sz w:val="24"/>
          <w:highlight w:val="none"/>
        </w:rPr>
      </w:pPr>
      <w:r>
        <w:rPr>
          <w:rFonts w:hint="eastAsia" w:ascii="宋体" w:hAnsi="宋体" w:eastAsia="宋体" w:cs="宋体"/>
          <w:b/>
          <w:color w:val="auto"/>
          <w:spacing w:val="20"/>
          <w:sz w:val="24"/>
          <w:highlight w:val="none"/>
        </w:rPr>
        <w:t>五、有效的企业法人营业执照（复印件）</w:t>
      </w:r>
    </w:p>
    <w:p>
      <w:pPr>
        <w:jc w:val="center"/>
        <w:rPr>
          <w:rFonts w:hint="eastAsia" w:ascii="宋体" w:hAnsi="宋体" w:eastAsia="宋体" w:cs="宋体"/>
          <w:color w:val="auto"/>
          <w:spacing w:val="20"/>
          <w:sz w:val="24"/>
          <w:highlight w:val="none"/>
        </w:rPr>
      </w:pPr>
    </w:p>
    <w:p>
      <w:pPr>
        <w:jc w:val="center"/>
        <w:rPr>
          <w:rFonts w:hint="eastAsia" w:ascii="宋体" w:hAnsi="宋体" w:eastAsia="宋体" w:cs="宋体"/>
          <w:color w:val="auto"/>
          <w:spacing w:val="20"/>
          <w:sz w:val="24"/>
          <w:highlight w:val="none"/>
        </w:rPr>
      </w:pPr>
    </w:p>
    <w:p>
      <w:pPr>
        <w:jc w:val="center"/>
        <w:rPr>
          <w:rFonts w:hint="eastAsia" w:ascii="宋体" w:hAnsi="宋体" w:eastAsia="宋体" w:cs="宋体"/>
          <w:b/>
          <w:color w:val="auto"/>
          <w:spacing w:val="20"/>
          <w:sz w:val="24"/>
          <w:highlight w:val="none"/>
        </w:rPr>
      </w:pPr>
      <w:r>
        <w:rPr>
          <w:rFonts w:hint="eastAsia" w:ascii="宋体" w:hAnsi="宋体" w:eastAsia="宋体" w:cs="宋体"/>
          <w:b/>
          <w:color w:val="auto"/>
          <w:spacing w:val="20"/>
          <w:sz w:val="24"/>
          <w:highlight w:val="none"/>
        </w:rPr>
        <w:t>六、有效的税务登记证（复印件）</w:t>
      </w:r>
    </w:p>
    <w:p>
      <w:pPr>
        <w:jc w:val="center"/>
        <w:rPr>
          <w:rFonts w:hint="eastAsia" w:ascii="宋体" w:hAnsi="宋体" w:eastAsia="宋体" w:cs="宋体"/>
          <w:b/>
          <w:color w:val="auto"/>
          <w:spacing w:val="20"/>
          <w:sz w:val="24"/>
          <w:highlight w:val="none"/>
        </w:rPr>
      </w:pPr>
    </w:p>
    <w:p>
      <w:pPr>
        <w:jc w:val="center"/>
        <w:rPr>
          <w:rFonts w:hint="eastAsia" w:ascii="宋体" w:hAnsi="宋体" w:eastAsia="宋体" w:cs="宋体"/>
          <w:b/>
          <w:color w:val="auto"/>
          <w:spacing w:val="20"/>
          <w:sz w:val="24"/>
          <w:highlight w:val="none"/>
        </w:rPr>
      </w:pPr>
    </w:p>
    <w:p>
      <w:pPr>
        <w:jc w:val="center"/>
        <w:rPr>
          <w:rFonts w:hint="eastAsia" w:ascii="宋体" w:hAnsi="宋体" w:eastAsia="宋体" w:cs="宋体"/>
          <w:b/>
          <w:color w:val="auto"/>
          <w:spacing w:val="20"/>
          <w:sz w:val="24"/>
          <w:highlight w:val="none"/>
        </w:rPr>
      </w:pPr>
      <w:r>
        <w:rPr>
          <w:rFonts w:hint="eastAsia" w:ascii="宋体" w:hAnsi="宋体" w:eastAsia="宋体" w:cs="宋体"/>
          <w:b/>
          <w:color w:val="auto"/>
          <w:spacing w:val="20"/>
          <w:sz w:val="24"/>
          <w:highlight w:val="none"/>
        </w:rPr>
        <w:t>七、有效的社保登记证（复印件）</w:t>
      </w:r>
    </w:p>
    <w:p>
      <w:pPr>
        <w:jc w:val="center"/>
        <w:rPr>
          <w:rFonts w:hint="eastAsia" w:ascii="宋体" w:hAnsi="宋体" w:eastAsia="宋体" w:cs="宋体"/>
          <w:b/>
          <w:color w:val="auto"/>
          <w:spacing w:val="20"/>
          <w:sz w:val="24"/>
          <w:highlight w:val="none"/>
        </w:rPr>
      </w:pPr>
    </w:p>
    <w:p>
      <w:pPr>
        <w:jc w:val="center"/>
        <w:rPr>
          <w:rFonts w:hint="eastAsia" w:ascii="宋体" w:hAnsi="宋体" w:eastAsia="宋体" w:cs="宋体"/>
          <w:b/>
          <w:color w:val="auto"/>
          <w:spacing w:val="20"/>
          <w:sz w:val="24"/>
          <w:highlight w:val="none"/>
        </w:rPr>
      </w:pPr>
    </w:p>
    <w:p>
      <w:pPr>
        <w:jc w:val="center"/>
        <w:rPr>
          <w:rFonts w:hint="eastAsia" w:ascii="宋体" w:hAnsi="宋体" w:eastAsia="宋体" w:cs="宋体"/>
          <w:b/>
          <w:color w:val="auto"/>
          <w:spacing w:val="20"/>
          <w:sz w:val="24"/>
          <w:highlight w:val="none"/>
        </w:rPr>
      </w:pPr>
      <w:r>
        <w:rPr>
          <w:rFonts w:hint="eastAsia" w:ascii="宋体" w:hAnsi="宋体" w:eastAsia="宋体" w:cs="宋体"/>
          <w:b/>
          <w:color w:val="auto"/>
          <w:spacing w:val="20"/>
          <w:sz w:val="24"/>
          <w:highlight w:val="none"/>
        </w:rPr>
        <w:t>八、2019年下半年度资产负债表、损益表（复印件）</w:t>
      </w:r>
    </w:p>
    <w:p>
      <w:pPr>
        <w:jc w:val="center"/>
        <w:rPr>
          <w:rFonts w:hint="eastAsia" w:ascii="宋体" w:hAnsi="宋体" w:eastAsia="宋体" w:cs="宋体"/>
          <w:b/>
          <w:color w:val="auto"/>
          <w:spacing w:val="20"/>
          <w:sz w:val="24"/>
          <w:highlight w:val="none"/>
        </w:rPr>
      </w:pPr>
    </w:p>
    <w:p>
      <w:pPr>
        <w:jc w:val="center"/>
        <w:rPr>
          <w:rFonts w:hint="eastAsia" w:ascii="宋体" w:hAnsi="宋体" w:eastAsia="宋体" w:cs="宋体"/>
          <w:b/>
          <w:color w:val="auto"/>
          <w:spacing w:val="20"/>
          <w:sz w:val="24"/>
          <w:highlight w:val="none"/>
        </w:rPr>
      </w:pPr>
    </w:p>
    <w:p>
      <w:pPr>
        <w:jc w:val="center"/>
        <w:rPr>
          <w:rFonts w:hint="eastAsia" w:ascii="宋体" w:hAnsi="宋体" w:eastAsia="宋体" w:cs="宋体"/>
          <w:b/>
          <w:color w:val="auto"/>
          <w:spacing w:val="20"/>
          <w:sz w:val="24"/>
          <w:highlight w:val="none"/>
        </w:rPr>
      </w:pPr>
      <w:r>
        <w:rPr>
          <w:rFonts w:hint="eastAsia" w:ascii="宋体" w:hAnsi="宋体" w:eastAsia="宋体" w:cs="宋体"/>
          <w:b/>
          <w:color w:val="auto"/>
          <w:spacing w:val="20"/>
          <w:sz w:val="24"/>
          <w:highlight w:val="none"/>
        </w:rPr>
        <w:t>九、相关资质证书（复印件）</w:t>
      </w:r>
    </w:p>
    <w:p>
      <w:pPr>
        <w:jc w:val="center"/>
        <w:rPr>
          <w:rFonts w:hint="eastAsia" w:ascii="宋体" w:hAnsi="宋体" w:eastAsia="宋体" w:cs="宋体"/>
          <w:b/>
          <w:color w:val="auto"/>
          <w:spacing w:val="20"/>
          <w:sz w:val="24"/>
          <w:highlight w:val="none"/>
        </w:rPr>
      </w:pPr>
    </w:p>
    <w:p>
      <w:pPr>
        <w:jc w:val="center"/>
        <w:rPr>
          <w:rFonts w:hint="eastAsia" w:ascii="宋体" w:hAnsi="宋体" w:eastAsia="宋体" w:cs="宋体"/>
          <w:b/>
          <w:color w:val="auto"/>
          <w:spacing w:val="20"/>
          <w:sz w:val="24"/>
          <w:highlight w:val="none"/>
        </w:rPr>
      </w:pPr>
      <w:r>
        <w:rPr>
          <w:rFonts w:hint="eastAsia" w:ascii="宋体" w:hAnsi="宋体" w:eastAsia="宋体" w:cs="宋体"/>
          <w:b/>
          <w:color w:val="auto"/>
          <w:spacing w:val="20"/>
          <w:sz w:val="24"/>
          <w:highlight w:val="none"/>
        </w:rPr>
        <w:t>十、公司介绍</w:t>
      </w:r>
    </w:p>
    <w:p>
      <w:pPr>
        <w:spacing w:line="360" w:lineRule="auto"/>
        <w:jc w:val="center"/>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（由投标人根据采购自行编制）</w:t>
      </w:r>
    </w:p>
    <w:p>
      <w:pPr>
        <w:jc w:val="center"/>
        <w:rPr>
          <w:rFonts w:hint="eastAsia" w:ascii="宋体" w:hAnsi="宋体" w:eastAsia="宋体" w:cs="宋体"/>
          <w:color w:val="auto"/>
          <w:spacing w:val="20"/>
          <w:sz w:val="24"/>
          <w:highlight w:val="none"/>
        </w:rPr>
      </w:pPr>
    </w:p>
    <w:p>
      <w:pPr>
        <w:rPr>
          <w:rFonts w:hint="eastAsia" w:ascii="宋体" w:hAnsi="宋体" w:eastAsia="宋体" w:cs="宋体"/>
          <w:b/>
          <w:color w:val="auto"/>
          <w:spacing w:val="20"/>
          <w:sz w:val="24"/>
          <w:highlight w:val="none"/>
        </w:rPr>
      </w:pPr>
    </w:p>
    <w:p>
      <w:pPr>
        <w:rPr>
          <w:rFonts w:hint="eastAsia" w:ascii="宋体" w:hAnsi="宋体" w:eastAsia="宋体" w:cs="宋体"/>
          <w:b/>
          <w:color w:val="auto"/>
          <w:spacing w:val="20"/>
          <w:sz w:val="24"/>
          <w:highlight w:val="none"/>
        </w:rPr>
      </w:pPr>
    </w:p>
    <w:p>
      <w:pPr>
        <w:rPr>
          <w:rFonts w:hint="eastAsia" w:ascii="宋体" w:hAnsi="宋体" w:eastAsia="宋体" w:cs="宋体"/>
          <w:b/>
          <w:color w:val="auto"/>
          <w:spacing w:val="20"/>
          <w:sz w:val="24"/>
          <w:highlight w:val="none"/>
        </w:rPr>
      </w:pPr>
    </w:p>
    <w:p>
      <w:pPr>
        <w:jc w:val="center"/>
        <w:rPr>
          <w:rFonts w:hint="eastAsia" w:ascii="宋体" w:hAnsi="宋体" w:eastAsia="宋体" w:cs="宋体"/>
          <w:b/>
          <w:color w:val="auto"/>
          <w:spacing w:val="20"/>
          <w:sz w:val="24"/>
          <w:highlight w:val="none"/>
        </w:rPr>
      </w:pPr>
    </w:p>
    <w:p>
      <w:pPr>
        <w:jc w:val="center"/>
        <w:rPr>
          <w:rFonts w:hint="eastAsia" w:ascii="宋体" w:hAnsi="宋体" w:eastAsia="宋体" w:cs="宋体"/>
          <w:b/>
          <w:color w:val="auto"/>
          <w:spacing w:val="20"/>
          <w:sz w:val="24"/>
          <w:highlight w:val="none"/>
        </w:rPr>
      </w:pPr>
      <w:r>
        <w:rPr>
          <w:rFonts w:hint="eastAsia" w:ascii="宋体" w:hAnsi="宋体" w:eastAsia="宋体" w:cs="宋体"/>
          <w:b/>
          <w:color w:val="auto"/>
          <w:spacing w:val="20"/>
          <w:sz w:val="24"/>
          <w:highlight w:val="none"/>
        </w:rPr>
        <w:t>十一、银行出具的企业信用等级证书</w:t>
      </w:r>
    </w:p>
    <w:p>
      <w:pPr>
        <w:rPr>
          <w:rFonts w:hint="eastAsia" w:ascii="宋体" w:hAnsi="宋体" w:eastAsia="宋体" w:cs="宋体"/>
          <w:b/>
          <w:color w:val="auto"/>
          <w:spacing w:val="20"/>
          <w:sz w:val="24"/>
          <w:highlight w:val="none"/>
        </w:rPr>
      </w:pPr>
    </w:p>
    <w:p>
      <w:pPr>
        <w:rPr>
          <w:rFonts w:hint="eastAsia" w:ascii="宋体" w:hAnsi="宋体" w:eastAsia="宋体" w:cs="宋体"/>
          <w:b/>
          <w:color w:val="auto"/>
          <w:spacing w:val="20"/>
          <w:sz w:val="24"/>
          <w:highlight w:val="none"/>
        </w:rPr>
      </w:pPr>
    </w:p>
    <w:p>
      <w:pPr>
        <w:rPr>
          <w:rFonts w:hint="eastAsia" w:ascii="宋体" w:hAnsi="宋体" w:eastAsia="宋体" w:cs="宋体"/>
          <w:b/>
          <w:color w:val="auto"/>
          <w:spacing w:val="20"/>
          <w:sz w:val="24"/>
          <w:highlight w:val="none"/>
        </w:rPr>
      </w:pPr>
    </w:p>
    <w:p>
      <w:pPr>
        <w:jc w:val="center"/>
        <w:rPr>
          <w:rFonts w:hint="eastAsia" w:ascii="宋体" w:hAnsi="宋体" w:eastAsia="宋体" w:cs="宋体"/>
          <w:b/>
          <w:color w:val="auto"/>
          <w:spacing w:val="20"/>
          <w:sz w:val="24"/>
          <w:highlight w:val="none"/>
        </w:rPr>
      </w:pPr>
      <w:r>
        <w:rPr>
          <w:rFonts w:hint="eastAsia" w:ascii="宋体" w:hAnsi="宋体" w:eastAsia="宋体" w:cs="宋体"/>
          <w:b/>
          <w:color w:val="auto"/>
          <w:spacing w:val="20"/>
          <w:sz w:val="24"/>
          <w:highlight w:val="none"/>
        </w:rPr>
        <w:t>十二、2016年1月1日至今主要业绩证明</w:t>
      </w:r>
    </w:p>
    <w:p>
      <w:pPr>
        <w:jc w:val="center"/>
        <w:rPr>
          <w:rFonts w:hint="eastAsia" w:ascii="宋体" w:hAnsi="宋体" w:eastAsia="宋体" w:cs="宋体"/>
          <w:b/>
          <w:color w:val="auto"/>
          <w:spacing w:val="20"/>
          <w:sz w:val="24"/>
          <w:highlight w:val="none"/>
        </w:rPr>
      </w:pPr>
    </w:p>
    <w:p>
      <w:pPr>
        <w:rPr>
          <w:rFonts w:hint="eastAsia" w:ascii="宋体" w:hAnsi="宋体" w:eastAsia="宋体" w:cs="宋体"/>
          <w:b/>
          <w:color w:val="auto"/>
          <w:spacing w:val="20"/>
          <w:sz w:val="24"/>
          <w:highlight w:val="none"/>
        </w:rPr>
      </w:pPr>
      <w:r>
        <w:rPr>
          <w:rFonts w:hint="eastAsia" w:ascii="宋体" w:hAnsi="宋体" w:eastAsia="宋体" w:cs="宋体"/>
          <w:b/>
          <w:color w:val="auto"/>
          <w:spacing w:val="20"/>
          <w:sz w:val="24"/>
          <w:highlight w:val="none"/>
        </w:rPr>
        <w:t>附表：相关项目业绩一览表</w:t>
      </w:r>
    </w:p>
    <w:tbl>
      <w:tblPr>
        <w:tblStyle w:val="22"/>
        <w:tblW w:w="5132" w:type="pct"/>
        <w:tblInd w:w="0" w:type="dxa"/>
        <w:tblLayout w:type="autofit"/>
        <w:tblCellMar>
          <w:top w:w="0" w:type="dxa"/>
          <w:left w:w="108" w:type="dxa"/>
          <w:bottom w:w="0" w:type="dxa"/>
          <w:right w:w="108" w:type="dxa"/>
        </w:tblCellMar>
      </w:tblPr>
      <w:tblGrid>
        <w:gridCol w:w="1234"/>
        <w:gridCol w:w="1234"/>
        <w:gridCol w:w="1234"/>
        <w:gridCol w:w="1411"/>
        <w:gridCol w:w="1234"/>
        <w:gridCol w:w="2040"/>
        <w:gridCol w:w="796"/>
      </w:tblGrid>
      <w:tr>
        <w:tblPrEx>
          <w:tblCellMar>
            <w:top w:w="0" w:type="dxa"/>
            <w:left w:w="108" w:type="dxa"/>
            <w:bottom w:w="0" w:type="dxa"/>
            <w:right w:w="108" w:type="dxa"/>
          </w:tblCellMar>
        </w:tblPrEx>
        <w:trPr>
          <w:trHeight w:val="1177" w:hRule="atLeast"/>
        </w:trPr>
        <w:tc>
          <w:tcPr>
            <w:tcW w:w="672" w:type="pct"/>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auto"/>
                <w:spacing w:val="20"/>
                <w:szCs w:val="21"/>
                <w:highlight w:val="none"/>
              </w:rPr>
            </w:pPr>
            <w:r>
              <w:rPr>
                <w:rFonts w:hint="eastAsia" w:ascii="宋体" w:hAnsi="宋体" w:eastAsia="宋体" w:cs="宋体"/>
                <w:color w:val="auto"/>
                <w:spacing w:val="20"/>
                <w:szCs w:val="21"/>
                <w:highlight w:val="none"/>
              </w:rPr>
              <w:t>采购单位</w:t>
            </w:r>
          </w:p>
        </w:tc>
        <w:tc>
          <w:tcPr>
            <w:tcW w:w="672" w:type="pct"/>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auto"/>
                <w:spacing w:val="20"/>
                <w:szCs w:val="21"/>
                <w:highlight w:val="none"/>
              </w:rPr>
            </w:pPr>
            <w:r>
              <w:rPr>
                <w:rFonts w:hint="eastAsia" w:ascii="宋体" w:hAnsi="宋体" w:eastAsia="宋体" w:cs="宋体"/>
                <w:color w:val="auto"/>
                <w:spacing w:val="20"/>
                <w:szCs w:val="21"/>
                <w:highlight w:val="none"/>
              </w:rPr>
              <w:t>项目名称</w:t>
            </w:r>
          </w:p>
        </w:tc>
        <w:tc>
          <w:tcPr>
            <w:tcW w:w="672" w:type="pct"/>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auto"/>
                <w:spacing w:val="20"/>
                <w:szCs w:val="21"/>
                <w:highlight w:val="none"/>
              </w:rPr>
            </w:pPr>
            <w:r>
              <w:rPr>
                <w:rFonts w:hint="eastAsia" w:ascii="宋体" w:hAnsi="宋体" w:eastAsia="宋体" w:cs="宋体"/>
                <w:color w:val="auto"/>
                <w:spacing w:val="20"/>
                <w:szCs w:val="21"/>
                <w:highlight w:val="none"/>
              </w:rPr>
              <w:t>简要描述</w:t>
            </w:r>
          </w:p>
        </w:tc>
        <w:tc>
          <w:tcPr>
            <w:tcW w:w="768" w:type="pct"/>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auto"/>
                <w:spacing w:val="20"/>
                <w:szCs w:val="21"/>
                <w:highlight w:val="none"/>
              </w:rPr>
            </w:pPr>
            <w:r>
              <w:rPr>
                <w:rFonts w:hint="eastAsia" w:ascii="宋体" w:hAnsi="宋体" w:eastAsia="宋体" w:cs="宋体"/>
                <w:color w:val="auto"/>
                <w:spacing w:val="20"/>
                <w:szCs w:val="21"/>
                <w:highlight w:val="none"/>
              </w:rPr>
              <w:t>采购金额</w:t>
            </w:r>
          </w:p>
        </w:tc>
        <w:tc>
          <w:tcPr>
            <w:tcW w:w="672" w:type="pct"/>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auto"/>
                <w:spacing w:val="20"/>
                <w:szCs w:val="21"/>
                <w:highlight w:val="none"/>
              </w:rPr>
            </w:pPr>
            <w:r>
              <w:rPr>
                <w:rFonts w:hint="eastAsia" w:ascii="宋体" w:hAnsi="宋体" w:eastAsia="宋体" w:cs="宋体"/>
                <w:color w:val="auto"/>
                <w:spacing w:val="20"/>
                <w:szCs w:val="21"/>
                <w:highlight w:val="none"/>
              </w:rPr>
              <w:t>采购日期</w:t>
            </w:r>
          </w:p>
        </w:tc>
        <w:tc>
          <w:tcPr>
            <w:tcW w:w="1110" w:type="pct"/>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auto"/>
                <w:spacing w:val="20"/>
                <w:szCs w:val="21"/>
                <w:highlight w:val="none"/>
              </w:rPr>
            </w:pPr>
            <w:r>
              <w:rPr>
                <w:rFonts w:hint="eastAsia" w:ascii="宋体" w:hAnsi="宋体" w:eastAsia="宋体" w:cs="宋体"/>
                <w:color w:val="auto"/>
                <w:spacing w:val="20"/>
                <w:szCs w:val="21"/>
                <w:highlight w:val="none"/>
              </w:rPr>
              <w:t>采购单位与销售单位联系电话</w:t>
            </w:r>
          </w:p>
        </w:tc>
        <w:tc>
          <w:tcPr>
            <w:tcW w:w="433" w:type="pct"/>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auto"/>
                <w:spacing w:val="20"/>
                <w:szCs w:val="21"/>
                <w:highlight w:val="none"/>
              </w:rPr>
            </w:pPr>
            <w:r>
              <w:rPr>
                <w:rFonts w:hint="eastAsia" w:ascii="宋体" w:hAnsi="宋体" w:eastAsia="宋体" w:cs="宋体"/>
                <w:color w:val="auto"/>
                <w:spacing w:val="20"/>
                <w:szCs w:val="21"/>
                <w:highlight w:val="none"/>
              </w:rPr>
              <w:t>所在页码</w:t>
            </w:r>
          </w:p>
        </w:tc>
      </w:tr>
      <w:tr>
        <w:tblPrEx>
          <w:tblCellMar>
            <w:top w:w="0" w:type="dxa"/>
            <w:left w:w="108" w:type="dxa"/>
            <w:bottom w:w="0" w:type="dxa"/>
            <w:right w:w="108" w:type="dxa"/>
          </w:tblCellMar>
        </w:tblPrEx>
        <w:trPr>
          <w:trHeight w:val="535" w:hRule="atLeast"/>
        </w:trPr>
        <w:tc>
          <w:tcPr>
            <w:tcW w:w="672" w:type="pct"/>
            <w:tcBorders>
              <w:top w:val="single" w:color="auto" w:sz="6" w:space="0"/>
              <w:left w:val="single" w:color="auto" w:sz="6" w:space="0"/>
              <w:bottom w:val="single" w:color="auto" w:sz="6" w:space="0"/>
              <w:right w:val="single" w:color="auto" w:sz="6" w:space="0"/>
            </w:tcBorders>
            <w:noWrap w:val="0"/>
            <w:vAlign w:val="top"/>
          </w:tcPr>
          <w:p>
            <w:pPr>
              <w:rPr>
                <w:rFonts w:hint="eastAsia" w:ascii="宋体" w:hAnsi="宋体" w:eastAsia="宋体" w:cs="宋体"/>
                <w:color w:val="auto"/>
                <w:spacing w:val="20"/>
                <w:sz w:val="24"/>
                <w:highlight w:val="none"/>
              </w:rPr>
            </w:pPr>
          </w:p>
        </w:tc>
        <w:tc>
          <w:tcPr>
            <w:tcW w:w="672" w:type="pct"/>
            <w:tcBorders>
              <w:top w:val="single" w:color="auto" w:sz="6" w:space="0"/>
              <w:left w:val="single" w:color="auto" w:sz="6" w:space="0"/>
              <w:bottom w:val="single" w:color="auto" w:sz="6" w:space="0"/>
              <w:right w:val="single" w:color="auto" w:sz="6" w:space="0"/>
            </w:tcBorders>
            <w:noWrap w:val="0"/>
            <w:vAlign w:val="top"/>
          </w:tcPr>
          <w:p>
            <w:pPr>
              <w:rPr>
                <w:rFonts w:hint="eastAsia" w:ascii="宋体" w:hAnsi="宋体" w:eastAsia="宋体" w:cs="宋体"/>
                <w:color w:val="auto"/>
                <w:spacing w:val="20"/>
                <w:sz w:val="24"/>
                <w:highlight w:val="none"/>
              </w:rPr>
            </w:pPr>
          </w:p>
        </w:tc>
        <w:tc>
          <w:tcPr>
            <w:tcW w:w="672" w:type="pct"/>
            <w:tcBorders>
              <w:top w:val="single" w:color="auto" w:sz="6" w:space="0"/>
              <w:left w:val="single" w:color="auto" w:sz="6" w:space="0"/>
              <w:bottom w:val="single" w:color="auto" w:sz="6" w:space="0"/>
              <w:right w:val="single" w:color="auto" w:sz="6" w:space="0"/>
            </w:tcBorders>
            <w:noWrap w:val="0"/>
            <w:vAlign w:val="top"/>
          </w:tcPr>
          <w:p>
            <w:pPr>
              <w:rPr>
                <w:rFonts w:hint="eastAsia" w:ascii="宋体" w:hAnsi="宋体" w:eastAsia="宋体" w:cs="宋体"/>
                <w:color w:val="auto"/>
                <w:spacing w:val="20"/>
                <w:sz w:val="24"/>
                <w:highlight w:val="none"/>
              </w:rPr>
            </w:pPr>
          </w:p>
        </w:tc>
        <w:tc>
          <w:tcPr>
            <w:tcW w:w="768" w:type="pct"/>
            <w:tcBorders>
              <w:top w:val="single" w:color="auto" w:sz="6" w:space="0"/>
              <w:left w:val="single" w:color="auto" w:sz="6" w:space="0"/>
              <w:bottom w:val="single" w:color="auto" w:sz="6" w:space="0"/>
              <w:right w:val="single" w:color="auto" w:sz="6" w:space="0"/>
            </w:tcBorders>
            <w:noWrap w:val="0"/>
            <w:vAlign w:val="top"/>
          </w:tcPr>
          <w:p>
            <w:pPr>
              <w:rPr>
                <w:rFonts w:hint="eastAsia" w:ascii="宋体" w:hAnsi="宋体" w:eastAsia="宋体" w:cs="宋体"/>
                <w:color w:val="auto"/>
                <w:spacing w:val="20"/>
                <w:sz w:val="24"/>
                <w:highlight w:val="none"/>
              </w:rPr>
            </w:pPr>
          </w:p>
        </w:tc>
        <w:tc>
          <w:tcPr>
            <w:tcW w:w="672" w:type="pct"/>
            <w:tcBorders>
              <w:top w:val="single" w:color="auto" w:sz="6" w:space="0"/>
              <w:left w:val="single" w:color="auto" w:sz="6" w:space="0"/>
              <w:bottom w:val="single" w:color="auto" w:sz="6" w:space="0"/>
              <w:right w:val="single" w:color="auto" w:sz="6" w:space="0"/>
            </w:tcBorders>
            <w:noWrap w:val="0"/>
            <w:vAlign w:val="top"/>
          </w:tcPr>
          <w:p>
            <w:pPr>
              <w:rPr>
                <w:rFonts w:hint="eastAsia" w:ascii="宋体" w:hAnsi="宋体" w:eastAsia="宋体" w:cs="宋体"/>
                <w:color w:val="auto"/>
                <w:spacing w:val="20"/>
                <w:sz w:val="24"/>
                <w:highlight w:val="none"/>
              </w:rPr>
            </w:pPr>
          </w:p>
        </w:tc>
        <w:tc>
          <w:tcPr>
            <w:tcW w:w="1110" w:type="pct"/>
            <w:tcBorders>
              <w:top w:val="single" w:color="auto" w:sz="6" w:space="0"/>
              <w:left w:val="single" w:color="auto" w:sz="6" w:space="0"/>
              <w:bottom w:val="single" w:color="auto" w:sz="6" w:space="0"/>
              <w:right w:val="single" w:color="auto" w:sz="6" w:space="0"/>
            </w:tcBorders>
            <w:noWrap w:val="0"/>
            <w:vAlign w:val="top"/>
          </w:tcPr>
          <w:p>
            <w:pPr>
              <w:rPr>
                <w:rFonts w:hint="eastAsia" w:ascii="宋体" w:hAnsi="宋体" w:eastAsia="宋体" w:cs="宋体"/>
                <w:color w:val="auto"/>
                <w:spacing w:val="20"/>
                <w:sz w:val="24"/>
                <w:highlight w:val="none"/>
              </w:rPr>
            </w:pPr>
          </w:p>
        </w:tc>
        <w:tc>
          <w:tcPr>
            <w:tcW w:w="433" w:type="pct"/>
            <w:tcBorders>
              <w:top w:val="single" w:color="auto" w:sz="6" w:space="0"/>
              <w:left w:val="single" w:color="auto" w:sz="6" w:space="0"/>
              <w:bottom w:val="single" w:color="auto" w:sz="6" w:space="0"/>
              <w:right w:val="single" w:color="auto" w:sz="6" w:space="0"/>
            </w:tcBorders>
            <w:noWrap w:val="0"/>
            <w:vAlign w:val="top"/>
          </w:tcPr>
          <w:p>
            <w:pPr>
              <w:rPr>
                <w:rFonts w:hint="eastAsia" w:ascii="宋体" w:hAnsi="宋体" w:eastAsia="宋体" w:cs="宋体"/>
                <w:color w:val="auto"/>
                <w:spacing w:val="20"/>
                <w:sz w:val="24"/>
                <w:highlight w:val="none"/>
              </w:rPr>
            </w:pPr>
          </w:p>
        </w:tc>
      </w:tr>
      <w:tr>
        <w:tblPrEx>
          <w:tblCellMar>
            <w:top w:w="0" w:type="dxa"/>
            <w:left w:w="108" w:type="dxa"/>
            <w:bottom w:w="0" w:type="dxa"/>
            <w:right w:w="108" w:type="dxa"/>
          </w:tblCellMar>
        </w:tblPrEx>
        <w:trPr>
          <w:trHeight w:val="613" w:hRule="atLeast"/>
        </w:trPr>
        <w:tc>
          <w:tcPr>
            <w:tcW w:w="672" w:type="pct"/>
            <w:tcBorders>
              <w:top w:val="single" w:color="auto" w:sz="6" w:space="0"/>
              <w:left w:val="single" w:color="auto" w:sz="6" w:space="0"/>
              <w:bottom w:val="single" w:color="auto" w:sz="6" w:space="0"/>
              <w:right w:val="single" w:color="auto" w:sz="6" w:space="0"/>
            </w:tcBorders>
            <w:noWrap w:val="0"/>
            <w:vAlign w:val="top"/>
          </w:tcPr>
          <w:p>
            <w:pPr>
              <w:rPr>
                <w:rFonts w:hint="eastAsia" w:ascii="宋体" w:hAnsi="宋体" w:eastAsia="宋体" w:cs="宋体"/>
                <w:color w:val="auto"/>
                <w:spacing w:val="20"/>
                <w:sz w:val="24"/>
                <w:highlight w:val="none"/>
              </w:rPr>
            </w:pPr>
          </w:p>
        </w:tc>
        <w:tc>
          <w:tcPr>
            <w:tcW w:w="672" w:type="pct"/>
            <w:tcBorders>
              <w:top w:val="single" w:color="auto" w:sz="6" w:space="0"/>
              <w:left w:val="single" w:color="auto" w:sz="6" w:space="0"/>
              <w:bottom w:val="single" w:color="auto" w:sz="6" w:space="0"/>
              <w:right w:val="single" w:color="auto" w:sz="6" w:space="0"/>
            </w:tcBorders>
            <w:noWrap w:val="0"/>
            <w:vAlign w:val="top"/>
          </w:tcPr>
          <w:p>
            <w:pPr>
              <w:rPr>
                <w:rFonts w:hint="eastAsia" w:ascii="宋体" w:hAnsi="宋体" w:eastAsia="宋体" w:cs="宋体"/>
                <w:color w:val="auto"/>
                <w:spacing w:val="20"/>
                <w:sz w:val="24"/>
                <w:highlight w:val="none"/>
              </w:rPr>
            </w:pPr>
          </w:p>
        </w:tc>
        <w:tc>
          <w:tcPr>
            <w:tcW w:w="672" w:type="pct"/>
            <w:tcBorders>
              <w:top w:val="single" w:color="auto" w:sz="6" w:space="0"/>
              <w:left w:val="single" w:color="auto" w:sz="6" w:space="0"/>
              <w:bottom w:val="single" w:color="auto" w:sz="6" w:space="0"/>
              <w:right w:val="single" w:color="auto" w:sz="6" w:space="0"/>
            </w:tcBorders>
            <w:noWrap w:val="0"/>
            <w:vAlign w:val="top"/>
          </w:tcPr>
          <w:p>
            <w:pPr>
              <w:rPr>
                <w:rFonts w:hint="eastAsia" w:ascii="宋体" w:hAnsi="宋体" w:eastAsia="宋体" w:cs="宋体"/>
                <w:color w:val="auto"/>
                <w:spacing w:val="20"/>
                <w:sz w:val="24"/>
                <w:highlight w:val="none"/>
              </w:rPr>
            </w:pPr>
          </w:p>
        </w:tc>
        <w:tc>
          <w:tcPr>
            <w:tcW w:w="768" w:type="pct"/>
            <w:tcBorders>
              <w:top w:val="single" w:color="auto" w:sz="6" w:space="0"/>
              <w:left w:val="single" w:color="auto" w:sz="6" w:space="0"/>
              <w:bottom w:val="single" w:color="auto" w:sz="6" w:space="0"/>
              <w:right w:val="single" w:color="auto" w:sz="6" w:space="0"/>
            </w:tcBorders>
            <w:noWrap w:val="0"/>
            <w:vAlign w:val="top"/>
          </w:tcPr>
          <w:p>
            <w:pPr>
              <w:rPr>
                <w:rFonts w:hint="eastAsia" w:ascii="宋体" w:hAnsi="宋体" w:eastAsia="宋体" w:cs="宋体"/>
                <w:color w:val="auto"/>
                <w:spacing w:val="20"/>
                <w:sz w:val="24"/>
                <w:highlight w:val="none"/>
              </w:rPr>
            </w:pPr>
          </w:p>
        </w:tc>
        <w:tc>
          <w:tcPr>
            <w:tcW w:w="672" w:type="pct"/>
            <w:tcBorders>
              <w:top w:val="single" w:color="auto" w:sz="6" w:space="0"/>
              <w:left w:val="single" w:color="auto" w:sz="6" w:space="0"/>
              <w:bottom w:val="single" w:color="auto" w:sz="6" w:space="0"/>
              <w:right w:val="single" w:color="auto" w:sz="6" w:space="0"/>
            </w:tcBorders>
            <w:noWrap w:val="0"/>
            <w:vAlign w:val="top"/>
          </w:tcPr>
          <w:p>
            <w:pPr>
              <w:rPr>
                <w:rFonts w:hint="eastAsia" w:ascii="宋体" w:hAnsi="宋体" w:eastAsia="宋体" w:cs="宋体"/>
                <w:color w:val="auto"/>
                <w:spacing w:val="20"/>
                <w:sz w:val="24"/>
                <w:highlight w:val="none"/>
              </w:rPr>
            </w:pPr>
          </w:p>
        </w:tc>
        <w:tc>
          <w:tcPr>
            <w:tcW w:w="1110" w:type="pct"/>
            <w:tcBorders>
              <w:top w:val="single" w:color="auto" w:sz="6" w:space="0"/>
              <w:left w:val="single" w:color="auto" w:sz="6" w:space="0"/>
              <w:bottom w:val="single" w:color="auto" w:sz="6" w:space="0"/>
              <w:right w:val="single" w:color="auto" w:sz="6" w:space="0"/>
            </w:tcBorders>
            <w:noWrap w:val="0"/>
            <w:vAlign w:val="top"/>
          </w:tcPr>
          <w:p>
            <w:pPr>
              <w:rPr>
                <w:rFonts w:hint="eastAsia" w:ascii="宋体" w:hAnsi="宋体" w:eastAsia="宋体" w:cs="宋体"/>
                <w:color w:val="auto"/>
                <w:spacing w:val="20"/>
                <w:sz w:val="24"/>
                <w:highlight w:val="none"/>
              </w:rPr>
            </w:pPr>
          </w:p>
        </w:tc>
        <w:tc>
          <w:tcPr>
            <w:tcW w:w="433" w:type="pct"/>
            <w:tcBorders>
              <w:top w:val="single" w:color="auto" w:sz="6" w:space="0"/>
              <w:left w:val="single" w:color="auto" w:sz="6" w:space="0"/>
              <w:bottom w:val="single" w:color="auto" w:sz="6" w:space="0"/>
              <w:right w:val="single" w:color="auto" w:sz="6" w:space="0"/>
            </w:tcBorders>
            <w:noWrap w:val="0"/>
            <w:vAlign w:val="top"/>
          </w:tcPr>
          <w:p>
            <w:pPr>
              <w:rPr>
                <w:rFonts w:hint="eastAsia" w:ascii="宋体" w:hAnsi="宋体" w:eastAsia="宋体" w:cs="宋体"/>
                <w:color w:val="auto"/>
                <w:spacing w:val="20"/>
                <w:sz w:val="24"/>
                <w:highlight w:val="none"/>
              </w:rPr>
            </w:pPr>
          </w:p>
        </w:tc>
      </w:tr>
      <w:tr>
        <w:tblPrEx>
          <w:tblCellMar>
            <w:top w:w="0" w:type="dxa"/>
            <w:left w:w="108" w:type="dxa"/>
            <w:bottom w:w="0" w:type="dxa"/>
            <w:right w:w="108" w:type="dxa"/>
          </w:tblCellMar>
        </w:tblPrEx>
        <w:trPr>
          <w:trHeight w:val="606" w:hRule="atLeast"/>
        </w:trPr>
        <w:tc>
          <w:tcPr>
            <w:tcW w:w="672" w:type="pct"/>
            <w:tcBorders>
              <w:top w:val="single" w:color="auto" w:sz="6" w:space="0"/>
              <w:left w:val="single" w:color="auto" w:sz="6" w:space="0"/>
              <w:bottom w:val="single" w:color="auto" w:sz="6" w:space="0"/>
              <w:right w:val="single" w:color="auto" w:sz="6" w:space="0"/>
            </w:tcBorders>
            <w:noWrap w:val="0"/>
            <w:vAlign w:val="top"/>
          </w:tcPr>
          <w:p>
            <w:pPr>
              <w:rPr>
                <w:rFonts w:hint="eastAsia" w:ascii="宋体" w:hAnsi="宋体" w:eastAsia="宋体" w:cs="宋体"/>
                <w:color w:val="auto"/>
                <w:spacing w:val="20"/>
                <w:sz w:val="24"/>
                <w:highlight w:val="none"/>
              </w:rPr>
            </w:pPr>
          </w:p>
        </w:tc>
        <w:tc>
          <w:tcPr>
            <w:tcW w:w="672" w:type="pct"/>
            <w:tcBorders>
              <w:top w:val="single" w:color="auto" w:sz="6" w:space="0"/>
              <w:left w:val="single" w:color="auto" w:sz="6" w:space="0"/>
              <w:bottom w:val="single" w:color="auto" w:sz="6" w:space="0"/>
              <w:right w:val="single" w:color="auto" w:sz="6" w:space="0"/>
            </w:tcBorders>
            <w:noWrap w:val="0"/>
            <w:vAlign w:val="top"/>
          </w:tcPr>
          <w:p>
            <w:pPr>
              <w:rPr>
                <w:rFonts w:hint="eastAsia" w:ascii="宋体" w:hAnsi="宋体" w:eastAsia="宋体" w:cs="宋体"/>
                <w:color w:val="auto"/>
                <w:spacing w:val="20"/>
                <w:sz w:val="24"/>
                <w:highlight w:val="none"/>
              </w:rPr>
            </w:pPr>
          </w:p>
        </w:tc>
        <w:tc>
          <w:tcPr>
            <w:tcW w:w="672" w:type="pct"/>
            <w:tcBorders>
              <w:top w:val="single" w:color="auto" w:sz="6" w:space="0"/>
              <w:left w:val="single" w:color="auto" w:sz="6" w:space="0"/>
              <w:bottom w:val="single" w:color="auto" w:sz="6" w:space="0"/>
              <w:right w:val="single" w:color="auto" w:sz="6" w:space="0"/>
            </w:tcBorders>
            <w:noWrap w:val="0"/>
            <w:vAlign w:val="top"/>
          </w:tcPr>
          <w:p>
            <w:pPr>
              <w:rPr>
                <w:rFonts w:hint="eastAsia" w:ascii="宋体" w:hAnsi="宋体" w:eastAsia="宋体" w:cs="宋体"/>
                <w:color w:val="auto"/>
                <w:spacing w:val="20"/>
                <w:sz w:val="24"/>
                <w:highlight w:val="none"/>
              </w:rPr>
            </w:pPr>
          </w:p>
        </w:tc>
        <w:tc>
          <w:tcPr>
            <w:tcW w:w="768" w:type="pct"/>
            <w:tcBorders>
              <w:top w:val="single" w:color="auto" w:sz="6" w:space="0"/>
              <w:left w:val="single" w:color="auto" w:sz="6" w:space="0"/>
              <w:bottom w:val="single" w:color="auto" w:sz="6" w:space="0"/>
              <w:right w:val="single" w:color="auto" w:sz="6" w:space="0"/>
            </w:tcBorders>
            <w:noWrap w:val="0"/>
            <w:vAlign w:val="top"/>
          </w:tcPr>
          <w:p>
            <w:pPr>
              <w:rPr>
                <w:rFonts w:hint="eastAsia" w:ascii="宋体" w:hAnsi="宋体" w:eastAsia="宋体" w:cs="宋体"/>
                <w:color w:val="auto"/>
                <w:spacing w:val="20"/>
                <w:sz w:val="24"/>
                <w:highlight w:val="none"/>
              </w:rPr>
            </w:pPr>
          </w:p>
        </w:tc>
        <w:tc>
          <w:tcPr>
            <w:tcW w:w="672" w:type="pct"/>
            <w:tcBorders>
              <w:top w:val="single" w:color="auto" w:sz="6" w:space="0"/>
              <w:left w:val="single" w:color="auto" w:sz="6" w:space="0"/>
              <w:bottom w:val="single" w:color="auto" w:sz="6" w:space="0"/>
              <w:right w:val="single" w:color="auto" w:sz="6" w:space="0"/>
            </w:tcBorders>
            <w:noWrap w:val="0"/>
            <w:vAlign w:val="top"/>
          </w:tcPr>
          <w:p>
            <w:pPr>
              <w:rPr>
                <w:rFonts w:hint="eastAsia" w:ascii="宋体" w:hAnsi="宋体" w:eastAsia="宋体" w:cs="宋体"/>
                <w:color w:val="auto"/>
                <w:spacing w:val="20"/>
                <w:sz w:val="24"/>
                <w:highlight w:val="none"/>
              </w:rPr>
            </w:pPr>
          </w:p>
        </w:tc>
        <w:tc>
          <w:tcPr>
            <w:tcW w:w="1110" w:type="pct"/>
            <w:tcBorders>
              <w:top w:val="single" w:color="auto" w:sz="6" w:space="0"/>
              <w:left w:val="single" w:color="auto" w:sz="6" w:space="0"/>
              <w:bottom w:val="single" w:color="auto" w:sz="6" w:space="0"/>
              <w:right w:val="single" w:color="auto" w:sz="6" w:space="0"/>
            </w:tcBorders>
            <w:noWrap w:val="0"/>
            <w:vAlign w:val="top"/>
          </w:tcPr>
          <w:p>
            <w:pPr>
              <w:rPr>
                <w:rFonts w:hint="eastAsia" w:ascii="宋体" w:hAnsi="宋体" w:eastAsia="宋体" w:cs="宋体"/>
                <w:color w:val="auto"/>
                <w:spacing w:val="20"/>
                <w:sz w:val="24"/>
                <w:highlight w:val="none"/>
              </w:rPr>
            </w:pPr>
          </w:p>
        </w:tc>
        <w:tc>
          <w:tcPr>
            <w:tcW w:w="433" w:type="pct"/>
            <w:tcBorders>
              <w:top w:val="single" w:color="auto" w:sz="6" w:space="0"/>
              <w:left w:val="single" w:color="auto" w:sz="6" w:space="0"/>
              <w:bottom w:val="single" w:color="auto" w:sz="6" w:space="0"/>
              <w:right w:val="single" w:color="auto" w:sz="6" w:space="0"/>
            </w:tcBorders>
            <w:noWrap w:val="0"/>
            <w:vAlign w:val="top"/>
          </w:tcPr>
          <w:p>
            <w:pPr>
              <w:rPr>
                <w:rFonts w:hint="eastAsia" w:ascii="宋体" w:hAnsi="宋体" w:eastAsia="宋体" w:cs="宋体"/>
                <w:color w:val="auto"/>
                <w:spacing w:val="20"/>
                <w:sz w:val="24"/>
                <w:highlight w:val="none"/>
              </w:rPr>
            </w:pPr>
          </w:p>
        </w:tc>
      </w:tr>
      <w:tr>
        <w:tblPrEx>
          <w:tblCellMar>
            <w:top w:w="0" w:type="dxa"/>
            <w:left w:w="108" w:type="dxa"/>
            <w:bottom w:w="0" w:type="dxa"/>
            <w:right w:w="108" w:type="dxa"/>
          </w:tblCellMar>
        </w:tblPrEx>
        <w:trPr>
          <w:trHeight w:val="614" w:hRule="atLeast"/>
        </w:trPr>
        <w:tc>
          <w:tcPr>
            <w:tcW w:w="672" w:type="pct"/>
            <w:tcBorders>
              <w:top w:val="single" w:color="auto" w:sz="6" w:space="0"/>
              <w:left w:val="single" w:color="auto" w:sz="6" w:space="0"/>
              <w:bottom w:val="single" w:color="auto" w:sz="6" w:space="0"/>
              <w:right w:val="single" w:color="auto" w:sz="6" w:space="0"/>
            </w:tcBorders>
            <w:noWrap w:val="0"/>
            <w:vAlign w:val="top"/>
          </w:tcPr>
          <w:p>
            <w:pPr>
              <w:rPr>
                <w:rFonts w:hint="eastAsia" w:ascii="宋体" w:hAnsi="宋体" w:eastAsia="宋体" w:cs="宋体"/>
                <w:color w:val="auto"/>
                <w:spacing w:val="20"/>
                <w:sz w:val="24"/>
                <w:highlight w:val="none"/>
              </w:rPr>
            </w:pPr>
          </w:p>
        </w:tc>
        <w:tc>
          <w:tcPr>
            <w:tcW w:w="672" w:type="pct"/>
            <w:tcBorders>
              <w:top w:val="single" w:color="auto" w:sz="6" w:space="0"/>
              <w:left w:val="single" w:color="auto" w:sz="6" w:space="0"/>
              <w:bottom w:val="single" w:color="auto" w:sz="6" w:space="0"/>
              <w:right w:val="single" w:color="auto" w:sz="6" w:space="0"/>
            </w:tcBorders>
            <w:noWrap w:val="0"/>
            <w:vAlign w:val="top"/>
          </w:tcPr>
          <w:p>
            <w:pPr>
              <w:rPr>
                <w:rFonts w:hint="eastAsia" w:ascii="宋体" w:hAnsi="宋体" w:eastAsia="宋体" w:cs="宋体"/>
                <w:color w:val="auto"/>
                <w:spacing w:val="20"/>
                <w:sz w:val="24"/>
                <w:highlight w:val="none"/>
              </w:rPr>
            </w:pPr>
          </w:p>
        </w:tc>
        <w:tc>
          <w:tcPr>
            <w:tcW w:w="672" w:type="pct"/>
            <w:tcBorders>
              <w:top w:val="single" w:color="auto" w:sz="6" w:space="0"/>
              <w:left w:val="single" w:color="auto" w:sz="6" w:space="0"/>
              <w:bottom w:val="single" w:color="auto" w:sz="6" w:space="0"/>
              <w:right w:val="single" w:color="auto" w:sz="6" w:space="0"/>
            </w:tcBorders>
            <w:noWrap w:val="0"/>
            <w:vAlign w:val="top"/>
          </w:tcPr>
          <w:p>
            <w:pPr>
              <w:rPr>
                <w:rFonts w:hint="eastAsia" w:ascii="宋体" w:hAnsi="宋体" w:eastAsia="宋体" w:cs="宋体"/>
                <w:color w:val="auto"/>
                <w:spacing w:val="20"/>
                <w:sz w:val="24"/>
                <w:highlight w:val="none"/>
              </w:rPr>
            </w:pPr>
          </w:p>
        </w:tc>
        <w:tc>
          <w:tcPr>
            <w:tcW w:w="768" w:type="pct"/>
            <w:tcBorders>
              <w:top w:val="single" w:color="auto" w:sz="6" w:space="0"/>
              <w:left w:val="single" w:color="auto" w:sz="6" w:space="0"/>
              <w:bottom w:val="single" w:color="auto" w:sz="6" w:space="0"/>
              <w:right w:val="single" w:color="auto" w:sz="6" w:space="0"/>
            </w:tcBorders>
            <w:noWrap w:val="0"/>
            <w:vAlign w:val="top"/>
          </w:tcPr>
          <w:p>
            <w:pPr>
              <w:rPr>
                <w:rFonts w:hint="eastAsia" w:ascii="宋体" w:hAnsi="宋体" w:eastAsia="宋体" w:cs="宋体"/>
                <w:color w:val="auto"/>
                <w:spacing w:val="20"/>
                <w:sz w:val="24"/>
                <w:highlight w:val="none"/>
              </w:rPr>
            </w:pPr>
          </w:p>
        </w:tc>
        <w:tc>
          <w:tcPr>
            <w:tcW w:w="672" w:type="pct"/>
            <w:tcBorders>
              <w:top w:val="single" w:color="auto" w:sz="6" w:space="0"/>
              <w:left w:val="single" w:color="auto" w:sz="6" w:space="0"/>
              <w:bottom w:val="single" w:color="auto" w:sz="6" w:space="0"/>
              <w:right w:val="single" w:color="auto" w:sz="6" w:space="0"/>
            </w:tcBorders>
            <w:noWrap w:val="0"/>
            <w:vAlign w:val="top"/>
          </w:tcPr>
          <w:p>
            <w:pPr>
              <w:rPr>
                <w:rFonts w:hint="eastAsia" w:ascii="宋体" w:hAnsi="宋体" w:eastAsia="宋体" w:cs="宋体"/>
                <w:color w:val="auto"/>
                <w:spacing w:val="20"/>
                <w:sz w:val="24"/>
                <w:highlight w:val="none"/>
              </w:rPr>
            </w:pPr>
          </w:p>
        </w:tc>
        <w:tc>
          <w:tcPr>
            <w:tcW w:w="1110" w:type="pct"/>
            <w:tcBorders>
              <w:top w:val="single" w:color="auto" w:sz="6" w:space="0"/>
              <w:left w:val="single" w:color="auto" w:sz="6" w:space="0"/>
              <w:bottom w:val="single" w:color="auto" w:sz="6" w:space="0"/>
              <w:right w:val="single" w:color="auto" w:sz="6" w:space="0"/>
            </w:tcBorders>
            <w:noWrap w:val="0"/>
            <w:vAlign w:val="top"/>
          </w:tcPr>
          <w:p>
            <w:pPr>
              <w:rPr>
                <w:rFonts w:hint="eastAsia" w:ascii="宋体" w:hAnsi="宋体" w:eastAsia="宋体" w:cs="宋体"/>
                <w:color w:val="auto"/>
                <w:spacing w:val="20"/>
                <w:sz w:val="24"/>
                <w:highlight w:val="none"/>
              </w:rPr>
            </w:pPr>
          </w:p>
        </w:tc>
        <w:tc>
          <w:tcPr>
            <w:tcW w:w="433" w:type="pct"/>
            <w:tcBorders>
              <w:top w:val="single" w:color="auto" w:sz="6" w:space="0"/>
              <w:left w:val="single" w:color="auto" w:sz="6" w:space="0"/>
              <w:bottom w:val="single" w:color="auto" w:sz="6" w:space="0"/>
              <w:right w:val="single" w:color="auto" w:sz="6" w:space="0"/>
            </w:tcBorders>
            <w:noWrap w:val="0"/>
            <w:vAlign w:val="top"/>
          </w:tcPr>
          <w:p>
            <w:pPr>
              <w:rPr>
                <w:rFonts w:hint="eastAsia" w:ascii="宋体" w:hAnsi="宋体" w:eastAsia="宋体" w:cs="宋体"/>
                <w:color w:val="auto"/>
                <w:spacing w:val="20"/>
                <w:sz w:val="24"/>
                <w:highlight w:val="none"/>
              </w:rPr>
            </w:pPr>
          </w:p>
        </w:tc>
      </w:tr>
      <w:tr>
        <w:tblPrEx>
          <w:tblCellMar>
            <w:top w:w="0" w:type="dxa"/>
            <w:left w:w="108" w:type="dxa"/>
            <w:bottom w:w="0" w:type="dxa"/>
            <w:right w:w="108" w:type="dxa"/>
          </w:tblCellMar>
        </w:tblPrEx>
        <w:trPr>
          <w:trHeight w:val="595" w:hRule="atLeast"/>
        </w:trPr>
        <w:tc>
          <w:tcPr>
            <w:tcW w:w="672" w:type="pct"/>
            <w:tcBorders>
              <w:top w:val="single" w:color="auto" w:sz="6" w:space="0"/>
              <w:left w:val="single" w:color="auto" w:sz="6" w:space="0"/>
              <w:bottom w:val="single" w:color="auto" w:sz="6" w:space="0"/>
              <w:right w:val="single" w:color="auto" w:sz="6" w:space="0"/>
            </w:tcBorders>
            <w:noWrap w:val="0"/>
            <w:vAlign w:val="top"/>
          </w:tcPr>
          <w:p>
            <w:pPr>
              <w:rPr>
                <w:rFonts w:hint="eastAsia" w:ascii="宋体" w:hAnsi="宋体" w:eastAsia="宋体" w:cs="宋体"/>
                <w:color w:val="auto"/>
                <w:spacing w:val="20"/>
                <w:sz w:val="24"/>
                <w:highlight w:val="none"/>
              </w:rPr>
            </w:pPr>
          </w:p>
        </w:tc>
        <w:tc>
          <w:tcPr>
            <w:tcW w:w="672" w:type="pct"/>
            <w:tcBorders>
              <w:top w:val="single" w:color="auto" w:sz="6" w:space="0"/>
              <w:left w:val="single" w:color="auto" w:sz="6" w:space="0"/>
              <w:bottom w:val="single" w:color="auto" w:sz="6" w:space="0"/>
              <w:right w:val="single" w:color="auto" w:sz="6" w:space="0"/>
            </w:tcBorders>
            <w:noWrap w:val="0"/>
            <w:vAlign w:val="top"/>
          </w:tcPr>
          <w:p>
            <w:pPr>
              <w:rPr>
                <w:rFonts w:hint="eastAsia" w:ascii="宋体" w:hAnsi="宋体" w:eastAsia="宋体" w:cs="宋体"/>
                <w:color w:val="auto"/>
                <w:spacing w:val="20"/>
                <w:sz w:val="24"/>
                <w:highlight w:val="none"/>
              </w:rPr>
            </w:pPr>
          </w:p>
        </w:tc>
        <w:tc>
          <w:tcPr>
            <w:tcW w:w="672" w:type="pct"/>
            <w:tcBorders>
              <w:top w:val="single" w:color="auto" w:sz="6" w:space="0"/>
              <w:left w:val="single" w:color="auto" w:sz="6" w:space="0"/>
              <w:bottom w:val="single" w:color="auto" w:sz="6" w:space="0"/>
              <w:right w:val="single" w:color="auto" w:sz="6" w:space="0"/>
            </w:tcBorders>
            <w:noWrap w:val="0"/>
            <w:vAlign w:val="top"/>
          </w:tcPr>
          <w:p>
            <w:pPr>
              <w:rPr>
                <w:rFonts w:hint="eastAsia" w:ascii="宋体" w:hAnsi="宋体" w:eastAsia="宋体" w:cs="宋体"/>
                <w:color w:val="auto"/>
                <w:spacing w:val="20"/>
                <w:sz w:val="24"/>
                <w:highlight w:val="none"/>
              </w:rPr>
            </w:pPr>
          </w:p>
        </w:tc>
        <w:tc>
          <w:tcPr>
            <w:tcW w:w="768" w:type="pct"/>
            <w:tcBorders>
              <w:top w:val="single" w:color="auto" w:sz="6" w:space="0"/>
              <w:left w:val="single" w:color="auto" w:sz="6" w:space="0"/>
              <w:bottom w:val="single" w:color="auto" w:sz="6" w:space="0"/>
              <w:right w:val="single" w:color="auto" w:sz="6" w:space="0"/>
            </w:tcBorders>
            <w:noWrap w:val="0"/>
            <w:vAlign w:val="top"/>
          </w:tcPr>
          <w:p>
            <w:pPr>
              <w:rPr>
                <w:rFonts w:hint="eastAsia" w:ascii="宋体" w:hAnsi="宋体" w:eastAsia="宋体" w:cs="宋体"/>
                <w:color w:val="auto"/>
                <w:spacing w:val="20"/>
                <w:sz w:val="24"/>
                <w:highlight w:val="none"/>
              </w:rPr>
            </w:pPr>
          </w:p>
        </w:tc>
        <w:tc>
          <w:tcPr>
            <w:tcW w:w="672" w:type="pct"/>
            <w:tcBorders>
              <w:top w:val="single" w:color="auto" w:sz="6" w:space="0"/>
              <w:left w:val="single" w:color="auto" w:sz="6" w:space="0"/>
              <w:bottom w:val="single" w:color="auto" w:sz="6" w:space="0"/>
              <w:right w:val="single" w:color="auto" w:sz="6" w:space="0"/>
            </w:tcBorders>
            <w:noWrap w:val="0"/>
            <w:vAlign w:val="top"/>
          </w:tcPr>
          <w:p>
            <w:pPr>
              <w:rPr>
                <w:rFonts w:hint="eastAsia" w:ascii="宋体" w:hAnsi="宋体" w:eastAsia="宋体" w:cs="宋体"/>
                <w:color w:val="auto"/>
                <w:spacing w:val="20"/>
                <w:sz w:val="24"/>
                <w:highlight w:val="none"/>
              </w:rPr>
            </w:pPr>
          </w:p>
        </w:tc>
        <w:tc>
          <w:tcPr>
            <w:tcW w:w="1110" w:type="pct"/>
            <w:tcBorders>
              <w:top w:val="single" w:color="auto" w:sz="6" w:space="0"/>
              <w:left w:val="single" w:color="auto" w:sz="6" w:space="0"/>
              <w:bottom w:val="single" w:color="auto" w:sz="6" w:space="0"/>
              <w:right w:val="single" w:color="auto" w:sz="6" w:space="0"/>
            </w:tcBorders>
            <w:noWrap w:val="0"/>
            <w:vAlign w:val="top"/>
          </w:tcPr>
          <w:p>
            <w:pPr>
              <w:rPr>
                <w:rFonts w:hint="eastAsia" w:ascii="宋体" w:hAnsi="宋体" w:eastAsia="宋体" w:cs="宋体"/>
                <w:color w:val="auto"/>
                <w:spacing w:val="20"/>
                <w:sz w:val="24"/>
                <w:highlight w:val="none"/>
              </w:rPr>
            </w:pPr>
          </w:p>
        </w:tc>
        <w:tc>
          <w:tcPr>
            <w:tcW w:w="433" w:type="pct"/>
            <w:tcBorders>
              <w:top w:val="single" w:color="auto" w:sz="6" w:space="0"/>
              <w:left w:val="single" w:color="auto" w:sz="6" w:space="0"/>
              <w:bottom w:val="single" w:color="auto" w:sz="6" w:space="0"/>
              <w:right w:val="single" w:color="auto" w:sz="6" w:space="0"/>
            </w:tcBorders>
            <w:noWrap w:val="0"/>
            <w:vAlign w:val="top"/>
          </w:tcPr>
          <w:p>
            <w:pPr>
              <w:rPr>
                <w:rFonts w:hint="eastAsia" w:ascii="宋体" w:hAnsi="宋体" w:eastAsia="宋体" w:cs="宋体"/>
                <w:color w:val="auto"/>
                <w:spacing w:val="20"/>
                <w:sz w:val="24"/>
                <w:highlight w:val="none"/>
              </w:rPr>
            </w:pPr>
          </w:p>
        </w:tc>
      </w:tr>
    </w:tbl>
    <w:p>
      <w:pPr>
        <w:rPr>
          <w:rFonts w:hint="eastAsia" w:ascii="宋体" w:hAnsi="宋体" w:eastAsia="宋体" w:cs="宋体"/>
          <w:b/>
          <w:color w:val="auto"/>
          <w:spacing w:val="20"/>
          <w:szCs w:val="21"/>
          <w:highlight w:val="none"/>
        </w:rPr>
      </w:pPr>
      <w:r>
        <w:rPr>
          <w:rFonts w:hint="eastAsia" w:ascii="宋体" w:hAnsi="宋体" w:eastAsia="宋体" w:cs="宋体"/>
          <w:color w:val="auto"/>
          <w:spacing w:val="20"/>
          <w:szCs w:val="21"/>
          <w:highlight w:val="none"/>
        </w:rPr>
        <w:t>注：投标人可按上述格式自行编制，须随表提交相应的合同复印件或用户单位验收证明并注明所在投标商务文件页码</w:t>
      </w:r>
      <w:r>
        <w:rPr>
          <w:rFonts w:hint="eastAsia" w:ascii="宋体" w:hAnsi="宋体" w:eastAsia="宋体" w:cs="宋体"/>
          <w:b/>
          <w:color w:val="auto"/>
          <w:spacing w:val="20"/>
          <w:szCs w:val="21"/>
          <w:highlight w:val="none"/>
        </w:rPr>
        <w:t>。</w:t>
      </w:r>
    </w:p>
    <w:p>
      <w:pPr>
        <w:rPr>
          <w:rFonts w:hint="eastAsia" w:ascii="宋体" w:hAnsi="宋体" w:eastAsia="宋体" w:cs="宋体"/>
          <w:b/>
          <w:color w:val="auto"/>
          <w:spacing w:val="20"/>
          <w:sz w:val="24"/>
          <w:highlight w:val="none"/>
        </w:rPr>
      </w:pPr>
    </w:p>
    <w:p>
      <w:pPr>
        <w:rPr>
          <w:rFonts w:hint="eastAsia" w:ascii="宋体" w:hAnsi="宋体" w:eastAsia="宋体" w:cs="宋体"/>
          <w:b/>
          <w:color w:val="auto"/>
          <w:spacing w:val="20"/>
          <w:sz w:val="24"/>
          <w:highlight w:val="none"/>
        </w:rPr>
      </w:pPr>
    </w:p>
    <w:p>
      <w:pPr>
        <w:spacing w:line="360" w:lineRule="auto"/>
        <w:jc w:val="right"/>
        <w:rPr>
          <w:rFonts w:hint="eastAsia" w:ascii="宋体" w:hAnsi="宋体" w:eastAsia="宋体" w:cs="宋体"/>
          <w:color w:val="auto"/>
          <w:spacing w:val="20"/>
          <w:sz w:val="24"/>
          <w:highlight w:val="none"/>
        </w:rPr>
      </w:pPr>
      <w:r>
        <w:rPr>
          <w:rFonts w:hint="eastAsia" w:ascii="宋体" w:hAnsi="宋体" w:eastAsia="宋体" w:cs="宋体"/>
          <w:color w:val="auto"/>
          <w:sz w:val="24"/>
          <w:highlight w:val="none"/>
        </w:rPr>
        <w:t>投标人名称（电子签名）：</w:t>
      </w:r>
      <w:r>
        <w:rPr>
          <w:rFonts w:hint="eastAsia" w:ascii="宋体" w:hAnsi="宋体" w:eastAsia="宋体" w:cs="宋体"/>
          <w:color w:val="auto"/>
          <w:spacing w:val="20"/>
          <w:sz w:val="24"/>
          <w:highlight w:val="none"/>
        </w:rPr>
        <w:t xml:space="preserve">      </w:t>
      </w:r>
    </w:p>
    <w:p>
      <w:pPr>
        <w:spacing w:line="360" w:lineRule="auto"/>
        <w:jc w:val="right"/>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日期：2020年   月   日</w:t>
      </w:r>
    </w:p>
    <w:p>
      <w:pPr>
        <w:jc w:val="center"/>
        <w:rPr>
          <w:rFonts w:hint="eastAsia" w:ascii="宋体" w:hAnsi="宋体" w:eastAsia="宋体" w:cs="宋体"/>
          <w:b/>
          <w:color w:val="auto"/>
          <w:spacing w:val="20"/>
          <w:sz w:val="24"/>
          <w:highlight w:val="none"/>
        </w:rPr>
      </w:pPr>
      <w:r>
        <w:rPr>
          <w:rFonts w:hint="eastAsia" w:ascii="宋体" w:hAnsi="宋体" w:eastAsia="宋体" w:cs="宋体"/>
          <w:b/>
          <w:color w:val="auto"/>
          <w:spacing w:val="20"/>
          <w:sz w:val="24"/>
          <w:highlight w:val="none"/>
        </w:rPr>
        <w:br w:type="page"/>
      </w:r>
      <w:r>
        <w:rPr>
          <w:rFonts w:hint="eastAsia" w:ascii="宋体" w:hAnsi="宋体" w:eastAsia="宋体" w:cs="宋体"/>
          <w:b/>
          <w:color w:val="auto"/>
          <w:spacing w:val="20"/>
          <w:sz w:val="24"/>
          <w:highlight w:val="none"/>
        </w:rPr>
        <w:t>十三、商务偏离说明</w:t>
      </w:r>
    </w:p>
    <w:p>
      <w:pPr>
        <w:jc w:val="center"/>
        <w:rPr>
          <w:rFonts w:hint="eastAsia" w:ascii="宋体" w:hAnsi="宋体" w:eastAsia="宋体" w:cs="宋体"/>
          <w:b/>
          <w:color w:val="auto"/>
          <w:spacing w:val="20"/>
          <w:sz w:val="24"/>
          <w:highlight w:val="none"/>
        </w:rPr>
      </w:pPr>
    </w:p>
    <w:tbl>
      <w:tblPr>
        <w:tblStyle w:val="22"/>
        <w:tblW w:w="509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2610"/>
        <w:gridCol w:w="2576"/>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pct"/>
            <w:noWrap w:val="0"/>
            <w:vAlign w:val="top"/>
          </w:tcPr>
          <w:p>
            <w:pPr>
              <w:spacing w:line="360" w:lineRule="auto"/>
              <w:jc w:val="center"/>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招标文件条目号</w:t>
            </w:r>
          </w:p>
        </w:tc>
        <w:tc>
          <w:tcPr>
            <w:tcW w:w="1433" w:type="pct"/>
            <w:noWrap w:val="0"/>
            <w:vAlign w:val="top"/>
          </w:tcPr>
          <w:p>
            <w:pPr>
              <w:spacing w:line="360" w:lineRule="auto"/>
              <w:jc w:val="center"/>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招标文件商务条款</w:t>
            </w:r>
          </w:p>
        </w:tc>
        <w:tc>
          <w:tcPr>
            <w:tcW w:w="1414" w:type="pct"/>
            <w:noWrap w:val="0"/>
            <w:vAlign w:val="top"/>
          </w:tcPr>
          <w:p>
            <w:pPr>
              <w:spacing w:line="360" w:lineRule="auto"/>
              <w:jc w:val="center"/>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投标文件商务条款</w:t>
            </w:r>
          </w:p>
        </w:tc>
        <w:tc>
          <w:tcPr>
            <w:tcW w:w="926" w:type="pct"/>
            <w:noWrap w:val="0"/>
            <w:vAlign w:val="top"/>
          </w:tcPr>
          <w:p>
            <w:pPr>
              <w:spacing w:line="360" w:lineRule="auto"/>
              <w:jc w:val="center"/>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pct"/>
            <w:noWrap w:val="0"/>
            <w:vAlign w:val="top"/>
          </w:tcPr>
          <w:p>
            <w:pPr>
              <w:spacing w:line="360" w:lineRule="auto"/>
              <w:jc w:val="center"/>
              <w:rPr>
                <w:rFonts w:hint="eastAsia" w:ascii="宋体" w:hAnsi="宋体" w:eastAsia="宋体" w:cs="宋体"/>
                <w:color w:val="auto"/>
                <w:spacing w:val="20"/>
                <w:sz w:val="24"/>
                <w:highlight w:val="none"/>
              </w:rPr>
            </w:pPr>
          </w:p>
        </w:tc>
        <w:tc>
          <w:tcPr>
            <w:tcW w:w="1433" w:type="pct"/>
            <w:noWrap w:val="0"/>
            <w:vAlign w:val="top"/>
          </w:tcPr>
          <w:p>
            <w:pPr>
              <w:spacing w:line="360" w:lineRule="auto"/>
              <w:jc w:val="center"/>
              <w:rPr>
                <w:rFonts w:hint="eastAsia" w:ascii="宋体" w:hAnsi="宋体" w:eastAsia="宋体" w:cs="宋体"/>
                <w:color w:val="auto"/>
                <w:spacing w:val="20"/>
                <w:sz w:val="24"/>
                <w:highlight w:val="none"/>
              </w:rPr>
            </w:pPr>
          </w:p>
        </w:tc>
        <w:tc>
          <w:tcPr>
            <w:tcW w:w="1414" w:type="pct"/>
            <w:noWrap w:val="0"/>
            <w:vAlign w:val="top"/>
          </w:tcPr>
          <w:p>
            <w:pPr>
              <w:spacing w:line="360" w:lineRule="auto"/>
              <w:jc w:val="center"/>
              <w:rPr>
                <w:rFonts w:hint="eastAsia" w:ascii="宋体" w:hAnsi="宋体" w:eastAsia="宋体" w:cs="宋体"/>
                <w:color w:val="auto"/>
                <w:spacing w:val="20"/>
                <w:sz w:val="24"/>
                <w:highlight w:val="none"/>
              </w:rPr>
            </w:pPr>
          </w:p>
        </w:tc>
        <w:tc>
          <w:tcPr>
            <w:tcW w:w="926" w:type="pct"/>
            <w:noWrap w:val="0"/>
            <w:vAlign w:val="top"/>
          </w:tcPr>
          <w:p>
            <w:pPr>
              <w:spacing w:line="360" w:lineRule="auto"/>
              <w:jc w:val="center"/>
              <w:rPr>
                <w:rFonts w:hint="eastAsia" w:ascii="宋体" w:hAnsi="宋体" w:eastAsia="宋体" w:cs="宋体"/>
                <w:color w:val="auto"/>
                <w:spacing w:val="2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pct"/>
            <w:noWrap w:val="0"/>
            <w:vAlign w:val="top"/>
          </w:tcPr>
          <w:p>
            <w:pPr>
              <w:spacing w:line="360" w:lineRule="auto"/>
              <w:jc w:val="center"/>
              <w:rPr>
                <w:rFonts w:hint="eastAsia" w:ascii="宋体" w:hAnsi="宋体" w:eastAsia="宋体" w:cs="宋体"/>
                <w:color w:val="auto"/>
                <w:spacing w:val="20"/>
                <w:sz w:val="24"/>
                <w:highlight w:val="none"/>
              </w:rPr>
            </w:pPr>
          </w:p>
        </w:tc>
        <w:tc>
          <w:tcPr>
            <w:tcW w:w="1433" w:type="pct"/>
            <w:noWrap w:val="0"/>
            <w:vAlign w:val="top"/>
          </w:tcPr>
          <w:p>
            <w:pPr>
              <w:spacing w:line="360" w:lineRule="auto"/>
              <w:jc w:val="center"/>
              <w:rPr>
                <w:rFonts w:hint="eastAsia" w:ascii="宋体" w:hAnsi="宋体" w:eastAsia="宋体" w:cs="宋体"/>
                <w:color w:val="auto"/>
                <w:spacing w:val="20"/>
                <w:sz w:val="24"/>
                <w:highlight w:val="none"/>
              </w:rPr>
            </w:pPr>
          </w:p>
        </w:tc>
        <w:tc>
          <w:tcPr>
            <w:tcW w:w="1414" w:type="pct"/>
            <w:noWrap w:val="0"/>
            <w:vAlign w:val="top"/>
          </w:tcPr>
          <w:p>
            <w:pPr>
              <w:spacing w:line="360" w:lineRule="auto"/>
              <w:jc w:val="center"/>
              <w:rPr>
                <w:rFonts w:hint="eastAsia" w:ascii="宋体" w:hAnsi="宋体" w:eastAsia="宋体" w:cs="宋体"/>
                <w:color w:val="auto"/>
                <w:spacing w:val="20"/>
                <w:sz w:val="24"/>
                <w:highlight w:val="none"/>
              </w:rPr>
            </w:pPr>
          </w:p>
        </w:tc>
        <w:tc>
          <w:tcPr>
            <w:tcW w:w="926" w:type="pct"/>
            <w:noWrap w:val="0"/>
            <w:vAlign w:val="top"/>
          </w:tcPr>
          <w:p>
            <w:pPr>
              <w:spacing w:line="360" w:lineRule="auto"/>
              <w:jc w:val="center"/>
              <w:rPr>
                <w:rFonts w:hint="eastAsia" w:ascii="宋体" w:hAnsi="宋体" w:eastAsia="宋体" w:cs="宋体"/>
                <w:color w:val="auto"/>
                <w:spacing w:val="2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pct"/>
            <w:noWrap w:val="0"/>
            <w:vAlign w:val="top"/>
          </w:tcPr>
          <w:p>
            <w:pPr>
              <w:spacing w:line="360" w:lineRule="auto"/>
              <w:jc w:val="center"/>
              <w:rPr>
                <w:rFonts w:hint="eastAsia" w:ascii="宋体" w:hAnsi="宋体" w:eastAsia="宋体" w:cs="宋体"/>
                <w:color w:val="auto"/>
                <w:spacing w:val="20"/>
                <w:sz w:val="24"/>
                <w:highlight w:val="none"/>
              </w:rPr>
            </w:pPr>
          </w:p>
        </w:tc>
        <w:tc>
          <w:tcPr>
            <w:tcW w:w="1433" w:type="pct"/>
            <w:noWrap w:val="0"/>
            <w:vAlign w:val="top"/>
          </w:tcPr>
          <w:p>
            <w:pPr>
              <w:spacing w:line="360" w:lineRule="auto"/>
              <w:jc w:val="center"/>
              <w:rPr>
                <w:rFonts w:hint="eastAsia" w:ascii="宋体" w:hAnsi="宋体" w:eastAsia="宋体" w:cs="宋体"/>
                <w:color w:val="auto"/>
                <w:spacing w:val="20"/>
                <w:sz w:val="24"/>
                <w:highlight w:val="none"/>
              </w:rPr>
            </w:pPr>
          </w:p>
        </w:tc>
        <w:tc>
          <w:tcPr>
            <w:tcW w:w="1414" w:type="pct"/>
            <w:noWrap w:val="0"/>
            <w:vAlign w:val="top"/>
          </w:tcPr>
          <w:p>
            <w:pPr>
              <w:spacing w:line="360" w:lineRule="auto"/>
              <w:jc w:val="center"/>
              <w:rPr>
                <w:rFonts w:hint="eastAsia" w:ascii="宋体" w:hAnsi="宋体" w:eastAsia="宋体" w:cs="宋体"/>
                <w:color w:val="auto"/>
                <w:spacing w:val="20"/>
                <w:sz w:val="24"/>
                <w:highlight w:val="none"/>
              </w:rPr>
            </w:pPr>
          </w:p>
        </w:tc>
        <w:tc>
          <w:tcPr>
            <w:tcW w:w="926" w:type="pct"/>
            <w:noWrap w:val="0"/>
            <w:vAlign w:val="top"/>
          </w:tcPr>
          <w:p>
            <w:pPr>
              <w:spacing w:line="360" w:lineRule="auto"/>
              <w:jc w:val="center"/>
              <w:rPr>
                <w:rFonts w:hint="eastAsia" w:ascii="宋体" w:hAnsi="宋体" w:eastAsia="宋体" w:cs="宋体"/>
                <w:color w:val="auto"/>
                <w:spacing w:val="20"/>
                <w:sz w:val="24"/>
                <w:highlight w:val="none"/>
              </w:rPr>
            </w:pPr>
          </w:p>
        </w:tc>
      </w:tr>
    </w:tbl>
    <w:p>
      <w:pPr>
        <w:jc w:val="center"/>
        <w:rPr>
          <w:rFonts w:hint="eastAsia" w:ascii="宋体" w:hAnsi="宋体" w:eastAsia="宋体" w:cs="宋体"/>
          <w:b/>
          <w:color w:val="auto"/>
          <w:spacing w:val="20"/>
          <w:sz w:val="24"/>
          <w:highlight w:val="none"/>
        </w:rPr>
      </w:pPr>
    </w:p>
    <w:p>
      <w:pPr>
        <w:jc w:val="center"/>
        <w:rPr>
          <w:rFonts w:hint="eastAsia" w:ascii="宋体" w:hAnsi="宋体" w:eastAsia="宋体" w:cs="宋体"/>
          <w:b/>
          <w:color w:val="auto"/>
          <w:spacing w:val="20"/>
          <w:sz w:val="24"/>
          <w:highlight w:val="none"/>
        </w:rPr>
      </w:pPr>
    </w:p>
    <w:p>
      <w:pPr>
        <w:spacing w:line="360" w:lineRule="auto"/>
        <w:jc w:val="right"/>
        <w:rPr>
          <w:rFonts w:hint="eastAsia" w:ascii="宋体" w:hAnsi="宋体" w:eastAsia="宋体" w:cs="宋体"/>
          <w:color w:val="auto"/>
          <w:spacing w:val="20"/>
          <w:sz w:val="24"/>
          <w:highlight w:val="none"/>
        </w:rPr>
      </w:pPr>
      <w:r>
        <w:rPr>
          <w:rFonts w:hint="eastAsia" w:ascii="宋体" w:hAnsi="宋体" w:eastAsia="宋体" w:cs="宋体"/>
          <w:color w:val="auto"/>
          <w:sz w:val="24"/>
          <w:highlight w:val="none"/>
        </w:rPr>
        <w:t>投标人名称（电子签名）：</w:t>
      </w:r>
      <w:r>
        <w:rPr>
          <w:rFonts w:hint="eastAsia" w:ascii="宋体" w:hAnsi="宋体" w:eastAsia="宋体" w:cs="宋体"/>
          <w:color w:val="auto"/>
          <w:spacing w:val="20"/>
          <w:sz w:val="24"/>
          <w:highlight w:val="none"/>
        </w:rPr>
        <w:t xml:space="preserve">    </w:t>
      </w:r>
    </w:p>
    <w:p>
      <w:pPr>
        <w:spacing w:line="360" w:lineRule="auto"/>
        <w:jc w:val="right"/>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日期：2020年   月   日</w:t>
      </w:r>
    </w:p>
    <w:p>
      <w:pPr>
        <w:jc w:val="center"/>
        <w:rPr>
          <w:rFonts w:hint="eastAsia" w:ascii="宋体" w:hAnsi="宋体" w:eastAsia="宋体" w:cs="宋体"/>
          <w:b/>
          <w:color w:val="auto"/>
          <w:spacing w:val="20"/>
          <w:sz w:val="24"/>
          <w:highlight w:val="none"/>
        </w:rPr>
      </w:pPr>
    </w:p>
    <w:p>
      <w:pPr>
        <w:spacing w:line="480" w:lineRule="auto"/>
        <w:jc w:val="center"/>
        <w:rPr>
          <w:rFonts w:hint="eastAsia" w:ascii="宋体" w:hAnsi="宋体" w:eastAsia="宋体" w:cs="宋体"/>
          <w:b/>
          <w:color w:val="auto"/>
          <w:spacing w:val="20"/>
          <w:sz w:val="24"/>
          <w:highlight w:val="none"/>
        </w:rPr>
      </w:pPr>
    </w:p>
    <w:p>
      <w:pPr>
        <w:jc w:val="center"/>
        <w:rPr>
          <w:rFonts w:hint="eastAsia" w:ascii="宋体" w:hAnsi="宋体" w:eastAsia="宋体" w:cs="宋体"/>
          <w:b/>
          <w:color w:val="auto"/>
          <w:spacing w:val="20"/>
          <w:sz w:val="24"/>
          <w:highlight w:val="none"/>
        </w:rPr>
      </w:pPr>
    </w:p>
    <w:p>
      <w:pPr>
        <w:jc w:val="center"/>
        <w:rPr>
          <w:rFonts w:hint="eastAsia" w:ascii="宋体" w:hAnsi="宋体" w:eastAsia="宋体" w:cs="宋体"/>
          <w:b/>
          <w:color w:val="auto"/>
          <w:spacing w:val="20"/>
          <w:sz w:val="24"/>
          <w:highlight w:val="none"/>
        </w:rPr>
      </w:pPr>
    </w:p>
    <w:p>
      <w:pPr>
        <w:spacing w:line="480" w:lineRule="auto"/>
        <w:jc w:val="center"/>
        <w:rPr>
          <w:rFonts w:hint="eastAsia" w:ascii="宋体" w:hAnsi="宋体" w:eastAsia="宋体" w:cs="宋体"/>
          <w:b/>
          <w:color w:val="auto"/>
          <w:spacing w:val="20"/>
          <w:sz w:val="24"/>
          <w:highlight w:val="none"/>
        </w:rPr>
      </w:pPr>
      <w:r>
        <w:rPr>
          <w:rFonts w:hint="eastAsia" w:ascii="宋体" w:hAnsi="宋体" w:eastAsia="宋体" w:cs="宋体"/>
          <w:b/>
          <w:color w:val="auto"/>
          <w:spacing w:val="20"/>
          <w:sz w:val="24"/>
          <w:highlight w:val="none"/>
        </w:rPr>
        <w:t>十四、其他商务文件或说明</w:t>
      </w:r>
    </w:p>
    <w:p>
      <w:pPr>
        <w:spacing w:line="480" w:lineRule="auto"/>
        <w:jc w:val="center"/>
        <w:rPr>
          <w:rFonts w:hint="eastAsia" w:ascii="宋体" w:hAnsi="宋体" w:eastAsia="宋体" w:cs="宋体"/>
          <w:b/>
          <w:color w:val="auto"/>
          <w:spacing w:val="20"/>
          <w:sz w:val="24"/>
          <w:highlight w:val="none"/>
        </w:rPr>
      </w:pPr>
      <w:r>
        <w:rPr>
          <w:rFonts w:hint="eastAsia" w:ascii="宋体" w:hAnsi="宋体" w:eastAsia="宋体" w:cs="宋体"/>
          <w:b/>
          <w:color w:val="auto"/>
          <w:spacing w:val="20"/>
          <w:sz w:val="24"/>
          <w:highlight w:val="none"/>
        </w:rPr>
        <w:t>（由投标人根据采购需求自行编制）</w:t>
      </w:r>
    </w:p>
    <w:p>
      <w:pPr>
        <w:jc w:val="center"/>
        <w:rPr>
          <w:rFonts w:hint="eastAsia" w:ascii="宋体" w:hAnsi="宋体" w:eastAsia="宋体" w:cs="宋体"/>
          <w:b/>
          <w:color w:val="auto"/>
          <w:spacing w:val="20"/>
          <w:sz w:val="24"/>
          <w:highlight w:val="none"/>
        </w:rPr>
      </w:pPr>
    </w:p>
    <w:p>
      <w:pPr>
        <w:jc w:val="center"/>
        <w:rPr>
          <w:rFonts w:hint="eastAsia" w:ascii="宋体" w:hAnsi="宋体" w:eastAsia="宋体" w:cs="宋体"/>
          <w:b/>
          <w:color w:val="auto"/>
          <w:spacing w:val="20"/>
          <w:sz w:val="24"/>
          <w:highlight w:val="none"/>
        </w:rPr>
      </w:pPr>
    </w:p>
    <w:p>
      <w:pPr>
        <w:jc w:val="center"/>
        <w:rPr>
          <w:rFonts w:hint="eastAsia" w:ascii="宋体" w:hAnsi="宋体" w:eastAsia="宋体" w:cs="宋体"/>
          <w:b/>
          <w:color w:val="auto"/>
          <w:spacing w:val="20"/>
          <w:sz w:val="24"/>
          <w:highlight w:val="none"/>
        </w:rPr>
      </w:pPr>
    </w:p>
    <w:p>
      <w:pPr>
        <w:spacing w:line="360" w:lineRule="auto"/>
        <w:jc w:val="right"/>
        <w:rPr>
          <w:rFonts w:hint="eastAsia" w:ascii="宋体" w:hAnsi="宋体" w:eastAsia="宋体" w:cs="宋体"/>
          <w:color w:val="auto"/>
          <w:spacing w:val="20"/>
          <w:sz w:val="24"/>
          <w:highlight w:val="none"/>
        </w:rPr>
      </w:pPr>
      <w:r>
        <w:rPr>
          <w:rFonts w:hint="eastAsia" w:ascii="宋体" w:hAnsi="宋体" w:eastAsia="宋体" w:cs="宋体"/>
          <w:color w:val="auto"/>
          <w:sz w:val="24"/>
          <w:highlight w:val="none"/>
        </w:rPr>
        <w:t>投标人名称（电子签名）：</w:t>
      </w:r>
      <w:r>
        <w:rPr>
          <w:rFonts w:hint="eastAsia" w:ascii="宋体" w:hAnsi="宋体" w:eastAsia="宋体" w:cs="宋体"/>
          <w:color w:val="auto"/>
          <w:spacing w:val="20"/>
          <w:sz w:val="24"/>
          <w:highlight w:val="none"/>
        </w:rPr>
        <w:t xml:space="preserve">        </w:t>
      </w:r>
    </w:p>
    <w:p>
      <w:pPr>
        <w:spacing w:line="360" w:lineRule="auto"/>
        <w:jc w:val="right"/>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日期：2020年   月   日</w:t>
      </w:r>
    </w:p>
    <w:p>
      <w:pPr>
        <w:jc w:val="center"/>
        <w:rPr>
          <w:rFonts w:hint="eastAsia" w:ascii="宋体" w:hAnsi="宋体" w:eastAsia="宋体" w:cs="宋体"/>
          <w:b/>
          <w:color w:val="auto"/>
          <w:spacing w:val="20"/>
          <w:sz w:val="24"/>
          <w:highlight w:val="none"/>
        </w:rPr>
      </w:pPr>
    </w:p>
    <w:p>
      <w:pPr>
        <w:ind w:firstLine="2660" w:firstLineChars="950"/>
        <w:rPr>
          <w:rFonts w:hint="eastAsia" w:ascii="宋体" w:hAnsi="宋体" w:eastAsia="宋体" w:cs="宋体"/>
          <w:b/>
          <w:color w:val="auto"/>
          <w:spacing w:val="20"/>
          <w:sz w:val="24"/>
          <w:highlight w:val="none"/>
        </w:rPr>
      </w:pPr>
    </w:p>
    <w:p>
      <w:pPr>
        <w:spacing w:line="480" w:lineRule="auto"/>
        <w:jc w:val="center"/>
        <w:rPr>
          <w:rFonts w:hint="eastAsia" w:ascii="宋体" w:hAnsi="宋体" w:eastAsia="宋体" w:cs="宋体"/>
          <w:b/>
          <w:color w:val="auto"/>
          <w:spacing w:val="20"/>
          <w:sz w:val="24"/>
          <w:highlight w:val="none"/>
        </w:rPr>
      </w:pPr>
      <w:r>
        <w:rPr>
          <w:rFonts w:hint="eastAsia" w:ascii="宋体" w:hAnsi="宋体" w:eastAsia="宋体" w:cs="宋体"/>
          <w:b/>
          <w:color w:val="auto"/>
          <w:spacing w:val="20"/>
          <w:sz w:val="24"/>
          <w:highlight w:val="none"/>
        </w:rPr>
        <w:t>十五、清除非法涂写招贴广告作业计划方案</w:t>
      </w:r>
    </w:p>
    <w:p>
      <w:pPr>
        <w:spacing w:line="360" w:lineRule="auto"/>
        <w:jc w:val="center"/>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（由投标人根据采购需求及招标文件要求编写）</w:t>
      </w:r>
    </w:p>
    <w:p>
      <w:pPr>
        <w:spacing w:line="360" w:lineRule="auto"/>
        <w:rPr>
          <w:rFonts w:hint="eastAsia" w:ascii="宋体" w:hAnsi="宋体" w:eastAsia="宋体" w:cs="宋体"/>
          <w:b/>
          <w:color w:val="auto"/>
          <w:spacing w:val="20"/>
          <w:sz w:val="24"/>
          <w:highlight w:val="none"/>
        </w:rPr>
      </w:pPr>
    </w:p>
    <w:p>
      <w:pPr>
        <w:spacing w:line="360" w:lineRule="auto"/>
        <w:rPr>
          <w:rFonts w:hint="eastAsia" w:ascii="宋体" w:hAnsi="宋体" w:eastAsia="宋体" w:cs="宋体"/>
          <w:b/>
          <w:color w:val="auto"/>
          <w:spacing w:val="20"/>
          <w:sz w:val="24"/>
          <w:highlight w:val="none"/>
        </w:rPr>
      </w:pPr>
    </w:p>
    <w:p>
      <w:pPr>
        <w:spacing w:line="360" w:lineRule="auto"/>
        <w:jc w:val="right"/>
        <w:rPr>
          <w:rFonts w:hint="eastAsia" w:ascii="宋体" w:hAnsi="宋体" w:eastAsia="宋体" w:cs="宋体"/>
          <w:color w:val="auto"/>
          <w:spacing w:val="20"/>
          <w:sz w:val="24"/>
          <w:highlight w:val="none"/>
        </w:rPr>
      </w:pPr>
      <w:r>
        <w:rPr>
          <w:rFonts w:hint="eastAsia" w:ascii="宋体" w:hAnsi="宋体" w:eastAsia="宋体" w:cs="宋体"/>
          <w:color w:val="auto"/>
          <w:sz w:val="24"/>
          <w:highlight w:val="none"/>
        </w:rPr>
        <w:t>投标人名称（电子签名）：</w:t>
      </w:r>
      <w:r>
        <w:rPr>
          <w:rFonts w:hint="eastAsia" w:ascii="宋体" w:hAnsi="宋体" w:eastAsia="宋体" w:cs="宋体"/>
          <w:color w:val="auto"/>
          <w:spacing w:val="20"/>
          <w:sz w:val="24"/>
          <w:highlight w:val="none"/>
        </w:rPr>
        <w:t xml:space="preserve">        </w:t>
      </w:r>
    </w:p>
    <w:p>
      <w:pPr>
        <w:spacing w:line="360" w:lineRule="auto"/>
        <w:jc w:val="right"/>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日期：2020年   月   日</w:t>
      </w:r>
    </w:p>
    <w:p>
      <w:pPr>
        <w:spacing w:line="360" w:lineRule="auto"/>
        <w:rPr>
          <w:rFonts w:hint="eastAsia" w:ascii="宋体" w:hAnsi="宋体" w:eastAsia="宋体" w:cs="宋体"/>
          <w:b/>
          <w:color w:val="auto"/>
          <w:spacing w:val="20"/>
          <w:sz w:val="24"/>
          <w:highlight w:val="none"/>
        </w:rPr>
      </w:pPr>
    </w:p>
    <w:p>
      <w:pPr>
        <w:pStyle w:val="2"/>
        <w:rPr>
          <w:rFonts w:hint="eastAsia" w:ascii="宋体" w:hAnsi="宋体" w:eastAsia="宋体" w:cs="宋体"/>
          <w:color w:val="auto"/>
          <w:highlight w:val="none"/>
        </w:rPr>
      </w:pPr>
    </w:p>
    <w:p>
      <w:pPr>
        <w:spacing w:line="360" w:lineRule="auto"/>
        <w:rPr>
          <w:rFonts w:hint="eastAsia" w:ascii="宋体" w:hAnsi="宋体" w:eastAsia="宋体" w:cs="宋体"/>
          <w:b/>
          <w:color w:val="auto"/>
          <w:spacing w:val="20"/>
          <w:sz w:val="24"/>
          <w:highlight w:val="none"/>
        </w:rPr>
      </w:pPr>
    </w:p>
    <w:p>
      <w:pPr>
        <w:spacing w:line="360" w:lineRule="auto"/>
        <w:ind w:left="420"/>
        <w:rPr>
          <w:rFonts w:hint="eastAsia" w:ascii="宋体" w:hAnsi="宋体" w:eastAsia="宋体" w:cs="宋体"/>
          <w:b/>
          <w:color w:val="auto"/>
          <w:spacing w:val="20"/>
          <w:sz w:val="24"/>
          <w:highlight w:val="none"/>
        </w:rPr>
      </w:pPr>
      <w:r>
        <w:rPr>
          <w:rFonts w:hint="eastAsia" w:ascii="宋体" w:hAnsi="宋体" w:eastAsia="宋体" w:cs="宋体"/>
          <w:b/>
          <w:color w:val="auto"/>
          <w:spacing w:val="20"/>
          <w:sz w:val="24"/>
          <w:highlight w:val="none"/>
        </w:rPr>
        <w:t>十六、清除非法涂写招贴广告作业措施设想</w:t>
      </w:r>
    </w:p>
    <w:p>
      <w:pPr>
        <w:spacing w:line="360" w:lineRule="auto"/>
        <w:jc w:val="center"/>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（由投标人根据采购需求及招标文件要求编写）</w:t>
      </w:r>
    </w:p>
    <w:p>
      <w:pPr>
        <w:spacing w:line="360" w:lineRule="auto"/>
        <w:jc w:val="right"/>
        <w:rPr>
          <w:rFonts w:hint="eastAsia" w:ascii="宋体" w:hAnsi="宋体" w:eastAsia="宋体" w:cs="宋体"/>
          <w:color w:val="auto"/>
          <w:spacing w:val="20"/>
          <w:sz w:val="24"/>
          <w:highlight w:val="none"/>
        </w:rPr>
      </w:pPr>
    </w:p>
    <w:p>
      <w:pPr>
        <w:spacing w:line="360" w:lineRule="auto"/>
        <w:jc w:val="right"/>
        <w:rPr>
          <w:rFonts w:hint="eastAsia" w:ascii="宋体" w:hAnsi="宋体" w:eastAsia="宋体" w:cs="宋体"/>
          <w:color w:val="auto"/>
          <w:spacing w:val="20"/>
          <w:sz w:val="24"/>
          <w:highlight w:val="none"/>
        </w:rPr>
      </w:pPr>
    </w:p>
    <w:p>
      <w:pPr>
        <w:spacing w:line="360" w:lineRule="auto"/>
        <w:jc w:val="right"/>
        <w:rPr>
          <w:rFonts w:hint="eastAsia" w:ascii="宋体" w:hAnsi="宋体" w:eastAsia="宋体" w:cs="宋体"/>
          <w:color w:val="auto"/>
          <w:spacing w:val="20"/>
          <w:sz w:val="24"/>
          <w:highlight w:val="none"/>
        </w:rPr>
      </w:pPr>
      <w:r>
        <w:rPr>
          <w:rFonts w:hint="eastAsia" w:ascii="宋体" w:hAnsi="宋体" w:eastAsia="宋体" w:cs="宋体"/>
          <w:color w:val="auto"/>
          <w:sz w:val="24"/>
          <w:highlight w:val="none"/>
        </w:rPr>
        <w:t>投标人名称（电子签名）：</w:t>
      </w:r>
      <w:r>
        <w:rPr>
          <w:rFonts w:hint="eastAsia" w:ascii="宋体" w:hAnsi="宋体" w:eastAsia="宋体" w:cs="宋体"/>
          <w:color w:val="auto"/>
          <w:spacing w:val="20"/>
          <w:sz w:val="24"/>
          <w:highlight w:val="none"/>
        </w:rPr>
        <w:t xml:space="preserve">         </w:t>
      </w:r>
    </w:p>
    <w:p>
      <w:pPr>
        <w:spacing w:line="360" w:lineRule="auto"/>
        <w:jc w:val="right"/>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日期：2020年   月   日</w:t>
      </w:r>
    </w:p>
    <w:p>
      <w:pPr>
        <w:spacing w:line="360" w:lineRule="auto"/>
        <w:rPr>
          <w:rFonts w:hint="eastAsia" w:ascii="宋体" w:hAnsi="宋体" w:eastAsia="宋体" w:cs="宋体"/>
          <w:b/>
          <w:color w:val="auto"/>
          <w:spacing w:val="20"/>
          <w:sz w:val="24"/>
          <w:highlight w:val="none"/>
        </w:rPr>
      </w:pPr>
    </w:p>
    <w:p>
      <w:pPr>
        <w:spacing w:line="360" w:lineRule="auto"/>
        <w:rPr>
          <w:rFonts w:hint="eastAsia" w:ascii="宋体" w:hAnsi="宋体" w:eastAsia="宋体" w:cs="宋体"/>
          <w:b/>
          <w:color w:val="auto"/>
          <w:spacing w:val="20"/>
          <w:sz w:val="24"/>
          <w:highlight w:val="none"/>
        </w:rPr>
      </w:pPr>
    </w:p>
    <w:p>
      <w:pPr>
        <w:spacing w:line="360" w:lineRule="auto"/>
        <w:rPr>
          <w:rFonts w:hint="eastAsia" w:ascii="宋体" w:hAnsi="宋体" w:eastAsia="宋体" w:cs="宋体"/>
          <w:b/>
          <w:color w:val="auto"/>
          <w:spacing w:val="20"/>
          <w:sz w:val="24"/>
          <w:highlight w:val="none"/>
        </w:rPr>
      </w:pPr>
    </w:p>
    <w:p>
      <w:pPr>
        <w:spacing w:line="360" w:lineRule="auto"/>
        <w:ind w:left="420"/>
        <w:rPr>
          <w:rFonts w:hint="eastAsia" w:ascii="宋体" w:hAnsi="宋体" w:eastAsia="宋体" w:cs="宋体"/>
          <w:b/>
          <w:color w:val="auto"/>
          <w:spacing w:val="20"/>
          <w:sz w:val="24"/>
          <w:highlight w:val="none"/>
        </w:rPr>
      </w:pPr>
      <w:r>
        <w:rPr>
          <w:rFonts w:hint="eastAsia" w:ascii="宋体" w:hAnsi="宋体" w:eastAsia="宋体" w:cs="宋体"/>
          <w:b/>
          <w:color w:val="auto"/>
          <w:spacing w:val="20"/>
          <w:sz w:val="24"/>
          <w:highlight w:val="none"/>
        </w:rPr>
        <w:t>十七、内部考核制度和人员配置及管理情况方案</w:t>
      </w:r>
    </w:p>
    <w:p>
      <w:pPr>
        <w:spacing w:line="360" w:lineRule="auto"/>
        <w:jc w:val="center"/>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（由投标人根据采购需求及招标文件要求编写）</w:t>
      </w:r>
    </w:p>
    <w:p>
      <w:pPr>
        <w:spacing w:line="360" w:lineRule="auto"/>
        <w:rPr>
          <w:rFonts w:hint="eastAsia" w:ascii="宋体" w:hAnsi="宋体" w:eastAsia="宋体" w:cs="宋体"/>
          <w:color w:val="auto"/>
          <w:spacing w:val="20"/>
          <w:sz w:val="24"/>
          <w:highlight w:val="none"/>
        </w:rPr>
      </w:pPr>
    </w:p>
    <w:p>
      <w:pPr>
        <w:spacing w:line="360" w:lineRule="auto"/>
        <w:rPr>
          <w:rFonts w:hint="eastAsia" w:ascii="宋体" w:hAnsi="宋体" w:eastAsia="宋体" w:cs="宋体"/>
          <w:color w:val="auto"/>
          <w:spacing w:val="20"/>
          <w:sz w:val="24"/>
          <w:highlight w:val="none"/>
        </w:rPr>
      </w:pPr>
    </w:p>
    <w:p>
      <w:pPr>
        <w:spacing w:line="360" w:lineRule="auto"/>
        <w:jc w:val="right"/>
        <w:rPr>
          <w:rFonts w:hint="eastAsia" w:ascii="宋体" w:hAnsi="宋体" w:eastAsia="宋体" w:cs="宋体"/>
          <w:color w:val="auto"/>
          <w:spacing w:val="20"/>
          <w:sz w:val="24"/>
          <w:highlight w:val="none"/>
        </w:rPr>
      </w:pPr>
      <w:r>
        <w:rPr>
          <w:rFonts w:hint="eastAsia" w:ascii="宋体" w:hAnsi="宋体" w:eastAsia="宋体" w:cs="宋体"/>
          <w:color w:val="auto"/>
          <w:sz w:val="24"/>
          <w:highlight w:val="none"/>
        </w:rPr>
        <w:t>投标人名称（电子签名）：</w:t>
      </w:r>
      <w:r>
        <w:rPr>
          <w:rFonts w:hint="eastAsia" w:ascii="宋体" w:hAnsi="宋体" w:eastAsia="宋体" w:cs="宋体"/>
          <w:color w:val="auto"/>
          <w:spacing w:val="20"/>
          <w:sz w:val="24"/>
          <w:highlight w:val="none"/>
        </w:rPr>
        <w:t xml:space="preserve">      </w:t>
      </w:r>
    </w:p>
    <w:p>
      <w:pPr>
        <w:spacing w:line="360" w:lineRule="auto"/>
        <w:jc w:val="right"/>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日期：2020年   月   日</w:t>
      </w:r>
    </w:p>
    <w:p>
      <w:pPr>
        <w:spacing w:line="360" w:lineRule="auto"/>
        <w:jc w:val="right"/>
        <w:rPr>
          <w:rFonts w:hint="eastAsia" w:ascii="宋体" w:hAnsi="宋体" w:eastAsia="宋体" w:cs="宋体"/>
          <w:color w:val="auto"/>
          <w:spacing w:val="20"/>
          <w:sz w:val="24"/>
          <w:highlight w:val="none"/>
        </w:rPr>
      </w:pPr>
    </w:p>
    <w:p>
      <w:pPr>
        <w:spacing w:line="360" w:lineRule="auto"/>
        <w:jc w:val="right"/>
        <w:rPr>
          <w:rFonts w:hint="eastAsia" w:ascii="宋体" w:hAnsi="宋体" w:eastAsia="宋体" w:cs="宋体"/>
          <w:color w:val="auto"/>
          <w:spacing w:val="20"/>
          <w:sz w:val="24"/>
          <w:highlight w:val="none"/>
        </w:rPr>
      </w:pPr>
    </w:p>
    <w:p>
      <w:pPr>
        <w:spacing w:line="360" w:lineRule="auto"/>
        <w:rPr>
          <w:rFonts w:hint="eastAsia" w:ascii="宋体" w:hAnsi="宋体" w:eastAsia="宋体" w:cs="宋体"/>
          <w:b/>
          <w:color w:val="auto"/>
          <w:spacing w:val="20"/>
          <w:sz w:val="24"/>
          <w:highlight w:val="none"/>
        </w:rPr>
      </w:pPr>
    </w:p>
    <w:p>
      <w:pPr>
        <w:spacing w:line="360" w:lineRule="auto"/>
        <w:ind w:left="420"/>
        <w:rPr>
          <w:rFonts w:hint="eastAsia" w:ascii="宋体" w:hAnsi="宋体" w:eastAsia="宋体" w:cs="宋体"/>
          <w:b/>
          <w:color w:val="auto"/>
          <w:spacing w:val="20"/>
          <w:sz w:val="24"/>
          <w:highlight w:val="none"/>
        </w:rPr>
      </w:pPr>
    </w:p>
    <w:p>
      <w:pPr>
        <w:spacing w:line="360" w:lineRule="auto"/>
        <w:ind w:left="420"/>
        <w:jc w:val="center"/>
        <w:rPr>
          <w:rFonts w:hint="eastAsia" w:ascii="宋体" w:hAnsi="宋体" w:eastAsia="宋体" w:cs="宋体"/>
          <w:b/>
          <w:color w:val="auto"/>
          <w:spacing w:val="20"/>
          <w:sz w:val="24"/>
          <w:highlight w:val="none"/>
        </w:rPr>
      </w:pPr>
      <w:r>
        <w:rPr>
          <w:rFonts w:hint="eastAsia" w:ascii="宋体" w:hAnsi="宋体" w:eastAsia="宋体" w:cs="宋体"/>
          <w:b/>
          <w:color w:val="auto"/>
          <w:spacing w:val="20"/>
          <w:sz w:val="24"/>
          <w:highlight w:val="none"/>
        </w:rPr>
        <w:t>十八、参与本项目的管理人员和主要技术骨干名单及简历</w:t>
      </w:r>
    </w:p>
    <w:p>
      <w:pPr>
        <w:spacing w:line="360" w:lineRule="auto"/>
        <w:jc w:val="center"/>
        <w:rPr>
          <w:rFonts w:hint="eastAsia" w:ascii="宋体" w:hAnsi="宋体" w:eastAsia="宋体" w:cs="宋体"/>
          <w:b/>
          <w:color w:val="auto"/>
          <w:spacing w:val="20"/>
          <w:sz w:val="24"/>
          <w:highlight w:val="none"/>
        </w:rPr>
      </w:pPr>
      <w:r>
        <w:rPr>
          <w:rFonts w:hint="eastAsia" w:ascii="宋体" w:hAnsi="宋体" w:eastAsia="宋体" w:cs="宋体"/>
          <w:b/>
          <w:color w:val="auto"/>
          <w:spacing w:val="20"/>
          <w:sz w:val="24"/>
          <w:highlight w:val="none"/>
        </w:rPr>
        <w:t>（包括年龄、学历、职称或技术等级、执业证明等）</w:t>
      </w:r>
    </w:p>
    <w:p>
      <w:pPr>
        <w:spacing w:line="360" w:lineRule="auto"/>
        <w:jc w:val="center"/>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（由投标人根据采购需求及招标文件要求编写）</w:t>
      </w:r>
    </w:p>
    <w:p>
      <w:pPr>
        <w:spacing w:line="360" w:lineRule="auto"/>
        <w:rPr>
          <w:rFonts w:hint="eastAsia" w:ascii="宋体" w:hAnsi="宋体" w:eastAsia="宋体" w:cs="宋体"/>
          <w:color w:val="auto"/>
          <w:spacing w:val="20"/>
          <w:sz w:val="24"/>
          <w:highlight w:val="none"/>
        </w:rPr>
      </w:pPr>
    </w:p>
    <w:p>
      <w:pPr>
        <w:spacing w:line="360" w:lineRule="auto"/>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附表A：拟派项目主要管理人员简历表</w:t>
      </w:r>
    </w:p>
    <w:tbl>
      <w:tblPr>
        <w:tblStyle w:val="22"/>
        <w:tblW w:w="492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523"/>
        <w:gridCol w:w="1570"/>
        <w:gridCol w:w="1301"/>
        <w:gridCol w:w="1689"/>
        <w:gridCol w:w="1301"/>
        <w:gridCol w:w="1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0" w:hRule="atLeast"/>
        </w:trPr>
        <w:tc>
          <w:tcPr>
            <w:tcW w:w="692" w:type="pct"/>
            <w:gridSpan w:val="2"/>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姓  名</w:t>
            </w:r>
          </w:p>
        </w:tc>
        <w:tc>
          <w:tcPr>
            <w:tcW w:w="891" w:type="pct"/>
            <w:noWrap w:val="0"/>
            <w:vAlign w:val="center"/>
          </w:tcPr>
          <w:p>
            <w:pPr>
              <w:jc w:val="center"/>
              <w:rPr>
                <w:rFonts w:hint="eastAsia" w:ascii="宋体" w:hAnsi="宋体" w:eastAsia="宋体" w:cs="宋体"/>
                <w:color w:val="auto"/>
                <w:highlight w:val="none"/>
              </w:rPr>
            </w:pPr>
          </w:p>
        </w:tc>
        <w:tc>
          <w:tcPr>
            <w:tcW w:w="738" w:type="pct"/>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性  别</w:t>
            </w:r>
          </w:p>
        </w:tc>
        <w:tc>
          <w:tcPr>
            <w:tcW w:w="958" w:type="pct"/>
            <w:noWrap w:val="0"/>
            <w:vAlign w:val="center"/>
          </w:tcPr>
          <w:p>
            <w:pPr>
              <w:jc w:val="center"/>
              <w:rPr>
                <w:rFonts w:hint="eastAsia" w:ascii="宋体" w:hAnsi="宋体" w:eastAsia="宋体" w:cs="宋体"/>
                <w:color w:val="auto"/>
                <w:highlight w:val="none"/>
              </w:rPr>
            </w:pPr>
          </w:p>
        </w:tc>
        <w:tc>
          <w:tcPr>
            <w:tcW w:w="738" w:type="pct"/>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年  龄</w:t>
            </w:r>
          </w:p>
        </w:tc>
        <w:tc>
          <w:tcPr>
            <w:tcW w:w="983" w:type="pct"/>
            <w:noWrap w:val="0"/>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9" w:hRule="atLeast"/>
        </w:trPr>
        <w:tc>
          <w:tcPr>
            <w:tcW w:w="692" w:type="pct"/>
            <w:gridSpan w:val="2"/>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学  历</w:t>
            </w:r>
          </w:p>
        </w:tc>
        <w:tc>
          <w:tcPr>
            <w:tcW w:w="891" w:type="pct"/>
            <w:noWrap w:val="0"/>
            <w:vAlign w:val="center"/>
          </w:tcPr>
          <w:p>
            <w:pPr>
              <w:jc w:val="center"/>
              <w:rPr>
                <w:rFonts w:hint="eastAsia" w:ascii="宋体" w:hAnsi="宋体" w:eastAsia="宋体" w:cs="宋体"/>
                <w:color w:val="auto"/>
                <w:highlight w:val="none"/>
              </w:rPr>
            </w:pPr>
          </w:p>
        </w:tc>
        <w:tc>
          <w:tcPr>
            <w:tcW w:w="738" w:type="pct"/>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专  业</w:t>
            </w:r>
          </w:p>
        </w:tc>
        <w:tc>
          <w:tcPr>
            <w:tcW w:w="958" w:type="pct"/>
            <w:noWrap w:val="0"/>
            <w:vAlign w:val="center"/>
          </w:tcPr>
          <w:p>
            <w:pPr>
              <w:jc w:val="center"/>
              <w:rPr>
                <w:rFonts w:hint="eastAsia" w:ascii="宋体" w:hAnsi="宋体" w:eastAsia="宋体" w:cs="宋体"/>
                <w:color w:val="auto"/>
                <w:highlight w:val="none"/>
              </w:rPr>
            </w:pPr>
          </w:p>
        </w:tc>
        <w:tc>
          <w:tcPr>
            <w:tcW w:w="738" w:type="pct"/>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职  称</w:t>
            </w:r>
          </w:p>
        </w:tc>
        <w:tc>
          <w:tcPr>
            <w:tcW w:w="983" w:type="pct"/>
            <w:noWrap w:val="0"/>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6" w:hRule="atLeast"/>
        </w:trPr>
        <w:tc>
          <w:tcPr>
            <w:tcW w:w="692" w:type="pct"/>
            <w:gridSpan w:val="2"/>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拟任职务</w:t>
            </w:r>
          </w:p>
        </w:tc>
        <w:tc>
          <w:tcPr>
            <w:tcW w:w="891" w:type="pct"/>
            <w:noWrap w:val="0"/>
            <w:vAlign w:val="center"/>
          </w:tcPr>
          <w:p>
            <w:pPr>
              <w:jc w:val="center"/>
              <w:rPr>
                <w:rFonts w:hint="eastAsia" w:ascii="宋体" w:hAnsi="宋体" w:eastAsia="宋体" w:cs="宋体"/>
                <w:color w:val="auto"/>
                <w:highlight w:val="none"/>
              </w:rPr>
            </w:pPr>
          </w:p>
        </w:tc>
        <w:tc>
          <w:tcPr>
            <w:tcW w:w="738" w:type="pct"/>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现任职务</w:t>
            </w:r>
          </w:p>
        </w:tc>
        <w:tc>
          <w:tcPr>
            <w:tcW w:w="958" w:type="pct"/>
            <w:noWrap w:val="0"/>
            <w:vAlign w:val="center"/>
          </w:tcPr>
          <w:p>
            <w:pPr>
              <w:jc w:val="center"/>
              <w:rPr>
                <w:rFonts w:hint="eastAsia" w:ascii="宋体" w:hAnsi="宋体" w:eastAsia="宋体" w:cs="宋体"/>
                <w:color w:val="auto"/>
                <w:highlight w:val="none"/>
              </w:rPr>
            </w:pPr>
          </w:p>
        </w:tc>
        <w:tc>
          <w:tcPr>
            <w:tcW w:w="738" w:type="pct"/>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相关</w:t>
            </w:r>
            <w:r>
              <w:rPr>
                <w:rFonts w:hint="eastAsia" w:ascii="宋体" w:hAnsi="宋体" w:eastAsia="宋体" w:cs="宋体"/>
                <w:color w:val="auto"/>
                <w:highlight w:val="none"/>
              </w:rPr>
              <w:br w:type="textWrapping"/>
            </w:r>
            <w:r>
              <w:rPr>
                <w:rFonts w:hint="eastAsia" w:ascii="宋体" w:hAnsi="宋体" w:eastAsia="宋体" w:cs="宋体"/>
                <w:color w:val="auto"/>
                <w:highlight w:val="none"/>
              </w:rPr>
              <w:t>工作年限</w:t>
            </w:r>
          </w:p>
        </w:tc>
        <w:tc>
          <w:tcPr>
            <w:tcW w:w="983" w:type="pct"/>
            <w:noWrap w:val="0"/>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6" w:hRule="atLeast"/>
        </w:trPr>
        <w:tc>
          <w:tcPr>
            <w:tcW w:w="692" w:type="pct"/>
            <w:gridSpan w:val="2"/>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电  话</w:t>
            </w:r>
          </w:p>
        </w:tc>
        <w:tc>
          <w:tcPr>
            <w:tcW w:w="891" w:type="pct"/>
            <w:noWrap w:val="0"/>
            <w:vAlign w:val="center"/>
          </w:tcPr>
          <w:p>
            <w:pPr>
              <w:jc w:val="center"/>
              <w:rPr>
                <w:rFonts w:hint="eastAsia" w:ascii="宋体" w:hAnsi="宋体" w:eastAsia="宋体" w:cs="宋体"/>
                <w:color w:val="auto"/>
                <w:highlight w:val="none"/>
              </w:rPr>
            </w:pPr>
          </w:p>
        </w:tc>
        <w:tc>
          <w:tcPr>
            <w:tcW w:w="738" w:type="pct"/>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手  机</w:t>
            </w:r>
          </w:p>
        </w:tc>
        <w:tc>
          <w:tcPr>
            <w:tcW w:w="958" w:type="pct"/>
            <w:noWrap w:val="0"/>
            <w:vAlign w:val="center"/>
          </w:tcPr>
          <w:p>
            <w:pPr>
              <w:jc w:val="center"/>
              <w:rPr>
                <w:rFonts w:hint="eastAsia" w:ascii="宋体" w:hAnsi="宋体" w:eastAsia="宋体" w:cs="宋体"/>
                <w:color w:val="auto"/>
                <w:highlight w:val="none"/>
              </w:rPr>
            </w:pPr>
          </w:p>
        </w:tc>
        <w:tc>
          <w:tcPr>
            <w:tcW w:w="738" w:type="pct"/>
            <w:noWrap w:val="0"/>
            <w:vAlign w:val="center"/>
          </w:tcPr>
          <w:p>
            <w:pPr>
              <w:jc w:val="center"/>
              <w:rPr>
                <w:rFonts w:hint="eastAsia" w:ascii="宋体" w:hAnsi="宋体" w:eastAsia="宋体" w:cs="宋体"/>
                <w:color w:val="auto"/>
                <w:highlight w:val="none"/>
              </w:rPr>
            </w:pPr>
          </w:p>
        </w:tc>
        <w:tc>
          <w:tcPr>
            <w:tcW w:w="983" w:type="pct"/>
            <w:noWrap w:val="0"/>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6" w:hRule="atLeast"/>
        </w:trPr>
        <w:tc>
          <w:tcPr>
            <w:tcW w:w="395" w:type="pct"/>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1187" w:type="pct"/>
            <w:gridSpan w:val="2"/>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相关工作经历</w:t>
            </w:r>
          </w:p>
        </w:tc>
        <w:tc>
          <w:tcPr>
            <w:tcW w:w="738" w:type="pct"/>
            <w:noWrap w:val="0"/>
            <w:vAlign w:val="center"/>
          </w:tcPr>
          <w:p>
            <w:pPr>
              <w:ind w:left="-140" w:leftChars="-67"/>
              <w:jc w:val="center"/>
              <w:rPr>
                <w:rFonts w:hint="eastAsia" w:ascii="宋体" w:hAnsi="宋体" w:eastAsia="宋体" w:cs="宋体"/>
                <w:color w:val="auto"/>
                <w:highlight w:val="none"/>
              </w:rPr>
            </w:pPr>
            <w:r>
              <w:rPr>
                <w:rFonts w:hint="eastAsia" w:ascii="宋体" w:hAnsi="宋体" w:eastAsia="宋体" w:cs="宋体"/>
                <w:color w:val="auto"/>
                <w:highlight w:val="none"/>
              </w:rPr>
              <w:t>时间</w:t>
            </w:r>
          </w:p>
        </w:tc>
        <w:tc>
          <w:tcPr>
            <w:tcW w:w="958" w:type="pct"/>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担任职务</w:t>
            </w:r>
          </w:p>
        </w:tc>
        <w:tc>
          <w:tcPr>
            <w:tcW w:w="1721" w:type="pct"/>
            <w:gridSpan w:val="2"/>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个人荣誉情况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6" w:hRule="atLeast"/>
        </w:trPr>
        <w:tc>
          <w:tcPr>
            <w:tcW w:w="395" w:type="pct"/>
            <w:noWrap w:val="0"/>
            <w:vAlign w:val="center"/>
          </w:tcPr>
          <w:p>
            <w:pPr>
              <w:jc w:val="center"/>
              <w:rPr>
                <w:rFonts w:hint="eastAsia" w:ascii="宋体" w:hAnsi="宋体" w:eastAsia="宋体" w:cs="宋体"/>
                <w:color w:val="auto"/>
                <w:highlight w:val="none"/>
              </w:rPr>
            </w:pPr>
          </w:p>
        </w:tc>
        <w:tc>
          <w:tcPr>
            <w:tcW w:w="1187" w:type="pct"/>
            <w:gridSpan w:val="2"/>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（近三年从事相关工作经历）</w:t>
            </w:r>
          </w:p>
        </w:tc>
        <w:tc>
          <w:tcPr>
            <w:tcW w:w="738" w:type="pct"/>
            <w:noWrap w:val="0"/>
            <w:vAlign w:val="center"/>
          </w:tcPr>
          <w:p>
            <w:pPr>
              <w:jc w:val="center"/>
              <w:rPr>
                <w:rFonts w:hint="eastAsia" w:ascii="宋体" w:hAnsi="宋体" w:eastAsia="宋体" w:cs="宋体"/>
                <w:color w:val="auto"/>
                <w:highlight w:val="none"/>
              </w:rPr>
            </w:pPr>
          </w:p>
        </w:tc>
        <w:tc>
          <w:tcPr>
            <w:tcW w:w="958" w:type="pct"/>
            <w:noWrap w:val="0"/>
            <w:vAlign w:val="center"/>
          </w:tcPr>
          <w:p>
            <w:pPr>
              <w:jc w:val="center"/>
              <w:rPr>
                <w:rFonts w:hint="eastAsia" w:ascii="宋体" w:hAnsi="宋体" w:eastAsia="宋体" w:cs="宋体"/>
                <w:color w:val="auto"/>
                <w:highlight w:val="none"/>
              </w:rPr>
            </w:pPr>
          </w:p>
        </w:tc>
        <w:tc>
          <w:tcPr>
            <w:tcW w:w="1721" w:type="pct"/>
            <w:gridSpan w:val="2"/>
            <w:noWrap w:val="0"/>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6" w:hRule="atLeast"/>
        </w:trPr>
        <w:tc>
          <w:tcPr>
            <w:tcW w:w="395" w:type="pct"/>
            <w:noWrap w:val="0"/>
            <w:vAlign w:val="center"/>
          </w:tcPr>
          <w:p>
            <w:pPr>
              <w:jc w:val="center"/>
              <w:rPr>
                <w:rFonts w:hint="eastAsia" w:ascii="宋体" w:hAnsi="宋体" w:eastAsia="宋体" w:cs="宋体"/>
                <w:color w:val="auto"/>
                <w:highlight w:val="none"/>
              </w:rPr>
            </w:pPr>
          </w:p>
        </w:tc>
        <w:tc>
          <w:tcPr>
            <w:tcW w:w="1187" w:type="pct"/>
            <w:gridSpan w:val="2"/>
            <w:noWrap w:val="0"/>
            <w:vAlign w:val="center"/>
          </w:tcPr>
          <w:p>
            <w:pPr>
              <w:jc w:val="center"/>
              <w:rPr>
                <w:rFonts w:hint="eastAsia" w:ascii="宋体" w:hAnsi="宋体" w:eastAsia="宋体" w:cs="宋体"/>
                <w:color w:val="auto"/>
                <w:highlight w:val="none"/>
              </w:rPr>
            </w:pPr>
          </w:p>
        </w:tc>
        <w:tc>
          <w:tcPr>
            <w:tcW w:w="738" w:type="pct"/>
            <w:noWrap w:val="0"/>
            <w:vAlign w:val="center"/>
          </w:tcPr>
          <w:p>
            <w:pPr>
              <w:jc w:val="center"/>
              <w:rPr>
                <w:rFonts w:hint="eastAsia" w:ascii="宋体" w:hAnsi="宋体" w:eastAsia="宋体" w:cs="宋体"/>
                <w:color w:val="auto"/>
                <w:highlight w:val="none"/>
              </w:rPr>
            </w:pPr>
          </w:p>
        </w:tc>
        <w:tc>
          <w:tcPr>
            <w:tcW w:w="958" w:type="pct"/>
            <w:noWrap w:val="0"/>
            <w:vAlign w:val="center"/>
          </w:tcPr>
          <w:p>
            <w:pPr>
              <w:jc w:val="center"/>
              <w:rPr>
                <w:rFonts w:hint="eastAsia" w:ascii="宋体" w:hAnsi="宋体" w:eastAsia="宋体" w:cs="宋体"/>
                <w:color w:val="auto"/>
                <w:highlight w:val="none"/>
              </w:rPr>
            </w:pPr>
          </w:p>
        </w:tc>
        <w:tc>
          <w:tcPr>
            <w:tcW w:w="1721" w:type="pct"/>
            <w:gridSpan w:val="2"/>
            <w:noWrap w:val="0"/>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6" w:hRule="atLeast"/>
        </w:trPr>
        <w:tc>
          <w:tcPr>
            <w:tcW w:w="395" w:type="pct"/>
            <w:noWrap w:val="0"/>
            <w:vAlign w:val="center"/>
          </w:tcPr>
          <w:p>
            <w:pPr>
              <w:jc w:val="center"/>
              <w:rPr>
                <w:rFonts w:hint="eastAsia" w:ascii="宋体" w:hAnsi="宋体" w:eastAsia="宋体" w:cs="宋体"/>
                <w:color w:val="auto"/>
                <w:highlight w:val="none"/>
              </w:rPr>
            </w:pPr>
          </w:p>
        </w:tc>
        <w:tc>
          <w:tcPr>
            <w:tcW w:w="1187" w:type="pct"/>
            <w:gridSpan w:val="2"/>
            <w:noWrap w:val="0"/>
            <w:vAlign w:val="center"/>
          </w:tcPr>
          <w:p>
            <w:pPr>
              <w:jc w:val="center"/>
              <w:rPr>
                <w:rFonts w:hint="eastAsia" w:ascii="宋体" w:hAnsi="宋体" w:eastAsia="宋体" w:cs="宋体"/>
                <w:color w:val="auto"/>
                <w:highlight w:val="none"/>
              </w:rPr>
            </w:pPr>
          </w:p>
        </w:tc>
        <w:tc>
          <w:tcPr>
            <w:tcW w:w="738" w:type="pct"/>
            <w:noWrap w:val="0"/>
            <w:vAlign w:val="center"/>
          </w:tcPr>
          <w:p>
            <w:pPr>
              <w:jc w:val="center"/>
              <w:rPr>
                <w:rFonts w:hint="eastAsia" w:ascii="宋体" w:hAnsi="宋体" w:eastAsia="宋体" w:cs="宋体"/>
                <w:color w:val="auto"/>
                <w:highlight w:val="none"/>
              </w:rPr>
            </w:pPr>
          </w:p>
        </w:tc>
        <w:tc>
          <w:tcPr>
            <w:tcW w:w="958" w:type="pct"/>
            <w:noWrap w:val="0"/>
            <w:vAlign w:val="center"/>
          </w:tcPr>
          <w:p>
            <w:pPr>
              <w:jc w:val="center"/>
              <w:rPr>
                <w:rFonts w:hint="eastAsia" w:ascii="宋体" w:hAnsi="宋体" w:eastAsia="宋体" w:cs="宋体"/>
                <w:color w:val="auto"/>
                <w:highlight w:val="none"/>
              </w:rPr>
            </w:pPr>
          </w:p>
        </w:tc>
        <w:tc>
          <w:tcPr>
            <w:tcW w:w="1721" w:type="pct"/>
            <w:gridSpan w:val="2"/>
            <w:noWrap w:val="0"/>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6" w:hRule="atLeast"/>
        </w:trPr>
        <w:tc>
          <w:tcPr>
            <w:tcW w:w="395" w:type="pct"/>
            <w:noWrap w:val="0"/>
            <w:vAlign w:val="center"/>
          </w:tcPr>
          <w:p>
            <w:pPr>
              <w:jc w:val="center"/>
              <w:rPr>
                <w:rFonts w:hint="eastAsia" w:ascii="宋体" w:hAnsi="宋体" w:eastAsia="宋体" w:cs="宋体"/>
                <w:color w:val="auto"/>
                <w:highlight w:val="none"/>
              </w:rPr>
            </w:pPr>
          </w:p>
        </w:tc>
        <w:tc>
          <w:tcPr>
            <w:tcW w:w="1187" w:type="pct"/>
            <w:gridSpan w:val="2"/>
            <w:noWrap w:val="0"/>
            <w:vAlign w:val="center"/>
          </w:tcPr>
          <w:p>
            <w:pPr>
              <w:jc w:val="center"/>
              <w:rPr>
                <w:rFonts w:hint="eastAsia" w:ascii="宋体" w:hAnsi="宋体" w:eastAsia="宋体" w:cs="宋体"/>
                <w:color w:val="auto"/>
                <w:highlight w:val="none"/>
              </w:rPr>
            </w:pPr>
          </w:p>
        </w:tc>
        <w:tc>
          <w:tcPr>
            <w:tcW w:w="738" w:type="pct"/>
            <w:noWrap w:val="0"/>
            <w:vAlign w:val="center"/>
          </w:tcPr>
          <w:p>
            <w:pPr>
              <w:jc w:val="center"/>
              <w:rPr>
                <w:rFonts w:hint="eastAsia" w:ascii="宋体" w:hAnsi="宋体" w:eastAsia="宋体" w:cs="宋体"/>
                <w:color w:val="auto"/>
                <w:highlight w:val="none"/>
              </w:rPr>
            </w:pPr>
          </w:p>
        </w:tc>
        <w:tc>
          <w:tcPr>
            <w:tcW w:w="958" w:type="pct"/>
            <w:noWrap w:val="0"/>
            <w:vAlign w:val="center"/>
          </w:tcPr>
          <w:p>
            <w:pPr>
              <w:jc w:val="center"/>
              <w:rPr>
                <w:rFonts w:hint="eastAsia" w:ascii="宋体" w:hAnsi="宋体" w:eastAsia="宋体" w:cs="宋体"/>
                <w:color w:val="auto"/>
                <w:highlight w:val="none"/>
              </w:rPr>
            </w:pPr>
          </w:p>
        </w:tc>
        <w:tc>
          <w:tcPr>
            <w:tcW w:w="1721" w:type="pct"/>
            <w:gridSpan w:val="2"/>
            <w:noWrap w:val="0"/>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6" w:hRule="atLeast"/>
        </w:trPr>
        <w:tc>
          <w:tcPr>
            <w:tcW w:w="395" w:type="pct"/>
            <w:noWrap w:val="0"/>
            <w:vAlign w:val="center"/>
          </w:tcPr>
          <w:p>
            <w:pPr>
              <w:jc w:val="center"/>
              <w:rPr>
                <w:rFonts w:hint="eastAsia" w:ascii="宋体" w:hAnsi="宋体" w:eastAsia="宋体" w:cs="宋体"/>
                <w:color w:val="auto"/>
                <w:highlight w:val="none"/>
              </w:rPr>
            </w:pPr>
          </w:p>
        </w:tc>
        <w:tc>
          <w:tcPr>
            <w:tcW w:w="1187" w:type="pct"/>
            <w:gridSpan w:val="2"/>
            <w:noWrap w:val="0"/>
            <w:vAlign w:val="center"/>
          </w:tcPr>
          <w:p>
            <w:pPr>
              <w:jc w:val="center"/>
              <w:rPr>
                <w:rFonts w:hint="eastAsia" w:ascii="宋体" w:hAnsi="宋体" w:eastAsia="宋体" w:cs="宋体"/>
                <w:color w:val="auto"/>
                <w:highlight w:val="none"/>
              </w:rPr>
            </w:pPr>
          </w:p>
        </w:tc>
        <w:tc>
          <w:tcPr>
            <w:tcW w:w="738" w:type="pct"/>
            <w:noWrap w:val="0"/>
            <w:vAlign w:val="center"/>
          </w:tcPr>
          <w:p>
            <w:pPr>
              <w:jc w:val="center"/>
              <w:rPr>
                <w:rFonts w:hint="eastAsia" w:ascii="宋体" w:hAnsi="宋体" w:eastAsia="宋体" w:cs="宋体"/>
                <w:color w:val="auto"/>
                <w:highlight w:val="none"/>
              </w:rPr>
            </w:pPr>
          </w:p>
        </w:tc>
        <w:tc>
          <w:tcPr>
            <w:tcW w:w="958" w:type="pct"/>
            <w:noWrap w:val="0"/>
            <w:vAlign w:val="center"/>
          </w:tcPr>
          <w:p>
            <w:pPr>
              <w:jc w:val="center"/>
              <w:rPr>
                <w:rFonts w:hint="eastAsia" w:ascii="宋体" w:hAnsi="宋体" w:eastAsia="宋体" w:cs="宋体"/>
                <w:color w:val="auto"/>
                <w:highlight w:val="none"/>
              </w:rPr>
            </w:pPr>
          </w:p>
        </w:tc>
        <w:tc>
          <w:tcPr>
            <w:tcW w:w="1721" w:type="pct"/>
            <w:gridSpan w:val="2"/>
            <w:noWrap w:val="0"/>
            <w:vAlign w:val="center"/>
          </w:tcPr>
          <w:p>
            <w:pPr>
              <w:jc w:val="center"/>
              <w:rPr>
                <w:rFonts w:hint="eastAsia" w:ascii="宋体" w:hAnsi="宋体" w:eastAsia="宋体" w:cs="宋体"/>
                <w:color w:val="auto"/>
                <w:highlight w:val="none"/>
              </w:rPr>
            </w:pPr>
          </w:p>
        </w:tc>
      </w:tr>
    </w:tbl>
    <w:p>
      <w:pPr>
        <w:spacing w:line="360" w:lineRule="auto"/>
        <w:rPr>
          <w:rFonts w:hint="eastAsia" w:ascii="宋体" w:hAnsi="宋体" w:eastAsia="宋体" w:cs="宋体"/>
          <w:color w:val="auto"/>
          <w:spacing w:val="20"/>
          <w:szCs w:val="21"/>
          <w:highlight w:val="none"/>
        </w:rPr>
      </w:pPr>
      <w:r>
        <w:rPr>
          <w:rFonts w:hint="eastAsia" w:ascii="宋体" w:hAnsi="宋体" w:eastAsia="宋体" w:cs="宋体"/>
          <w:color w:val="auto"/>
          <w:spacing w:val="20"/>
          <w:szCs w:val="21"/>
          <w:highlight w:val="none"/>
        </w:rPr>
        <w:t>注：职称、学历、业绩等应附相应证明材料。</w:t>
      </w:r>
    </w:p>
    <w:p>
      <w:pPr>
        <w:spacing w:line="360" w:lineRule="auto"/>
        <w:rPr>
          <w:rFonts w:hint="eastAsia" w:ascii="宋体" w:hAnsi="宋体" w:eastAsia="宋体" w:cs="宋体"/>
          <w:color w:val="auto"/>
          <w:spacing w:val="20"/>
          <w:sz w:val="24"/>
          <w:highlight w:val="none"/>
        </w:rPr>
      </w:pPr>
    </w:p>
    <w:p>
      <w:pPr>
        <w:spacing w:line="360" w:lineRule="auto"/>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附表B：主要技术人员配备情况表</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7"/>
        <w:gridCol w:w="1351"/>
        <w:gridCol w:w="893"/>
        <w:gridCol w:w="1344"/>
        <w:gridCol w:w="1025"/>
        <w:gridCol w:w="1975"/>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atLeast"/>
        </w:trPr>
        <w:tc>
          <w:tcPr>
            <w:tcW w:w="468" w:type="pct"/>
            <w:noWrap w:val="0"/>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序 号</w:t>
            </w:r>
          </w:p>
        </w:tc>
        <w:tc>
          <w:tcPr>
            <w:tcW w:w="755" w:type="pct"/>
            <w:noWrap w:val="0"/>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姓 名</w:t>
            </w:r>
          </w:p>
        </w:tc>
        <w:tc>
          <w:tcPr>
            <w:tcW w:w="499" w:type="pct"/>
            <w:noWrap w:val="0"/>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学历</w:t>
            </w:r>
          </w:p>
        </w:tc>
        <w:tc>
          <w:tcPr>
            <w:tcW w:w="751" w:type="pct"/>
            <w:noWrap w:val="0"/>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专业</w:t>
            </w:r>
          </w:p>
        </w:tc>
        <w:tc>
          <w:tcPr>
            <w:tcW w:w="573" w:type="pct"/>
            <w:noWrap w:val="0"/>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职称</w:t>
            </w:r>
          </w:p>
        </w:tc>
        <w:tc>
          <w:tcPr>
            <w:tcW w:w="1104" w:type="pct"/>
            <w:noWrap w:val="0"/>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职称证书编号</w:t>
            </w:r>
          </w:p>
        </w:tc>
        <w:tc>
          <w:tcPr>
            <w:tcW w:w="850" w:type="pct"/>
            <w:noWrap w:val="0"/>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atLeast"/>
        </w:trPr>
        <w:tc>
          <w:tcPr>
            <w:tcW w:w="468" w:type="pct"/>
            <w:noWrap w:val="0"/>
            <w:vAlign w:val="center"/>
          </w:tcPr>
          <w:p>
            <w:pPr>
              <w:jc w:val="center"/>
              <w:rPr>
                <w:rFonts w:hint="eastAsia" w:ascii="宋体" w:hAnsi="宋体" w:eastAsia="宋体" w:cs="宋体"/>
                <w:b/>
                <w:color w:val="auto"/>
                <w:highlight w:val="none"/>
              </w:rPr>
            </w:pPr>
          </w:p>
        </w:tc>
        <w:tc>
          <w:tcPr>
            <w:tcW w:w="755" w:type="pct"/>
            <w:noWrap w:val="0"/>
            <w:vAlign w:val="center"/>
          </w:tcPr>
          <w:p>
            <w:pPr>
              <w:jc w:val="center"/>
              <w:rPr>
                <w:rFonts w:hint="eastAsia" w:ascii="宋体" w:hAnsi="宋体" w:eastAsia="宋体" w:cs="宋体"/>
                <w:b/>
                <w:color w:val="auto"/>
                <w:highlight w:val="none"/>
              </w:rPr>
            </w:pPr>
          </w:p>
        </w:tc>
        <w:tc>
          <w:tcPr>
            <w:tcW w:w="499" w:type="pct"/>
            <w:noWrap w:val="0"/>
            <w:vAlign w:val="center"/>
          </w:tcPr>
          <w:p>
            <w:pPr>
              <w:jc w:val="center"/>
              <w:rPr>
                <w:rFonts w:hint="eastAsia" w:ascii="宋体" w:hAnsi="宋体" w:eastAsia="宋体" w:cs="宋体"/>
                <w:color w:val="auto"/>
                <w:highlight w:val="none"/>
              </w:rPr>
            </w:pPr>
          </w:p>
        </w:tc>
        <w:tc>
          <w:tcPr>
            <w:tcW w:w="751" w:type="pct"/>
            <w:noWrap w:val="0"/>
            <w:vAlign w:val="center"/>
          </w:tcPr>
          <w:p>
            <w:pPr>
              <w:jc w:val="center"/>
              <w:rPr>
                <w:rFonts w:hint="eastAsia" w:ascii="宋体" w:hAnsi="宋体" w:eastAsia="宋体" w:cs="宋体"/>
                <w:color w:val="auto"/>
                <w:highlight w:val="none"/>
              </w:rPr>
            </w:pPr>
          </w:p>
        </w:tc>
        <w:tc>
          <w:tcPr>
            <w:tcW w:w="573" w:type="pct"/>
            <w:noWrap w:val="0"/>
            <w:vAlign w:val="center"/>
          </w:tcPr>
          <w:p>
            <w:pPr>
              <w:jc w:val="center"/>
              <w:rPr>
                <w:rFonts w:hint="eastAsia" w:ascii="宋体" w:hAnsi="宋体" w:eastAsia="宋体" w:cs="宋体"/>
                <w:color w:val="auto"/>
                <w:highlight w:val="none"/>
              </w:rPr>
            </w:pPr>
          </w:p>
        </w:tc>
        <w:tc>
          <w:tcPr>
            <w:tcW w:w="1104" w:type="pct"/>
            <w:noWrap w:val="0"/>
            <w:vAlign w:val="center"/>
          </w:tcPr>
          <w:p>
            <w:pPr>
              <w:jc w:val="center"/>
              <w:rPr>
                <w:rFonts w:hint="eastAsia" w:ascii="宋体" w:hAnsi="宋体" w:eastAsia="宋体" w:cs="宋体"/>
                <w:color w:val="auto"/>
                <w:highlight w:val="none"/>
              </w:rPr>
            </w:pPr>
          </w:p>
        </w:tc>
        <w:tc>
          <w:tcPr>
            <w:tcW w:w="850" w:type="pct"/>
            <w:noWrap w:val="0"/>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atLeast"/>
        </w:trPr>
        <w:tc>
          <w:tcPr>
            <w:tcW w:w="468" w:type="pct"/>
            <w:noWrap w:val="0"/>
            <w:vAlign w:val="center"/>
          </w:tcPr>
          <w:p>
            <w:pPr>
              <w:jc w:val="center"/>
              <w:rPr>
                <w:rFonts w:hint="eastAsia" w:ascii="宋体" w:hAnsi="宋体" w:eastAsia="宋体" w:cs="宋体"/>
                <w:color w:val="auto"/>
                <w:highlight w:val="none"/>
              </w:rPr>
            </w:pPr>
          </w:p>
        </w:tc>
        <w:tc>
          <w:tcPr>
            <w:tcW w:w="755" w:type="pct"/>
            <w:noWrap w:val="0"/>
            <w:vAlign w:val="center"/>
          </w:tcPr>
          <w:p>
            <w:pPr>
              <w:jc w:val="center"/>
              <w:rPr>
                <w:rFonts w:hint="eastAsia" w:ascii="宋体" w:hAnsi="宋体" w:eastAsia="宋体" w:cs="宋体"/>
                <w:color w:val="auto"/>
                <w:highlight w:val="none"/>
              </w:rPr>
            </w:pPr>
          </w:p>
        </w:tc>
        <w:tc>
          <w:tcPr>
            <w:tcW w:w="499" w:type="pct"/>
            <w:noWrap w:val="0"/>
            <w:vAlign w:val="center"/>
          </w:tcPr>
          <w:p>
            <w:pPr>
              <w:jc w:val="center"/>
              <w:rPr>
                <w:rFonts w:hint="eastAsia" w:ascii="宋体" w:hAnsi="宋体" w:eastAsia="宋体" w:cs="宋体"/>
                <w:color w:val="auto"/>
                <w:highlight w:val="none"/>
              </w:rPr>
            </w:pPr>
          </w:p>
        </w:tc>
        <w:tc>
          <w:tcPr>
            <w:tcW w:w="751" w:type="pct"/>
            <w:noWrap w:val="0"/>
            <w:vAlign w:val="center"/>
          </w:tcPr>
          <w:p>
            <w:pPr>
              <w:jc w:val="center"/>
              <w:rPr>
                <w:rFonts w:hint="eastAsia" w:ascii="宋体" w:hAnsi="宋体" w:eastAsia="宋体" w:cs="宋体"/>
                <w:color w:val="auto"/>
                <w:highlight w:val="none"/>
              </w:rPr>
            </w:pPr>
          </w:p>
        </w:tc>
        <w:tc>
          <w:tcPr>
            <w:tcW w:w="573" w:type="pct"/>
            <w:noWrap w:val="0"/>
            <w:vAlign w:val="center"/>
          </w:tcPr>
          <w:p>
            <w:pPr>
              <w:jc w:val="center"/>
              <w:rPr>
                <w:rFonts w:hint="eastAsia" w:ascii="宋体" w:hAnsi="宋体" w:eastAsia="宋体" w:cs="宋体"/>
                <w:color w:val="auto"/>
                <w:highlight w:val="none"/>
              </w:rPr>
            </w:pPr>
          </w:p>
        </w:tc>
        <w:tc>
          <w:tcPr>
            <w:tcW w:w="1104" w:type="pct"/>
            <w:noWrap w:val="0"/>
            <w:vAlign w:val="center"/>
          </w:tcPr>
          <w:p>
            <w:pPr>
              <w:jc w:val="center"/>
              <w:rPr>
                <w:rFonts w:hint="eastAsia" w:ascii="宋体" w:hAnsi="宋体" w:eastAsia="宋体" w:cs="宋体"/>
                <w:color w:val="auto"/>
                <w:highlight w:val="none"/>
              </w:rPr>
            </w:pPr>
          </w:p>
        </w:tc>
        <w:tc>
          <w:tcPr>
            <w:tcW w:w="850" w:type="pct"/>
            <w:noWrap w:val="0"/>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atLeast"/>
        </w:trPr>
        <w:tc>
          <w:tcPr>
            <w:tcW w:w="468" w:type="pct"/>
            <w:noWrap w:val="0"/>
            <w:vAlign w:val="center"/>
          </w:tcPr>
          <w:p>
            <w:pPr>
              <w:jc w:val="center"/>
              <w:rPr>
                <w:rFonts w:hint="eastAsia" w:ascii="宋体" w:hAnsi="宋体" w:eastAsia="宋体" w:cs="宋体"/>
                <w:color w:val="auto"/>
                <w:highlight w:val="none"/>
              </w:rPr>
            </w:pPr>
          </w:p>
        </w:tc>
        <w:tc>
          <w:tcPr>
            <w:tcW w:w="755" w:type="pct"/>
            <w:noWrap w:val="0"/>
            <w:vAlign w:val="center"/>
          </w:tcPr>
          <w:p>
            <w:pPr>
              <w:jc w:val="center"/>
              <w:rPr>
                <w:rFonts w:hint="eastAsia" w:ascii="宋体" w:hAnsi="宋体" w:eastAsia="宋体" w:cs="宋体"/>
                <w:color w:val="auto"/>
                <w:highlight w:val="none"/>
              </w:rPr>
            </w:pPr>
          </w:p>
        </w:tc>
        <w:tc>
          <w:tcPr>
            <w:tcW w:w="499" w:type="pct"/>
            <w:noWrap w:val="0"/>
            <w:vAlign w:val="center"/>
          </w:tcPr>
          <w:p>
            <w:pPr>
              <w:jc w:val="center"/>
              <w:rPr>
                <w:rFonts w:hint="eastAsia" w:ascii="宋体" w:hAnsi="宋体" w:eastAsia="宋体" w:cs="宋体"/>
                <w:color w:val="auto"/>
                <w:highlight w:val="none"/>
              </w:rPr>
            </w:pPr>
          </w:p>
        </w:tc>
        <w:tc>
          <w:tcPr>
            <w:tcW w:w="751" w:type="pct"/>
            <w:noWrap w:val="0"/>
            <w:vAlign w:val="center"/>
          </w:tcPr>
          <w:p>
            <w:pPr>
              <w:jc w:val="center"/>
              <w:rPr>
                <w:rFonts w:hint="eastAsia" w:ascii="宋体" w:hAnsi="宋体" w:eastAsia="宋体" w:cs="宋体"/>
                <w:color w:val="auto"/>
                <w:highlight w:val="none"/>
              </w:rPr>
            </w:pPr>
          </w:p>
        </w:tc>
        <w:tc>
          <w:tcPr>
            <w:tcW w:w="573" w:type="pct"/>
            <w:noWrap w:val="0"/>
            <w:vAlign w:val="center"/>
          </w:tcPr>
          <w:p>
            <w:pPr>
              <w:jc w:val="center"/>
              <w:rPr>
                <w:rFonts w:hint="eastAsia" w:ascii="宋体" w:hAnsi="宋体" w:eastAsia="宋体" w:cs="宋体"/>
                <w:color w:val="auto"/>
                <w:highlight w:val="none"/>
              </w:rPr>
            </w:pPr>
          </w:p>
        </w:tc>
        <w:tc>
          <w:tcPr>
            <w:tcW w:w="1104" w:type="pct"/>
            <w:noWrap w:val="0"/>
            <w:vAlign w:val="center"/>
          </w:tcPr>
          <w:p>
            <w:pPr>
              <w:jc w:val="center"/>
              <w:rPr>
                <w:rFonts w:hint="eastAsia" w:ascii="宋体" w:hAnsi="宋体" w:eastAsia="宋体" w:cs="宋体"/>
                <w:color w:val="auto"/>
                <w:highlight w:val="none"/>
              </w:rPr>
            </w:pPr>
          </w:p>
        </w:tc>
        <w:tc>
          <w:tcPr>
            <w:tcW w:w="850" w:type="pct"/>
            <w:noWrap w:val="0"/>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atLeast"/>
        </w:trPr>
        <w:tc>
          <w:tcPr>
            <w:tcW w:w="468" w:type="pct"/>
            <w:noWrap w:val="0"/>
            <w:vAlign w:val="center"/>
          </w:tcPr>
          <w:p>
            <w:pPr>
              <w:jc w:val="center"/>
              <w:rPr>
                <w:rFonts w:hint="eastAsia" w:ascii="宋体" w:hAnsi="宋体" w:eastAsia="宋体" w:cs="宋体"/>
                <w:color w:val="auto"/>
                <w:highlight w:val="none"/>
              </w:rPr>
            </w:pPr>
          </w:p>
        </w:tc>
        <w:tc>
          <w:tcPr>
            <w:tcW w:w="755" w:type="pct"/>
            <w:noWrap w:val="0"/>
            <w:vAlign w:val="center"/>
          </w:tcPr>
          <w:p>
            <w:pPr>
              <w:jc w:val="center"/>
              <w:rPr>
                <w:rFonts w:hint="eastAsia" w:ascii="宋体" w:hAnsi="宋体" w:eastAsia="宋体" w:cs="宋体"/>
                <w:color w:val="auto"/>
                <w:highlight w:val="none"/>
              </w:rPr>
            </w:pPr>
          </w:p>
        </w:tc>
        <w:tc>
          <w:tcPr>
            <w:tcW w:w="499" w:type="pct"/>
            <w:noWrap w:val="0"/>
            <w:vAlign w:val="center"/>
          </w:tcPr>
          <w:p>
            <w:pPr>
              <w:jc w:val="center"/>
              <w:rPr>
                <w:rFonts w:hint="eastAsia" w:ascii="宋体" w:hAnsi="宋体" w:eastAsia="宋体" w:cs="宋体"/>
                <w:color w:val="auto"/>
                <w:highlight w:val="none"/>
              </w:rPr>
            </w:pPr>
          </w:p>
        </w:tc>
        <w:tc>
          <w:tcPr>
            <w:tcW w:w="751" w:type="pct"/>
            <w:noWrap w:val="0"/>
            <w:vAlign w:val="center"/>
          </w:tcPr>
          <w:p>
            <w:pPr>
              <w:jc w:val="center"/>
              <w:rPr>
                <w:rFonts w:hint="eastAsia" w:ascii="宋体" w:hAnsi="宋体" w:eastAsia="宋体" w:cs="宋体"/>
                <w:color w:val="auto"/>
                <w:highlight w:val="none"/>
              </w:rPr>
            </w:pPr>
          </w:p>
        </w:tc>
        <w:tc>
          <w:tcPr>
            <w:tcW w:w="573" w:type="pct"/>
            <w:noWrap w:val="0"/>
            <w:vAlign w:val="center"/>
          </w:tcPr>
          <w:p>
            <w:pPr>
              <w:jc w:val="center"/>
              <w:rPr>
                <w:rFonts w:hint="eastAsia" w:ascii="宋体" w:hAnsi="宋体" w:eastAsia="宋体" w:cs="宋体"/>
                <w:color w:val="auto"/>
                <w:highlight w:val="none"/>
              </w:rPr>
            </w:pPr>
          </w:p>
        </w:tc>
        <w:tc>
          <w:tcPr>
            <w:tcW w:w="1104" w:type="pct"/>
            <w:noWrap w:val="0"/>
            <w:vAlign w:val="center"/>
          </w:tcPr>
          <w:p>
            <w:pPr>
              <w:jc w:val="center"/>
              <w:rPr>
                <w:rFonts w:hint="eastAsia" w:ascii="宋体" w:hAnsi="宋体" w:eastAsia="宋体" w:cs="宋体"/>
                <w:color w:val="auto"/>
                <w:highlight w:val="none"/>
              </w:rPr>
            </w:pPr>
          </w:p>
        </w:tc>
        <w:tc>
          <w:tcPr>
            <w:tcW w:w="850" w:type="pct"/>
            <w:noWrap w:val="0"/>
            <w:vAlign w:val="center"/>
          </w:tcPr>
          <w:p>
            <w:pPr>
              <w:jc w:val="center"/>
              <w:rPr>
                <w:rFonts w:hint="eastAsia" w:ascii="宋体" w:hAnsi="宋体" w:eastAsia="宋体" w:cs="宋体"/>
                <w:color w:val="auto"/>
                <w:highlight w:val="none"/>
              </w:rPr>
            </w:pPr>
          </w:p>
        </w:tc>
      </w:tr>
    </w:tbl>
    <w:p>
      <w:pPr>
        <w:spacing w:line="360" w:lineRule="auto"/>
        <w:rPr>
          <w:rFonts w:hint="eastAsia" w:ascii="宋体" w:hAnsi="宋体" w:eastAsia="宋体" w:cs="宋体"/>
          <w:color w:val="auto"/>
          <w:spacing w:val="20"/>
          <w:sz w:val="24"/>
          <w:highlight w:val="none"/>
        </w:rPr>
      </w:pPr>
      <w:r>
        <w:rPr>
          <w:rFonts w:hint="eastAsia" w:ascii="宋体" w:hAnsi="宋体" w:eastAsia="宋体" w:cs="宋体"/>
          <w:color w:val="auto"/>
          <w:spacing w:val="20"/>
          <w:szCs w:val="21"/>
          <w:highlight w:val="none"/>
        </w:rPr>
        <w:t>注：职称、学历、业绩等应附相应证明材料。</w:t>
      </w:r>
    </w:p>
    <w:p>
      <w:pPr>
        <w:spacing w:line="360" w:lineRule="auto"/>
        <w:rPr>
          <w:rFonts w:hint="eastAsia" w:ascii="宋体" w:hAnsi="宋体" w:eastAsia="宋体" w:cs="宋体"/>
          <w:color w:val="auto"/>
          <w:spacing w:val="20"/>
          <w:sz w:val="24"/>
          <w:highlight w:val="none"/>
        </w:rPr>
      </w:pPr>
    </w:p>
    <w:p>
      <w:pPr>
        <w:spacing w:line="360" w:lineRule="auto"/>
        <w:rPr>
          <w:rFonts w:hint="eastAsia" w:ascii="宋体" w:hAnsi="宋体" w:eastAsia="宋体" w:cs="宋体"/>
          <w:color w:val="auto"/>
          <w:spacing w:val="20"/>
          <w:sz w:val="24"/>
          <w:highlight w:val="none"/>
        </w:rPr>
      </w:pPr>
    </w:p>
    <w:p>
      <w:pPr>
        <w:spacing w:line="360" w:lineRule="auto"/>
        <w:jc w:val="right"/>
        <w:rPr>
          <w:rFonts w:hint="eastAsia" w:ascii="宋体" w:hAnsi="宋体" w:eastAsia="宋体" w:cs="宋体"/>
          <w:color w:val="auto"/>
          <w:spacing w:val="20"/>
          <w:sz w:val="24"/>
          <w:highlight w:val="none"/>
        </w:rPr>
      </w:pPr>
      <w:r>
        <w:rPr>
          <w:rFonts w:hint="eastAsia" w:ascii="宋体" w:hAnsi="宋体" w:eastAsia="宋体" w:cs="宋体"/>
          <w:color w:val="auto"/>
          <w:sz w:val="24"/>
          <w:highlight w:val="none"/>
        </w:rPr>
        <w:t>投标人名称（电子签名）：</w:t>
      </w:r>
      <w:r>
        <w:rPr>
          <w:rFonts w:hint="eastAsia" w:ascii="宋体" w:hAnsi="宋体" w:eastAsia="宋体" w:cs="宋体"/>
          <w:color w:val="auto"/>
          <w:spacing w:val="20"/>
          <w:sz w:val="24"/>
          <w:highlight w:val="none"/>
        </w:rPr>
        <w:t xml:space="preserve">      </w:t>
      </w:r>
    </w:p>
    <w:p>
      <w:pPr>
        <w:spacing w:line="360" w:lineRule="auto"/>
        <w:jc w:val="right"/>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日期：2020年   月   日</w:t>
      </w:r>
    </w:p>
    <w:p>
      <w:pPr>
        <w:spacing w:line="360" w:lineRule="auto"/>
        <w:rPr>
          <w:rFonts w:hint="eastAsia" w:ascii="宋体" w:hAnsi="宋体" w:eastAsia="宋体" w:cs="宋体"/>
          <w:b/>
          <w:color w:val="auto"/>
          <w:spacing w:val="20"/>
          <w:sz w:val="24"/>
          <w:highlight w:val="none"/>
        </w:rPr>
      </w:pPr>
    </w:p>
    <w:p>
      <w:pPr>
        <w:spacing w:line="360" w:lineRule="auto"/>
        <w:rPr>
          <w:rFonts w:hint="eastAsia" w:ascii="宋体" w:hAnsi="宋体" w:eastAsia="宋体" w:cs="宋体"/>
          <w:b/>
          <w:color w:val="auto"/>
          <w:spacing w:val="20"/>
          <w:sz w:val="24"/>
          <w:highlight w:val="none"/>
        </w:rPr>
      </w:pPr>
      <w:r>
        <w:rPr>
          <w:rFonts w:hint="eastAsia" w:ascii="宋体" w:hAnsi="宋体" w:eastAsia="宋体" w:cs="宋体"/>
          <w:b/>
          <w:color w:val="auto"/>
          <w:spacing w:val="20"/>
          <w:sz w:val="24"/>
          <w:highlight w:val="none"/>
        </w:rPr>
        <w:br w:type="page"/>
      </w:r>
    </w:p>
    <w:p>
      <w:pPr>
        <w:spacing w:line="360" w:lineRule="auto"/>
        <w:ind w:left="420"/>
        <w:jc w:val="center"/>
        <w:rPr>
          <w:rFonts w:hint="eastAsia" w:ascii="宋体" w:hAnsi="宋体" w:eastAsia="宋体" w:cs="宋体"/>
          <w:b/>
          <w:color w:val="auto"/>
          <w:spacing w:val="20"/>
          <w:sz w:val="24"/>
          <w:highlight w:val="none"/>
        </w:rPr>
      </w:pPr>
      <w:r>
        <w:rPr>
          <w:rFonts w:hint="eastAsia" w:ascii="宋体" w:hAnsi="宋体" w:eastAsia="宋体" w:cs="宋体"/>
          <w:b/>
          <w:color w:val="auto"/>
          <w:spacing w:val="20"/>
          <w:sz w:val="24"/>
          <w:highlight w:val="none"/>
        </w:rPr>
        <w:t>十九、技术偏离说明表</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6"/>
        <w:gridCol w:w="1662"/>
        <w:gridCol w:w="1789"/>
        <w:gridCol w:w="1790"/>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71" w:type="pct"/>
            <w:noWrap w:val="0"/>
            <w:vAlign w:val="top"/>
          </w:tcPr>
          <w:p>
            <w:pPr>
              <w:spacing w:line="360" w:lineRule="auto"/>
              <w:jc w:val="center"/>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名称</w:t>
            </w:r>
          </w:p>
        </w:tc>
        <w:tc>
          <w:tcPr>
            <w:tcW w:w="929" w:type="pct"/>
            <w:noWrap w:val="0"/>
            <w:vAlign w:val="top"/>
          </w:tcPr>
          <w:p>
            <w:pPr>
              <w:spacing w:line="360" w:lineRule="auto"/>
              <w:jc w:val="center"/>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采购要求</w:t>
            </w:r>
          </w:p>
        </w:tc>
        <w:tc>
          <w:tcPr>
            <w:tcW w:w="1000" w:type="pct"/>
            <w:noWrap w:val="0"/>
            <w:vAlign w:val="top"/>
          </w:tcPr>
          <w:p>
            <w:pPr>
              <w:spacing w:line="360" w:lineRule="auto"/>
              <w:jc w:val="center"/>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投标响应</w:t>
            </w:r>
          </w:p>
        </w:tc>
        <w:tc>
          <w:tcPr>
            <w:tcW w:w="1000" w:type="pct"/>
            <w:noWrap w:val="0"/>
            <w:vAlign w:val="top"/>
          </w:tcPr>
          <w:p>
            <w:pPr>
              <w:spacing w:line="360" w:lineRule="auto"/>
              <w:jc w:val="center"/>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偏离</w:t>
            </w:r>
          </w:p>
        </w:tc>
        <w:tc>
          <w:tcPr>
            <w:tcW w:w="1001" w:type="pct"/>
            <w:noWrap w:val="0"/>
            <w:vAlign w:val="top"/>
          </w:tcPr>
          <w:p>
            <w:pPr>
              <w:spacing w:line="360" w:lineRule="auto"/>
              <w:jc w:val="center"/>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71" w:type="pct"/>
            <w:noWrap w:val="0"/>
            <w:vAlign w:val="top"/>
          </w:tcPr>
          <w:p>
            <w:pPr>
              <w:spacing w:line="360" w:lineRule="auto"/>
              <w:jc w:val="center"/>
              <w:rPr>
                <w:rFonts w:hint="eastAsia" w:ascii="宋体" w:hAnsi="宋体" w:eastAsia="宋体" w:cs="宋体"/>
                <w:color w:val="auto"/>
                <w:spacing w:val="20"/>
                <w:sz w:val="24"/>
                <w:highlight w:val="none"/>
              </w:rPr>
            </w:pPr>
          </w:p>
        </w:tc>
        <w:tc>
          <w:tcPr>
            <w:tcW w:w="929" w:type="pct"/>
            <w:noWrap w:val="0"/>
            <w:vAlign w:val="top"/>
          </w:tcPr>
          <w:p>
            <w:pPr>
              <w:spacing w:line="360" w:lineRule="auto"/>
              <w:jc w:val="center"/>
              <w:rPr>
                <w:rFonts w:hint="eastAsia" w:ascii="宋体" w:hAnsi="宋体" w:eastAsia="宋体" w:cs="宋体"/>
                <w:color w:val="auto"/>
                <w:spacing w:val="20"/>
                <w:sz w:val="24"/>
                <w:highlight w:val="none"/>
              </w:rPr>
            </w:pPr>
          </w:p>
        </w:tc>
        <w:tc>
          <w:tcPr>
            <w:tcW w:w="1000" w:type="pct"/>
            <w:noWrap w:val="0"/>
            <w:vAlign w:val="top"/>
          </w:tcPr>
          <w:p>
            <w:pPr>
              <w:spacing w:line="360" w:lineRule="auto"/>
              <w:jc w:val="center"/>
              <w:rPr>
                <w:rFonts w:hint="eastAsia" w:ascii="宋体" w:hAnsi="宋体" w:eastAsia="宋体" w:cs="宋体"/>
                <w:color w:val="auto"/>
                <w:spacing w:val="20"/>
                <w:sz w:val="24"/>
                <w:highlight w:val="none"/>
              </w:rPr>
            </w:pPr>
          </w:p>
        </w:tc>
        <w:tc>
          <w:tcPr>
            <w:tcW w:w="1000" w:type="pct"/>
            <w:noWrap w:val="0"/>
            <w:vAlign w:val="top"/>
          </w:tcPr>
          <w:p>
            <w:pPr>
              <w:spacing w:line="360" w:lineRule="auto"/>
              <w:jc w:val="center"/>
              <w:rPr>
                <w:rFonts w:hint="eastAsia" w:ascii="宋体" w:hAnsi="宋体" w:eastAsia="宋体" w:cs="宋体"/>
                <w:color w:val="auto"/>
                <w:spacing w:val="20"/>
                <w:sz w:val="24"/>
                <w:highlight w:val="none"/>
              </w:rPr>
            </w:pPr>
          </w:p>
        </w:tc>
        <w:tc>
          <w:tcPr>
            <w:tcW w:w="1001" w:type="pct"/>
            <w:noWrap w:val="0"/>
            <w:vAlign w:val="top"/>
          </w:tcPr>
          <w:p>
            <w:pPr>
              <w:spacing w:line="360" w:lineRule="auto"/>
              <w:jc w:val="center"/>
              <w:rPr>
                <w:rFonts w:hint="eastAsia" w:ascii="宋体" w:hAnsi="宋体" w:eastAsia="宋体" w:cs="宋体"/>
                <w:color w:val="auto"/>
                <w:spacing w:val="2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71" w:type="pct"/>
            <w:noWrap w:val="0"/>
            <w:vAlign w:val="top"/>
          </w:tcPr>
          <w:p>
            <w:pPr>
              <w:spacing w:line="360" w:lineRule="auto"/>
              <w:jc w:val="center"/>
              <w:rPr>
                <w:rFonts w:hint="eastAsia" w:ascii="宋体" w:hAnsi="宋体" w:eastAsia="宋体" w:cs="宋体"/>
                <w:color w:val="auto"/>
                <w:spacing w:val="20"/>
                <w:sz w:val="24"/>
                <w:highlight w:val="none"/>
              </w:rPr>
            </w:pPr>
          </w:p>
        </w:tc>
        <w:tc>
          <w:tcPr>
            <w:tcW w:w="929" w:type="pct"/>
            <w:noWrap w:val="0"/>
            <w:vAlign w:val="top"/>
          </w:tcPr>
          <w:p>
            <w:pPr>
              <w:spacing w:line="360" w:lineRule="auto"/>
              <w:jc w:val="center"/>
              <w:rPr>
                <w:rFonts w:hint="eastAsia" w:ascii="宋体" w:hAnsi="宋体" w:eastAsia="宋体" w:cs="宋体"/>
                <w:color w:val="auto"/>
                <w:spacing w:val="20"/>
                <w:sz w:val="24"/>
                <w:highlight w:val="none"/>
              </w:rPr>
            </w:pPr>
          </w:p>
        </w:tc>
        <w:tc>
          <w:tcPr>
            <w:tcW w:w="1000" w:type="pct"/>
            <w:noWrap w:val="0"/>
            <w:vAlign w:val="top"/>
          </w:tcPr>
          <w:p>
            <w:pPr>
              <w:spacing w:line="360" w:lineRule="auto"/>
              <w:jc w:val="center"/>
              <w:rPr>
                <w:rFonts w:hint="eastAsia" w:ascii="宋体" w:hAnsi="宋体" w:eastAsia="宋体" w:cs="宋体"/>
                <w:color w:val="auto"/>
                <w:spacing w:val="20"/>
                <w:sz w:val="24"/>
                <w:highlight w:val="none"/>
              </w:rPr>
            </w:pPr>
          </w:p>
        </w:tc>
        <w:tc>
          <w:tcPr>
            <w:tcW w:w="1000" w:type="pct"/>
            <w:noWrap w:val="0"/>
            <w:vAlign w:val="top"/>
          </w:tcPr>
          <w:p>
            <w:pPr>
              <w:spacing w:line="360" w:lineRule="auto"/>
              <w:jc w:val="center"/>
              <w:rPr>
                <w:rFonts w:hint="eastAsia" w:ascii="宋体" w:hAnsi="宋体" w:eastAsia="宋体" w:cs="宋体"/>
                <w:color w:val="auto"/>
                <w:spacing w:val="20"/>
                <w:sz w:val="24"/>
                <w:highlight w:val="none"/>
              </w:rPr>
            </w:pPr>
          </w:p>
        </w:tc>
        <w:tc>
          <w:tcPr>
            <w:tcW w:w="1001" w:type="pct"/>
            <w:noWrap w:val="0"/>
            <w:vAlign w:val="top"/>
          </w:tcPr>
          <w:p>
            <w:pPr>
              <w:spacing w:line="360" w:lineRule="auto"/>
              <w:jc w:val="center"/>
              <w:rPr>
                <w:rFonts w:hint="eastAsia" w:ascii="宋体" w:hAnsi="宋体" w:eastAsia="宋体" w:cs="宋体"/>
                <w:color w:val="auto"/>
                <w:spacing w:val="2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71" w:type="pct"/>
            <w:noWrap w:val="0"/>
            <w:vAlign w:val="top"/>
          </w:tcPr>
          <w:p>
            <w:pPr>
              <w:spacing w:line="360" w:lineRule="auto"/>
              <w:jc w:val="center"/>
              <w:rPr>
                <w:rFonts w:hint="eastAsia" w:ascii="宋体" w:hAnsi="宋体" w:eastAsia="宋体" w:cs="宋体"/>
                <w:color w:val="auto"/>
                <w:spacing w:val="20"/>
                <w:sz w:val="24"/>
                <w:highlight w:val="none"/>
              </w:rPr>
            </w:pPr>
          </w:p>
        </w:tc>
        <w:tc>
          <w:tcPr>
            <w:tcW w:w="929" w:type="pct"/>
            <w:noWrap w:val="0"/>
            <w:vAlign w:val="top"/>
          </w:tcPr>
          <w:p>
            <w:pPr>
              <w:spacing w:line="360" w:lineRule="auto"/>
              <w:jc w:val="center"/>
              <w:rPr>
                <w:rFonts w:hint="eastAsia" w:ascii="宋体" w:hAnsi="宋体" w:eastAsia="宋体" w:cs="宋体"/>
                <w:color w:val="auto"/>
                <w:spacing w:val="20"/>
                <w:sz w:val="24"/>
                <w:highlight w:val="none"/>
              </w:rPr>
            </w:pPr>
          </w:p>
        </w:tc>
        <w:tc>
          <w:tcPr>
            <w:tcW w:w="1000" w:type="pct"/>
            <w:noWrap w:val="0"/>
            <w:vAlign w:val="top"/>
          </w:tcPr>
          <w:p>
            <w:pPr>
              <w:spacing w:line="360" w:lineRule="auto"/>
              <w:jc w:val="center"/>
              <w:rPr>
                <w:rFonts w:hint="eastAsia" w:ascii="宋体" w:hAnsi="宋体" w:eastAsia="宋体" w:cs="宋体"/>
                <w:color w:val="auto"/>
                <w:spacing w:val="20"/>
                <w:sz w:val="24"/>
                <w:highlight w:val="none"/>
              </w:rPr>
            </w:pPr>
          </w:p>
        </w:tc>
        <w:tc>
          <w:tcPr>
            <w:tcW w:w="1000" w:type="pct"/>
            <w:noWrap w:val="0"/>
            <w:vAlign w:val="top"/>
          </w:tcPr>
          <w:p>
            <w:pPr>
              <w:spacing w:line="360" w:lineRule="auto"/>
              <w:jc w:val="center"/>
              <w:rPr>
                <w:rFonts w:hint="eastAsia" w:ascii="宋体" w:hAnsi="宋体" w:eastAsia="宋体" w:cs="宋体"/>
                <w:color w:val="auto"/>
                <w:spacing w:val="20"/>
                <w:sz w:val="24"/>
                <w:highlight w:val="none"/>
              </w:rPr>
            </w:pPr>
          </w:p>
        </w:tc>
        <w:tc>
          <w:tcPr>
            <w:tcW w:w="1001" w:type="pct"/>
            <w:noWrap w:val="0"/>
            <w:vAlign w:val="top"/>
          </w:tcPr>
          <w:p>
            <w:pPr>
              <w:spacing w:line="360" w:lineRule="auto"/>
              <w:jc w:val="center"/>
              <w:rPr>
                <w:rFonts w:hint="eastAsia" w:ascii="宋体" w:hAnsi="宋体" w:eastAsia="宋体" w:cs="宋体"/>
                <w:color w:val="auto"/>
                <w:spacing w:val="20"/>
                <w:sz w:val="24"/>
                <w:highlight w:val="none"/>
              </w:rPr>
            </w:pPr>
          </w:p>
        </w:tc>
      </w:tr>
    </w:tbl>
    <w:p>
      <w:pPr>
        <w:spacing w:line="360" w:lineRule="auto"/>
        <w:jc w:val="center"/>
        <w:rPr>
          <w:rFonts w:hint="eastAsia" w:ascii="宋体" w:hAnsi="宋体" w:eastAsia="宋体" w:cs="宋体"/>
          <w:color w:val="auto"/>
          <w:spacing w:val="20"/>
          <w:sz w:val="24"/>
          <w:highlight w:val="none"/>
        </w:rPr>
      </w:pPr>
    </w:p>
    <w:p>
      <w:pPr>
        <w:spacing w:line="360" w:lineRule="auto"/>
        <w:jc w:val="right"/>
        <w:rPr>
          <w:rFonts w:hint="eastAsia" w:ascii="宋体" w:hAnsi="宋体" w:eastAsia="宋体" w:cs="宋体"/>
          <w:color w:val="auto"/>
          <w:spacing w:val="20"/>
          <w:sz w:val="24"/>
          <w:highlight w:val="none"/>
        </w:rPr>
      </w:pPr>
      <w:r>
        <w:rPr>
          <w:rFonts w:hint="eastAsia" w:ascii="宋体" w:hAnsi="宋体" w:eastAsia="宋体" w:cs="宋体"/>
          <w:color w:val="auto"/>
          <w:sz w:val="24"/>
          <w:highlight w:val="none"/>
        </w:rPr>
        <w:t>投标人名称（电子签名）：</w:t>
      </w:r>
      <w:r>
        <w:rPr>
          <w:rFonts w:hint="eastAsia" w:ascii="宋体" w:hAnsi="宋体" w:eastAsia="宋体" w:cs="宋体"/>
          <w:color w:val="auto"/>
          <w:spacing w:val="20"/>
          <w:sz w:val="24"/>
          <w:highlight w:val="none"/>
        </w:rPr>
        <w:t xml:space="preserve">      </w:t>
      </w:r>
    </w:p>
    <w:p>
      <w:pPr>
        <w:spacing w:line="360" w:lineRule="auto"/>
        <w:jc w:val="right"/>
        <w:rPr>
          <w:rFonts w:hint="eastAsia" w:ascii="宋体" w:hAnsi="宋体" w:eastAsia="宋体" w:cs="宋体"/>
          <w:b/>
          <w:color w:val="auto"/>
          <w:spacing w:val="20"/>
          <w:sz w:val="24"/>
          <w:highlight w:val="none"/>
        </w:rPr>
      </w:pPr>
      <w:r>
        <w:rPr>
          <w:rFonts w:hint="eastAsia" w:ascii="宋体" w:hAnsi="宋体" w:eastAsia="宋体" w:cs="宋体"/>
          <w:color w:val="auto"/>
          <w:spacing w:val="20"/>
          <w:sz w:val="24"/>
          <w:highlight w:val="none"/>
        </w:rPr>
        <w:t>日期：2020年   月   日</w:t>
      </w:r>
    </w:p>
    <w:p>
      <w:pPr>
        <w:spacing w:line="360" w:lineRule="auto"/>
        <w:ind w:left="420"/>
        <w:jc w:val="center"/>
        <w:rPr>
          <w:rFonts w:hint="eastAsia" w:ascii="宋体" w:hAnsi="宋体" w:eastAsia="宋体" w:cs="宋体"/>
          <w:b/>
          <w:color w:val="auto"/>
          <w:spacing w:val="20"/>
          <w:sz w:val="24"/>
          <w:highlight w:val="none"/>
        </w:rPr>
      </w:pPr>
    </w:p>
    <w:p>
      <w:pPr>
        <w:spacing w:line="360" w:lineRule="auto"/>
        <w:ind w:left="420"/>
        <w:jc w:val="center"/>
        <w:rPr>
          <w:rFonts w:hint="eastAsia" w:ascii="宋体" w:hAnsi="宋体" w:eastAsia="宋体" w:cs="宋体"/>
          <w:b/>
          <w:color w:val="auto"/>
          <w:spacing w:val="20"/>
          <w:sz w:val="24"/>
          <w:highlight w:val="none"/>
        </w:rPr>
      </w:pPr>
      <w:r>
        <w:rPr>
          <w:rFonts w:hint="eastAsia" w:ascii="宋体" w:hAnsi="宋体" w:eastAsia="宋体" w:cs="宋体"/>
          <w:b/>
          <w:color w:val="auto"/>
          <w:spacing w:val="20"/>
          <w:sz w:val="24"/>
          <w:highlight w:val="none"/>
        </w:rPr>
        <w:t>二十、对招标文件中有关条款的拒绝声明</w:t>
      </w:r>
    </w:p>
    <w:p>
      <w:pPr>
        <w:spacing w:line="360" w:lineRule="auto"/>
        <w:jc w:val="center"/>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（由投标人根据采购需求自行编制）</w:t>
      </w:r>
    </w:p>
    <w:p>
      <w:pPr>
        <w:spacing w:line="360" w:lineRule="auto"/>
        <w:jc w:val="center"/>
        <w:rPr>
          <w:rFonts w:hint="eastAsia" w:ascii="宋体" w:hAnsi="宋体" w:eastAsia="宋体" w:cs="宋体"/>
          <w:color w:val="auto"/>
          <w:spacing w:val="20"/>
          <w:sz w:val="24"/>
          <w:highlight w:val="none"/>
        </w:rPr>
      </w:pPr>
    </w:p>
    <w:p>
      <w:pPr>
        <w:spacing w:line="360" w:lineRule="auto"/>
        <w:jc w:val="center"/>
        <w:rPr>
          <w:rFonts w:hint="eastAsia" w:ascii="宋体" w:hAnsi="宋体" w:eastAsia="宋体" w:cs="宋体"/>
          <w:color w:val="auto"/>
          <w:spacing w:val="20"/>
          <w:sz w:val="24"/>
          <w:highlight w:val="none"/>
        </w:rPr>
      </w:pPr>
    </w:p>
    <w:p>
      <w:pPr>
        <w:spacing w:line="360" w:lineRule="auto"/>
        <w:jc w:val="right"/>
        <w:rPr>
          <w:rFonts w:hint="eastAsia" w:ascii="宋体" w:hAnsi="宋体" w:eastAsia="宋体" w:cs="宋体"/>
          <w:color w:val="auto"/>
          <w:spacing w:val="20"/>
          <w:sz w:val="24"/>
          <w:highlight w:val="none"/>
        </w:rPr>
      </w:pPr>
      <w:r>
        <w:rPr>
          <w:rFonts w:hint="eastAsia" w:ascii="宋体" w:hAnsi="宋体" w:eastAsia="宋体" w:cs="宋体"/>
          <w:color w:val="auto"/>
          <w:sz w:val="24"/>
          <w:highlight w:val="none"/>
        </w:rPr>
        <w:t>投标人名称（电子签名）：</w:t>
      </w:r>
      <w:r>
        <w:rPr>
          <w:rFonts w:hint="eastAsia" w:ascii="宋体" w:hAnsi="宋体" w:eastAsia="宋体" w:cs="宋体"/>
          <w:color w:val="auto"/>
          <w:spacing w:val="20"/>
          <w:sz w:val="24"/>
          <w:highlight w:val="none"/>
        </w:rPr>
        <w:t xml:space="preserve">       </w:t>
      </w:r>
    </w:p>
    <w:p>
      <w:pPr>
        <w:spacing w:line="360" w:lineRule="auto"/>
        <w:jc w:val="right"/>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日期：2020年   月   日</w:t>
      </w:r>
    </w:p>
    <w:p>
      <w:pPr>
        <w:spacing w:line="360" w:lineRule="auto"/>
        <w:jc w:val="right"/>
        <w:rPr>
          <w:rFonts w:hint="eastAsia" w:ascii="宋体" w:hAnsi="宋体" w:eastAsia="宋体" w:cs="宋体"/>
          <w:color w:val="auto"/>
          <w:spacing w:val="20"/>
          <w:sz w:val="24"/>
          <w:highlight w:val="none"/>
        </w:rPr>
      </w:pPr>
    </w:p>
    <w:p>
      <w:pPr>
        <w:spacing w:line="360" w:lineRule="auto"/>
        <w:ind w:left="420"/>
        <w:jc w:val="center"/>
        <w:rPr>
          <w:rFonts w:hint="eastAsia" w:ascii="宋体" w:hAnsi="宋体" w:eastAsia="宋体" w:cs="宋体"/>
          <w:b/>
          <w:color w:val="auto"/>
          <w:spacing w:val="20"/>
          <w:sz w:val="24"/>
          <w:highlight w:val="none"/>
        </w:rPr>
      </w:pPr>
      <w:r>
        <w:rPr>
          <w:rFonts w:hint="eastAsia" w:ascii="宋体" w:hAnsi="宋体" w:eastAsia="宋体" w:cs="宋体"/>
          <w:b/>
          <w:color w:val="auto"/>
          <w:spacing w:val="20"/>
          <w:sz w:val="24"/>
          <w:highlight w:val="none"/>
        </w:rPr>
        <w:t>二十一、其他技术文件或说明</w:t>
      </w:r>
    </w:p>
    <w:p>
      <w:pPr>
        <w:spacing w:line="360" w:lineRule="auto"/>
        <w:jc w:val="center"/>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（由投标人根据采购需求自行编制）</w:t>
      </w:r>
    </w:p>
    <w:p>
      <w:pPr>
        <w:spacing w:line="360" w:lineRule="auto"/>
        <w:jc w:val="center"/>
        <w:rPr>
          <w:rFonts w:hint="eastAsia" w:ascii="宋体" w:hAnsi="宋体" w:eastAsia="宋体" w:cs="宋体"/>
          <w:color w:val="auto"/>
          <w:spacing w:val="20"/>
          <w:sz w:val="24"/>
          <w:highlight w:val="none"/>
        </w:rPr>
      </w:pPr>
    </w:p>
    <w:p>
      <w:pPr>
        <w:spacing w:line="360" w:lineRule="auto"/>
        <w:jc w:val="center"/>
        <w:rPr>
          <w:rFonts w:hint="eastAsia" w:ascii="宋体" w:hAnsi="宋体" w:eastAsia="宋体" w:cs="宋体"/>
          <w:color w:val="auto"/>
          <w:spacing w:val="20"/>
          <w:sz w:val="24"/>
          <w:highlight w:val="none"/>
        </w:rPr>
      </w:pPr>
    </w:p>
    <w:p>
      <w:pPr>
        <w:spacing w:line="360" w:lineRule="auto"/>
        <w:jc w:val="right"/>
        <w:rPr>
          <w:rFonts w:hint="eastAsia" w:ascii="宋体" w:hAnsi="宋体" w:eastAsia="宋体" w:cs="宋体"/>
          <w:color w:val="auto"/>
          <w:spacing w:val="20"/>
          <w:sz w:val="24"/>
          <w:highlight w:val="none"/>
        </w:rPr>
      </w:pPr>
      <w:r>
        <w:rPr>
          <w:rFonts w:hint="eastAsia" w:ascii="宋体" w:hAnsi="宋体" w:eastAsia="宋体" w:cs="宋体"/>
          <w:color w:val="auto"/>
          <w:sz w:val="24"/>
          <w:highlight w:val="none"/>
        </w:rPr>
        <w:t>投标人名称（电子签名）：</w:t>
      </w:r>
      <w:r>
        <w:rPr>
          <w:rFonts w:hint="eastAsia" w:ascii="宋体" w:hAnsi="宋体" w:eastAsia="宋体" w:cs="宋体"/>
          <w:color w:val="auto"/>
          <w:spacing w:val="20"/>
          <w:sz w:val="24"/>
          <w:highlight w:val="none"/>
        </w:rPr>
        <w:t xml:space="preserve">         </w:t>
      </w:r>
    </w:p>
    <w:p>
      <w:pPr>
        <w:spacing w:line="360" w:lineRule="auto"/>
        <w:jc w:val="right"/>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日期：2020年   月   日</w:t>
      </w:r>
    </w:p>
    <w:p>
      <w:pPr>
        <w:spacing w:line="360" w:lineRule="auto"/>
        <w:rPr>
          <w:rFonts w:hint="eastAsia" w:ascii="宋体" w:hAnsi="宋体" w:eastAsia="宋体" w:cs="宋体"/>
          <w:b/>
          <w:color w:val="auto"/>
          <w:spacing w:val="20"/>
          <w:sz w:val="24"/>
          <w:highlight w:val="none"/>
        </w:rPr>
      </w:pPr>
    </w:p>
    <w:p>
      <w:pPr>
        <w:pStyle w:val="2"/>
        <w:ind w:firstLine="562"/>
        <w:rPr>
          <w:rFonts w:hint="eastAsia" w:ascii="宋体" w:hAnsi="宋体" w:eastAsia="宋体" w:cs="宋体"/>
          <w:b/>
          <w:color w:val="auto"/>
          <w:spacing w:val="20"/>
          <w:highlight w:val="none"/>
        </w:rPr>
      </w:pPr>
    </w:p>
    <w:p>
      <w:pPr>
        <w:spacing w:line="360" w:lineRule="auto"/>
        <w:ind w:left="420"/>
        <w:jc w:val="center"/>
        <w:rPr>
          <w:rFonts w:hint="eastAsia" w:ascii="宋体" w:hAnsi="宋体" w:eastAsia="宋体" w:cs="宋体"/>
          <w:b/>
          <w:color w:val="auto"/>
          <w:spacing w:val="20"/>
          <w:sz w:val="24"/>
          <w:highlight w:val="none"/>
        </w:rPr>
      </w:pPr>
      <w:r>
        <w:rPr>
          <w:rFonts w:hint="eastAsia" w:ascii="宋体" w:hAnsi="宋体" w:eastAsia="宋体" w:cs="宋体"/>
          <w:b/>
          <w:color w:val="auto"/>
          <w:spacing w:val="20"/>
          <w:sz w:val="24"/>
          <w:highlight w:val="none"/>
        </w:rPr>
        <w:t>二十二、优惠条件及特殊承诺</w:t>
      </w:r>
    </w:p>
    <w:p>
      <w:pPr>
        <w:spacing w:line="360" w:lineRule="auto"/>
        <w:jc w:val="center"/>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（由投标人根据采购需求自行编制）</w:t>
      </w:r>
    </w:p>
    <w:p>
      <w:pPr>
        <w:spacing w:line="360" w:lineRule="auto"/>
        <w:ind w:right="280"/>
        <w:jc w:val="right"/>
        <w:rPr>
          <w:rFonts w:hint="eastAsia" w:ascii="宋体" w:hAnsi="宋体" w:eastAsia="宋体" w:cs="宋体"/>
          <w:color w:val="auto"/>
          <w:spacing w:val="20"/>
          <w:sz w:val="24"/>
          <w:highlight w:val="none"/>
        </w:rPr>
      </w:pPr>
    </w:p>
    <w:p>
      <w:pPr>
        <w:spacing w:line="360" w:lineRule="auto"/>
        <w:jc w:val="right"/>
        <w:rPr>
          <w:rFonts w:hint="eastAsia" w:ascii="宋体" w:hAnsi="宋体" w:eastAsia="宋体" w:cs="宋体"/>
          <w:color w:val="auto"/>
          <w:spacing w:val="20"/>
          <w:sz w:val="24"/>
          <w:highlight w:val="none"/>
        </w:rPr>
      </w:pPr>
      <w:r>
        <w:rPr>
          <w:rFonts w:hint="eastAsia" w:ascii="宋体" w:hAnsi="宋体" w:eastAsia="宋体" w:cs="宋体"/>
          <w:color w:val="auto"/>
          <w:sz w:val="24"/>
          <w:highlight w:val="none"/>
        </w:rPr>
        <w:t>投标人名称（电子签名）：</w:t>
      </w:r>
      <w:r>
        <w:rPr>
          <w:rFonts w:hint="eastAsia" w:ascii="宋体" w:hAnsi="宋体" w:eastAsia="宋体" w:cs="宋体"/>
          <w:color w:val="auto"/>
          <w:spacing w:val="20"/>
          <w:sz w:val="24"/>
          <w:highlight w:val="none"/>
        </w:rPr>
        <w:t xml:space="preserve">    </w:t>
      </w:r>
    </w:p>
    <w:p>
      <w:pPr>
        <w:spacing w:line="360" w:lineRule="auto"/>
        <w:jc w:val="right"/>
        <w:rPr>
          <w:rFonts w:hint="eastAsia" w:ascii="宋体" w:hAnsi="宋体" w:eastAsia="宋体" w:cs="宋体"/>
          <w:color w:val="auto"/>
          <w:spacing w:val="20"/>
          <w:sz w:val="24"/>
          <w:highlight w:val="none"/>
        </w:rPr>
      </w:pPr>
      <w:r>
        <w:rPr>
          <w:rFonts w:hint="eastAsia" w:ascii="宋体" w:hAnsi="宋体" w:eastAsia="宋体" w:cs="宋体"/>
          <w:color w:val="auto"/>
          <w:spacing w:val="20"/>
          <w:sz w:val="24"/>
          <w:highlight w:val="none"/>
        </w:rPr>
        <w:t>日期：2020年   月   日</w:t>
      </w:r>
    </w:p>
    <w:p>
      <w:pPr>
        <w:ind w:firstLine="3346" w:firstLineChars="1195"/>
        <w:rPr>
          <w:rFonts w:hint="eastAsia" w:ascii="宋体" w:hAnsi="宋体" w:eastAsia="宋体" w:cs="宋体"/>
          <w:b/>
          <w:color w:val="auto"/>
          <w:sz w:val="24"/>
          <w:highlight w:val="none"/>
        </w:rPr>
      </w:pPr>
      <w:r>
        <w:rPr>
          <w:rFonts w:hint="eastAsia" w:ascii="宋体" w:hAnsi="宋体" w:eastAsia="宋体" w:cs="宋体"/>
          <w:color w:val="auto"/>
          <w:spacing w:val="20"/>
          <w:sz w:val="24"/>
          <w:highlight w:val="none"/>
        </w:rPr>
        <w:t>二十三</w:t>
      </w:r>
      <w:r>
        <w:rPr>
          <w:rFonts w:hint="eastAsia" w:ascii="宋体" w:hAnsi="宋体" w:eastAsia="宋体" w:cs="宋体"/>
          <w:b/>
          <w:color w:val="auto"/>
          <w:spacing w:val="20"/>
          <w:sz w:val="24"/>
          <w:highlight w:val="none"/>
        </w:rPr>
        <w:t>、</w:t>
      </w:r>
      <w:r>
        <w:rPr>
          <w:rFonts w:hint="eastAsia" w:ascii="宋体" w:hAnsi="宋体" w:eastAsia="宋体" w:cs="宋体"/>
          <w:b/>
          <w:color w:val="auto"/>
          <w:sz w:val="24"/>
          <w:highlight w:val="none"/>
        </w:rPr>
        <w:t>廉政承诺书</w:t>
      </w: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杭州市拱墅区城市管理局：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我单位响应你单位项目采购要求参加应标。在这次应标过程中以及成交后，我们将严格遵守国家法律法规要求，并郑重承诺：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一、不向项目有关人员及部门赠送礼金礼物、有价证券、回扣以及中介费、介绍费、咨询费等好处费；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二、不为项目有关人员及部门报销应由你方单位或个人支付的费用；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三、不向项目有关人员及部门提供有可能影响公正的宴请和健身娱乐等活动；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四、不为项目有关人员及部门出国（境）、旅游等提供方便；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五、不为项目有关人员个人装修住房、婚丧嫁娶、配偶子女工作安排等提供好处；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六、严格遵守政府采购法、招标投标法、合同法等法律，诚实守信，合法经营，坚决抵制各种违法违纪行为。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如违反上述承诺，你单位有权立即取消我单位应标、成交或在建项目的建设资格，有权拒绝我单位在一定时期内进入你单位进行项目建设或其他经营活动，并通报市政府采购办。由此引起的相应损失均由我单位承担。</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投标人名称（电子签名）：                  </w:t>
      </w:r>
    </w:p>
    <w:p>
      <w:pPr>
        <w:spacing w:line="360" w:lineRule="auto"/>
        <w:jc w:val="center"/>
        <w:rPr>
          <w:rFonts w:hint="eastAsia" w:ascii="宋体" w:hAnsi="宋体" w:eastAsia="宋体" w:cs="宋体"/>
          <w:color w:val="auto"/>
          <w:spacing w:val="20"/>
          <w:sz w:val="24"/>
          <w:highlight w:val="none"/>
        </w:rPr>
      </w:pPr>
      <w:r>
        <w:rPr>
          <w:rFonts w:hint="eastAsia" w:ascii="宋体" w:hAnsi="宋体" w:eastAsia="宋体" w:cs="宋体"/>
          <w:color w:val="auto"/>
          <w:sz w:val="24"/>
          <w:highlight w:val="none"/>
        </w:rPr>
        <w:t>日期：2020年  月  日</w:t>
      </w:r>
    </w:p>
    <w:p>
      <w:pPr>
        <w:spacing w:line="360" w:lineRule="auto"/>
        <w:rPr>
          <w:rFonts w:hint="eastAsia" w:ascii="宋体" w:hAnsi="宋体" w:eastAsia="宋体" w:cs="宋体"/>
          <w:color w:val="auto"/>
          <w:highlight w:val="none"/>
        </w:rPr>
      </w:pPr>
    </w:p>
    <w:sectPr>
      <w:footerReference r:id="rId11" w:type="default"/>
      <w:pgSz w:w="11907" w:h="16840"/>
      <w:pgMar w:top="1440" w:right="1418" w:bottom="1440" w:left="175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1" w:usb1="080E0000" w:usb2="00000010" w:usb3="00000000" w:csb0="00040000"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Courier New">
    <w:panose1 w:val="02070309020205020404"/>
    <w:charset w:val="00"/>
    <w:family w:val="modern"/>
    <w:pitch w:val="default"/>
    <w:sig w:usb0="E0002E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1" w:usb1="080E0000" w:usb2="00000010" w:usb3="00000000" w:csb0="00040000" w:csb1="00000000"/>
  </w:font>
  <w:font w:name="ScalaSansLF-Regular">
    <w:altName w:val="Trebuchet MS"/>
    <w:panose1 w:val="02000503020000020003"/>
    <w:charset w:val="00"/>
    <w:family w:val="auto"/>
    <w:pitch w:val="default"/>
    <w:sig w:usb0="8000002F" w:usb1="4000004A" w:usb2="00000000" w:usb3="00000000" w:csb0="0000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Trebuchet MS">
    <w:panose1 w:val="020B0603020202020204"/>
    <w:charset w:val="00"/>
    <w:family w:val="auto"/>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fldChar w:fldCharType="begin"/>
    </w:r>
    <w:r>
      <w:instrText xml:space="preserve"> PAGE   \* MERGEFORMAT </w:instrText>
    </w:r>
    <w:r>
      <w:fldChar w:fldCharType="separate"/>
    </w:r>
    <w:r>
      <w:rPr>
        <w:lang w:val="zh-CN"/>
      </w:rPr>
      <w:t>2</w:t>
    </w:r>
    <w:r>
      <w:fldChar w:fldCharType="end"/>
    </w:r>
  </w:p>
  <w:p>
    <w:pPr>
      <w:pStyle w:val="1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fldChar w:fldCharType="begin"/>
    </w:r>
    <w:r>
      <w:rPr>
        <w:rStyle w:val="26"/>
      </w:rPr>
      <w:instrText xml:space="preserve">PAGE  </w:instrText>
    </w:r>
    <w:r>
      <w:fldChar w:fldCharType="end"/>
    </w:r>
  </w:p>
  <w:p>
    <w:pPr>
      <w:pStyle w:val="1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fldChar w:fldCharType="begin"/>
    </w:r>
    <w:r>
      <w:instrText xml:space="preserve"> PAGE   \* MERGEFORMAT </w:instrText>
    </w:r>
    <w:r>
      <w:fldChar w:fldCharType="separate"/>
    </w:r>
    <w:r>
      <w:rPr>
        <w:lang w:val="zh-CN"/>
      </w:rPr>
      <w:t>6</w:t>
    </w:r>
    <w:r>
      <w:fldChar w:fldCharType="end"/>
    </w:r>
  </w:p>
  <w:p>
    <w:pPr>
      <w:pStyle w:val="15"/>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fldChar w:fldCharType="begin"/>
    </w:r>
    <w:r>
      <w:rPr>
        <w:rStyle w:val="26"/>
      </w:rPr>
      <w:instrText xml:space="preserve">PAGE  </w:instrText>
    </w:r>
    <w:r>
      <w:fldChar w:fldCharType="end"/>
    </w:r>
  </w:p>
  <w:p>
    <w:pPr>
      <w:pStyle w:val="1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fldChar w:fldCharType="begin"/>
    </w:r>
    <w:r>
      <w:instrText xml:space="preserve"> PAGE   \* MERGEFORMAT </w:instrText>
    </w:r>
    <w:r>
      <w:fldChar w:fldCharType="separate"/>
    </w:r>
    <w:r>
      <w:rPr>
        <w:lang w:val="zh-CN"/>
      </w:rPr>
      <w:t>93</w:t>
    </w:r>
    <w:r>
      <w:fldChar w:fldCharType="end"/>
    </w:r>
  </w:p>
  <w:p>
    <w:pPr>
      <w:pStyle w:val="15"/>
      <w:jc w:val="right"/>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Fonts w:hint="eastAsia"/>
        <w:sz w:val="21"/>
      </w:rPr>
    </w:pPr>
    <w:r>
      <w:rPr>
        <w:rFonts w:hint="eastAsia"/>
        <w:sz w:val="21"/>
      </w:rPr>
      <w:t>杭州市拱墅区城市管理局公开招标文件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r>
      <w:rPr>
        <w:rFonts w:hint="eastAsia"/>
        <w:sz w:val="21"/>
      </w:rPr>
      <w:t>杭州市拱墅区城市管理局公开招标文件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Fonts w:hint="eastAsia"/>
        <w:color w:val="FF0000"/>
        <w:sz w:val="21"/>
      </w:rPr>
    </w:pPr>
    <w:r>
      <w:rPr>
        <w:rFonts w:hint="eastAsia"/>
        <w:sz w:val="21"/>
      </w:rPr>
      <w:t>杭州市拱墅区城市管理局公开招标文件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5D585C"/>
    <w:multiLevelType w:val="multilevel"/>
    <w:tmpl w:val="095D585C"/>
    <w:lvl w:ilvl="0" w:tentative="0">
      <w:start w:val="1"/>
      <w:numFmt w:val="decimal"/>
      <w:lvlText w:val="%1、"/>
      <w:lvlJc w:val="left"/>
      <w:pPr>
        <w:tabs>
          <w:tab w:val="left" w:pos="360"/>
        </w:tabs>
        <w:ind w:left="360" w:hanging="360"/>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22E201F"/>
    <w:multiLevelType w:val="multilevel"/>
    <w:tmpl w:val="122E201F"/>
    <w:lvl w:ilvl="0" w:tentative="0">
      <w:start w:val="1"/>
      <w:numFmt w:val="decimal"/>
      <w:lvlText w:val="%1、"/>
      <w:lvlJc w:val="left"/>
      <w:pPr>
        <w:tabs>
          <w:tab w:val="left" w:pos="360"/>
        </w:tabs>
        <w:ind w:left="360" w:hanging="360"/>
      </w:pPr>
      <w:rPr>
        <w:rFonts w:hint="default"/>
      </w:rPr>
    </w:lvl>
    <w:lvl w:ilvl="1" w:tentative="0">
      <w:start w:val="1"/>
      <w:numFmt w:val="decimal"/>
      <w:lvlText w:val="（%2）"/>
      <w:lvlJc w:val="left"/>
      <w:pPr>
        <w:tabs>
          <w:tab w:val="left" w:pos="1140"/>
        </w:tabs>
        <w:ind w:left="1140" w:hanging="720"/>
      </w:pPr>
      <w:rPr>
        <w:rFonts w:hint="default"/>
      </w:rPr>
    </w:lvl>
    <w:lvl w:ilvl="2" w:tentative="0">
      <w:start w:val="1"/>
      <w:numFmt w:val="lowerLetter"/>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4B0D988"/>
    <w:multiLevelType w:val="singleLevel"/>
    <w:tmpl w:val="14B0D988"/>
    <w:lvl w:ilvl="0" w:tentative="0">
      <w:start w:val="1"/>
      <w:numFmt w:val="decimal"/>
      <w:suff w:val="nothing"/>
      <w:lvlText w:val="（%1）"/>
      <w:lvlJc w:val="left"/>
    </w:lvl>
  </w:abstractNum>
  <w:abstractNum w:abstractNumId="3">
    <w:nsid w:val="38804EC8"/>
    <w:multiLevelType w:val="multilevel"/>
    <w:tmpl w:val="38804EC8"/>
    <w:lvl w:ilvl="0" w:tentative="0">
      <w:start w:val="1"/>
      <w:numFmt w:val="decimal"/>
      <w:lvlText w:val="（%1）"/>
      <w:lvlJc w:val="left"/>
      <w:pPr>
        <w:tabs>
          <w:tab w:val="left" w:pos="720"/>
        </w:tabs>
        <w:ind w:left="720" w:hanging="720"/>
      </w:pPr>
      <w:rPr>
        <w:rFonts w:hint="default"/>
      </w:rPr>
    </w:lvl>
    <w:lvl w:ilvl="1" w:tentative="0">
      <w:start w:val="1"/>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3696677"/>
    <w:multiLevelType w:val="multilevel"/>
    <w:tmpl w:val="43696677"/>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2104524"/>
    <w:multiLevelType w:val="multilevel"/>
    <w:tmpl w:val="62104524"/>
    <w:lvl w:ilvl="0" w:tentative="0">
      <w:start w:val="1"/>
      <w:numFmt w:val="japaneseCounting"/>
      <w:lvlText w:val="（%1）"/>
      <w:lvlJc w:val="left"/>
      <w:pPr>
        <w:tabs>
          <w:tab w:val="left" w:pos="1200"/>
        </w:tabs>
        <w:ind w:left="1200" w:hanging="72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6">
    <w:nsid w:val="71DD6F39"/>
    <w:multiLevelType w:val="multilevel"/>
    <w:tmpl w:val="71DD6F39"/>
    <w:lvl w:ilvl="0" w:tentative="0">
      <w:start w:val="1"/>
      <w:numFmt w:val="bullet"/>
      <w:lvlText w:val=""/>
      <w:lvlJc w:val="left"/>
      <w:pPr>
        <w:tabs>
          <w:tab w:val="left" w:pos="1200"/>
        </w:tabs>
        <w:ind w:left="1200" w:hanging="420"/>
      </w:pPr>
      <w:rPr>
        <w:rFonts w:hint="default" w:ascii="Wingdings" w:hAnsi="Wingdings"/>
      </w:rPr>
    </w:lvl>
    <w:lvl w:ilvl="1" w:tentative="0">
      <w:start w:val="1"/>
      <w:numFmt w:val="bullet"/>
      <w:lvlText w:val=""/>
      <w:lvlJc w:val="left"/>
      <w:pPr>
        <w:tabs>
          <w:tab w:val="left" w:pos="1620"/>
        </w:tabs>
        <w:ind w:left="1620" w:hanging="420"/>
      </w:pPr>
      <w:rPr>
        <w:rFonts w:hint="default" w:ascii="Wingdings" w:hAnsi="Wingdings"/>
      </w:rPr>
    </w:lvl>
    <w:lvl w:ilvl="2" w:tentative="0">
      <w:start w:val="1"/>
      <w:numFmt w:val="bullet"/>
      <w:lvlText w:val=""/>
      <w:lvlJc w:val="left"/>
      <w:pPr>
        <w:tabs>
          <w:tab w:val="left" w:pos="2040"/>
        </w:tabs>
        <w:ind w:left="2040" w:hanging="420"/>
      </w:pPr>
      <w:rPr>
        <w:rFonts w:hint="default" w:ascii="Wingdings" w:hAnsi="Wingdings"/>
      </w:rPr>
    </w:lvl>
    <w:lvl w:ilvl="3" w:tentative="0">
      <w:start w:val="1"/>
      <w:numFmt w:val="bullet"/>
      <w:lvlText w:val=""/>
      <w:lvlJc w:val="left"/>
      <w:pPr>
        <w:tabs>
          <w:tab w:val="left" w:pos="2460"/>
        </w:tabs>
        <w:ind w:left="2460" w:hanging="420"/>
      </w:pPr>
      <w:rPr>
        <w:rFonts w:hint="default" w:ascii="Wingdings" w:hAnsi="Wingdings"/>
      </w:rPr>
    </w:lvl>
    <w:lvl w:ilvl="4" w:tentative="0">
      <w:start w:val="1"/>
      <w:numFmt w:val="bullet"/>
      <w:lvlText w:val=""/>
      <w:lvlJc w:val="left"/>
      <w:pPr>
        <w:tabs>
          <w:tab w:val="left" w:pos="2880"/>
        </w:tabs>
        <w:ind w:left="2880" w:hanging="420"/>
      </w:pPr>
      <w:rPr>
        <w:rFonts w:hint="default" w:ascii="Wingdings" w:hAnsi="Wingdings"/>
      </w:rPr>
    </w:lvl>
    <w:lvl w:ilvl="5" w:tentative="0">
      <w:start w:val="1"/>
      <w:numFmt w:val="bullet"/>
      <w:lvlText w:val=""/>
      <w:lvlJc w:val="left"/>
      <w:pPr>
        <w:tabs>
          <w:tab w:val="left" w:pos="3300"/>
        </w:tabs>
        <w:ind w:left="3300" w:hanging="420"/>
      </w:pPr>
      <w:rPr>
        <w:rFonts w:hint="default" w:ascii="Wingdings" w:hAnsi="Wingdings"/>
      </w:rPr>
    </w:lvl>
    <w:lvl w:ilvl="6" w:tentative="0">
      <w:start w:val="1"/>
      <w:numFmt w:val="bullet"/>
      <w:lvlText w:val=""/>
      <w:lvlJc w:val="left"/>
      <w:pPr>
        <w:tabs>
          <w:tab w:val="left" w:pos="3720"/>
        </w:tabs>
        <w:ind w:left="3720" w:hanging="420"/>
      </w:pPr>
      <w:rPr>
        <w:rFonts w:hint="default" w:ascii="Wingdings" w:hAnsi="Wingdings"/>
      </w:rPr>
    </w:lvl>
    <w:lvl w:ilvl="7" w:tentative="0">
      <w:start w:val="1"/>
      <w:numFmt w:val="bullet"/>
      <w:lvlText w:val=""/>
      <w:lvlJc w:val="left"/>
      <w:pPr>
        <w:tabs>
          <w:tab w:val="left" w:pos="4140"/>
        </w:tabs>
        <w:ind w:left="4140" w:hanging="420"/>
      </w:pPr>
      <w:rPr>
        <w:rFonts w:hint="default" w:ascii="Wingdings" w:hAnsi="Wingdings"/>
      </w:rPr>
    </w:lvl>
    <w:lvl w:ilvl="8" w:tentative="0">
      <w:start w:val="1"/>
      <w:numFmt w:val="bullet"/>
      <w:lvlText w:val=""/>
      <w:lvlJc w:val="left"/>
      <w:pPr>
        <w:tabs>
          <w:tab w:val="left" w:pos="4560"/>
        </w:tabs>
        <w:ind w:left="4560" w:hanging="420"/>
      </w:pPr>
      <w:rPr>
        <w:rFonts w:hint="default" w:ascii="Wingdings" w:hAnsi="Wingdings"/>
      </w:rPr>
    </w:lvl>
  </w:abstractNum>
  <w:abstractNum w:abstractNumId="7">
    <w:nsid w:val="7F2A34FB"/>
    <w:multiLevelType w:val="multilevel"/>
    <w:tmpl w:val="7F2A34FB"/>
    <w:lvl w:ilvl="0" w:tentative="0">
      <w:start w:val="1"/>
      <w:numFmt w:val="decimal"/>
      <w:lvlText w:val="%1、"/>
      <w:lvlJc w:val="left"/>
      <w:pPr>
        <w:tabs>
          <w:tab w:val="left" w:pos="360"/>
        </w:tabs>
        <w:ind w:left="360" w:hanging="360"/>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6"/>
  </w:num>
  <w:num w:numId="3">
    <w:abstractNumId w:val="5"/>
  </w:num>
  <w:num w:numId="4">
    <w:abstractNumId w:val="7"/>
  </w:num>
  <w:num w:numId="5">
    <w:abstractNumId w:val="0"/>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05F"/>
    <w:rsid w:val="000014F7"/>
    <w:rsid w:val="00002CA2"/>
    <w:rsid w:val="00003E9A"/>
    <w:rsid w:val="00003FEF"/>
    <w:rsid w:val="00004E6D"/>
    <w:rsid w:val="000065E6"/>
    <w:rsid w:val="00006967"/>
    <w:rsid w:val="00006A19"/>
    <w:rsid w:val="000072D7"/>
    <w:rsid w:val="000100D0"/>
    <w:rsid w:val="000107B7"/>
    <w:rsid w:val="000137F1"/>
    <w:rsid w:val="0001393B"/>
    <w:rsid w:val="00013D8B"/>
    <w:rsid w:val="0001428F"/>
    <w:rsid w:val="00016983"/>
    <w:rsid w:val="00017211"/>
    <w:rsid w:val="0002009A"/>
    <w:rsid w:val="0002082D"/>
    <w:rsid w:val="00021CA3"/>
    <w:rsid w:val="00022B62"/>
    <w:rsid w:val="00023616"/>
    <w:rsid w:val="000237C2"/>
    <w:rsid w:val="00025300"/>
    <w:rsid w:val="0002734F"/>
    <w:rsid w:val="000277B8"/>
    <w:rsid w:val="000279D0"/>
    <w:rsid w:val="000302AE"/>
    <w:rsid w:val="00031042"/>
    <w:rsid w:val="0003119B"/>
    <w:rsid w:val="00031E08"/>
    <w:rsid w:val="00032427"/>
    <w:rsid w:val="0003257A"/>
    <w:rsid w:val="000325EB"/>
    <w:rsid w:val="000326F1"/>
    <w:rsid w:val="0003457D"/>
    <w:rsid w:val="00034A6E"/>
    <w:rsid w:val="00035F20"/>
    <w:rsid w:val="000364E9"/>
    <w:rsid w:val="000366E4"/>
    <w:rsid w:val="0003695E"/>
    <w:rsid w:val="00041115"/>
    <w:rsid w:val="000412AD"/>
    <w:rsid w:val="000425D6"/>
    <w:rsid w:val="00042D94"/>
    <w:rsid w:val="00046B35"/>
    <w:rsid w:val="0005008F"/>
    <w:rsid w:val="000508CA"/>
    <w:rsid w:val="00050BE7"/>
    <w:rsid w:val="00051ADC"/>
    <w:rsid w:val="00052B64"/>
    <w:rsid w:val="000532B7"/>
    <w:rsid w:val="00053751"/>
    <w:rsid w:val="0005403E"/>
    <w:rsid w:val="00054A10"/>
    <w:rsid w:val="00055AA7"/>
    <w:rsid w:val="00056324"/>
    <w:rsid w:val="00056339"/>
    <w:rsid w:val="0005688A"/>
    <w:rsid w:val="00056917"/>
    <w:rsid w:val="00056E4F"/>
    <w:rsid w:val="00057207"/>
    <w:rsid w:val="000578E5"/>
    <w:rsid w:val="00057DCA"/>
    <w:rsid w:val="000606D7"/>
    <w:rsid w:val="00062722"/>
    <w:rsid w:val="00063354"/>
    <w:rsid w:val="0006351F"/>
    <w:rsid w:val="000645FF"/>
    <w:rsid w:val="0006750B"/>
    <w:rsid w:val="00067ECF"/>
    <w:rsid w:val="000700CB"/>
    <w:rsid w:val="00070215"/>
    <w:rsid w:val="000702EB"/>
    <w:rsid w:val="0007164C"/>
    <w:rsid w:val="00071B9D"/>
    <w:rsid w:val="00072742"/>
    <w:rsid w:val="00074AEB"/>
    <w:rsid w:val="00074EA8"/>
    <w:rsid w:val="00075F4C"/>
    <w:rsid w:val="0007608D"/>
    <w:rsid w:val="000773C4"/>
    <w:rsid w:val="000773F4"/>
    <w:rsid w:val="00077880"/>
    <w:rsid w:val="00080D67"/>
    <w:rsid w:val="0008168D"/>
    <w:rsid w:val="00082425"/>
    <w:rsid w:val="00083069"/>
    <w:rsid w:val="00083A2F"/>
    <w:rsid w:val="00083B37"/>
    <w:rsid w:val="00083DA0"/>
    <w:rsid w:val="00083E84"/>
    <w:rsid w:val="00084FCD"/>
    <w:rsid w:val="0008587C"/>
    <w:rsid w:val="00087011"/>
    <w:rsid w:val="0008733F"/>
    <w:rsid w:val="00087F82"/>
    <w:rsid w:val="0009030E"/>
    <w:rsid w:val="000908E2"/>
    <w:rsid w:val="00090AB7"/>
    <w:rsid w:val="000914DD"/>
    <w:rsid w:val="000920B1"/>
    <w:rsid w:val="000936F5"/>
    <w:rsid w:val="0009406A"/>
    <w:rsid w:val="0009543C"/>
    <w:rsid w:val="00097682"/>
    <w:rsid w:val="00097FDA"/>
    <w:rsid w:val="000A0189"/>
    <w:rsid w:val="000A187A"/>
    <w:rsid w:val="000A20D2"/>
    <w:rsid w:val="000A2216"/>
    <w:rsid w:val="000A2316"/>
    <w:rsid w:val="000A2E64"/>
    <w:rsid w:val="000A3B8A"/>
    <w:rsid w:val="000A41B3"/>
    <w:rsid w:val="000A425A"/>
    <w:rsid w:val="000A45F7"/>
    <w:rsid w:val="000A472B"/>
    <w:rsid w:val="000A499C"/>
    <w:rsid w:val="000A4C67"/>
    <w:rsid w:val="000A561B"/>
    <w:rsid w:val="000A5704"/>
    <w:rsid w:val="000A5F96"/>
    <w:rsid w:val="000A607B"/>
    <w:rsid w:val="000A65B4"/>
    <w:rsid w:val="000A712F"/>
    <w:rsid w:val="000A76E4"/>
    <w:rsid w:val="000A7B68"/>
    <w:rsid w:val="000B0524"/>
    <w:rsid w:val="000B15CE"/>
    <w:rsid w:val="000B17A3"/>
    <w:rsid w:val="000B26A3"/>
    <w:rsid w:val="000B4846"/>
    <w:rsid w:val="000B4D19"/>
    <w:rsid w:val="000B54F8"/>
    <w:rsid w:val="000B55FF"/>
    <w:rsid w:val="000B5BD9"/>
    <w:rsid w:val="000B6CA7"/>
    <w:rsid w:val="000B7B85"/>
    <w:rsid w:val="000C093B"/>
    <w:rsid w:val="000C19D5"/>
    <w:rsid w:val="000C1E19"/>
    <w:rsid w:val="000C269A"/>
    <w:rsid w:val="000C2C82"/>
    <w:rsid w:val="000C2CAC"/>
    <w:rsid w:val="000C3E1F"/>
    <w:rsid w:val="000C4017"/>
    <w:rsid w:val="000C435F"/>
    <w:rsid w:val="000C4920"/>
    <w:rsid w:val="000C7B7C"/>
    <w:rsid w:val="000D0BDC"/>
    <w:rsid w:val="000D0D93"/>
    <w:rsid w:val="000D17F2"/>
    <w:rsid w:val="000D43A5"/>
    <w:rsid w:val="000D4FC6"/>
    <w:rsid w:val="000D6202"/>
    <w:rsid w:val="000D7874"/>
    <w:rsid w:val="000E1442"/>
    <w:rsid w:val="000E1843"/>
    <w:rsid w:val="000E1B98"/>
    <w:rsid w:val="000E2005"/>
    <w:rsid w:val="000E405F"/>
    <w:rsid w:val="000E45C7"/>
    <w:rsid w:val="000E4EE6"/>
    <w:rsid w:val="000E4FDE"/>
    <w:rsid w:val="000E612B"/>
    <w:rsid w:val="000E6577"/>
    <w:rsid w:val="000E6E12"/>
    <w:rsid w:val="000E6F02"/>
    <w:rsid w:val="000F1EC7"/>
    <w:rsid w:val="000F226C"/>
    <w:rsid w:val="000F2B3D"/>
    <w:rsid w:val="000F58D3"/>
    <w:rsid w:val="000F6F01"/>
    <w:rsid w:val="000F6FC7"/>
    <w:rsid w:val="000F71EF"/>
    <w:rsid w:val="000F7565"/>
    <w:rsid w:val="000F7D55"/>
    <w:rsid w:val="0010018E"/>
    <w:rsid w:val="00100EFA"/>
    <w:rsid w:val="00101279"/>
    <w:rsid w:val="00102010"/>
    <w:rsid w:val="0010333C"/>
    <w:rsid w:val="00103D8D"/>
    <w:rsid w:val="00104F5E"/>
    <w:rsid w:val="00105033"/>
    <w:rsid w:val="00106545"/>
    <w:rsid w:val="001067DF"/>
    <w:rsid w:val="00107335"/>
    <w:rsid w:val="0010756F"/>
    <w:rsid w:val="001103BE"/>
    <w:rsid w:val="00110749"/>
    <w:rsid w:val="00110774"/>
    <w:rsid w:val="00110A64"/>
    <w:rsid w:val="00111172"/>
    <w:rsid w:val="0011206C"/>
    <w:rsid w:val="00112D04"/>
    <w:rsid w:val="00112E08"/>
    <w:rsid w:val="0011319B"/>
    <w:rsid w:val="00114145"/>
    <w:rsid w:val="00114316"/>
    <w:rsid w:val="0011434F"/>
    <w:rsid w:val="00115B2E"/>
    <w:rsid w:val="001162D9"/>
    <w:rsid w:val="00117504"/>
    <w:rsid w:val="001177E8"/>
    <w:rsid w:val="00117987"/>
    <w:rsid w:val="00120E2A"/>
    <w:rsid w:val="00121B8B"/>
    <w:rsid w:val="001234E4"/>
    <w:rsid w:val="00123B16"/>
    <w:rsid w:val="00123D88"/>
    <w:rsid w:val="0012400A"/>
    <w:rsid w:val="0012480C"/>
    <w:rsid w:val="0012555D"/>
    <w:rsid w:val="0012573B"/>
    <w:rsid w:val="001258ED"/>
    <w:rsid w:val="00126380"/>
    <w:rsid w:val="00127B76"/>
    <w:rsid w:val="001304A3"/>
    <w:rsid w:val="0013096E"/>
    <w:rsid w:val="00131F25"/>
    <w:rsid w:val="00133345"/>
    <w:rsid w:val="00133FDE"/>
    <w:rsid w:val="00134C5A"/>
    <w:rsid w:val="00135A50"/>
    <w:rsid w:val="001366FF"/>
    <w:rsid w:val="0013699E"/>
    <w:rsid w:val="001372C2"/>
    <w:rsid w:val="0013740F"/>
    <w:rsid w:val="00137618"/>
    <w:rsid w:val="0013788E"/>
    <w:rsid w:val="0013794B"/>
    <w:rsid w:val="001400FB"/>
    <w:rsid w:val="00140EE3"/>
    <w:rsid w:val="0014194F"/>
    <w:rsid w:val="00141ABF"/>
    <w:rsid w:val="00142455"/>
    <w:rsid w:val="0014281E"/>
    <w:rsid w:val="00143ECE"/>
    <w:rsid w:val="0014429B"/>
    <w:rsid w:val="00145714"/>
    <w:rsid w:val="0014577E"/>
    <w:rsid w:val="00145AA2"/>
    <w:rsid w:val="001473F6"/>
    <w:rsid w:val="00151843"/>
    <w:rsid w:val="00151FDB"/>
    <w:rsid w:val="00152533"/>
    <w:rsid w:val="00153A6D"/>
    <w:rsid w:val="00153ACB"/>
    <w:rsid w:val="00154FEF"/>
    <w:rsid w:val="0015796A"/>
    <w:rsid w:val="00157CA3"/>
    <w:rsid w:val="00157F7B"/>
    <w:rsid w:val="00160AB2"/>
    <w:rsid w:val="00161FE8"/>
    <w:rsid w:val="0016379A"/>
    <w:rsid w:val="00163BA5"/>
    <w:rsid w:val="001667BA"/>
    <w:rsid w:val="00173DCB"/>
    <w:rsid w:val="0017426C"/>
    <w:rsid w:val="00174B24"/>
    <w:rsid w:val="00174E4C"/>
    <w:rsid w:val="00176727"/>
    <w:rsid w:val="001767D7"/>
    <w:rsid w:val="00177121"/>
    <w:rsid w:val="00177713"/>
    <w:rsid w:val="001800AF"/>
    <w:rsid w:val="00180806"/>
    <w:rsid w:val="00181475"/>
    <w:rsid w:val="00181589"/>
    <w:rsid w:val="00181DCA"/>
    <w:rsid w:val="001829A9"/>
    <w:rsid w:val="0018576E"/>
    <w:rsid w:val="00185DE6"/>
    <w:rsid w:val="00187906"/>
    <w:rsid w:val="00187C1A"/>
    <w:rsid w:val="00187FDE"/>
    <w:rsid w:val="00190022"/>
    <w:rsid w:val="00191531"/>
    <w:rsid w:val="0019175B"/>
    <w:rsid w:val="00192F27"/>
    <w:rsid w:val="00193C1D"/>
    <w:rsid w:val="00194F21"/>
    <w:rsid w:val="00196967"/>
    <w:rsid w:val="0019733D"/>
    <w:rsid w:val="001A1415"/>
    <w:rsid w:val="001A170E"/>
    <w:rsid w:val="001A383A"/>
    <w:rsid w:val="001A3B30"/>
    <w:rsid w:val="001A5360"/>
    <w:rsid w:val="001A56D4"/>
    <w:rsid w:val="001A6A02"/>
    <w:rsid w:val="001B007C"/>
    <w:rsid w:val="001B21FF"/>
    <w:rsid w:val="001B23D5"/>
    <w:rsid w:val="001B3D2B"/>
    <w:rsid w:val="001B4333"/>
    <w:rsid w:val="001B4C2C"/>
    <w:rsid w:val="001B4E2E"/>
    <w:rsid w:val="001B636F"/>
    <w:rsid w:val="001B6655"/>
    <w:rsid w:val="001B69E5"/>
    <w:rsid w:val="001B7A1E"/>
    <w:rsid w:val="001C0673"/>
    <w:rsid w:val="001C0703"/>
    <w:rsid w:val="001C0A60"/>
    <w:rsid w:val="001C2BAB"/>
    <w:rsid w:val="001C2FDD"/>
    <w:rsid w:val="001C3AA9"/>
    <w:rsid w:val="001C3C3E"/>
    <w:rsid w:val="001C51AD"/>
    <w:rsid w:val="001C6BFE"/>
    <w:rsid w:val="001C759C"/>
    <w:rsid w:val="001C7779"/>
    <w:rsid w:val="001D0F69"/>
    <w:rsid w:val="001D12E5"/>
    <w:rsid w:val="001D27A2"/>
    <w:rsid w:val="001D3F06"/>
    <w:rsid w:val="001D5ECC"/>
    <w:rsid w:val="001D6FBC"/>
    <w:rsid w:val="001D7DB7"/>
    <w:rsid w:val="001E149F"/>
    <w:rsid w:val="001E6D06"/>
    <w:rsid w:val="001E7669"/>
    <w:rsid w:val="001E7754"/>
    <w:rsid w:val="001E7AD8"/>
    <w:rsid w:val="001E7B20"/>
    <w:rsid w:val="001E7DF3"/>
    <w:rsid w:val="001F2453"/>
    <w:rsid w:val="001F3300"/>
    <w:rsid w:val="001F5392"/>
    <w:rsid w:val="001F601C"/>
    <w:rsid w:val="001F69C3"/>
    <w:rsid w:val="0020072D"/>
    <w:rsid w:val="00200797"/>
    <w:rsid w:val="00200C01"/>
    <w:rsid w:val="002010BA"/>
    <w:rsid w:val="00201483"/>
    <w:rsid w:val="00201B4A"/>
    <w:rsid w:val="002030D7"/>
    <w:rsid w:val="00203134"/>
    <w:rsid w:val="00204E69"/>
    <w:rsid w:val="002060B0"/>
    <w:rsid w:val="00206D7F"/>
    <w:rsid w:val="0020702C"/>
    <w:rsid w:val="0020705E"/>
    <w:rsid w:val="00207170"/>
    <w:rsid w:val="00207E69"/>
    <w:rsid w:val="0021384D"/>
    <w:rsid w:val="00214084"/>
    <w:rsid w:val="0021443F"/>
    <w:rsid w:val="0021508D"/>
    <w:rsid w:val="002152AF"/>
    <w:rsid w:val="00215ECB"/>
    <w:rsid w:val="0021727C"/>
    <w:rsid w:val="00220DA7"/>
    <w:rsid w:val="00220DA9"/>
    <w:rsid w:val="00221DE7"/>
    <w:rsid w:val="00222C0C"/>
    <w:rsid w:val="002234AE"/>
    <w:rsid w:val="002259C7"/>
    <w:rsid w:val="00225CF6"/>
    <w:rsid w:val="0022605C"/>
    <w:rsid w:val="0022660F"/>
    <w:rsid w:val="00226F2A"/>
    <w:rsid w:val="00227310"/>
    <w:rsid w:val="002273E0"/>
    <w:rsid w:val="002274D5"/>
    <w:rsid w:val="00230331"/>
    <w:rsid w:val="002305DD"/>
    <w:rsid w:val="00231E6E"/>
    <w:rsid w:val="00233C24"/>
    <w:rsid w:val="0023497C"/>
    <w:rsid w:val="0023528B"/>
    <w:rsid w:val="00235397"/>
    <w:rsid w:val="002376ED"/>
    <w:rsid w:val="00240879"/>
    <w:rsid w:val="0024110A"/>
    <w:rsid w:val="002413E9"/>
    <w:rsid w:val="002416FF"/>
    <w:rsid w:val="002417B5"/>
    <w:rsid w:val="0024326B"/>
    <w:rsid w:val="00244658"/>
    <w:rsid w:val="00244E83"/>
    <w:rsid w:val="00244FFF"/>
    <w:rsid w:val="00245743"/>
    <w:rsid w:val="00245F6F"/>
    <w:rsid w:val="00250526"/>
    <w:rsid w:val="00250AEF"/>
    <w:rsid w:val="00252485"/>
    <w:rsid w:val="002528C3"/>
    <w:rsid w:val="00253071"/>
    <w:rsid w:val="00254AAF"/>
    <w:rsid w:val="00255843"/>
    <w:rsid w:val="0025621E"/>
    <w:rsid w:val="0025640E"/>
    <w:rsid w:val="00256843"/>
    <w:rsid w:val="00256EE4"/>
    <w:rsid w:val="00256FA9"/>
    <w:rsid w:val="00257B05"/>
    <w:rsid w:val="00260FE2"/>
    <w:rsid w:val="00262E33"/>
    <w:rsid w:val="00264716"/>
    <w:rsid w:val="00266810"/>
    <w:rsid w:val="00267CAA"/>
    <w:rsid w:val="002701B3"/>
    <w:rsid w:val="00270539"/>
    <w:rsid w:val="00273FB1"/>
    <w:rsid w:val="00274F93"/>
    <w:rsid w:val="002771AC"/>
    <w:rsid w:val="00277489"/>
    <w:rsid w:val="00280F64"/>
    <w:rsid w:val="00281808"/>
    <w:rsid w:val="00281DE8"/>
    <w:rsid w:val="002820C9"/>
    <w:rsid w:val="002824AA"/>
    <w:rsid w:val="00283A2E"/>
    <w:rsid w:val="00285291"/>
    <w:rsid w:val="00285374"/>
    <w:rsid w:val="00285F98"/>
    <w:rsid w:val="00287346"/>
    <w:rsid w:val="00287A09"/>
    <w:rsid w:val="00290840"/>
    <w:rsid w:val="00291014"/>
    <w:rsid w:val="00292261"/>
    <w:rsid w:val="00292622"/>
    <w:rsid w:val="00293831"/>
    <w:rsid w:val="002939D8"/>
    <w:rsid w:val="00293A8E"/>
    <w:rsid w:val="002A1883"/>
    <w:rsid w:val="002A37BE"/>
    <w:rsid w:val="002A39FC"/>
    <w:rsid w:val="002A3E2F"/>
    <w:rsid w:val="002A42B0"/>
    <w:rsid w:val="002A4B6D"/>
    <w:rsid w:val="002A4B84"/>
    <w:rsid w:val="002A537A"/>
    <w:rsid w:val="002A6973"/>
    <w:rsid w:val="002B1D0E"/>
    <w:rsid w:val="002B3369"/>
    <w:rsid w:val="002B3A82"/>
    <w:rsid w:val="002B3F1B"/>
    <w:rsid w:val="002B4C5C"/>
    <w:rsid w:val="002B5102"/>
    <w:rsid w:val="002B5454"/>
    <w:rsid w:val="002B5D68"/>
    <w:rsid w:val="002B70E1"/>
    <w:rsid w:val="002B751A"/>
    <w:rsid w:val="002B7AAA"/>
    <w:rsid w:val="002C181B"/>
    <w:rsid w:val="002C2932"/>
    <w:rsid w:val="002C35E0"/>
    <w:rsid w:val="002C4041"/>
    <w:rsid w:val="002C4247"/>
    <w:rsid w:val="002C42E0"/>
    <w:rsid w:val="002C5630"/>
    <w:rsid w:val="002C5D8C"/>
    <w:rsid w:val="002C6044"/>
    <w:rsid w:val="002D1B15"/>
    <w:rsid w:val="002D34EB"/>
    <w:rsid w:val="002D5097"/>
    <w:rsid w:val="002E0C4B"/>
    <w:rsid w:val="002E29C8"/>
    <w:rsid w:val="002E3705"/>
    <w:rsid w:val="002E3F56"/>
    <w:rsid w:val="002E5171"/>
    <w:rsid w:val="002E612E"/>
    <w:rsid w:val="002E7755"/>
    <w:rsid w:val="002E784D"/>
    <w:rsid w:val="002E7B76"/>
    <w:rsid w:val="002F0297"/>
    <w:rsid w:val="002F0FE3"/>
    <w:rsid w:val="002F12B5"/>
    <w:rsid w:val="002F279A"/>
    <w:rsid w:val="002F443A"/>
    <w:rsid w:val="002F5223"/>
    <w:rsid w:val="002F5E5B"/>
    <w:rsid w:val="002F6AB5"/>
    <w:rsid w:val="002F6D4F"/>
    <w:rsid w:val="002F73C1"/>
    <w:rsid w:val="002F7651"/>
    <w:rsid w:val="002F7963"/>
    <w:rsid w:val="002F79B4"/>
    <w:rsid w:val="003008A8"/>
    <w:rsid w:val="0030353B"/>
    <w:rsid w:val="00304232"/>
    <w:rsid w:val="003052CA"/>
    <w:rsid w:val="003078BA"/>
    <w:rsid w:val="003100D4"/>
    <w:rsid w:val="00310ED5"/>
    <w:rsid w:val="003128DF"/>
    <w:rsid w:val="00312A13"/>
    <w:rsid w:val="00313DAD"/>
    <w:rsid w:val="00314CCF"/>
    <w:rsid w:val="00314E1F"/>
    <w:rsid w:val="00314F4D"/>
    <w:rsid w:val="003164A1"/>
    <w:rsid w:val="00316C3B"/>
    <w:rsid w:val="00324086"/>
    <w:rsid w:val="003246E2"/>
    <w:rsid w:val="0032539D"/>
    <w:rsid w:val="00325BF3"/>
    <w:rsid w:val="00326F98"/>
    <w:rsid w:val="00327220"/>
    <w:rsid w:val="00327C0B"/>
    <w:rsid w:val="00327E10"/>
    <w:rsid w:val="00327EDB"/>
    <w:rsid w:val="0033197E"/>
    <w:rsid w:val="00331F27"/>
    <w:rsid w:val="00332112"/>
    <w:rsid w:val="00332919"/>
    <w:rsid w:val="00332A7A"/>
    <w:rsid w:val="00333A11"/>
    <w:rsid w:val="00335294"/>
    <w:rsid w:val="00335781"/>
    <w:rsid w:val="00335E39"/>
    <w:rsid w:val="00336204"/>
    <w:rsid w:val="0034016F"/>
    <w:rsid w:val="00340220"/>
    <w:rsid w:val="0034027B"/>
    <w:rsid w:val="003411C0"/>
    <w:rsid w:val="00341BA0"/>
    <w:rsid w:val="0034228A"/>
    <w:rsid w:val="003436A3"/>
    <w:rsid w:val="00343EF7"/>
    <w:rsid w:val="00344BDE"/>
    <w:rsid w:val="00347743"/>
    <w:rsid w:val="003500CD"/>
    <w:rsid w:val="00351067"/>
    <w:rsid w:val="003511AC"/>
    <w:rsid w:val="0035165B"/>
    <w:rsid w:val="00352A91"/>
    <w:rsid w:val="00353D9A"/>
    <w:rsid w:val="003540B1"/>
    <w:rsid w:val="0035414F"/>
    <w:rsid w:val="00354D6E"/>
    <w:rsid w:val="003558E3"/>
    <w:rsid w:val="0035625E"/>
    <w:rsid w:val="00356755"/>
    <w:rsid w:val="00356780"/>
    <w:rsid w:val="003567E7"/>
    <w:rsid w:val="00357A40"/>
    <w:rsid w:val="003608B0"/>
    <w:rsid w:val="00360E22"/>
    <w:rsid w:val="00361E68"/>
    <w:rsid w:val="0036274D"/>
    <w:rsid w:val="0036519A"/>
    <w:rsid w:val="00367AEA"/>
    <w:rsid w:val="00370745"/>
    <w:rsid w:val="003721F3"/>
    <w:rsid w:val="00372C36"/>
    <w:rsid w:val="00372F51"/>
    <w:rsid w:val="003752F3"/>
    <w:rsid w:val="00376D29"/>
    <w:rsid w:val="00376E3C"/>
    <w:rsid w:val="00377C22"/>
    <w:rsid w:val="00380E4A"/>
    <w:rsid w:val="0038126E"/>
    <w:rsid w:val="00381B3D"/>
    <w:rsid w:val="003841B0"/>
    <w:rsid w:val="00384F59"/>
    <w:rsid w:val="00385002"/>
    <w:rsid w:val="003873F0"/>
    <w:rsid w:val="00390D04"/>
    <w:rsid w:val="0039175C"/>
    <w:rsid w:val="00391825"/>
    <w:rsid w:val="003926ED"/>
    <w:rsid w:val="00392796"/>
    <w:rsid w:val="003928EE"/>
    <w:rsid w:val="00392D93"/>
    <w:rsid w:val="00392FA4"/>
    <w:rsid w:val="0039313C"/>
    <w:rsid w:val="00393EFF"/>
    <w:rsid w:val="00394E25"/>
    <w:rsid w:val="00394EB7"/>
    <w:rsid w:val="00395B2B"/>
    <w:rsid w:val="00395F80"/>
    <w:rsid w:val="003960DD"/>
    <w:rsid w:val="003961AD"/>
    <w:rsid w:val="003964A9"/>
    <w:rsid w:val="00396688"/>
    <w:rsid w:val="00397DF5"/>
    <w:rsid w:val="003A0ACE"/>
    <w:rsid w:val="003A1C4A"/>
    <w:rsid w:val="003A1FD5"/>
    <w:rsid w:val="003A2E32"/>
    <w:rsid w:val="003A2F57"/>
    <w:rsid w:val="003A42AF"/>
    <w:rsid w:val="003A4501"/>
    <w:rsid w:val="003A460C"/>
    <w:rsid w:val="003A47F3"/>
    <w:rsid w:val="003A7103"/>
    <w:rsid w:val="003B1678"/>
    <w:rsid w:val="003B2977"/>
    <w:rsid w:val="003B29FF"/>
    <w:rsid w:val="003B37A9"/>
    <w:rsid w:val="003B39ED"/>
    <w:rsid w:val="003B3E88"/>
    <w:rsid w:val="003B4017"/>
    <w:rsid w:val="003B419F"/>
    <w:rsid w:val="003B4387"/>
    <w:rsid w:val="003B4550"/>
    <w:rsid w:val="003B4ABC"/>
    <w:rsid w:val="003B5013"/>
    <w:rsid w:val="003B5382"/>
    <w:rsid w:val="003B5A8C"/>
    <w:rsid w:val="003B5CBD"/>
    <w:rsid w:val="003B61F6"/>
    <w:rsid w:val="003C0ABE"/>
    <w:rsid w:val="003C0ACD"/>
    <w:rsid w:val="003C0C4D"/>
    <w:rsid w:val="003C0CB8"/>
    <w:rsid w:val="003C2609"/>
    <w:rsid w:val="003C3835"/>
    <w:rsid w:val="003C4278"/>
    <w:rsid w:val="003C42A4"/>
    <w:rsid w:val="003C44E2"/>
    <w:rsid w:val="003C6EFE"/>
    <w:rsid w:val="003C6F24"/>
    <w:rsid w:val="003C7B3D"/>
    <w:rsid w:val="003D0CA7"/>
    <w:rsid w:val="003D0E2C"/>
    <w:rsid w:val="003D15D8"/>
    <w:rsid w:val="003D165B"/>
    <w:rsid w:val="003D2595"/>
    <w:rsid w:val="003D377D"/>
    <w:rsid w:val="003D3CC5"/>
    <w:rsid w:val="003D4099"/>
    <w:rsid w:val="003D550D"/>
    <w:rsid w:val="003D5FBD"/>
    <w:rsid w:val="003D76F9"/>
    <w:rsid w:val="003D7B74"/>
    <w:rsid w:val="003E044D"/>
    <w:rsid w:val="003E0A87"/>
    <w:rsid w:val="003E11EC"/>
    <w:rsid w:val="003E151C"/>
    <w:rsid w:val="003E1BBE"/>
    <w:rsid w:val="003E1C4F"/>
    <w:rsid w:val="003E2B8A"/>
    <w:rsid w:val="003E2B99"/>
    <w:rsid w:val="003E3139"/>
    <w:rsid w:val="003E3E76"/>
    <w:rsid w:val="003E49ED"/>
    <w:rsid w:val="003E559C"/>
    <w:rsid w:val="003E574E"/>
    <w:rsid w:val="003F0719"/>
    <w:rsid w:val="003F165C"/>
    <w:rsid w:val="003F190D"/>
    <w:rsid w:val="003F1DE0"/>
    <w:rsid w:val="003F1EE3"/>
    <w:rsid w:val="003F3809"/>
    <w:rsid w:val="003F3A7D"/>
    <w:rsid w:val="003F7280"/>
    <w:rsid w:val="0040088E"/>
    <w:rsid w:val="0040103D"/>
    <w:rsid w:val="004025DC"/>
    <w:rsid w:val="004048F5"/>
    <w:rsid w:val="00405927"/>
    <w:rsid w:val="00405EA6"/>
    <w:rsid w:val="00405F38"/>
    <w:rsid w:val="004065EB"/>
    <w:rsid w:val="004069DD"/>
    <w:rsid w:val="004075F5"/>
    <w:rsid w:val="004079AB"/>
    <w:rsid w:val="00411D90"/>
    <w:rsid w:val="004124F1"/>
    <w:rsid w:val="00412A42"/>
    <w:rsid w:val="00413227"/>
    <w:rsid w:val="00413485"/>
    <w:rsid w:val="00415305"/>
    <w:rsid w:val="0041625D"/>
    <w:rsid w:val="004173C2"/>
    <w:rsid w:val="00417F27"/>
    <w:rsid w:val="004202FC"/>
    <w:rsid w:val="004206F4"/>
    <w:rsid w:val="00420B04"/>
    <w:rsid w:val="00420CE0"/>
    <w:rsid w:val="00422DF6"/>
    <w:rsid w:val="00423F72"/>
    <w:rsid w:val="004243B3"/>
    <w:rsid w:val="00424B7F"/>
    <w:rsid w:val="00425127"/>
    <w:rsid w:val="00426116"/>
    <w:rsid w:val="00426520"/>
    <w:rsid w:val="004268CD"/>
    <w:rsid w:val="00426A48"/>
    <w:rsid w:val="004278A1"/>
    <w:rsid w:val="00427F2F"/>
    <w:rsid w:val="0043017F"/>
    <w:rsid w:val="0043138B"/>
    <w:rsid w:val="004329A7"/>
    <w:rsid w:val="00433CDB"/>
    <w:rsid w:val="00434565"/>
    <w:rsid w:val="00435783"/>
    <w:rsid w:val="00436AA3"/>
    <w:rsid w:val="004371E8"/>
    <w:rsid w:val="00440EDD"/>
    <w:rsid w:val="00441581"/>
    <w:rsid w:val="004424D6"/>
    <w:rsid w:val="00442A32"/>
    <w:rsid w:val="00443CA6"/>
    <w:rsid w:val="0044467A"/>
    <w:rsid w:val="004455A2"/>
    <w:rsid w:val="00446F5C"/>
    <w:rsid w:val="004477C0"/>
    <w:rsid w:val="00447D04"/>
    <w:rsid w:val="004502C3"/>
    <w:rsid w:val="0045096D"/>
    <w:rsid w:val="00450AE7"/>
    <w:rsid w:val="00451ADB"/>
    <w:rsid w:val="00452DF2"/>
    <w:rsid w:val="00454B77"/>
    <w:rsid w:val="004555BB"/>
    <w:rsid w:val="00455B66"/>
    <w:rsid w:val="004565C9"/>
    <w:rsid w:val="00456867"/>
    <w:rsid w:val="004568AD"/>
    <w:rsid w:val="0045691F"/>
    <w:rsid w:val="00456FB7"/>
    <w:rsid w:val="00457FEE"/>
    <w:rsid w:val="00460D14"/>
    <w:rsid w:val="004615D2"/>
    <w:rsid w:val="0046197C"/>
    <w:rsid w:val="00461B84"/>
    <w:rsid w:val="00461DAA"/>
    <w:rsid w:val="00461EEF"/>
    <w:rsid w:val="00462051"/>
    <w:rsid w:val="0046242D"/>
    <w:rsid w:val="004625D0"/>
    <w:rsid w:val="00463C87"/>
    <w:rsid w:val="00463EF3"/>
    <w:rsid w:val="0046469D"/>
    <w:rsid w:val="00464E08"/>
    <w:rsid w:val="004650BD"/>
    <w:rsid w:val="00465A8D"/>
    <w:rsid w:val="00465F5E"/>
    <w:rsid w:val="0046678C"/>
    <w:rsid w:val="00466BE9"/>
    <w:rsid w:val="00467083"/>
    <w:rsid w:val="00467A97"/>
    <w:rsid w:val="00467AE0"/>
    <w:rsid w:val="004702A2"/>
    <w:rsid w:val="004712AF"/>
    <w:rsid w:val="00472BAB"/>
    <w:rsid w:val="00473A08"/>
    <w:rsid w:val="00473B00"/>
    <w:rsid w:val="00473D41"/>
    <w:rsid w:val="00474A4D"/>
    <w:rsid w:val="00474CDA"/>
    <w:rsid w:val="00476BAA"/>
    <w:rsid w:val="00477EA2"/>
    <w:rsid w:val="004802CA"/>
    <w:rsid w:val="00482244"/>
    <w:rsid w:val="00483C3C"/>
    <w:rsid w:val="00483C74"/>
    <w:rsid w:val="00485B59"/>
    <w:rsid w:val="00485C4F"/>
    <w:rsid w:val="0048643D"/>
    <w:rsid w:val="0048771E"/>
    <w:rsid w:val="004919D0"/>
    <w:rsid w:val="00492DB0"/>
    <w:rsid w:val="00493267"/>
    <w:rsid w:val="004933B1"/>
    <w:rsid w:val="004969EA"/>
    <w:rsid w:val="00497142"/>
    <w:rsid w:val="004A3CF1"/>
    <w:rsid w:val="004A4410"/>
    <w:rsid w:val="004A5DE0"/>
    <w:rsid w:val="004A5EB7"/>
    <w:rsid w:val="004A607E"/>
    <w:rsid w:val="004A6589"/>
    <w:rsid w:val="004A6900"/>
    <w:rsid w:val="004B2283"/>
    <w:rsid w:val="004B2BF0"/>
    <w:rsid w:val="004B3559"/>
    <w:rsid w:val="004B42D0"/>
    <w:rsid w:val="004C1B2D"/>
    <w:rsid w:val="004C2FF5"/>
    <w:rsid w:val="004C3372"/>
    <w:rsid w:val="004C5A1F"/>
    <w:rsid w:val="004C608F"/>
    <w:rsid w:val="004C6375"/>
    <w:rsid w:val="004C7742"/>
    <w:rsid w:val="004C777F"/>
    <w:rsid w:val="004C784A"/>
    <w:rsid w:val="004D1720"/>
    <w:rsid w:val="004D1D7C"/>
    <w:rsid w:val="004D3916"/>
    <w:rsid w:val="004D3D95"/>
    <w:rsid w:val="004D4727"/>
    <w:rsid w:val="004D5D12"/>
    <w:rsid w:val="004D7D25"/>
    <w:rsid w:val="004E00AE"/>
    <w:rsid w:val="004E0B87"/>
    <w:rsid w:val="004E1FCC"/>
    <w:rsid w:val="004E3201"/>
    <w:rsid w:val="004F1A46"/>
    <w:rsid w:val="004F28DA"/>
    <w:rsid w:val="004F2905"/>
    <w:rsid w:val="004F3040"/>
    <w:rsid w:val="004F33FC"/>
    <w:rsid w:val="004F34CA"/>
    <w:rsid w:val="004F3810"/>
    <w:rsid w:val="004F3856"/>
    <w:rsid w:val="004F3928"/>
    <w:rsid w:val="004F4660"/>
    <w:rsid w:val="004F4AD9"/>
    <w:rsid w:val="004F5512"/>
    <w:rsid w:val="004F568B"/>
    <w:rsid w:val="004F5B13"/>
    <w:rsid w:val="004F6320"/>
    <w:rsid w:val="004F639E"/>
    <w:rsid w:val="004F67D7"/>
    <w:rsid w:val="00500757"/>
    <w:rsid w:val="00500895"/>
    <w:rsid w:val="00501B64"/>
    <w:rsid w:val="00502956"/>
    <w:rsid w:val="005029A3"/>
    <w:rsid w:val="005044ED"/>
    <w:rsid w:val="00506092"/>
    <w:rsid w:val="0050691D"/>
    <w:rsid w:val="00506CC0"/>
    <w:rsid w:val="00507219"/>
    <w:rsid w:val="005073EE"/>
    <w:rsid w:val="005104AC"/>
    <w:rsid w:val="005105AD"/>
    <w:rsid w:val="005108A6"/>
    <w:rsid w:val="00510B94"/>
    <w:rsid w:val="00510D74"/>
    <w:rsid w:val="0051168B"/>
    <w:rsid w:val="0051281B"/>
    <w:rsid w:val="0051335D"/>
    <w:rsid w:val="005143E4"/>
    <w:rsid w:val="00515707"/>
    <w:rsid w:val="00516C26"/>
    <w:rsid w:val="005179DD"/>
    <w:rsid w:val="00517D88"/>
    <w:rsid w:val="00523810"/>
    <w:rsid w:val="00523A9C"/>
    <w:rsid w:val="005252F1"/>
    <w:rsid w:val="0052552F"/>
    <w:rsid w:val="005256A2"/>
    <w:rsid w:val="00525B15"/>
    <w:rsid w:val="0053018C"/>
    <w:rsid w:val="005303CC"/>
    <w:rsid w:val="0053227B"/>
    <w:rsid w:val="005335AA"/>
    <w:rsid w:val="00534A1E"/>
    <w:rsid w:val="00536C82"/>
    <w:rsid w:val="00537AE7"/>
    <w:rsid w:val="0054002A"/>
    <w:rsid w:val="00540822"/>
    <w:rsid w:val="00540E66"/>
    <w:rsid w:val="00540F65"/>
    <w:rsid w:val="00541988"/>
    <w:rsid w:val="00541F1D"/>
    <w:rsid w:val="005424FA"/>
    <w:rsid w:val="00542752"/>
    <w:rsid w:val="00542764"/>
    <w:rsid w:val="005427AB"/>
    <w:rsid w:val="00542DA5"/>
    <w:rsid w:val="00543FB1"/>
    <w:rsid w:val="00546873"/>
    <w:rsid w:val="00546AAD"/>
    <w:rsid w:val="00550484"/>
    <w:rsid w:val="00550DFD"/>
    <w:rsid w:val="00551A38"/>
    <w:rsid w:val="00552086"/>
    <w:rsid w:val="00552AA1"/>
    <w:rsid w:val="00553DA3"/>
    <w:rsid w:val="005547E9"/>
    <w:rsid w:val="00554902"/>
    <w:rsid w:val="00555696"/>
    <w:rsid w:val="00555B1E"/>
    <w:rsid w:val="00555E7B"/>
    <w:rsid w:val="00556122"/>
    <w:rsid w:val="00556415"/>
    <w:rsid w:val="00556A2F"/>
    <w:rsid w:val="0055750C"/>
    <w:rsid w:val="005611F1"/>
    <w:rsid w:val="00561832"/>
    <w:rsid w:val="00561D7E"/>
    <w:rsid w:val="005621F7"/>
    <w:rsid w:val="00564C50"/>
    <w:rsid w:val="00564C92"/>
    <w:rsid w:val="00564FC7"/>
    <w:rsid w:val="005650F6"/>
    <w:rsid w:val="00565895"/>
    <w:rsid w:val="00566BF8"/>
    <w:rsid w:val="0056737C"/>
    <w:rsid w:val="0056737E"/>
    <w:rsid w:val="0057006F"/>
    <w:rsid w:val="005706D1"/>
    <w:rsid w:val="005707E3"/>
    <w:rsid w:val="00572AE9"/>
    <w:rsid w:val="005745E2"/>
    <w:rsid w:val="005759B4"/>
    <w:rsid w:val="00575ABA"/>
    <w:rsid w:val="00575CC7"/>
    <w:rsid w:val="0057627B"/>
    <w:rsid w:val="00580239"/>
    <w:rsid w:val="0058051D"/>
    <w:rsid w:val="00582B1F"/>
    <w:rsid w:val="0058411B"/>
    <w:rsid w:val="005843B8"/>
    <w:rsid w:val="00584C25"/>
    <w:rsid w:val="00585970"/>
    <w:rsid w:val="00586AE4"/>
    <w:rsid w:val="0058724D"/>
    <w:rsid w:val="00590876"/>
    <w:rsid w:val="00590F6B"/>
    <w:rsid w:val="0059189B"/>
    <w:rsid w:val="00592733"/>
    <w:rsid w:val="005927DC"/>
    <w:rsid w:val="00592DA1"/>
    <w:rsid w:val="005962A8"/>
    <w:rsid w:val="005962EC"/>
    <w:rsid w:val="005967FE"/>
    <w:rsid w:val="005974CB"/>
    <w:rsid w:val="00597B44"/>
    <w:rsid w:val="005A0378"/>
    <w:rsid w:val="005A0F6F"/>
    <w:rsid w:val="005A3E98"/>
    <w:rsid w:val="005A52D5"/>
    <w:rsid w:val="005A6798"/>
    <w:rsid w:val="005B40FB"/>
    <w:rsid w:val="005B596C"/>
    <w:rsid w:val="005B67AE"/>
    <w:rsid w:val="005B6999"/>
    <w:rsid w:val="005C019D"/>
    <w:rsid w:val="005C0CEA"/>
    <w:rsid w:val="005C1B70"/>
    <w:rsid w:val="005C1FCB"/>
    <w:rsid w:val="005C2BD0"/>
    <w:rsid w:val="005C3198"/>
    <w:rsid w:val="005C592F"/>
    <w:rsid w:val="005C5F19"/>
    <w:rsid w:val="005C6A37"/>
    <w:rsid w:val="005D0CAC"/>
    <w:rsid w:val="005D0FF3"/>
    <w:rsid w:val="005D12ED"/>
    <w:rsid w:val="005D1AAF"/>
    <w:rsid w:val="005D3704"/>
    <w:rsid w:val="005D4230"/>
    <w:rsid w:val="005D4A96"/>
    <w:rsid w:val="005D5892"/>
    <w:rsid w:val="005D5D55"/>
    <w:rsid w:val="005E0CCD"/>
    <w:rsid w:val="005E1AE9"/>
    <w:rsid w:val="005E29F7"/>
    <w:rsid w:val="005E2F65"/>
    <w:rsid w:val="005E3441"/>
    <w:rsid w:val="005E4159"/>
    <w:rsid w:val="005E4F33"/>
    <w:rsid w:val="005E5260"/>
    <w:rsid w:val="005E746C"/>
    <w:rsid w:val="005E7826"/>
    <w:rsid w:val="005F059F"/>
    <w:rsid w:val="005F0603"/>
    <w:rsid w:val="005F1144"/>
    <w:rsid w:val="005F1C4F"/>
    <w:rsid w:val="005F5290"/>
    <w:rsid w:val="005F5635"/>
    <w:rsid w:val="005F59A9"/>
    <w:rsid w:val="005F5EA3"/>
    <w:rsid w:val="005F5FC8"/>
    <w:rsid w:val="005F6F75"/>
    <w:rsid w:val="006019CA"/>
    <w:rsid w:val="00601B7A"/>
    <w:rsid w:val="00601EC8"/>
    <w:rsid w:val="00602915"/>
    <w:rsid w:val="0060292B"/>
    <w:rsid w:val="00602D6F"/>
    <w:rsid w:val="0060379E"/>
    <w:rsid w:val="00603CE7"/>
    <w:rsid w:val="00604086"/>
    <w:rsid w:val="00604A04"/>
    <w:rsid w:val="00606E52"/>
    <w:rsid w:val="0060757B"/>
    <w:rsid w:val="0060791C"/>
    <w:rsid w:val="00611C51"/>
    <w:rsid w:val="00611CEE"/>
    <w:rsid w:val="0061247D"/>
    <w:rsid w:val="00612E9E"/>
    <w:rsid w:val="00613D7D"/>
    <w:rsid w:val="00614548"/>
    <w:rsid w:val="00614DDF"/>
    <w:rsid w:val="00615AAE"/>
    <w:rsid w:val="006167C1"/>
    <w:rsid w:val="00616A5F"/>
    <w:rsid w:val="00617399"/>
    <w:rsid w:val="0061790F"/>
    <w:rsid w:val="00620615"/>
    <w:rsid w:val="006211FD"/>
    <w:rsid w:val="00621FA1"/>
    <w:rsid w:val="00622551"/>
    <w:rsid w:val="00626AAE"/>
    <w:rsid w:val="00627330"/>
    <w:rsid w:val="00627DFC"/>
    <w:rsid w:val="00630017"/>
    <w:rsid w:val="00631566"/>
    <w:rsid w:val="006317EC"/>
    <w:rsid w:val="00631C92"/>
    <w:rsid w:val="00633545"/>
    <w:rsid w:val="00634519"/>
    <w:rsid w:val="00637A31"/>
    <w:rsid w:val="00637CB7"/>
    <w:rsid w:val="0064134E"/>
    <w:rsid w:val="00641BA5"/>
    <w:rsid w:val="00642939"/>
    <w:rsid w:val="00644A7F"/>
    <w:rsid w:val="00644BDE"/>
    <w:rsid w:val="00644F91"/>
    <w:rsid w:val="00645772"/>
    <w:rsid w:val="006459BA"/>
    <w:rsid w:val="0064654A"/>
    <w:rsid w:val="006466D9"/>
    <w:rsid w:val="0064679B"/>
    <w:rsid w:val="006475C9"/>
    <w:rsid w:val="006503A3"/>
    <w:rsid w:val="00651105"/>
    <w:rsid w:val="00651376"/>
    <w:rsid w:val="006518CF"/>
    <w:rsid w:val="006524B4"/>
    <w:rsid w:val="00653738"/>
    <w:rsid w:val="00653B5D"/>
    <w:rsid w:val="00655CB6"/>
    <w:rsid w:val="00656772"/>
    <w:rsid w:val="0065759C"/>
    <w:rsid w:val="00660377"/>
    <w:rsid w:val="00661324"/>
    <w:rsid w:val="006614ED"/>
    <w:rsid w:val="00661A6A"/>
    <w:rsid w:val="00662D34"/>
    <w:rsid w:val="006643DE"/>
    <w:rsid w:val="00665291"/>
    <w:rsid w:val="00666587"/>
    <w:rsid w:val="00666A1D"/>
    <w:rsid w:val="00667017"/>
    <w:rsid w:val="00667E6A"/>
    <w:rsid w:val="0067057C"/>
    <w:rsid w:val="0067251A"/>
    <w:rsid w:val="006740C0"/>
    <w:rsid w:val="006746A5"/>
    <w:rsid w:val="00674890"/>
    <w:rsid w:val="0067497A"/>
    <w:rsid w:val="00674B8F"/>
    <w:rsid w:val="00675B45"/>
    <w:rsid w:val="0067696E"/>
    <w:rsid w:val="00676B8F"/>
    <w:rsid w:val="0067776C"/>
    <w:rsid w:val="0067777C"/>
    <w:rsid w:val="006802F0"/>
    <w:rsid w:val="0068317A"/>
    <w:rsid w:val="00683AD2"/>
    <w:rsid w:val="00684768"/>
    <w:rsid w:val="006848F0"/>
    <w:rsid w:val="0068491D"/>
    <w:rsid w:val="00684F9C"/>
    <w:rsid w:val="00685EEA"/>
    <w:rsid w:val="00686CAD"/>
    <w:rsid w:val="0069075D"/>
    <w:rsid w:val="00691CAB"/>
    <w:rsid w:val="00691EB7"/>
    <w:rsid w:val="0069298C"/>
    <w:rsid w:val="00693250"/>
    <w:rsid w:val="00694166"/>
    <w:rsid w:val="0069428A"/>
    <w:rsid w:val="006945FD"/>
    <w:rsid w:val="0069583C"/>
    <w:rsid w:val="00695998"/>
    <w:rsid w:val="00696F5A"/>
    <w:rsid w:val="006977F7"/>
    <w:rsid w:val="006978BF"/>
    <w:rsid w:val="00697D37"/>
    <w:rsid w:val="006A1299"/>
    <w:rsid w:val="006A21AC"/>
    <w:rsid w:val="006A2225"/>
    <w:rsid w:val="006A22AC"/>
    <w:rsid w:val="006A279A"/>
    <w:rsid w:val="006A3027"/>
    <w:rsid w:val="006A32D4"/>
    <w:rsid w:val="006A387A"/>
    <w:rsid w:val="006A3B51"/>
    <w:rsid w:val="006A4439"/>
    <w:rsid w:val="006A46AD"/>
    <w:rsid w:val="006A49B6"/>
    <w:rsid w:val="006A56E7"/>
    <w:rsid w:val="006A574A"/>
    <w:rsid w:val="006B15B7"/>
    <w:rsid w:val="006B1AEF"/>
    <w:rsid w:val="006B3E6B"/>
    <w:rsid w:val="006B3FF4"/>
    <w:rsid w:val="006B49E3"/>
    <w:rsid w:val="006B5BFF"/>
    <w:rsid w:val="006B622F"/>
    <w:rsid w:val="006C0387"/>
    <w:rsid w:val="006C0700"/>
    <w:rsid w:val="006C0BD1"/>
    <w:rsid w:val="006C3FB0"/>
    <w:rsid w:val="006C47BC"/>
    <w:rsid w:val="006C4DF8"/>
    <w:rsid w:val="006C5718"/>
    <w:rsid w:val="006C5E74"/>
    <w:rsid w:val="006C6008"/>
    <w:rsid w:val="006C660C"/>
    <w:rsid w:val="006D0DE3"/>
    <w:rsid w:val="006D13EB"/>
    <w:rsid w:val="006D24AD"/>
    <w:rsid w:val="006D3A5E"/>
    <w:rsid w:val="006D45E2"/>
    <w:rsid w:val="006D4EA4"/>
    <w:rsid w:val="006D614A"/>
    <w:rsid w:val="006D6688"/>
    <w:rsid w:val="006D754C"/>
    <w:rsid w:val="006D7BC2"/>
    <w:rsid w:val="006E07CF"/>
    <w:rsid w:val="006E1374"/>
    <w:rsid w:val="006E27CA"/>
    <w:rsid w:val="006E3AB4"/>
    <w:rsid w:val="006E4835"/>
    <w:rsid w:val="006E490C"/>
    <w:rsid w:val="006E4F55"/>
    <w:rsid w:val="006E518F"/>
    <w:rsid w:val="006E7392"/>
    <w:rsid w:val="006E7AAC"/>
    <w:rsid w:val="006F3426"/>
    <w:rsid w:val="006F3DFE"/>
    <w:rsid w:val="006F4C29"/>
    <w:rsid w:val="006F504C"/>
    <w:rsid w:val="006F62F2"/>
    <w:rsid w:val="006F63EF"/>
    <w:rsid w:val="006F67BF"/>
    <w:rsid w:val="006F6A87"/>
    <w:rsid w:val="006F756A"/>
    <w:rsid w:val="006F7830"/>
    <w:rsid w:val="0070085A"/>
    <w:rsid w:val="0070133B"/>
    <w:rsid w:val="00701AB6"/>
    <w:rsid w:val="00701FE6"/>
    <w:rsid w:val="00702033"/>
    <w:rsid w:val="00702ADF"/>
    <w:rsid w:val="007040DA"/>
    <w:rsid w:val="00705721"/>
    <w:rsid w:val="00705DB0"/>
    <w:rsid w:val="007066F9"/>
    <w:rsid w:val="007068C0"/>
    <w:rsid w:val="00707A65"/>
    <w:rsid w:val="0071087A"/>
    <w:rsid w:val="00710EC9"/>
    <w:rsid w:val="00710FE0"/>
    <w:rsid w:val="007112AF"/>
    <w:rsid w:val="00712AFA"/>
    <w:rsid w:val="00712F2A"/>
    <w:rsid w:val="00713B36"/>
    <w:rsid w:val="00713D8C"/>
    <w:rsid w:val="007143ED"/>
    <w:rsid w:val="00715265"/>
    <w:rsid w:val="007155B1"/>
    <w:rsid w:val="00716008"/>
    <w:rsid w:val="007164E1"/>
    <w:rsid w:val="00716B5A"/>
    <w:rsid w:val="0072066B"/>
    <w:rsid w:val="00720DE4"/>
    <w:rsid w:val="00723C35"/>
    <w:rsid w:val="00724E3D"/>
    <w:rsid w:val="00725398"/>
    <w:rsid w:val="00725748"/>
    <w:rsid w:val="007258D5"/>
    <w:rsid w:val="00727C43"/>
    <w:rsid w:val="007302D3"/>
    <w:rsid w:val="00730CFA"/>
    <w:rsid w:val="00731595"/>
    <w:rsid w:val="0073283C"/>
    <w:rsid w:val="00733237"/>
    <w:rsid w:val="00734D06"/>
    <w:rsid w:val="0073514A"/>
    <w:rsid w:val="007359FD"/>
    <w:rsid w:val="00737548"/>
    <w:rsid w:val="0074019E"/>
    <w:rsid w:val="00740ED5"/>
    <w:rsid w:val="00741E86"/>
    <w:rsid w:val="007422C0"/>
    <w:rsid w:val="007430D5"/>
    <w:rsid w:val="007443A7"/>
    <w:rsid w:val="00744528"/>
    <w:rsid w:val="00745820"/>
    <w:rsid w:val="007458C4"/>
    <w:rsid w:val="00745EEF"/>
    <w:rsid w:val="007465F2"/>
    <w:rsid w:val="007472C5"/>
    <w:rsid w:val="00750184"/>
    <w:rsid w:val="0075059C"/>
    <w:rsid w:val="007510E7"/>
    <w:rsid w:val="007536ED"/>
    <w:rsid w:val="00753718"/>
    <w:rsid w:val="00753D71"/>
    <w:rsid w:val="007543D0"/>
    <w:rsid w:val="00754F85"/>
    <w:rsid w:val="007552DD"/>
    <w:rsid w:val="00755848"/>
    <w:rsid w:val="007573AB"/>
    <w:rsid w:val="00757F29"/>
    <w:rsid w:val="007606AB"/>
    <w:rsid w:val="00761E7D"/>
    <w:rsid w:val="00763FAD"/>
    <w:rsid w:val="00764D51"/>
    <w:rsid w:val="00764D9A"/>
    <w:rsid w:val="00765EAC"/>
    <w:rsid w:val="00766061"/>
    <w:rsid w:val="00766334"/>
    <w:rsid w:val="0076658A"/>
    <w:rsid w:val="00770669"/>
    <w:rsid w:val="0077365F"/>
    <w:rsid w:val="007739B1"/>
    <w:rsid w:val="00774496"/>
    <w:rsid w:val="00774FD8"/>
    <w:rsid w:val="0077504B"/>
    <w:rsid w:val="00775917"/>
    <w:rsid w:val="00775EAA"/>
    <w:rsid w:val="00776563"/>
    <w:rsid w:val="007771F6"/>
    <w:rsid w:val="007808FE"/>
    <w:rsid w:val="00780F07"/>
    <w:rsid w:val="00781199"/>
    <w:rsid w:val="00781F2C"/>
    <w:rsid w:val="007821C3"/>
    <w:rsid w:val="00782EEF"/>
    <w:rsid w:val="00785229"/>
    <w:rsid w:val="00785809"/>
    <w:rsid w:val="00786384"/>
    <w:rsid w:val="00786C9A"/>
    <w:rsid w:val="007870AF"/>
    <w:rsid w:val="00787539"/>
    <w:rsid w:val="007900E3"/>
    <w:rsid w:val="007907A8"/>
    <w:rsid w:val="00790B5E"/>
    <w:rsid w:val="00790E5C"/>
    <w:rsid w:val="007913A2"/>
    <w:rsid w:val="00791611"/>
    <w:rsid w:val="0079174A"/>
    <w:rsid w:val="00792B02"/>
    <w:rsid w:val="00792F0E"/>
    <w:rsid w:val="0079424C"/>
    <w:rsid w:val="0079439F"/>
    <w:rsid w:val="00794BB6"/>
    <w:rsid w:val="00796ADE"/>
    <w:rsid w:val="00797181"/>
    <w:rsid w:val="007971B8"/>
    <w:rsid w:val="007A06FC"/>
    <w:rsid w:val="007A1106"/>
    <w:rsid w:val="007A19A2"/>
    <w:rsid w:val="007A409E"/>
    <w:rsid w:val="007A4332"/>
    <w:rsid w:val="007A4B2B"/>
    <w:rsid w:val="007A4C71"/>
    <w:rsid w:val="007A5026"/>
    <w:rsid w:val="007A5998"/>
    <w:rsid w:val="007A661E"/>
    <w:rsid w:val="007A7F08"/>
    <w:rsid w:val="007B03E0"/>
    <w:rsid w:val="007B06B3"/>
    <w:rsid w:val="007B1616"/>
    <w:rsid w:val="007B1D44"/>
    <w:rsid w:val="007B2B8A"/>
    <w:rsid w:val="007B4F0D"/>
    <w:rsid w:val="007B5558"/>
    <w:rsid w:val="007B5FB6"/>
    <w:rsid w:val="007B6EF8"/>
    <w:rsid w:val="007B7A4E"/>
    <w:rsid w:val="007C065B"/>
    <w:rsid w:val="007C229F"/>
    <w:rsid w:val="007C24B5"/>
    <w:rsid w:val="007C2D9A"/>
    <w:rsid w:val="007C4321"/>
    <w:rsid w:val="007C4374"/>
    <w:rsid w:val="007C4B1B"/>
    <w:rsid w:val="007C4E38"/>
    <w:rsid w:val="007C54C6"/>
    <w:rsid w:val="007C6A5A"/>
    <w:rsid w:val="007C74E7"/>
    <w:rsid w:val="007D05D1"/>
    <w:rsid w:val="007D0C91"/>
    <w:rsid w:val="007D0F9B"/>
    <w:rsid w:val="007D113A"/>
    <w:rsid w:val="007D29BA"/>
    <w:rsid w:val="007D3D2B"/>
    <w:rsid w:val="007D41C4"/>
    <w:rsid w:val="007D45F2"/>
    <w:rsid w:val="007D4FBD"/>
    <w:rsid w:val="007D5D1B"/>
    <w:rsid w:val="007D68EC"/>
    <w:rsid w:val="007D6B1D"/>
    <w:rsid w:val="007D6E7D"/>
    <w:rsid w:val="007D779D"/>
    <w:rsid w:val="007D7BEE"/>
    <w:rsid w:val="007E13BD"/>
    <w:rsid w:val="007E4079"/>
    <w:rsid w:val="007E4D44"/>
    <w:rsid w:val="007E6485"/>
    <w:rsid w:val="007E73A5"/>
    <w:rsid w:val="007E75AB"/>
    <w:rsid w:val="007E793A"/>
    <w:rsid w:val="007F01DC"/>
    <w:rsid w:val="007F02F3"/>
    <w:rsid w:val="007F1075"/>
    <w:rsid w:val="007F4930"/>
    <w:rsid w:val="007F5336"/>
    <w:rsid w:val="007F54B7"/>
    <w:rsid w:val="00800434"/>
    <w:rsid w:val="00800C19"/>
    <w:rsid w:val="008056B8"/>
    <w:rsid w:val="00805AD2"/>
    <w:rsid w:val="008071FB"/>
    <w:rsid w:val="008076D0"/>
    <w:rsid w:val="008101FC"/>
    <w:rsid w:val="00810D05"/>
    <w:rsid w:val="00811625"/>
    <w:rsid w:val="00811C6A"/>
    <w:rsid w:val="00812C9F"/>
    <w:rsid w:val="008132D9"/>
    <w:rsid w:val="00813457"/>
    <w:rsid w:val="008137A2"/>
    <w:rsid w:val="00813A20"/>
    <w:rsid w:val="00816B18"/>
    <w:rsid w:val="00816E9B"/>
    <w:rsid w:val="008204EA"/>
    <w:rsid w:val="00821648"/>
    <w:rsid w:val="0082259A"/>
    <w:rsid w:val="008231FB"/>
    <w:rsid w:val="008253A5"/>
    <w:rsid w:val="00825891"/>
    <w:rsid w:val="00825C9E"/>
    <w:rsid w:val="00826A93"/>
    <w:rsid w:val="00827C83"/>
    <w:rsid w:val="0083003A"/>
    <w:rsid w:val="00830350"/>
    <w:rsid w:val="00830F3A"/>
    <w:rsid w:val="008311AA"/>
    <w:rsid w:val="00833213"/>
    <w:rsid w:val="00833614"/>
    <w:rsid w:val="00833EDA"/>
    <w:rsid w:val="00834C2B"/>
    <w:rsid w:val="00835CB8"/>
    <w:rsid w:val="00837722"/>
    <w:rsid w:val="008377DD"/>
    <w:rsid w:val="00837B32"/>
    <w:rsid w:val="00840831"/>
    <w:rsid w:val="00842F83"/>
    <w:rsid w:val="00843032"/>
    <w:rsid w:val="0084308A"/>
    <w:rsid w:val="00843743"/>
    <w:rsid w:val="00844CB8"/>
    <w:rsid w:val="008520A0"/>
    <w:rsid w:val="0085375C"/>
    <w:rsid w:val="00853F80"/>
    <w:rsid w:val="008562D0"/>
    <w:rsid w:val="008600B9"/>
    <w:rsid w:val="008603E9"/>
    <w:rsid w:val="0086050F"/>
    <w:rsid w:val="00860A81"/>
    <w:rsid w:val="0086312F"/>
    <w:rsid w:val="0086354A"/>
    <w:rsid w:val="008641CF"/>
    <w:rsid w:val="00864BEA"/>
    <w:rsid w:val="00864CDC"/>
    <w:rsid w:val="00865027"/>
    <w:rsid w:val="008654C9"/>
    <w:rsid w:val="008659C7"/>
    <w:rsid w:val="00865AA7"/>
    <w:rsid w:val="00866C07"/>
    <w:rsid w:val="00867F97"/>
    <w:rsid w:val="008705E0"/>
    <w:rsid w:val="00870DD9"/>
    <w:rsid w:val="0087370E"/>
    <w:rsid w:val="00873CE4"/>
    <w:rsid w:val="00873DAD"/>
    <w:rsid w:val="0087579C"/>
    <w:rsid w:val="00875C1A"/>
    <w:rsid w:val="00876F4A"/>
    <w:rsid w:val="00877562"/>
    <w:rsid w:val="008814CC"/>
    <w:rsid w:val="0088169C"/>
    <w:rsid w:val="0088205B"/>
    <w:rsid w:val="00883819"/>
    <w:rsid w:val="00883869"/>
    <w:rsid w:val="00883DA3"/>
    <w:rsid w:val="00884A72"/>
    <w:rsid w:val="008858BE"/>
    <w:rsid w:val="0088615D"/>
    <w:rsid w:val="0088705D"/>
    <w:rsid w:val="008871A5"/>
    <w:rsid w:val="008901B2"/>
    <w:rsid w:val="008903DB"/>
    <w:rsid w:val="00890BEE"/>
    <w:rsid w:val="00891030"/>
    <w:rsid w:val="008924BA"/>
    <w:rsid w:val="00892744"/>
    <w:rsid w:val="00892A28"/>
    <w:rsid w:val="00893BEF"/>
    <w:rsid w:val="00894809"/>
    <w:rsid w:val="008950CE"/>
    <w:rsid w:val="00895415"/>
    <w:rsid w:val="00897FF6"/>
    <w:rsid w:val="008A03C3"/>
    <w:rsid w:val="008A0E4A"/>
    <w:rsid w:val="008A22B6"/>
    <w:rsid w:val="008A3074"/>
    <w:rsid w:val="008A30A1"/>
    <w:rsid w:val="008A32C4"/>
    <w:rsid w:val="008A357F"/>
    <w:rsid w:val="008A35BF"/>
    <w:rsid w:val="008A4F7E"/>
    <w:rsid w:val="008A534E"/>
    <w:rsid w:val="008A549B"/>
    <w:rsid w:val="008A56AF"/>
    <w:rsid w:val="008A66F9"/>
    <w:rsid w:val="008A67DC"/>
    <w:rsid w:val="008A7381"/>
    <w:rsid w:val="008B0A8E"/>
    <w:rsid w:val="008B1A23"/>
    <w:rsid w:val="008B23C7"/>
    <w:rsid w:val="008B2C6E"/>
    <w:rsid w:val="008B367C"/>
    <w:rsid w:val="008B3F6E"/>
    <w:rsid w:val="008B4599"/>
    <w:rsid w:val="008B4ADE"/>
    <w:rsid w:val="008B4B8A"/>
    <w:rsid w:val="008B4D78"/>
    <w:rsid w:val="008B63CA"/>
    <w:rsid w:val="008B761F"/>
    <w:rsid w:val="008B7628"/>
    <w:rsid w:val="008C0BFC"/>
    <w:rsid w:val="008C0E34"/>
    <w:rsid w:val="008C31C2"/>
    <w:rsid w:val="008C367E"/>
    <w:rsid w:val="008C47E3"/>
    <w:rsid w:val="008C4F67"/>
    <w:rsid w:val="008C4FA3"/>
    <w:rsid w:val="008C5BF6"/>
    <w:rsid w:val="008C6965"/>
    <w:rsid w:val="008D05D8"/>
    <w:rsid w:val="008D0F35"/>
    <w:rsid w:val="008D2240"/>
    <w:rsid w:val="008D26F5"/>
    <w:rsid w:val="008D2C75"/>
    <w:rsid w:val="008D2EAF"/>
    <w:rsid w:val="008D31B5"/>
    <w:rsid w:val="008D31BE"/>
    <w:rsid w:val="008D5817"/>
    <w:rsid w:val="008D666A"/>
    <w:rsid w:val="008D71A2"/>
    <w:rsid w:val="008D7961"/>
    <w:rsid w:val="008E07E5"/>
    <w:rsid w:val="008E170A"/>
    <w:rsid w:val="008E1C92"/>
    <w:rsid w:val="008E20A9"/>
    <w:rsid w:val="008E222B"/>
    <w:rsid w:val="008E2EDF"/>
    <w:rsid w:val="008E312C"/>
    <w:rsid w:val="008E535F"/>
    <w:rsid w:val="008E53DF"/>
    <w:rsid w:val="008E595A"/>
    <w:rsid w:val="008E72C1"/>
    <w:rsid w:val="008F0339"/>
    <w:rsid w:val="008F16AC"/>
    <w:rsid w:val="008F227E"/>
    <w:rsid w:val="008F22C3"/>
    <w:rsid w:val="008F29F0"/>
    <w:rsid w:val="008F2F7F"/>
    <w:rsid w:val="008F6869"/>
    <w:rsid w:val="008F70DF"/>
    <w:rsid w:val="00900798"/>
    <w:rsid w:val="00900B0A"/>
    <w:rsid w:val="00900D63"/>
    <w:rsid w:val="00901385"/>
    <w:rsid w:val="00901D98"/>
    <w:rsid w:val="00901F59"/>
    <w:rsid w:val="0090450E"/>
    <w:rsid w:val="00905FF9"/>
    <w:rsid w:val="00906466"/>
    <w:rsid w:val="00906705"/>
    <w:rsid w:val="00906752"/>
    <w:rsid w:val="00906BD1"/>
    <w:rsid w:val="00906BE7"/>
    <w:rsid w:val="00907292"/>
    <w:rsid w:val="009104CC"/>
    <w:rsid w:val="00910A1E"/>
    <w:rsid w:val="009118BF"/>
    <w:rsid w:val="0091252C"/>
    <w:rsid w:val="00914D05"/>
    <w:rsid w:val="00915378"/>
    <w:rsid w:val="00915BE2"/>
    <w:rsid w:val="0091640D"/>
    <w:rsid w:val="009177AB"/>
    <w:rsid w:val="00917B76"/>
    <w:rsid w:val="00917DF4"/>
    <w:rsid w:val="0092047D"/>
    <w:rsid w:val="009215BE"/>
    <w:rsid w:val="0092170A"/>
    <w:rsid w:val="00921EF9"/>
    <w:rsid w:val="00923A5F"/>
    <w:rsid w:val="00924965"/>
    <w:rsid w:val="0092517B"/>
    <w:rsid w:val="0093042B"/>
    <w:rsid w:val="00930521"/>
    <w:rsid w:val="009319D6"/>
    <w:rsid w:val="009327E1"/>
    <w:rsid w:val="00932F3E"/>
    <w:rsid w:val="009347C0"/>
    <w:rsid w:val="00934931"/>
    <w:rsid w:val="00934F89"/>
    <w:rsid w:val="00937782"/>
    <w:rsid w:val="0094011F"/>
    <w:rsid w:val="0094083F"/>
    <w:rsid w:val="00940B3F"/>
    <w:rsid w:val="00941313"/>
    <w:rsid w:val="00942001"/>
    <w:rsid w:val="00942185"/>
    <w:rsid w:val="00942B8A"/>
    <w:rsid w:val="00942BF6"/>
    <w:rsid w:val="00943309"/>
    <w:rsid w:val="0094392D"/>
    <w:rsid w:val="00944151"/>
    <w:rsid w:val="0094786E"/>
    <w:rsid w:val="00947AE4"/>
    <w:rsid w:val="0095287E"/>
    <w:rsid w:val="009544E6"/>
    <w:rsid w:val="009545D6"/>
    <w:rsid w:val="00954A80"/>
    <w:rsid w:val="00956648"/>
    <w:rsid w:val="00956FA9"/>
    <w:rsid w:val="00960019"/>
    <w:rsid w:val="0096052B"/>
    <w:rsid w:val="00960BF6"/>
    <w:rsid w:val="00962253"/>
    <w:rsid w:val="009633E7"/>
    <w:rsid w:val="00963A0C"/>
    <w:rsid w:val="00963BE9"/>
    <w:rsid w:val="009648F8"/>
    <w:rsid w:val="00964E6E"/>
    <w:rsid w:val="009659C4"/>
    <w:rsid w:val="00965EE7"/>
    <w:rsid w:val="0096708A"/>
    <w:rsid w:val="009671BE"/>
    <w:rsid w:val="00971468"/>
    <w:rsid w:val="009722E4"/>
    <w:rsid w:val="00972FB3"/>
    <w:rsid w:val="00974D51"/>
    <w:rsid w:val="00975319"/>
    <w:rsid w:val="0097563D"/>
    <w:rsid w:val="00976674"/>
    <w:rsid w:val="009768B2"/>
    <w:rsid w:val="009800F2"/>
    <w:rsid w:val="0098062F"/>
    <w:rsid w:val="00981024"/>
    <w:rsid w:val="009826BF"/>
    <w:rsid w:val="00983573"/>
    <w:rsid w:val="00983877"/>
    <w:rsid w:val="00984049"/>
    <w:rsid w:val="00985DBD"/>
    <w:rsid w:val="009862E1"/>
    <w:rsid w:val="00986B4A"/>
    <w:rsid w:val="00986CC5"/>
    <w:rsid w:val="00986D7C"/>
    <w:rsid w:val="009874FB"/>
    <w:rsid w:val="009876ED"/>
    <w:rsid w:val="00987806"/>
    <w:rsid w:val="0099044D"/>
    <w:rsid w:val="00990C32"/>
    <w:rsid w:val="009912F6"/>
    <w:rsid w:val="00991F7C"/>
    <w:rsid w:val="00992CE8"/>
    <w:rsid w:val="0099553F"/>
    <w:rsid w:val="009A0111"/>
    <w:rsid w:val="009A0854"/>
    <w:rsid w:val="009A0EAD"/>
    <w:rsid w:val="009A0EBE"/>
    <w:rsid w:val="009A1362"/>
    <w:rsid w:val="009A1A0C"/>
    <w:rsid w:val="009A21A4"/>
    <w:rsid w:val="009A2E4D"/>
    <w:rsid w:val="009A31AD"/>
    <w:rsid w:val="009A324E"/>
    <w:rsid w:val="009A3440"/>
    <w:rsid w:val="009A3506"/>
    <w:rsid w:val="009A368D"/>
    <w:rsid w:val="009A3830"/>
    <w:rsid w:val="009A38E9"/>
    <w:rsid w:val="009A636A"/>
    <w:rsid w:val="009A6C14"/>
    <w:rsid w:val="009A6DED"/>
    <w:rsid w:val="009A7524"/>
    <w:rsid w:val="009A7B2B"/>
    <w:rsid w:val="009B0882"/>
    <w:rsid w:val="009B1A6B"/>
    <w:rsid w:val="009B1B92"/>
    <w:rsid w:val="009B299D"/>
    <w:rsid w:val="009B29EF"/>
    <w:rsid w:val="009B467F"/>
    <w:rsid w:val="009B7A7A"/>
    <w:rsid w:val="009C110B"/>
    <w:rsid w:val="009C15CD"/>
    <w:rsid w:val="009C1B43"/>
    <w:rsid w:val="009C2936"/>
    <w:rsid w:val="009C32DD"/>
    <w:rsid w:val="009C3895"/>
    <w:rsid w:val="009C3AF3"/>
    <w:rsid w:val="009C463C"/>
    <w:rsid w:val="009C4BC7"/>
    <w:rsid w:val="009C4F3D"/>
    <w:rsid w:val="009C523F"/>
    <w:rsid w:val="009C5403"/>
    <w:rsid w:val="009D1251"/>
    <w:rsid w:val="009D1496"/>
    <w:rsid w:val="009D2411"/>
    <w:rsid w:val="009D2EBE"/>
    <w:rsid w:val="009D3B5D"/>
    <w:rsid w:val="009D4E88"/>
    <w:rsid w:val="009D518B"/>
    <w:rsid w:val="009D555E"/>
    <w:rsid w:val="009E0C75"/>
    <w:rsid w:val="009E0F29"/>
    <w:rsid w:val="009E406E"/>
    <w:rsid w:val="009E59A3"/>
    <w:rsid w:val="009E6917"/>
    <w:rsid w:val="009E6DD2"/>
    <w:rsid w:val="009F0545"/>
    <w:rsid w:val="009F13AB"/>
    <w:rsid w:val="009F2FCB"/>
    <w:rsid w:val="009F4543"/>
    <w:rsid w:val="009F50E6"/>
    <w:rsid w:val="009F520E"/>
    <w:rsid w:val="009F5B1C"/>
    <w:rsid w:val="009F6579"/>
    <w:rsid w:val="009F6A4B"/>
    <w:rsid w:val="009F6FB2"/>
    <w:rsid w:val="009F7E5A"/>
    <w:rsid w:val="00A000EF"/>
    <w:rsid w:val="00A003A1"/>
    <w:rsid w:val="00A00F4B"/>
    <w:rsid w:val="00A0107F"/>
    <w:rsid w:val="00A010DC"/>
    <w:rsid w:val="00A037C7"/>
    <w:rsid w:val="00A04342"/>
    <w:rsid w:val="00A044AE"/>
    <w:rsid w:val="00A04CAC"/>
    <w:rsid w:val="00A05002"/>
    <w:rsid w:val="00A051F8"/>
    <w:rsid w:val="00A062CF"/>
    <w:rsid w:val="00A07EA3"/>
    <w:rsid w:val="00A10CA7"/>
    <w:rsid w:val="00A11527"/>
    <w:rsid w:val="00A123E9"/>
    <w:rsid w:val="00A12A85"/>
    <w:rsid w:val="00A12CF4"/>
    <w:rsid w:val="00A13437"/>
    <w:rsid w:val="00A13B22"/>
    <w:rsid w:val="00A14456"/>
    <w:rsid w:val="00A177F7"/>
    <w:rsid w:val="00A204A2"/>
    <w:rsid w:val="00A20D34"/>
    <w:rsid w:val="00A22DF0"/>
    <w:rsid w:val="00A2301D"/>
    <w:rsid w:val="00A2346E"/>
    <w:rsid w:val="00A236DD"/>
    <w:rsid w:val="00A24539"/>
    <w:rsid w:val="00A2473A"/>
    <w:rsid w:val="00A2533F"/>
    <w:rsid w:val="00A256E5"/>
    <w:rsid w:val="00A25904"/>
    <w:rsid w:val="00A25CAF"/>
    <w:rsid w:val="00A26663"/>
    <w:rsid w:val="00A26A46"/>
    <w:rsid w:val="00A26BEA"/>
    <w:rsid w:val="00A27876"/>
    <w:rsid w:val="00A303A5"/>
    <w:rsid w:val="00A3109D"/>
    <w:rsid w:val="00A3135E"/>
    <w:rsid w:val="00A31361"/>
    <w:rsid w:val="00A3174E"/>
    <w:rsid w:val="00A32D6B"/>
    <w:rsid w:val="00A34202"/>
    <w:rsid w:val="00A34382"/>
    <w:rsid w:val="00A35508"/>
    <w:rsid w:val="00A37152"/>
    <w:rsid w:val="00A37253"/>
    <w:rsid w:val="00A40719"/>
    <w:rsid w:val="00A4268E"/>
    <w:rsid w:val="00A43C8C"/>
    <w:rsid w:val="00A43CAC"/>
    <w:rsid w:val="00A43FEF"/>
    <w:rsid w:val="00A445EC"/>
    <w:rsid w:val="00A44C9F"/>
    <w:rsid w:val="00A45494"/>
    <w:rsid w:val="00A46984"/>
    <w:rsid w:val="00A473FC"/>
    <w:rsid w:val="00A51418"/>
    <w:rsid w:val="00A51AE8"/>
    <w:rsid w:val="00A542A4"/>
    <w:rsid w:val="00A55116"/>
    <w:rsid w:val="00A5614C"/>
    <w:rsid w:val="00A56EED"/>
    <w:rsid w:val="00A57396"/>
    <w:rsid w:val="00A60E52"/>
    <w:rsid w:val="00A6181A"/>
    <w:rsid w:val="00A620FD"/>
    <w:rsid w:val="00A62528"/>
    <w:rsid w:val="00A62EC2"/>
    <w:rsid w:val="00A6427A"/>
    <w:rsid w:val="00A645B7"/>
    <w:rsid w:val="00A6474D"/>
    <w:rsid w:val="00A65122"/>
    <w:rsid w:val="00A67942"/>
    <w:rsid w:val="00A70434"/>
    <w:rsid w:val="00A70967"/>
    <w:rsid w:val="00A71AC0"/>
    <w:rsid w:val="00A7320F"/>
    <w:rsid w:val="00A73635"/>
    <w:rsid w:val="00A73B96"/>
    <w:rsid w:val="00A73E5C"/>
    <w:rsid w:val="00A743B8"/>
    <w:rsid w:val="00A74AE1"/>
    <w:rsid w:val="00A75910"/>
    <w:rsid w:val="00A76548"/>
    <w:rsid w:val="00A76715"/>
    <w:rsid w:val="00A773CA"/>
    <w:rsid w:val="00A81B0C"/>
    <w:rsid w:val="00A82322"/>
    <w:rsid w:val="00A82946"/>
    <w:rsid w:val="00A83898"/>
    <w:rsid w:val="00A83B78"/>
    <w:rsid w:val="00A848BF"/>
    <w:rsid w:val="00A848FD"/>
    <w:rsid w:val="00A84E23"/>
    <w:rsid w:val="00A84E93"/>
    <w:rsid w:val="00A84EE3"/>
    <w:rsid w:val="00A85D54"/>
    <w:rsid w:val="00A85E17"/>
    <w:rsid w:val="00A86006"/>
    <w:rsid w:val="00A87209"/>
    <w:rsid w:val="00A874F6"/>
    <w:rsid w:val="00A901EF"/>
    <w:rsid w:val="00A903C4"/>
    <w:rsid w:val="00A904BD"/>
    <w:rsid w:val="00A90F84"/>
    <w:rsid w:val="00A90FCC"/>
    <w:rsid w:val="00A9171A"/>
    <w:rsid w:val="00A91796"/>
    <w:rsid w:val="00A92CE8"/>
    <w:rsid w:val="00A942C1"/>
    <w:rsid w:val="00A943B6"/>
    <w:rsid w:val="00A94485"/>
    <w:rsid w:val="00A94632"/>
    <w:rsid w:val="00A946CE"/>
    <w:rsid w:val="00A94703"/>
    <w:rsid w:val="00A96125"/>
    <w:rsid w:val="00A96407"/>
    <w:rsid w:val="00A967E1"/>
    <w:rsid w:val="00A9731D"/>
    <w:rsid w:val="00AA0051"/>
    <w:rsid w:val="00AA0C8C"/>
    <w:rsid w:val="00AA2604"/>
    <w:rsid w:val="00AA3F1C"/>
    <w:rsid w:val="00AA5DC4"/>
    <w:rsid w:val="00AA62A7"/>
    <w:rsid w:val="00AA756B"/>
    <w:rsid w:val="00AA75C8"/>
    <w:rsid w:val="00AA7D40"/>
    <w:rsid w:val="00AB0F38"/>
    <w:rsid w:val="00AB10BA"/>
    <w:rsid w:val="00AB11AE"/>
    <w:rsid w:val="00AB177C"/>
    <w:rsid w:val="00AB239C"/>
    <w:rsid w:val="00AB536C"/>
    <w:rsid w:val="00AB54D4"/>
    <w:rsid w:val="00AB59F2"/>
    <w:rsid w:val="00AB664C"/>
    <w:rsid w:val="00AB6E8E"/>
    <w:rsid w:val="00AB708C"/>
    <w:rsid w:val="00AB75FB"/>
    <w:rsid w:val="00AB7B43"/>
    <w:rsid w:val="00AB7E4B"/>
    <w:rsid w:val="00AC0095"/>
    <w:rsid w:val="00AC04BA"/>
    <w:rsid w:val="00AC0589"/>
    <w:rsid w:val="00AC130B"/>
    <w:rsid w:val="00AC2834"/>
    <w:rsid w:val="00AC2F1C"/>
    <w:rsid w:val="00AC425F"/>
    <w:rsid w:val="00AC4EAC"/>
    <w:rsid w:val="00AC6FCB"/>
    <w:rsid w:val="00AC7162"/>
    <w:rsid w:val="00AD0060"/>
    <w:rsid w:val="00AD06DF"/>
    <w:rsid w:val="00AD0958"/>
    <w:rsid w:val="00AD0BEE"/>
    <w:rsid w:val="00AD0EB4"/>
    <w:rsid w:val="00AD0F05"/>
    <w:rsid w:val="00AD393A"/>
    <w:rsid w:val="00AD413A"/>
    <w:rsid w:val="00AD42E0"/>
    <w:rsid w:val="00AD5CA6"/>
    <w:rsid w:val="00AD6DBD"/>
    <w:rsid w:val="00AE0470"/>
    <w:rsid w:val="00AE3ADA"/>
    <w:rsid w:val="00AE4C31"/>
    <w:rsid w:val="00AE592A"/>
    <w:rsid w:val="00AE5A68"/>
    <w:rsid w:val="00AE6323"/>
    <w:rsid w:val="00AF2396"/>
    <w:rsid w:val="00AF2FC4"/>
    <w:rsid w:val="00AF38DE"/>
    <w:rsid w:val="00AF4882"/>
    <w:rsid w:val="00AF4F9D"/>
    <w:rsid w:val="00AF551E"/>
    <w:rsid w:val="00AF5D47"/>
    <w:rsid w:val="00B00647"/>
    <w:rsid w:val="00B022BF"/>
    <w:rsid w:val="00B033A0"/>
    <w:rsid w:val="00B04D70"/>
    <w:rsid w:val="00B04E03"/>
    <w:rsid w:val="00B062CD"/>
    <w:rsid w:val="00B1039A"/>
    <w:rsid w:val="00B118D5"/>
    <w:rsid w:val="00B140FE"/>
    <w:rsid w:val="00B14587"/>
    <w:rsid w:val="00B15F2F"/>
    <w:rsid w:val="00B15F94"/>
    <w:rsid w:val="00B15FA4"/>
    <w:rsid w:val="00B16906"/>
    <w:rsid w:val="00B17968"/>
    <w:rsid w:val="00B20A09"/>
    <w:rsid w:val="00B219D3"/>
    <w:rsid w:val="00B22125"/>
    <w:rsid w:val="00B23148"/>
    <w:rsid w:val="00B2379B"/>
    <w:rsid w:val="00B2379F"/>
    <w:rsid w:val="00B237EC"/>
    <w:rsid w:val="00B23959"/>
    <w:rsid w:val="00B24AC9"/>
    <w:rsid w:val="00B250FE"/>
    <w:rsid w:val="00B260DA"/>
    <w:rsid w:val="00B26BFA"/>
    <w:rsid w:val="00B26C1C"/>
    <w:rsid w:val="00B27E7D"/>
    <w:rsid w:val="00B32785"/>
    <w:rsid w:val="00B32FB9"/>
    <w:rsid w:val="00B338F8"/>
    <w:rsid w:val="00B33EB6"/>
    <w:rsid w:val="00B35810"/>
    <w:rsid w:val="00B35A68"/>
    <w:rsid w:val="00B35E29"/>
    <w:rsid w:val="00B35E35"/>
    <w:rsid w:val="00B36470"/>
    <w:rsid w:val="00B3660E"/>
    <w:rsid w:val="00B36C07"/>
    <w:rsid w:val="00B37697"/>
    <w:rsid w:val="00B376B8"/>
    <w:rsid w:val="00B379D3"/>
    <w:rsid w:val="00B37E71"/>
    <w:rsid w:val="00B414CA"/>
    <w:rsid w:val="00B41594"/>
    <w:rsid w:val="00B41ABE"/>
    <w:rsid w:val="00B41D07"/>
    <w:rsid w:val="00B41E15"/>
    <w:rsid w:val="00B43311"/>
    <w:rsid w:val="00B4496E"/>
    <w:rsid w:val="00B44A55"/>
    <w:rsid w:val="00B44F1A"/>
    <w:rsid w:val="00B4658D"/>
    <w:rsid w:val="00B469A8"/>
    <w:rsid w:val="00B50276"/>
    <w:rsid w:val="00B5114A"/>
    <w:rsid w:val="00B514F2"/>
    <w:rsid w:val="00B52028"/>
    <w:rsid w:val="00B52786"/>
    <w:rsid w:val="00B52EDE"/>
    <w:rsid w:val="00B54F41"/>
    <w:rsid w:val="00B551D9"/>
    <w:rsid w:val="00B57096"/>
    <w:rsid w:val="00B57640"/>
    <w:rsid w:val="00B57EC6"/>
    <w:rsid w:val="00B60C52"/>
    <w:rsid w:val="00B60EB9"/>
    <w:rsid w:val="00B610E4"/>
    <w:rsid w:val="00B615E8"/>
    <w:rsid w:val="00B624AF"/>
    <w:rsid w:val="00B62B7A"/>
    <w:rsid w:val="00B63762"/>
    <w:rsid w:val="00B63DAC"/>
    <w:rsid w:val="00B63F22"/>
    <w:rsid w:val="00B642BA"/>
    <w:rsid w:val="00B664C5"/>
    <w:rsid w:val="00B676AB"/>
    <w:rsid w:val="00B678F5"/>
    <w:rsid w:val="00B70BBD"/>
    <w:rsid w:val="00B70BE4"/>
    <w:rsid w:val="00B71350"/>
    <w:rsid w:val="00B718DA"/>
    <w:rsid w:val="00B71913"/>
    <w:rsid w:val="00B71C19"/>
    <w:rsid w:val="00B71C3C"/>
    <w:rsid w:val="00B72F5D"/>
    <w:rsid w:val="00B7354E"/>
    <w:rsid w:val="00B75304"/>
    <w:rsid w:val="00B75AFD"/>
    <w:rsid w:val="00B77268"/>
    <w:rsid w:val="00B77799"/>
    <w:rsid w:val="00B807D8"/>
    <w:rsid w:val="00B813F6"/>
    <w:rsid w:val="00B81C7C"/>
    <w:rsid w:val="00B83625"/>
    <w:rsid w:val="00B85105"/>
    <w:rsid w:val="00B8565C"/>
    <w:rsid w:val="00B85DAC"/>
    <w:rsid w:val="00B90283"/>
    <w:rsid w:val="00B90D50"/>
    <w:rsid w:val="00B91791"/>
    <w:rsid w:val="00B92045"/>
    <w:rsid w:val="00B92941"/>
    <w:rsid w:val="00B92961"/>
    <w:rsid w:val="00B92E21"/>
    <w:rsid w:val="00B93256"/>
    <w:rsid w:val="00B9352F"/>
    <w:rsid w:val="00B94ADD"/>
    <w:rsid w:val="00B94B1A"/>
    <w:rsid w:val="00B94E21"/>
    <w:rsid w:val="00B96E20"/>
    <w:rsid w:val="00B97268"/>
    <w:rsid w:val="00B973AD"/>
    <w:rsid w:val="00B9749B"/>
    <w:rsid w:val="00B97FD4"/>
    <w:rsid w:val="00BA1AC5"/>
    <w:rsid w:val="00BA30A5"/>
    <w:rsid w:val="00BA3AE1"/>
    <w:rsid w:val="00BA49F6"/>
    <w:rsid w:val="00BA4BEB"/>
    <w:rsid w:val="00BA4F12"/>
    <w:rsid w:val="00BA5194"/>
    <w:rsid w:val="00BA581E"/>
    <w:rsid w:val="00BA60FA"/>
    <w:rsid w:val="00BA67F6"/>
    <w:rsid w:val="00BA771C"/>
    <w:rsid w:val="00BB07EB"/>
    <w:rsid w:val="00BB0D19"/>
    <w:rsid w:val="00BB1F49"/>
    <w:rsid w:val="00BB35EE"/>
    <w:rsid w:val="00BB3D86"/>
    <w:rsid w:val="00BB5A96"/>
    <w:rsid w:val="00BB5B7E"/>
    <w:rsid w:val="00BB612A"/>
    <w:rsid w:val="00BB6599"/>
    <w:rsid w:val="00BB6845"/>
    <w:rsid w:val="00BB6AC5"/>
    <w:rsid w:val="00BB730D"/>
    <w:rsid w:val="00BB779B"/>
    <w:rsid w:val="00BC0560"/>
    <w:rsid w:val="00BC11C8"/>
    <w:rsid w:val="00BC1DDE"/>
    <w:rsid w:val="00BC36C6"/>
    <w:rsid w:val="00BC4970"/>
    <w:rsid w:val="00BC5C4A"/>
    <w:rsid w:val="00BC6DCE"/>
    <w:rsid w:val="00BC6F3F"/>
    <w:rsid w:val="00BD04EC"/>
    <w:rsid w:val="00BD1034"/>
    <w:rsid w:val="00BD228F"/>
    <w:rsid w:val="00BD2A38"/>
    <w:rsid w:val="00BD2FF4"/>
    <w:rsid w:val="00BD3AF6"/>
    <w:rsid w:val="00BD45F1"/>
    <w:rsid w:val="00BD503B"/>
    <w:rsid w:val="00BD548A"/>
    <w:rsid w:val="00BD5BAB"/>
    <w:rsid w:val="00BD78D6"/>
    <w:rsid w:val="00BE027C"/>
    <w:rsid w:val="00BE148C"/>
    <w:rsid w:val="00BE18CB"/>
    <w:rsid w:val="00BE274A"/>
    <w:rsid w:val="00BE2AC2"/>
    <w:rsid w:val="00BE3D6B"/>
    <w:rsid w:val="00BE465C"/>
    <w:rsid w:val="00BE5247"/>
    <w:rsid w:val="00BE64B2"/>
    <w:rsid w:val="00BE666C"/>
    <w:rsid w:val="00BE713B"/>
    <w:rsid w:val="00BE7925"/>
    <w:rsid w:val="00BE7C79"/>
    <w:rsid w:val="00BE7E2A"/>
    <w:rsid w:val="00BF0E15"/>
    <w:rsid w:val="00BF25EC"/>
    <w:rsid w:val="00BF27F2"/>
    <w:rsid w:val="00BF3131"/>
    <w:rsid w:val="00BF47F2"/>
    <w:rsid w:val="00BF4893"/>
    <w:rsid w:val="00BF4AB9"/>
    <w:rsid w:val="00BF5F29"/>
    <w:rsid w:val="00BF6322"/>
    <w:rsid w:val="00BF70CE"/>
    <w:rsid w:val="00BF7621"/>
    <w:rsid w:val="00C006FC"/>
    <w:rsid w:val="00C02087"/>
    <w:rsid w:val="00C02C29"/>
    <w:rsid w:val="00C02C75"/>
    <w:rsid w:val="00C03EAC"/>
    <w:rsid w:val="00C0501A"/>
    <w:rsid w:val="00C060C9"/>
    <w:rsid w:val="00C067A3"/>
    <w:rsid w:val="00C06C54"/>
    <w:rsid w:val="00C07D75"/>
    <w:rsid w:val="00C101A2"/>
    <w:rsid w:val="00C10AEC"/>
    <w:rsid w:val="00C10DFA"/>
    <w:rsid w:val="00C118B8"/>
    <w:rsid w:val="00C11DE2"/>
    <w:rsid w:val="00C11FF9"/>
    <w:rsid w:val="00C12A7E"/>
    <w:rsid w:val="00C13818"/>
    <w:rsid w:val="00C139DD"/>
    <w:rsid w:val="00C14223"/>
    <w:rsid w:val="00C145B8"/>
    <w:rsid w:val="00C154E0"/>
    <w:rsid w:val="00C15A50"/>
    <w:rsid w:val="00C16565"/>
    <w:rsid w:val="00C16640"/>
    <w:rsid w:val="00C16D97"/>
    <w:rsid w:val="00C175DE"/>
    <w:rsid w:val="00C20261"/>
    <w:rsid w:val="00C21275"/>
    <w:rsid w:val="00C21370"/>
    <w:rsid w:val="00C21657"/>
    <w:rsid w:val="00C2165C"/>
    <w:rsid w:val="00C22212"/>
    <w:rsid w:val="00C22788"/>
    <w:rsid w:val="00C23694"/>
    <w:rsid w:val="00C23DFE"/>
    <w:rsid w:val="00C25B8F"/>
    <w:rsid w:val="00C27963"/>
    <w:rsid w:val="00C302F0"/>
    <w:rsid w:val="00C3049D"/>
    <w:rsid w:val="00C30F14"/>
    <w:rsid w:val="00C31CA3"/>
    <w:rsid w:val="00C320A2"/>
    <w:rsid w:val="00C3213C"/>
    <w:rsid w:val="00C3215E"/>
    <w:rsid w:val="00C323F0"/>
    <w:rsid w:val="00C326A1"/>
    <w:rsid w:val="00C32EEA"/>
    <w:rsid w:val="00C33F12"/>
    <w:rsid w:val="00C34360"/>
    <w:rsid w:val="00C34631"/>
    <w:rsid w:val="00C353B2"/>
    <w:rsid w:val="00C369B8"/>
    <w:rsid w:val="00C37A4B"/>
    <w:rsid w:val="00C402B1"/>
    <w:rsid w:val="00C40561"/>
    <w:rsid w:val="00C40DDE"/>
    <w:rsid w:val="00C41359"/>
    <w:rsid w:val="00C41EB8"/>
    <w:rsid w:val="00C425C7"/>
    <w:rsid w:val="00C4381F"/>
    <w:rsid w:val="00C43AE2"/>
    <w:rsid w:val="00C44A1E"/>
    <w:rsid w:val="00C45C4C"/>
    <w:rsid w:val="00C45E75"/>
    <w:rsid w:val="00C462EA"/>
    <w:rsid w:val="00C465C1"/>
    <w:rsid w:val="00C46A49"/>
    <w:rsid w:val="00C511F4"/>
    <w:rsid w:val="00C526C2"/>
    <w:rsid w:val="00C53185"/>
    <w:rsid w:val="00C5387A"/>
    <w:rsid w:val="00C53963"/>
    <w:rsid w:val="00C54177"/>
    <w:rsid w:val="00C54410"/>
    <w:rsid w:val="00C5509B"/>
    <w:rsid w:val="00C5550A"/>
    <w:rsid w:val="00C55ECD"/>
    <w:rsid w:val="00C5613A"/>
    <w:rsid w:val="00C56C25"/>
    <w:rsid w:val="00C6020B"/>
    <w:rsid w:val="00C60C0B"/>
    <w:rsid w:val="00C60E1D"/>
    <w:rsid w:val="00C6102D"/>
    <w:rsid w:val="00C63E4D"/>
    <w:rsid w:val="00C64C5A"/>
    <w:rsid w:val="00C652B8"/>
    <w:rsid w:val="00C65408"/>
    <w:rsid w:val="00C65BAB"/>
    <w:rsid w:val="00C66328"/>
    <w:rsid w:val="00C6658B"/>
    <w:rsid w:val="00C666BC"/>
    <w:rsid w:val="00C6723D"/>
    <w:rsid w:val="00C7009F"/>
    <w:rsid w:val="00C716C8"/>
    <w:rsid w:val="00C71936"/>
    <w:rsid w:val="00C73398"/>
    <w:rsid w:val="00C733CA"/>
    <w:rsid w:val="00C73678"/>
    <w:rsid w:val="00C74F85"/>
    <w:rsid w:val="00C75211"/>
    <w:rsid w:val="00C7560D"/>
    <w:rsid w:val="00C75738"/>
    <w:rsid w:val="00C76CB4"/>
    <w:rsid w:val="00C77175"/>
    <w:rsid w:val="00C80082"/>
    <w:rsid w:val="00C80CF3"/>
    <w:rsid w:val="00C814C5"/>
    <w:rsid w:val="00C81F14"/>
    <w:rsid w:val="00C82435"/>
    <w:rsid w:val="00C82B91"/>
    <w:rsid w:val="00C82BBF"/>
    <w:rsid w:val="00C82C5D"/>
    <w:rsid w:val="00C82ED3"/>
    <w:rsid w:val="00C82F3B"/>
    <w:rsid w:val="00C84EA8"/>
    <w:rsid w:val="00C85244"/>
    <w:rsid w:val="00C867CA"/>
    <w:rsid w:val="00C86809"/>
    <w:rsid w:val="00C87223"/>
    <w:rsid w:val="00C87564"/>
    <w:rsid w:val="00C87C80"/>
    <w:rsid w:val="00C921FC"/>
    <w:rsid w:val="00C93CC3"/>
    <w:rsid w:val="00C9725F"/>
    <w:rsid w:val="00CA01FE"/>
    <w:rsid w:val="00CA0FF4"/>
    <w:rsid w:val="00CA1608"/>
    <w:rsid w:val="00CA2331"/>
    <w:rsid w:val="00CA29E1"/>
    <w:rsid w:val="00CA2FC4"/>
    <w:rsid w:val="00CA374E"/>
    <w:rsid w:val="00CA3DED"/>
    <w:rsid w:val="00CA5343"/>
    <w:rsid w:val="00CA6480"/>
    <w:rsid w:val="00CA687C"/>
    <w:rsid w:val="00CA6DBE"/>
    <w:rsid w:val="00CB0E82"/>
    <w:rsid w:val="00CB0F15"/>
    <w:rsid w:val="00CB12AE"/>
    <w:rsid w:val="00CB1524"/>
    <w:rsid w:val="00CB2499"/>
    <w:rsid w:val="00CB2849"/>
    <w:rsid w:val="00CB30BB"/>
    <w:rsid w:val="00CB31F3"/>
    <w:rsid w:val="00CB336C"/>
    <w:rsid w:val="00CB54FD"/>
    <w:rsid w:val="00CB7DC1"/>
    <w:rsid w:val="00CC0A17"/>
    <w:rsid w:val="00CC3345"/>
    <w:rsid w:val="00CC3DCA"/>
    <w:rsid w:val="00CC4BE8"/>
    <w:rsid w:val="00CC7EAA"/>
    <w:rsid w:val="00CD0687"/>
    <w:rsid w:val="00CD10BF"/>
    <w:rsid w:val="00CD1652"/>
    <w:rsid w:val="00CD26F5"/>
    <w:rsid w:val="00CD3BAC"/>
    <w:rsid w:val="00CD3E50"/>
    <w:rsid w:val="00CD445F"/>
    <w:rsid w:val="00CD4EDB"/>
    <w:rsid w:val="00CD5DBF"/>
    <w:rsid w:val="00CD65E0"/>
    <w:rsid w:val="00CD76FC"/>
    <w:rsid w:val="00CE0540"/>
    <w:rsid w:val="00CE1472"/>
    <w:rsid w:val="00CE1976"/>
    <w:rsid w:val="00CE20EF"/>
    <w:rsid w:val="00CE2B59"/>
    <w:rsid w:val="00CE3016"/>
    <w:rsid w:val="00CE52B7"/>
    <w:rsid w:val="00CE5587"/>
    <w:rsid w:val="00CE5EF8"/>
    <w:rsid w:val="00CE5FA7"/>
    <w:rsid w:val="00CE64CB"/>
    <w:rsid w:val="00CE7523"/>
    <w:rsid w:val="00CE7DEE"/>
    <w:rsid w:val="00CF02EB"/>
    <w:rsid w:val="00CF047F"/>
    <w:rsid w:val="00CF0D42"/>
    <w:rsid w:val="00CF211A"/>
    <w:rsid w:val="00CF21FE"/>
    <w:rsid w:val="00CF2817"/>
    <w:rsid w:val="00CF2FE5"/>
    <w:rsid w:val="00CF377D"/>
    <w:rsid w:val="00CF3C2E"/>
    <w:rsid w:val="00CF436B"/>
    <w:rsid w:val="00CF43F7"/>
    <w:rsid w:val="00CF4D93"/>
    <w:rsid w:val="00CF649F"/>
    <w:rsid w:val="00CF74CD"/>
    <w:rsid w:val="00D00D3D"/>
    <w:rsid w:val="00D014C0"/>
    <w:rsid w:val="00D01785"/>
    <w:rsid w:val="00D01E74"/>
    <w:rsid w:val="00D01F59"/>
    <w:rsid w:val="00D025F9"/>
    <w:rsid w:val="00D04261"/>
    <w:rsid w:val="00D04611"/>
    <w:rsid w:val="00D04BA0"/>
    <w:rsid w:val="00D04F8E"/>
    <w:rsid w:val="00D05681"/>
    <w:rsid w:val="00D066A4"/>
    <w:rsid w:val="00D07C0E"/>
    <w:rsid w:val="00D10877"/>
    <w:rsid w:val="00D11A69"/>
    <w:rsid w:val="00D13508"/>
    <w:rsid w:val="00D14D70"/>
    <w:rsid w:val="00D150B5"/>
    <w:rsid w:val="00D1560D"/>
    <w:rsid w:val="00D16DD4"/>
    <w:rsid w:val="00D20543"/>
    <w:rsid w:val="00D20BB1"/>
    <w:rsid w:val="00D215FB"/>
    <w:rsid w:val="00D2222D"/>
    <w:rsid w:val="00D2449F"/>
    <w:rsid w:val="00D24544"/>
    <w:rsid w:val="00D248DA"/>
    <w:rsid w:val="00D2768C"/>
    <w:rsid w:val="00D308C2"/>
    <w:rsid w:val="00D30E13"/>
    <w:rsid w:val="00D31137"/>
    <w:rsid w:val="00D31E05"/>
    <w:rsid w:val="00D31EFE"/>
    <w:rsid w:val="00D3200B"/>
    <w:rsid w:val="00D325EF"/>
    <w:rsid w:val="00D32A34"/>
    <w:rsid w:val="00D32ED4"/>
    <w:rsid w:val="00D34CB7"/>
    <w:rsid w:val="00D35EBD"/>
    <w:rsid w:val="00D360E6"/>
    <w:rsid w:val="00D36666"/>
    <w:rsid w:val="00D36F8E"/>
    <w:rsid w:val="00D41F0C"/>
    <w:rsid w:val="00D42119"/>
    <w:rsid w:val="00D44A03"/>
    <w:rsid w:val="00D44E34"/>
    <w:rsid w:val="00D46820"/>
    <w:rsid w:val="00D47CE1"/>
    <w:rsid w:val="00D501F9"/>
    <w:rsid w:val="00D51B63"/>
    <w:rsid w:val="00D53105"/>
    <w:rsid w:val="00D532F2"/>
    <w:rsid w:val="00D54063"/>
    <w:rsid w:val="00D551B8"/>
    <w:rsid w:val="00D552DA"/>
    <w:rsid w:val="00D55A45"/>
    <w:rsid w:val="00D56450"/>
    <w:rsid w:val="00D569D4"/>
    <w:rsid w:val="00D56EDA"/>
    <w:rsid w:val="00D5785D"/>
    <w:rsid w:val="00D57A83"/>
    <w:rsid w:val="00D6122E"/>
    <w:rsid w:val="00D61B42"/>
    <w:rsid w:val="00D66A54"/>
    <w:rsid w:val="00D7059D"/>
    <w:rsid w:val="00D7076F"/>
    <w:rsid w:val="00D71FBA"/>
    <w:rsid w:val="00D7204A"/>
    <w:rsid w:val="00D7344E"/>
    <w:rsid w:val="00D75904"/>
    <w:rsid w:val="00D75E2B"/>
    <w:rsid w:val="00D76922"/>
    <w:rsid w:val="00D7782E"/>
    <w:rsid w:val="00D806B9"/>
    <w:rsid w:val="00D80DC4"/>
    <w:rsid w:val="00D81556"/>
    <w:rsid w:val="00D81AD5"/>
    <w:rsid w:val="00D81C9B"/>
    <w:rsid w:val="00D8221C"/>
    <w:rsid w:val="00D8250B"/>
    <w:rsid w:val="00D83162"/>
    <w:rsid w:val="00D83D28"/>
    <w:rsid w:val="00D8434D"/>
    <w:rsid w:val="00D84EC2"/>
    <w:rsid w:val="00D86A48"/>
    <w:rsid w:val="00D874E8"/>
    <w:rsid w:val="00D8775E"/>
    <w:rsid w:val="00D91004"/>
    <w:rsid w:val="00D91974"/>
    <w:rsid w:val="00D92D80"/>
    <w:rsid w:val="00D932B3"/>
    <w:rsid w:val="00D942DA"/>
    <w:rsid w:val="00D94AF9"/>
    <w:rsid w:val="00D94C2A"/>
    <w:rsid w:val="00D95210"/>
    <w:rsid w:val="00D956D8"/>
    <w:rsid w:val="00D956FD"/>
    <w:rsid w:val="00DA0049"/>
    <w:rsid w:val="00DA0A51"/>
    <w:rsid w:val="00DA0FA1"/>
    <w:rsid w:val="00DA2CBA"/>
    <w:rsid w:val="00DA32F8"/>
    <w:rsid w:val="00DA4931"/>
    <w:rsid w:val="00DA4F0D"/>
    <w:rsid w:val="00DA5010"/>
    <w:rsid w:val="00DA51FE"/>
    <w:rsid w:val="00DA5C20"/>
    <w:rsid w:val="00DA798D"/>
    <w:rsid w:val="00DA7FCB"/>
    <w:rsid w:val="00DB0C77"/>
    <w:rsid w:val="00DB1397"/>
    <w:rsid w:val="00DB2BC1"/>
    <w:rsid w:val="00DB369D"/>
    <w:rsid w:val="00DB3FF2"/>
    <w:rsid w:val="00DB5864"/>
    <w:rsid w:val="00DB5BF8"/>
    <w:rsid w:val="00DB5C65"/>
    <w:rsid w:val="00DB71D8"/>
    <w:rsid w:val="00DB727F"/>
    <w:rsid w:val="00DB78D1"/>
    <w:rsid w:val="00DC031E"/>
    <w:rsid w:val="00DC03C3"/>
    <w:rsid w:val="00DC1F2F"/>
    <w:rsid w:val="00DC2982"/>
    <w:rsid w:val="00DC37D6"/>
    <w:rsid w:val="00DC48FA"/>
    <w:rsid w:val="00DC4E74"/>
    <w:rsid w:val="00DC5893"/>
    <w:rsid w:val="00DC793C"/>
    <w:rsid w:val="00DC79D3"/>
    <w:rsid w:val="00DD1D91"/>
    <w:rsid w:val="00DD29AC"/>
    <w:rsid w:val="00DD2EE7"/>
    <w:rsid w:val="00DD4C84"/>
    <w:rsid w:val="00DD4EB2"/>
    <w:rsid w:val="00DD570A"/>
    <w:rsid w:val="00DD64D3"/>
    <w:rsid w:val="00DD6FED"/>
    <w:rsid w:val="00DD7871"/>
    <w:rsid w:val="00DD7DDD"/>
    <w:rsid w:val="00DE028C"/>
    <w:rsid w:val="00DE043A"/>
    <w:rsid w:val="00DE046A"/>
    <w:rsid w:val="00DE091B"/>
    <w:rsid w:val="00DE2E44"/>
    <w:rsid w:val="00DE36EE"/>
    <w:rsid w:val="00DE37B1"/>
    <w:rsid w:val="00DE3D2C"/>
    <w:rsid w:val="00DE425D"/>
    <w:rsid w:val="00DE48FA"/>
    <w:rsid w:val="00DE49E5"/>
    <w:rsid w:val="00DE53CB"/>
    <w:rsid w:val="00DE7410"/>
    <w:rsid w:val="00DE7BA7"/>
    <w:rsid w:val="00DF0C86"/>
    <w:rsid w:val="00DF152E"/>
    <w:rsid w:val="00DF3022"/>
    <w:rsid w:val="00DF3461"/>
    <w:rsid w:val="00DF3ECD"/>
    <w:rsid w:val="00DF4333"/>
    <w:rsid w:val="00DF4349"/>
    <w:rsid w:val="00DF547E"/>
    <w:rsid w:val="00E00AC4"/>
    <w:rsid w:val="00E02ADD"/>
    <w:rsid w:val="00E04B29"/>
    <w:rsid w:val="00E0523A"/>
    <w:rsid w:val="00E06F9F"/>
    <w:rsid w:val="00E109D1"/>
    <w:rsid w:val="00E10B6F"/>
    <w:rsid w:val="00E10FC2"/>
    <w:rsid w:val="00E12CF1"/>
    <w:rsid w:val="00E12E7F"/>
    <w:rsid w:val="00E13C9F"/>
    <w:rsid w:val="00E15008"/>
    <w:rsid w:val="00E17E97"/>
    <w:rsid w:val="00E213BC"/>
    <w:rsid w:val="00E218CE"/>
    <w:rsid w:val="00E22B2C"/>
    <w:rsid w:val="00E22CCB"/>
    <w:rsid w:val="00E22FCF"/>
    <w:rsid w:val="00E23C76"/>
    <w:rsid w:val="00E23D2F"/>
    <w:rsid w:val="00E248F0"/>
    <w:rsid w:val="00E252B9"/>
    <w:rsid w:val="00E2577E"/>
    <w:rsid w:val="00E2626A"/>
    <w:rsid w:val="00E27F15"/>
    <w:rsid w:val="00E3144E"/>
    <w:rsid w:val="00E314F5"/>
    <w:rsid w:val="00E31A64"/>
    <w:rsid w:val="00E31CC9"/>
    <w:rsid w:val="00E31DE9"/>
    <w:rsid w:val="00E31EFE"/>
    <w:rsid w:val="00E33AAC"/>
    <w:rsid w:val="00E3414C"/>
    <w:rsid w:val="00E3569E"/>
    <w:rsid w:val="00E35833"/>
    <w:rsid w:val="00E35E68"/>
    <w:rsid w:val="00E3675B"/>
    <w:rsid w:val="00E37063"/>
    <w:rsid w:val="00E37687"/>
    <w:rsid w:val="00E404C1"/>
    <w:rsid w:val="00E41011"/>
    <w:rsid w:val="00E45B19"/>
    <w:rsid w:val="00E45EE4"/>
    <w:rsid w:val="00E4612E"/>
    <w:rsid w:val="00E471A6"/>
    <w:rsid w:val="00E47F2B"/>
    <w:rsid w:val="00E5049E"/>
    <w:rsid w:val="00E525DD"/>
    <w:rsid w:val="00E530C7"/>
    <w:rsid w:val="00E543A3"/>
    <w:rsid w:val="00E54437"/>
    <w:rsid w:val="00E556A0"/>
    <w:rsid w:val="00E56029"/>
    <w:rsid w:val="00E57033"/>
    <w:rsid w:val="00E61367"/>
    <w:rsid w:val="00E641F9"/>
    <w:rsid w:val="00E646A8"/>
    <w:rsid w:val="00E64E07"/>
    <w:rsid w:val="00E67BB4"/>
    <w:rsid w:val="00E71C48"/>
    <w:rsid w:val="00E7339D"/>
    <w:rsid w:val="00E7484E"/>
    <w:rsid w:val="00E769B8"/>
    <w:rsid w:val="00E7730D"/>
    <w:rsid w:val="00E77E5B"/>
    <w:rsid w:val="00E81F61"/>
    <w:rsid w:val="00E83406"/>
    <w:rsid w:val="00E8474A"/>
    <w:rsid w:val="00E854B8"/>
    <w:rsid w:val="00E8643B"/>
    <w:rsid w:val="00E8673C"/>
    <w:rsid w:val="00E86C90"/>
    <w:rsid w:val="00E90DFF"/>
    <w:rsid w:val="00E91179"/>
    <w:rsid w:val="00E91353"/>
    <w:rsid w:val="00E913C5"/>
    <w:rsid w:val="00E92AFA"/>
    <w:rsid w:val="00E92CC2"/>
    <w:rsid w:val="00E92E18"/>
    <w:rsid w:val="00E9323B"/>
    <w:rsid w:val="00E946D2"/>
    <w:rsid w:val="00E94FB3"/>
    <w:rsid w:val="00E979D8"/>
    <w:rsid w:val="00E97DDF"/>
    <w:rsid w:val="00EA00C0"/>
    <w:rsid w:val="00EA17E5"/>
    <w:rsid w:val="00EA3791"/>
    <w:rsid w:val="00EA3F5F"/>
    <w:rsid w:val="00EA552D"/>
    <w:rsid w:val="00EA59C1"/>
    <w:rsid w:val="00EA6859"/>
    <w:rsid w:val="00EB1410"/>
    <w:rsid w:val="00EB24DC"/>
    <w:rsid w:val="00EB25CC"/>
    <w:rsid w:val="00EB3FA5"/>
    <w:rsid w:val="00EB40F4"/>
    <w:rsid w:val="00EB4923"/>
    <w:rsid w:val="00EB4C2F"/>
    <w:rsid w:val="00EB7B50"/>
    <w:rsid w:val="00EC1155"/>
    <w:rsid w:val="00EC2171"/>
    <w:rsid w:val="00EC2E41"/>
    <w:rsid w:val="00EC4F91"/>
    <w:rsid w:val="00EC5141"/>
    <w:rsid w:val="00EC5D38"/>
    <w:rsid w:val="00EC62A1"/>
    <w:rsid w:val="00EC755E"/>
    <w:rsid w:val="00EC7FAF"/>
    <w:rsid w:val="00ED0D69"/>
    <w:rsid w:val="00ED1D54"/>
    <w:rsid w:val="00ED1E5C"/>
    <w:rsid w:val="00ED2159"/>
    <w:rsid w:val="00ED26C8"/>
    <w:rsid w:val="00ED2721"/>
    <w:rsid w:val="00ED3145"/>
    <w:rsid w:val="00ED3341"/>
    <w:rsid w:val="00ED40C9"/>
    <w:rsid w:val="00ED7D1C"/>
    <w:rsid w:val="00ED7D61"/>
    <w:rsid w:val="00EE23E0"/>
    <w:rsid w:val="00EE32B0"/>
    <w:rsid w:val="00EE3552"/>
    <w:rsid w:val="00EE36DC"/>
    <w:rsid w:val="00EE3B85"/>
    <w:rsid w:val="00EE4079"/>
    <w:rsid w:val="00EE474A"/>
    <w:rsid w:val="00EE47CC"/>
    <w:rsid w:val="00EF026C"/>
    <w:rsid w:val="00EF0444"/>
    <w:rsid w:val="00EF096D"/>
    <w:rsid w:val="00EF1BF9"/>
    <w:rsid w:val="00EF1C33"/>
    <w:rsid w:val="00EF3450"/>
    <w:rsid w:val="00EF3938"/>
    <w:rsid w:val="00EF475D"/>
    <w:rsid w:val="00EF602F"/>
    <w:rsid w:val="00EF6FC5"/>
    <w:rsid w:val="00EF75C9"/>
    <w:rsid w:val="00EF7649"/>
    <w:rsid w:val="00F0213D"/>
    <w:rsid w:val="00F02DE2"/>
    <w:rsid w:val="00F032A9"/>
    <w:rsid w:val="00F04AB2"/>
    <w:rsid w:val="00F0696E"/>
    <w:rsid w:val="00F077A4"/>
    <w:rsid w:val="00F101E9"/>
    <w:rsid w:val="00F10F98"/>
    <w:rsid w:val="00F11F4D"/>
    <w:rsid w:val="00F12812"/>
    <w:rsid w:val="00F12E68"/>
    <w:rsid w:val="00F133C5"/>
    <w:rsid w:val="00F147D5"/>
    <w:rsid w:val="00F14998"/>
    <w:rsid w:val="00F14B00"/>
    <w:rsid w:val="00F15BCF"/>
    <w:rsid w:val="00F1677D"/>
    <w:rsid w:val="00F17270"/>
    <w:rsid w:val="00F17715"/>
    <w:rsid w:val="00F20454"/>
    <w:rsid w:val="00F20536"/>
    <w:rsid w:val="00F219C1"/>
    <w:rsid w:val="00F234C2"/>
    <w:rsid w:val="00F25C88"/>
    <w:rsid w:val="00F264B8"/>
    <w:rsid w:val="00F27086"/>
    <w:rsid w:val="00F30047"/>
    <w:rsid w:val="00F301A6"/>
    <w:rsid w:val="00F32364"/>
    <w:rsid w:val="00F328EC"/>
    <w:rsid w:val="00F33DED"/>
    <w:rsid w:val="00F33EE3"/>
    <w:rsid w:val="00F3402D"/>
    <w:rsid w:val="00F346A9"/>
    <w:rsid w:val="00F35282"/>
    <w:rsid w:val="00F35EB4"/>
    <w:rsid w:val="00F40031"/>
    <w:rsid w:val="00F406D7"/>
    <w:rsid w:val="00F40DB4"/>
    <w:rsid w:val="00F427F1"/>
    <w:rsid w:val="00F42AE5"/>
    <w:rsid w:val="00F4324F"/>
    <w:rsid w:val="00F44049"/>
    <w:rsid w:val="00F4456B"/>
    <w:rsid w:val="00F44D30"/>
    <w:rsid w:val="00F45539"/>
    <w:rsid w:val="00F47BCD"/>
    <w:rsid w:val="00F50FA0"/>
    <w:rsid w:val="00F515C1"/>
    <w:rsid w:val="00F518B4"/>
    <w:rsid w:val="00F52B6A"/>
    <w:rsid w:val="00F531CE"/>
    <w:rsid w:val="00F55F75"/>
    <w:rsid w:val="00F569A7"/>
    <w:rsid w:val="00F56CEF"/>
    <w:rsid w:val="00F5723F"/>
    <w:rsid w:val="00F57B13"/>
    <w:rsid w:val="00F57EF9"/>
    <w:rsid w:val="00F607F7"/>
    <w:rsid w:val="00F60BA9"/>
    <w:rsid w:val="00F611E1"/>
    <w:rsid w:val="00F61C0A"/>
    <w:rsid w:val="00F6333C"/>
    <w:rsid w:val="00F653D4"/>
    <w:rsid w:val="00F6656F"/>
    <w:rsid w:val="00F66D54"/>
    <w:rsid w:val="00F71C87"/>
    <w:rsid w:val="00F72223"/>
    <w:rsid w:val="00F73BCD"/>
    <w:rsid w:val="00F7422E"/>
    <w:rsid w:val="00F745C5"/>
    <w:rsid w:val="00F751E3"/>
    <w:rsid w:val="00F76730"/>
    <w:rsid w:val="00F76A9B"/>
    <w:rsid w:val="00F77FFE"/>
    <w:rsid w:val="00F8091F"/>
    <w:rsid w:val="00F8195D"/>
    <w:rsid w:val="00F81D0B"/>
    <w:rsid w:val="00F8342F"/>
    <w:rsid w:val="00F844E3"/>
    <w:rsid w:val="00F85300"/>
    <w:rsid w:val="00F86024"/>
    <w:rsid w:val="00F87355"/>
    <w:rsid w:val="00F90FCC"/>
    <w:rsid w:val="00F91BAF"/>
    <w:rsid w:val="00F935A1"/>
    <w:rsid w:val="00F93678"/>
    <w:rsid w:val="00F94B73"/>
    <w:rsid w:val="00F95365"/>
    <w:rsid w:val="00F96C66"/>
    <w:rsid w:val="00F97EC3"/>
    <w:rsid w:val="00FA0ADE"/>
    <w:rsid w:val="00FA0F4A"/>
    <w:rsid w:val="00FA13ED"/>
    <w:rsid w:val="00FA4B75"/>
    <w:rsid w:val="00FA51F8"/>
    <w:rsid w:val="00FA56D3"/>
    <w:rsid w:val="00FA5A1E"/>
    <w:rsid w:val="00FA6BAE"/>
    <w:rsid w:val="00FA6E83"/>
    <w:rsid w:val="00FB074C"/>
    <w:rsid w:val="00FB15A1"/>
    <w:rsid w:val="00FB1F99"/>
    <w:rsid w:val="00FB3A5D"/>
    <w:rsid w:val="00FB3EAD"/>
    <w:rsid w:val="00FB4167"/>
    <w:rsid w:val="00FB4A2F"/>
    <w:rsid w:val="00FB5771"/>
    <w:rsid w:val="00FB6985"/>
    <w:rsid w:val="00FB7895"/>
    <w:rsid w:val="00FC0CE9"/>
    <w:rsid w:val="00FC20E8"/>
    <w:rsid w:val="00FC3777"/>
    <w:rsid w:val="00FC5402"/>
    <w:rsid w:val="00FC5B07"/>
    <w:rsid w:val="00FC6B68"/>
    <w:rsid w:val="00FC747A"/>
    <w:rsid w:val="00FC794D"/>
    <w:rsid w:val="00FC7BAB"/>
    <w:rsid w:val="00FD1DDF"/>
    <w:rsid w:val="00FD23C8"/>
    <w:rsid w:val="00FD391E"/>
    <w:rsid w:val="00FD5BAA"/>
    <w:rsid w:val="00FD73E9"/>
    <w:rsid w:val="00FE08BD"/>
    <w:rsid w:val="00FE0D41"/>
    <w:rsid w:val="00FE21E7"/>
    <w:rsid w:val="00FE258C"/>
    <w:rsid w:val="00FE25DD"/>
    <w:rsid w:val="00FE2606"/>
    <w:rsid w:val="00FE298C"/>
    <w:rsid w:val="00FE2E29"/>
    <w:rsid w:val="00FE4035"/>
    <w:rsid w:val="00FE40C6"/>
    <w:rsid w:val="00FE461F"/>
    <w:rsid w:val="00FE4D1B"/>
    <w:rsid w:val="00FE5C35"/>
    <w:rsid w:val="00FE5EEC"/>
    <w:rsid w:val="00FE68C0"/>
    <w:rsid w:val="00FE6F9E"/>
    <w:rsid w:val="00FE764A"/>
    <w:rsid w:val="00FE7DE7"/>
    <w:rsid w:val="00FE7E26"/>
    <w:rsid w:val="00FF146F"/>
    <w:rsid w:val="00FF2A40"/>
    <w:rsid w:val="00FF2E77"/>
    <w:rsid w:val="00FF4205"/>
    <w:rsid w:val="00FF42AD"/>
    <w:rsid w:val="00FF5859"/>
    <w:rsid w:val="00FF5AA8"/>
    <w:rsid w:val="00FF5AA9"/>
    <w:rsid w:val="00FF5FDD"/>
    <w:rsid w:val="00FF691A"/>
    <w:rsid w:val="00FF6CAD"/>
    <w:rsid w:val="04E8552F"/>
    <w:rsid w:val="05F45707"/>
    <w:rsid w:val="07A773E7"/>
    <w:rsid w:val="099317ED"/>
    <w:rsid w:val="0C6433D2"/>
    <w:rsid w:val="0C8E6CB5"/>
    <w:rsid w:val="13B91678"/>
    <w:rsid w:val="2043600B"/>
    <w:rsid w:val="274A2D02"/>
    <w:rsid w:val="2A7652AA"/>
    <w:rsid w:val="2B8B762D"/>
    <w:rsid w:val="329C2A51"/>
    <w:rsid w:val="3385084D"/>
    <w:rsid w:val="37266254"/>
    <w:rsid w:val="379A2A13"/>
    <w:rsid w:val="38434FAC"/>
    <w:rsid w:val="39BB2544"/>
    <w:rsid w:val="3A8A7A1A"/>
    <w:rsid w:val="3B7443D9"/>
    <w:rsid w:val="3C600150"/>
    <w:rsid w:val="3D0731FE"/>
    <w:rsid w:val="3FA571A5"/>
    <w:rsid w:val="44586D48"/>
    <w:rsid w:val="495A3F68"/>
    <w:rsid w:val="4E024C4C"/>
    <w:rsid w:val="4E396D93"/>
    <w:rsid w:val="4E792FB7"/>
    <w:rsid w:val="50B830C4"/>
    <w:rsid w:val="53C5318B"/>
    <w:rsid w:val="62631E2F"/>
    <w:rsid w:val="63EC1681"/>
    <w:rsid w:val="6BF56DBF"/>
    <w:rsid w:val="6F281E03"/>
    <w:rsid w:val="71446FAF"/>
    <w:rsid w:val="71F8139C"/>
    <w:rsid w:val="7C233E92"/>
    <w:rsid w:val="7F422B9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3">
    <w:name w:val="heading 1"/>
    <w:basedOn w:val="1"/>
    <w:next w:val="1"/>
    <w:link w:val="5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00" w:after="200" w:line="360" w:lineRule="auto"/>
      <w:outlineLvl w:val="1"/>
    </w:pPr>
    <w:rPr>
      <w:rFonts w:ascii="楷体_GB2312" w:hAnsi="楷体_GB2312" w:eastAsia="楷体_GB2312"/>
      <w:b/>
      <w:bCs/>
      <w:kern w:val="0"/>
      <w:sz w:val="28"/>
      <w:szCs w:val="28"/>
    </w:rPr>
  </w:style>
  <w:style w:type="paragraph" w:styleId="5">
    <w:name w:val="heading 3"/>
    <w:basedOn w:val="1"/>
    <w:next w:val="1"/>
    <w:qFormat/>
    <w:uiPriority w:val="0"/>
    <w:pPr>
      <w:keepNext/>
      <w:keepLines/>
      <w:spacing w:before="200" w:after="200" w:line="360" w:lineRule="auto"/>
      <w:outlineLvl w:val="2"/>
    </w:pPr>
    <w:rPr>
      <w:rFonts w:ascii="Arial" w:hAnsi="Arial" w:cs="Arial"/>
      <w:b/>
      <w:color w:val="000000"/>
      <w:sz w:val="28"/>
      <w:szCs w:val="20"/>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4">
    <w:name w:val="Default Paragraph Font"/>
    <w:semiHidden/>
    <w:uiPriority w:val="0"/>
  </w:style>
  <w:style w:type="table" w:default="1" w:styleId="22">
    <w:name w:val="Normal Table"/>
    <w:semiHidden/>
    <w:uiPriority w:val="0"/>
    <w:tblPr>
      <w:tblStyle w:val="22"/>
      <w:tblCellMar>
        <w:top w:w="0" w:type="dxa"/>
        <w:left w:w="108" w:type="dxa"/>
        <w:bottom w:w="0" w:type="dxa"/>
        <w:right w:w="108" w:type="dxa"/>
      </w:tblCellMar>
    </w:tblPr>
  </w:style>
  <w:style w:type="paragraph" w:styleId="2">
    <w:name w:val="Body Text Indent"/>
    <w:basedOn w:val="1"/>
    <w:uiPriority w:val="0"/>
    <w:pPr>
      <w:ind w:left="420" w:leftChars="200" w:firstLine="480" w:firstLineChars="200"/>
    </w:pPr>
    <w:rPr>
      <w:sz w:val="24"/>
    </w:rPr>
  </w:style>
  <w:style w:type="paragraph" w:styleId="7">
    <w:name w:val="Normal Indent"/>
    <w:basedOn w:val="1"/>
    <w:next w:val="1"/>
    <w:uiPriority w:val="0"/>
    <w:pPr>
      <w:spacing w:after="50" w:afterLines="50" w:line="360" w:lineRule="auto"/>
      <w:ind w:firstLine="200" w:firstLineChars="200"/>
    </w:pPr>
    <w:rPr>
      <w:sz w:val="24"/>
    </w:rPr>
  </w:style>
  <w:style w:type="paragraph" w:styleId="8">
    <w:name w:val="Document Map"/>
    <w:basedOn w:val="1"/>
    <w:semiHidden/>
    <w:uiPriority w:val="0"/>
    <w:pPr>
      <w:shd w:val="clear" w:color="auto" w:fill="000080"/>
    </w:pPr>
  </w:style>
  <w:style w:type="paragraph" w:styleId="9">
    <w:name w:val="Body Text 3"/>
    <w:basedOn w:val="1"/>
    <w:uiPriority w:val="0"/>
    <w:pPr>
      <w:spacing w:after="120"/>
    </w:pPr>
    <w:rPr>
      <w:sz w:val="16"/>
      <w:szCs w:val="16"/>
    </w:rPr>
  </w:style>
  <w:style w:type="paragraph" w:styleId="10">
    <w:name w:val="Body Text"/>
    <w:basedOn w:val="1"/>
    <w:uiPriority w:val="0"/>
    <w:pPr>
      <w:adjustRightInd w:val="0"/>
      <w:spacing w:line="315" w:lineRule="atLeast"/>
      <w:jc w:val="left"/>
      <w:textAlignment w:val="baseline"/>
    </w:pPr>
    <w:rPr>
      <w:rFonts w:ascii="仿宋_GB2312" w:eastAsia="仿宋_GB2312"/>
      <w:kern w:val="0"/>
      <w:sz w:val="28"/>
      <w:szCs w:val="20"/>
    </w:rPr>
  </w:style>
  <w:style w:type="paragraph" w:styleId="11">
    <w:name w:val="Plain Text"/>
    <w:basedOn w:val="1"/>
    <w:next w:val="12"/>
    <w:link w:val="41"/>
    <w:uiPriority w:val="0"/>
    <w:rPr>
      <w:rFonts w:ascii="宋体" w:hAnsi="Courier New"/>
      <w:szCs w:val="20"/>
    </w:rPr>
  </w:style>
  <w:style w:type="paragraph" w:styleId="12">
    <w:name w:val="Date"/>
    <w:basedOn w:val="1"/>
    <w:next w:val="1"/>
    <w:uiPriority w:val="0"/>
    <w:pPr>
      <w:ind w:left="100" w:leftChars="2500"/>
    </w:pPr>
    <w:rPr>
      <w:sz w:val="24"/>
    </w:rPr>
  </w:style>
  <w:style w:type="paragraph" w:styleId="13">
    <w:name w:val="Body Text Indent 2"/>
    <w:basedOn w:val="1"/>
    <w:uiPriority w:val="0"/>
    <w:pPr>
      <w:ind w:firstLine="435"/>
    </w:pPr>
    <w:rPr>
      <w:sz w:val="24"/>
    </w:rPr>
  </w:style>
  <w:style w:type="paragraph" w:styleId="14">
    <w:name w:val="Balloon Text"/>
    <w:basedOn w:val="1"/>
    <w:semiHidden/>
    <w:uiPriority w:val="0"/>
    <w:rPr>
      <w:sz w:val="18"/>
      <w:szCs w:val="18"/>
    </w:rPr>
  </w:style>
  <w:style w:type="paragraph" w:styleId="15">
    <w:name w:val="footer"/>
    <w:basedOn w:val="1"/>
    <w:link w:val="35"/>
    <w:uiPriority w:val="99"/>
    <w:pPr>
      <w:tabs>
        <w:tab w:val="center" w:pos="4153"/>
        <w:tab w:val="right" w:pos="8306"/>
      </w:tabs>
      <w:adjustRightInd w:val="0"/>
      <w:spacing w:line="240" w:lineRule="atLeast"/>
      <w:jc w:val="left"/>
      <w:textAlignment w:val="baseline"/>
    </w:pPr>
    <w:rPr>
      <w:rFonts w:ascii="宋体"/>
      <w:kern w:val="0"/>
      <w:sz w:val="18"/>
      <w:szCs w:val="20"/>
    </w:rPr>
  </w:style>
  <w:style w:type="paragraph" w:styleId="16">
    <w:name w:val="header"/>
    <w:basedOn w:val="1"/>
    <w:link w:val="47"/>
    <w:uiPriority w:val="99"/>
    <w:pPr>
      <w:pBdr>
        <w:bottom w:val="single" w:color="auto" w:sz="6" w:space="1"/>
      </w:pBdr>
      <w:tabs>
        <w:tab w:val="center" w:pos="4819"/>
        <w:tab w:val="right" w:pos="9071"/>
      </w:tabs>
      <w:adjustRightInd w:val="0"/>
      <w:spacing w:line="240" w:lineRule="atLeast"/>
      <w:jc w:val="center"/>
      <w:textAlignment w:val="baseline"/>
    </w:pPr>
    <w:rPr>
      <w:rFonts w:ascii="宋体"/>
      <w:kern w:val="0"/>
      <w:sz w:val="18"/>
      <w:szCs w:val="20"/>
    </w:rPr>
  </w:style>
  <w:style w:type="paragraph" w:styleId="17">
    <w:name w:val="toc 1"/>
    <w:basedOn w:val="1"/>
    <w:next w:val="1"/>
    <w:semiHidden/>
    <w:uiPriority w:val="0"/>
    <w:rPr>
      <w:rFonts w:eastAsia="黑体"/>
      <w:b/>
      <w:bCs/>
      <w:sz w:val="28"/>
    </w:rPr>
  </w:style>
  <w:style w:type="paragraph" w:styleId="18">
    <w:name w:val="Body Text Indent 3"/>
    <w:basedOn w:val="1"/>
    <w:uiPriority w:val="0"/>
    <w:pPr>
      <w:widowControl/>
      <w:spacing w:line="360" w:lineRule="auto"/>
      <w:ind w:firstLine="540" w:firstLineChars="225"/>
      <w:jc w:val="left"/>
    </w:pPr>
    <w:rPr>
      <w:sz w:val="24"/>
      <w:szCs w:val="20"/>
    </w:rPr>
  </w:style>
  <w:style w:type="paragraph" w:styleId="19">
    <w:name w:val="Body Text 2"/>
    <w:basedOn w:val="1"/>
    <w:uiPriority w:val="0"/>
    <w:rPr>
      <w:b/>
      <w:bCs/>
    </w:rPr>
  </w:style>
  <w:style w:type="paragraph" w:styleId="20">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1">
    <w:name w:val="Normal (Web)"/>
    <w:basedOn w:val="1"/>
    <w:uiPriority w:val="99"/>
    <w:pPr>
      <w:widowControl/>
      <w:spacing w:before="100" w:beforeAutospacing="1" w:after="100" w:afterAutospacing="1"/>
      <w:jc w:val="left"/>
    </w:pPr>
    <w:rPr>
      <w:rFonts w:ascii="宋体" w:hAnsi="宋体"/>
      <w:kern w:val="0"/>
      <w:sz w:val="24"/>
      <w:szCs w:val="20"/>
    </w:rPr>
  </w:style>
  <w:style w:type="table" w:styleId="23">
    <w:name w:val="Table Grid"/>
    <w:basedOn w:val="22"/>
    <w:uiPriority w:val="0"/>
    <w:pPr>
      <w:widowControl w:val="0"/>
      <w:jc w:val="both"/>
    </w:pPr>
    <w:tblPr>
      <w:tblStyle w:val="2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0"/>
    <w:rPr>
      <w:b/>
      <w:bCs/>
    </w:rPr>
  </w:style>
  <w:style w:type="character" w:styleId="26">
    <w:name w:val="page number"/>
    <w:basedOn w:val="24"/>
    <w:uiPriority w:val="0"/>
  </w:style>
  <w:style w:type="character" w:styleId="27">
    <w:name w:val="FollowedHyperlink"/>
    <w:basedOn w:val="24"/>
    <w:uiPriority w:val="99"/>
    <w:rPr>
      <w:color w:val="800080"/>
      <w:u w:val="single"/>
    </w:rPr>
  </w:style>
  <w:style w:type="character" w:styleId="28">
    <w:name w:val="Hyperlink"/>
    <w:basedOn w:val="24"/>
    <w:uiPriority w:val="99"/>
    <w:rPr>
      <w:color w:val="574D31"/>
      <w:u w:val="none"/>
    </w:rPr>
  </w:style>
  <w:style w:type="character" w:customStyle="1" w:styleId="29">
    <w:name w:val="wz1"/>
    <w:basedOn w:val="24"/>
    <w:uiPriority w:val="0"/>
  </w:style>
  <w:style w:type="character" w:customStyle="1" w:styleId="30">
    <w:name w:val="search_content1"/>
    <w:basedOn w:val="24"/>
    <w:uiPriority w:val="0"/>
    <w:rPr>
      <w:sz w:val="20"/>
      <w:szCs w:val="20"/>
    </w:rPr>
  </w:style>
  <w:style w:type="character" w:customStyle="1" w:styleId="31">
    <w:name w:val="正文2 Char Char"/>
    <w:link w:val="32"/>
    <w:uiPriority w:val="0"/>
    <w:rPr>
      <w:kern w:val="2"/>
      <w:sz w:val="24"/>
    </w:rPr>
  </w:style>
  <w:style w:type="paragraph" w:customStyle="1" w:styleId="32">
    <w:name w:val="正文2"/>
    <w:basedOn w:val="1"/>
    <w:link w:val="31"/>
    <w:uiPriority w:val="0"/>
    <w:pPr>
      <w:adjustRightInd w:val="0"/>
      <w:spacing w:before="156" w:line="360" w:lineRule="auto"/>
      <w:ind w:firstLine="510" w:firstLineChars="200"/>
    </w:pPr>
    <w:rPr>
      <w:sz w:val="24"/>
      <w:szCs w:val="20"/>
    </w:rPr>
  </w:style>
  <w:style w:type="character" w:customStyle="1" w:styleId="33">
    <w:name w:val="l17"/>
    <w:basedOn w:val="24"/>
    <w:uiPriority w:val="0"/>
  </w:style>
  <w:style w:type="character" w:customStyle="1" w:styleId="34">
    <w:name w:val="button1"/>
    <w:basedOn w:val="24"/>
    <w:uiPriority w:val="0"/>
    <w:rPr>
      <w:rFonts w:hint="default" w:ascii="Verdana" w:hAnsi="Verdana"/>
      <w:b/>
      <w:bCs/>
      <w:sz w:val="20"/>
      <w:szCs w:val="20"/>
    </w:rPr>
  </w:style>
  <w:style w:type="character" w:customStyle="1" w:styleId="35">
    <w:name w:val="页脚 Char"/>
    <w:basedOn w:val="24"/>
    <w:link w:val="15"/>
    <w:uiPriority w:val="99"/>
    <w:rPr>
      <w:rFonts w:ascii="宋体"/>
      <w:sz w:val="18"/>
    </w:rPr>
  </w:style>
  <w:style w:type="character" w:customStyle="1" w:styleId="36">
    <w:name w:val="font41"/>
    <w:basedOn w:val="24"/>
    <w:uiPriority w:val="0"/>
    <w:rPr>
      <w:rFonts w:hint="default" w:ascii="Times New Roman" w:hAnsi="Times New Roman" w:cs="Times New Roman"/>
      <w:color w:val="000000"/>
      <w:sz w:val="24"/>
      <w:szCs w:val="24"/>
      <w:u w:val="none"/>
    </w:rPr>
  </w:style>
  <w:style w:type="character" w:customStyle="1" w:styleId="37">
    <w:name w:val="普通文字 Char1"/>
    <w:aliases w:val="纯文本 Char Char Char,纯文本 Char Char1,普通文字 Char Char Char Char1,普通文字 Char Char Char Char Char Char,普通文字 Char Char1,普通文字 Char Char Char1,普通文字 Char Char Char Char Char,Plain Text Char,Texte Char,普通文字1 Char,普通文字2 Char,普通文字3 Char,普通文字4 Char,普通文字5 Cha"/>
    <w:basedOn w:val="24"/>
    <w:uiPriority w:val="0"/>
    <w:rPr>
      <w:rFonts w:ascii="宋体" w:hAnsi="Courier New" w:eastAsia="宋体"/>
      <w:kern w:val="2"/>
      <w:sz w:val="21"/>
      <w:lang w:val="en-US" w:eastAsia="zh-CN" w:bidi="ar-SA"/>
    </w:rPr>
  </w:style>
  <w:style w:type="character" w:customStyle="1" w:styleId="38">
    <w:name w:val="style8"/>
    <w:basedOn w:val="24"/>
    <w:uiPriority w:val="0"/>
  </w:style>
  <w:style w:type="character" w:customStyle="1" w:styleId="39">
    <w:name w:val="unnamed1"/>
    <w:basedOn w:val="24"/>
    <w:uiPriority w:val="0"/>
  </w:style>
  <w:style w:type="character" w:customStyle="1" w:styleId="40">
    <w:name w:val="font01"/>
    <w:basedOn w:val="24"/>
    <w:uiPriority w:val="0"/>
    <w:rPr>
      <w:rFonts w:hint="eastAsia" w:ascii="宋体" w:hAnsi="宋体" w:eastAsia="宋体" w:cs="宋体"/>
      <w:b/>
      <w:color w:val="000000"/>
      <w:sz w:val="24"/>
      <w:szCs w:val="24"/>
      <w:u w:val="none"/>
    </w:rPr>
  </w:style>
  <w:style w:type="character" w:customStyle="1" w:styleId="41">
    <w:name w:val="纯文本 Char"/>
    <w:basedOn w:val="24"/>
    <w:link w:val="11"/>
    <w:uiPriority w:val="0"/>
    <w:rPr>
      <w:rFonts w:ascii="宋体" w:hAnsi="Courier New" w:eastAsia="宋体"/>
      <w:kern w:val="2"/>
      <w:sz w:val="21"/>
      <w:lang w:val="en-US" w:eastAsia="zh-CN" w:bidi="ar-SA"/>
    </w:rPr>
  </w:style>
  <w:style w:type="character" w:customStyle="1" w:styleId="42">
    <w:name w:val="huei12b1"/>
    <w:basedOn w:val="24"/>
    <w:uiPriority w:val="0"/>
    <w:rPr>
      <w:b/>
      <w:bCs/>
      <w:color w:val="333333"/>
      <w:sz w:val="20"/>
      <w:szCs w:val="20"/>
    </w:rPr>
  </w:style>
  <w:style w:type="character" w:customStyle="1" w:styleId="43">
    <w:name w:val="font11"/>
    <w:basedOn w:val="24"/>
    <w:uiPriority w:val="0"/>
    <w:rPr>
      <w:rFonts w:hint="eastAsia" w:ascii="宋体" w:hAnsi="宋体" w:eastAsia="宋体" w:cs="宋体"/>
      <w:color w:val="000000"/>
      <w:sz w:val="24"/>
      <w:szCs w:val="24"/>
      <w:u w:val="none"/>
    </w:rPr>
  </w:style>
  <w:style w:type="character" w:customStyle="1" w:styleId="44">
    <w:name w:val="s"/>
    <w:basedOn w:val="24"/>
    <w:uiPriority w:val="0"/>
  </w:style>
  <w:style w:type="character" w:customStyle="1" w:styleId="45">
    <w:name w:val="hei16b1"/>
    <w:basedOn w:val="24"/>
    <w:uiPriority w:val="0"/>
    <w:rPr>
      <w:rFonts w:hint="default" w:ascii="Arial" w:hAnsi="Arial" w:cs="Arial"/>
      <w:b/>
      <w:bCs/>
      <w:color w:val="000000"/>
      <w:sz w:val="24"/>
      <w:szCs w:val="24"/>
    </w:rPr>
  </w:style>
  <w:style w:type="character" w:customStyle="1" w:styleId="46">
    <w:name w:val="脚注文本 Char2"/>
    <w:uiPriority w:val="0"/>
    <w:rPr>
      <w:kern w:val="2"/>
      <w:sz w:val="18"/>
      <w:szCs w:val="18"/>
    </w:rPr>
  </w:style>
  <w:style w:type="character" w:customStyle="1" w:styleId="47">
    <w:name w:val="页眉 Char"/>
    <w:basedOn w:val="24"/>
    <w:link w:val="16"/>
    <w:uiPriority w:val="99"/>
    <w:rPr>
      <w:rFonts w:ascii="宋体"/>
      <w:sz w:val="18"/>
    </w:rPr>
  </w:style>
  <w:style w:type="character" w:customStyle="1" w:styleId="48">
    <w:name w:val="content"/>
    <w:basedOn w:val="24"/>
    <w:uiPriority w:val="0"/>
  </w:style>
  <w:style w:type="character" w:customStyle="1" w:styleId="49">
    <w:name w:val="style1"/>
    <w:basedOn w:val="24"/>
    <w:uiPriority w:val="0"/>
  </w:style>
  <w:style w:type="character" w:customStyle="1" w:styleId="50">
    <w:name w:val="body001"/>
    <w:basedOn w:val="24"/>
    <w:uiPriority w:val="0"/>
    <w:rPr>
      <w:rFonts w:hint="default" w:ascii="ˎ̥" w:hAnsi="ˎ̥"/>
      <w:color w:val="333333"/>
      <w:sz w:val="18"/>
      <w:szCs w:val="18"/>
    </w:rPr>
  </w:style>
  <w:style w:type="character" w:customStyle="1" w:styleId="51">
    <w:name w:val="标题 1 Char"/>
    <w:basedOn w:val="24"/>
    <w:link w:val="3"/>
    <w:uiPriority w:val="0"/>
    <w:rPr>
      <w:b/>
      <w:bCs/>
      <w:kern w:val="44"/>
      <w:sz w:val="44"/>
      <w:szCs w:val="44"/>
    </w:rPr>
  </w:style>
  <w:style w:type="paragraph" w:customStyle="1" w:styleId="52">
    <w:name w:val=" Char1"/>
    <w:basedOn w:val="8"/>
    <w:uiPriority w:val="0"/>
    <w:rPr>
      <w:rFonts w:ascii="Tahoma" w:hAnsi="Tahoma"/>
      <w:sz w:val="24"/>
    </w:rPr>
  </w:style>
  <w:style w:type="paragraph" w:customStyle="1" w:styleId="53">
    <w:name w:val="xl35"/>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4">
    <w:name w:val="1"/>
    <w:basedOn w:val="1"/>
    <w:next w:val="21"/>
    <w:uiPriority w:val="0"/>
    <w:pPr>
      <w:widowControl/>
      <w:spacing w:before="100" w:beforeAutospacing="1" w:after="100" w:afterAutospacing="1"/>
      <w:jc w:val="left"/>
    </w:pPr>
    <w:rPr>
      <w:rFonts w:hint="eastAsia" w:ascii="宋体" w:hAnsi="宋体"/>
      <w:kern w:val="0"/>
      <w:sz w:val="24"/>
    </w:rPr>
  </w:style>
  <w:style w:type="paragraph" w:customStyle="1" w:styleId="55">
    <w:name w:val="p0"/>
    <w:basedOn w:val="1"/>
    <w:unhideWhenUsed/>
    <w:qFormat/>
    <w:uiPriority w:val="0"/>
    <w:pPr>
      <w:widowControl/>
    </w:pPr>
    <w:rPr>
      <w:rFonts w:hint="eastAsia"/>
    </w:rPr>
  </w:style>
  <w:style w:type="paragraph" w:customStyle="1" w:styleId="56">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57">
    <w:name w:val="Char Char Char"/>
    <w:basedOn w:val="1"/>
    <w:uiPriority w:val="0"/>
    <w:rPr>
      <w:rFonts w:ascii="Tahoma" w:hAnsi="Tahoma"/>
      <w:sz w:val="24"/>
      <w:szCs w:val="20"/>
    </w:rPr>
  </w:style>
  <w:style w:type="paragraph" w:customStyle="1" w:styleId="58">
    <w:name w:val="样式1"/>
    <w:basedOn w:val="1"/>
    <w:qFormat/>
    <w:uiPriority w:val="0"/>
    <w:pPr>
      <w:spacing w:line="360" w:lineRule="exact"/>
      <w:ind w:firstLine="200" w:firstLineChars="200"/>
    </w:pPr>
  </w:style>
  <w:style w:type="paragraph" w:customStyle="1" w:styleId="59">
    <w:name w:val=" Char"/>
    <w:basedOn w:val="1"/>
    <w:uiPriority w:val="0"/>
    <w:rPr>
      <w:rFonts w:ascii="仿宋_GB2312" w:eastAsia="仿宋_GB2312"/>
      <w:b/>
      <w:sz w:val="32"/>
      <w:szCs w:val="32"/>
    </w:rPr>
  </w:style>
  <w:style w:type="paragraph" w:customStyle="1" w:styleId="60">
    <w:name w:val="xl40"/>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61">
    <w:name w:val="xl39"/>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62">
    <w:name w:val="xl31"/>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rPr>
  </w:style>
  <w:style w:type="paragraph" w:customStyle="1" w:styleId="63">
    <w:name w:val="xl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4">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65">
    <w:name w:val="文字"/>
    <w:basedOn w:val="1"/>
    <w:uiPriority w:val="0"/>
    <w:pPr>
      <w:tabs>
        <w:tab w:val="left" w:pos="8520"/>
      </w:tabs>
      <w:spacing w:line="312" w:lineRule="auto"/>
      <w:ind w:right="-210" w:firstLine="556"/>
    </w:pPr>
    <w:rPr>
      <w:rFonts w:ascii="楷体_GB2312" w:eastAsia="楷体_GB2312"/>
      <w:sz w:val="28"/>
      <w:szCs w:val="20"/>
    </w:rPr>
  </w:style>
  <w:style w:type="paragraph" w:customStyle="1" w:styleId="66">
    <w:name w:val="Char"/>
    <w:basedOn w:val="1"/>
    <w:uiPriority w:val="0"/>
    <w:rPr>
      <w:rFonts w:ascii="仿宋_GB2312" w:hAnsi="Courier New" w:eastAsia="仿宋_GB2312" w:cs="Courier New"/>
      <w:b/>
      <w:color w:val="000000"/>
      <w:sz w:val="32"/>
      <w:szCs w:val="32"/>
    </w:rPr>
  </w:style>
  <w:style w:type="paragraph" w:customStyle="1" w:styleId="67">
    <w:name w:val="xl30"/>
    <w:basedOn w:val="1"/>
    <w:uiPriority w:val="0"/>
    <w:pPr>
      <w:widowControl/>
      <w:pBdr>
        <w:bottom w:val="single" w:color="auto" w:sz="4" w:space="0"/>
      </w:pBdr>
      <w:spacing w:before="100" w:beforeAutospacing="1" w:after="100" w:afterAutospacing="1"/>
      <w:jc w:val="center"/>
    </w:pPr>
    <w:rPr>
      <w:rFonts w:ascii="黑体" w:hAnsi="宋体" w:eastAsia="黑体" w:cs="宋体"/>
      <w:b/>
      <w:bCs/>
      <w:kern w:val="0"/>
      <w:sz w:val="32"/>
      <w:szCs w:val="32"/>
    </w:rPr>
  </w:style>
  <w:style w:type="paragraph" w:customStyle="1" w:styleId="68">
    <w:name w:val="Horizontal Bar"/>
    <w:basedOn w:val="1"/>
    <w:uiPriority w:val="0"/>
    <w:pPr>
      <w:kinsoku w:val="0"/>
      <w:overflowPunct w:val="0"/>
      <w:topLinePunct/>
      <w:spacing w:line="0" w:lineRule="atLeast"/>
      <w:jc w:val="left"/>
    </w:pPr>
    <w:rPr>
      <w:rFonts w:ascii="ScalaSansLF-Regular" w:hAnsi="ScalaSansLF-Regular" w:eastAsia="ScalaSansLF-Regular" w:cs="ScalaSansLF-Regular"/>
      <w:bCs/>
      <w:sz w:val="16"/>
      <w:szCs w:val="16"/>
      <w:lang w:eastAsia="ja-JP"/>
    </w:rPr>
  </w:style>
  <w:style w:type="paragraph" w:customStyle="1" w:styleId="69">
    <w:name w:val=" Char Char Char Char Char Char Char Char"/>
    <w:basedOn w:val="1"/>
    <w:uiPriority w:val="0"/>
    <w:pPr>
      <w:tabs>
        <w:tab w:val="left" w:pos="360"/>
      </w:tabs>
    </w:pPr>
    <w:rPr>
      <w:szCs w:val="20"/>
    </w:rPr>
  </w:style>
  <w:style w:type="paragraph" w:customStyle="1" w:styleId="70">
    <w:name w:val="xl36"/>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71">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72">
    <w:name w:val="xl2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73">
    <w:name w:val="xl38"/>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74">
    <w:name w:val="正文缩进1"/>
    <w:basedOn w:val="1"/>
    <w:next w:val="2"/>
    <w:uiPriority w:val="0"/>
    <w:pPr>
      <w:autoSpaceDE w:val="0"/>
      <w:autoSpaceDN w:val="0"/>
      <w:adjustRightInd w:val="0"/>
      <w:snapToGrid w:val="0"/>
      <w:spacing w:after="120" w:line="360" w:lineRule="auto"/>
      <w:ind w:left="420" w:firstLine="480"/>
    </w:pPr>
    <w:rPr>
      <w:sz w:val="24"/>
      <w:szCs w:val="20"/>
    </w:rPr>
  </w:style>
  <w:style w:type="paragraph" w:customStyle="1" w:styleId="75">
    <w:name w:val="xl32"/>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styleId="76">
    <w:name w:val="List Paragraph"/>
    <w:basedOn w:val="1"/>
    <w:qFormat/>
    <w:uiPriority w:val="0"/>
    <w:pPr>
      <w:ind w:firstLine="420" w:firstLineChars="200"/>
    </w:pPr>
    <w:rPr>
      <w:rFonts w:ascii="Calibri" w:hAnsi="Calibri"/>
      <w:szCs w:val="22"/>
    </w:rPr>
  </w:style>
  <w:style w:type="paragraph" w:customStyle="1" w:styleId="77">
    <w:name w:val="Normal Indent1"/>
    <w:basedOn w:val="1"/>
    <w:qFormat/>
    <w:uiPriority w:val="0"/>
    <w:pPr>
      <w:ind w:firstLine="420" w:firstLineChars="200"/>
    </w:pPr>
  </w:style>
  <w:style w:type="paragraph" w:customStyle="1" w:styleId="78">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79">
    <w:name w:val="xl34"/>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80">
    <w:name w:val="Char Char Char Char"/>
    <w:basedOn w:val="1"/>
    <w:uiPriority w:val="0"/>
    <w:pPr>
      <w:widowControl/>
      <w:spacing w:after="160" w:line="240" w:lineRule="exact"/>
      <w:jc w:val="left"/>
    </w:pPr>
    <w:rPr>
      <w:rFonts w:ascii="Arial" w:hAnsi="Arial" w:eastAsia="Times New Roman" w:cs="Verdana"/>
      <w:b/>
      <w:kern w:val="0"/>
      <w:sz w:val="24"/>
      <w:lang w:eastAsia="en-US"/>
    </w:rPr>
  </w:style>
  <w:style w:type="paragraph" w:customStyle="1" w:styleId="81">
    <w:name w:val="Char Char Char Char Char Char"/>
    <w:basedOn w:val="1"/>
    <w:uiPriority w:val="0"/>
    <w:pPr>
      <w:ind w:firstLine="200" w:firstLineChars="200"/>
    </w:pPr>
    <w:rPr>
      <w:rFonts w:ascii="Tahoma" w:hAnsi="Tahoma"/>
      <w:sz w:val="24"/>
      <w:szCs w:val="20"/>
    </w:rPr>
  </w:style>
  <w:style w:type="paragraph" w:customStyle="1" w:styleId="82">
    <w:name w:val="xl33"/>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83">
    <w:name w:val="xl41"/>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84">
    <w:name w:val=" Char Char Char Char"/>
    <w:basedOn w:val="1"/>
    <w:uiPriority w:val="0"/>
    <w:pPr>
      <w:widowControl/>
      <w:spacing w:after="160" w:line="240" w:lineRule="exact"/>
      <w:jc w:val="left"/>
    </w:pPr>
    <w:rPr>
      <w:rFonts w:ascii="Arial" w:hAnsi="Arial" w:eastAsia="Times New Roman" w:cs="Verdana"/>
      <w:b/>
      <w:kern w:val="0"/>
      <w:sz w:val="24"/>
      <w:lang w:eastAsia="en-US"/>
    </w:rPr>
  </w:style>
  <w:style w:type="paragraph" w:customStyle="1" w:styleId="85">
    <w:name w:val="xl37"/>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86">
    <w:name w:val="标题3"/>
    <w:basedOn w:val="5"/>
    <w:uiPriority w:val="0"/>
    <w:pPr>
      <w:spacing w:before="260" w:after="260" w:line="416" w:lineRule="auto"/>
    </w:pPr>
    <w:rPr>
      <w:rFonts w:ascii="宋体" w:hAnsi="宋体" w:cs="Times New Roman"/>
      <w:bCs/>
      <w:color w:val="auto"/>
      <w:szCs w:val="28"/>
    </w:rPr>
  </w:style>
  <w:style w:type="paragraph" w:customStyle="1" w:styleId="87">
    <w:name w:val="小标题2"/>
    <w:basedOn w:val="1"/>
    <w:next w:val="1"/>
    <w:uiPriority w:val="0"/>
    <w:pPr>
      <w:spacing w:before="20" w:beforeLines="20" w:after="20" w:afterLines="20" w:line="400" w:lineRule="exact"/>
      <w:ind w:firstLine="200" w:firstLineChars="200"/>
    </w:pPr>
    <w:rPr>
      <w:rFonts w:eastAsia="楷体_GB2312"/>
      <w:sz w:val="24"/>
    </w:rPr>
  </w:style>
  <w:style w:type="paragraph" w:customStyle="1" w:styleId="88">
    <w:name w:val="xl2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89">
    <w:name w:val="Defaul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90">
    <w:name w:val="xl27"/>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91">
    <w:name w:val="Char Char Char Char Char Char Char Char"/>
    <w:basedOn w:val="1"/>
    <w:uiPriority w:val="0"/>
    <w:pPr>
      <w:tabs>
        <w:tab w:val="left" w:pos="360"/>
      </w:tabs>
    </w:pPr>
    <w:rPr>
      <w:szCs w:val="20"/>
    </w:rPr>
  </w:style>
  <w:style w:type="paragraph" w:customStyle="1" w:styleId="92">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93">
    <w:name w:val=" Char Char Char Char Char Char Char Char Char Char"/>
    <w:basedOn w:val="8"/>
    <w:uiPriority w:val="0"/>
    <w:rPr>
      <w:rFonts w:ascii="Tahoma" w:hAnsi="Tahoma"/>
      <w:sz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theme/theme1.xml" Type="http://schemas.openxmlformats.org/officeDocument/2006/relationships/theme"/><Relationship Id="rId13" Target="numbering.xml" Type="http://schemas.openxmlformats.org/officeDocument/2006/relationships/numbering"/><Relationship Id="rId14"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footer4.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93</Pages>
  <Words>9230</Words>
  <Characters>52617</Characters>
  <Lines>438</Lines>
  <Paragraphs>123</Paragraphs>
  <TotalTime>1</TotalTime>
  <ScaleCrop>false</ScaleCrop>
  <LinksUpToDate>false</LinksUpToDate>
  <CharactersWithSpaces>61724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2016-03-18T03:38:00Z</dcterms:created>
  <dc:creator>曹红</dc:creator>
  <cp:lastModifiedBy>WPS_1701756769</cp:lastModifiedBy>
  <cp:lastPrinted>2020-04-16T14:07:37Z</cp:lastPrinted>
  <dcterms:modified xsi:type="dcterms:W3CDTF">2024-02-23T01:07:56Z</dcterms:modified>
  <cp:revision>3</cp:revision>
  <dc:title>招  标  文  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56EBFF61A0644EE683DBA4A545737F6F_13</vt:lpwstr>
  </property>
</Properties>
</file>