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p>
    <w:p>
      <w:pPr>
        <w:pStyle w:val="10"/>
        <w:rPr>
          <w:color w:val="auto"/>
        </w:rPr>
      </w:pP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lang w:eastAsia="zh-CN"/>
        </w:rPr>
        <w:t>亚运室外场馆网络安全等级保护测评服务项目</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ZJJAZF[2023]18号</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pStyle w:val="10"/>
        <w:rPr>
          <w:rFonts w:ascii="宋体" w:hAnsi="宋体" w:cs="宋体"/>
          <w:color w:val="auto"/>
          <w:sz w:val="24"/>
        </w:rPr>
      </w:pPr>
    </w:p>
    <w:p>
      <w:pPr>
        <w:rPr>
          <w:color w:val="auto"/>
        </w:rPr>
      </w:pPr>
    </w:p>
    <w:p>
      <w:pPr>
        <w:spacing w:line="360" w:lineRule="auto"/>
        <w:rPr>
          <w:rFonts w:ascii="宋体" w:hAnsi="宋体" w:cs="宋体"/>
          <w:color w:val="auto"/>
          <w:sz w:val="32"/>
          <w:szCs w:val="32"/>
        </w:rPr>
      </w:pPr>
    </w:p>
    <w:p>
      <w:pPr>
        <w:snapToGrid w:val="0"/>
        <w:spacing w:line="360" w:lineRule="auto"/>
        <w:jc w:val="center"/>
        <w:rPr>
          <w:rFonts w:hint="eastAsia" w:ascii="宋体" w:hAnsi="宋体" w:cs="宋体"/>
          <w:color w:val="auto"/>
          <w:sz w:val="32"/>
          <w:szCs w:val="32"/>
          <w:lang w:eastAsia="zh-CN"/>
        </w:rPr>
      </w:pPr>
      <w:r>
        <w:rPr>
          <w:rFonts w:hint="eastAsia" w:ascii="宋体" w:hAnsi="宋体" w:cs="宋体"/>
          <w:color w:val="auto"/>
          <w:sz w:val="32"/>
          <w:szCs w:val="32"/>
          <w:lang w:eastAsia="zh-CN"/>
        </w:rPr>
        <w:t>淳安千岛湖旅游度假区管理委员会</w:t>
      </w:r>
    </w:p>
    <w:p>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浙江</w:t>
      </w:r>
      <w:r>
        <w:rPr>
          <w:rFonts w:hint="eastAsia" w:ascii="宋体" w:hAnsi="宋体" w:cs="宋体"/>
          <w:bCs/>
          <w:color w:val="auto"/>
          <w:sz w:val="32"/>
          <w:szCs w:val="32"/>
          <w:lang w:eastAsia="zh-CN"/>
        </w:rPr>
        <w:t>建安</w:t>
      </w:r>
      <w:r>
        <w:rPr>
          <w:rFonts w:hint="eastAsia" w:ascii="宋体" w:hAnsi="宋体" w:cs="宋体"/>
          <w:bCs/>
          <w:color w:val="auto"/>
          <w:sz w:val="32"/>
          <w:szCs w:val="32"/>
        </w:rPr>
        <w:t>工程管理有限公司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三</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十六</w:t>
      </w:r>
      <w:r>
        <w:rPr>
          <w:rFonts w:hint="eastAsia" w:ascii="宋体" w:hAnsi="宋体" w:cs="宋体"/>
          <w:bCs/>
          <w:color w:val="auto"/>
          <w:sz w:val="32"/>
          <w:szCs w:val="32"/>
        </w:rPr>
        <w:t>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lang w:eastAsia="zh-CN"/>
        </w:rPr>
        <w:t>亚运室外场馆网络安全等级保护测评服务项目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3</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6</w:t>
      </w:r>
      <w:r>
        <w:rPr>
          <w:rFonts w:hint="eastAsia" w:ascii="宋体" w:hAnsi="宋体" w:eastAsia="宋体" w:cs="宋体"/>
          <w:b w:val="0"/>
          <w:bCs/>
          <w:color w:val="auto"/>
          <w:sz w:val="24"/>
        </w:rPr>
        <w:t>月</w:t>
      </w:r>
      <w:r>
        <w:rPr>
          <w:rFonts w:hint="eastAsia" w:ascii="宋体" w:hAnsi="宋体" w:cs="宋体"/>
          <w:b w:val="0"/>
          <w:bCs/>
          <w:color w:val="auto"/>
          <w:sz w:val="24"/>
          <w:lang w:val="en-US" w:eastAsia="zh-CN"/>
        </w:rPr>
        <w:t>5</w:t>
      </w:r>
      <w:r>
        <w:rPr>
          <w:rFonts w:hint="eastAsia" w:ascii="宋体" w:hAnsi="宋体" w:eastAsia="宋体" w:cs="宋体"/>
          <w:b w:val="0"/>
          <w:bCs/>
          <w:color w:val="auto"/>
          <w:sz w:val="24"/>
          <w:lang w:val="en-US" w:eastAsia="zh-CN"/>
        </w:rPr>
        <w:t>日14点</w:t>
      </w:r>
      <w:r>
        <w:rPr>
          <w:rFonts w:hint="eastAsia" w:ascii="宋体" w:hAnsi="宋体" w:cs="宋体"/>
          <w:b w:val="0"/>
          <w:bCs/>
          <w:color w:val="auto"/>
          <w:sz w:val="24"/>
          <w:lang w:val="en-US" w:eastAsia="zh-CN"/>
        </w:rPr>
        <w:t>3</w:t>
      </w:r>
      <w:r>
        <w:rPr>
          <w:rFonts w:hint="eastAsia" w:ascii="宋体" w:hAnsi="宋体" w:eastAsia="宋体" w:cs="宋体"/>
          <w:b w:val="0"/>
          <w:bCs/>
          <w:color w:val="auto"/>
          <w:sz w:val="24"/>
          <w:lang w:val="en-US" w:eastAsia="zh-CN"/>
        </w:rPr>
        <w:t>0分00</w:t>
      </w:r>
      <w:r>
        <w:rPr>
          <w:rFonts w:hint="eastAsia" w:ascii="宋体" w:hAnsi="宋体" w:eastAsia="宋体" w:cs="宋体"/>
          <w:b w:val="0"/>
          <w:bCs/>
          <w:color w:val="auto"/>
          <w:sz w:val="24"/>
        </w:rPr>
        <w:t>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bookmarkStart w:id="519" w:name="_GoBack"/>
      <w:bookmarkEnd w:id="519"/>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ZJJAZF[2023]18号</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亚运室外场馆网络安全等级保护测评服务项目</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val="0"/>
          <w:bCs/>
          <w:color w:val="auto"/>
          <w:sz w:val="24"/>
        </w:rPr>
        <w:t>人民币</w:t>
      </w:r>
      <w:r>
        <w:rPr>
          <w:rFonts w:hint="eastAsia" w:ascii="宋体" w:hAnsi="宋体" w:cs="宋体"/>
          <w:b w:val="0"/>
          <w:bCs/>
          <w:color w:val="auto"/>
          <w:sz w:val="24"/>
          <w:lang w:val="en-US" w:eastAsia="zh-CN"/>
        </w:rPr>
        <w:t>48.00</w:t>
      </w:r>
      <w:r>
        <w:rPr>
          <w:rFonts w:hint="eastAsia" w:ascii="宋体" w:hAnsi="宋体" w:cs="宋体"/>
          <w:b w:val="0"/>
          <w:bCs/>
          <w:color w:val="auto"/>
          <w:sz w:val="24"/>
        </w:rPr>
        <w:t>万元</w:t>
      </w:r>
      <w:r>
        <w:rPr>
          <w:rFonts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eastAsia="宋体" w:cs="宋体"/>
          <w:b w:val="0"/>
          <w:bCs/>
          <w:color w:val="auto"/>
          <w:sz w:val="24"/>
        </w:rPr>
        <w:t>人民币</w:t>
      </w:r>
      <w:r>
        <w:rPr>
          <w:rFonts w:hint="eastAsia" w:ascii="宋体" w:hAnsi="宋体" w:cs="宋体"/>
          <w:b w:val="0"/>
          <w:bCs/>
          <w:color w:val="auto"/>
          <w:sz w:val="24"/>
          <w:lang w:val="en-US" w:eastAsia="zh-CN"/>
        </w:rPr>
        <w:t>45.00</w:t>
      </w:r>
      <w:r>
        <w:rPr>
          <w:rFonts w:hint="eastAsia" w:ascii="宋体" w:hAnsi="宋体" w:eastAsia="宋体" w:cs="宋体"/>
          <w:b w:val="0"/>
          <w:bCs/>
          <w:color w:val="auto"/>
          <w:sz w:val="24"/>
        </w:rPr>
        <w:t xml:space="preserve">万元 </w:t>
      </w:r>
    </w:p>
    <w:p>
      <w:pPr>
        <w:spacing w:line="360" w:lineRule="auto"/>
        <w:ind w:firstLine="480"/>
        <w:rPr>
          <w:rFonts w:hint="eastAsia" w:ascii="宋体" w:hAnsi="宋体" w:cs="宋体"/>
          <w:snapToGrid w:val="0"/>
          <w:color w:val="auto"/>
          <w:kern w:val="28"/>
          <w:sz w:val="24"/>
          <w:szCs w:val="20"/>
        </w:rPr>
      </w:pPr>
      <w:r>
        <w:rPr>
          <w:rFonts w:hint="eastAsia" w:ascii="宋体" w:hAnsi="宋体" w:cs="宋体"/>
          <w:b/>
          <w:bCs/>
          <w:snapToGrid w:val="0"/>
          <w:color w:val="auto"/>
          <w:kern w:val="28"/>
          <w:sz w:val="24"/>
          <w:szCs w:val="20"/>
        </w:rPr>
        <w:t>采购需求：</w:t>
      </w:r>
      <w:r>
        <w:rPr>
          <w:rFonts w:hint="eastAsia" w:ascii="宋体" w:hAnsi="宋体" w:cs="宋体"/>
          <w:snapToGrid w:val="0"/>
          <w:color w:val="auto"/>
          <w:kern w:val="28"/>
          <w:sz w:val="24"/>
          <w:szCs w:val="20"/>
        </w:rPr>
        <w:t>根据网络安全等级保护相关标准规范和主管部门要求，完成：1、本次测评系统的定级备案等工作，包括编制定级相关材料、专家评审、公安机关备案、提供整改建议报告、协助取得等保备案证明文件；2、本次项目测评内容包括（但不仅限于）：安全物理环境、安全通信网络、安全区域边界、安全计算环境、安全管理中心、安全管理制度、安全管理机构、安全管理人员、安全建设管理、安全运维管理，以及整体测评。具体以招标文件第三部分采购需求为准，供应商可点击本公告下方“浏览采购文件”查看采购需求。</w:t>
      </w:r>
    </w:p>
    <w:p>
      <w:pPr>
        <w:pStyle w:val="7"/>
        <w:spacing w:line="360" w:lineRule="auto"/>
        <w:ind w:firstLine="480"/>
        <w:rPr>
          <w:rFonts w:hint="eastAsia" w:ascii="宋体" w:hAnsi="宋体" w:eastAsia="宋体" w:cs="宋体"/>
          <w:b/>
          <w:color w:val="auto"/>
          <w:sz w:val="24"/>
        </w:rPr>
      </w:pPr>
      <w:r>
        <w:rPr>
          <w:rFonts w:hint="eastAsia" w:ascii="宋体" w:hAnsi="宋体" w:eastAsia="宋体" w:cs="宋体"/>
          <w:b/>
          <w:color w:val="auto"/>
          <w:sz w:val="24"/>
        </w:rPr>
        <w:t>合同履约期限：</w:t>
      </w:r>
      <w:r>
        <w:rPr>
          <w:rFonts w:hint="eastAsia" w:ascii="宋体" w:hAnsi="宋体" w:eastAsia="宋体" w:cs="宋体"/>
          <w:b/>
          <w:bCs/>
          <w:color w:val="auto"/>
          <w:sz w:val="24"/>
          <w:szCs w:val="24"/>
          <w:highlight w:val="none"/>
          <w:lang w:val="en-US" w:eastAsia="zh-CN"/>
        </w:rPr>
        <w:t>签订合同后</w:t>
      </w:r>
      <w:r>
        <w:rPr>
          <w:rFonts w:hint="eastAsia" w:hAnsi="宋体" w:cs="宋体"/>
          <w:b/>
          <w:bCs/>
          <w:sz w:val="24"/>
          <w:szCs w:val="24"/>
          <w:lang w:val="en-US" w:eastAsia="zh-CN"/>
        </w:rPr>
        <w:t>30日内</w:t>
      </w:r>
      <w:r>
        <w:rPr>
          <w:rFonts w:hint="eastAsia" w:ascii="宋体" w:hAnsi="宋体" w:eastAsia="宋体" w:cs="宋体"/>
          <w:b/>
          <w:bCs/>
          <w:sz w:val="24"/>
          <w:szCs w:val="24"/>
          <w:lang w:val="en-US" w:eastAsia="zh-CN"/>
        </w:rPr>
        <w:t>完成等级保护测评，出具网络安全报告（不含整改时间）。</w:t>
      </w:r>
    </w:p>
    <w:p>
      <w:pPr>
        <w:pStyle w:val="7"/>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Segoe UI Symbol"/>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2" w:firstLineChars="200"/>
        <w:rPr>
          <w:rFonts w:ascii="宋体" w:hAnsi="宋体" w:cs="宋体"/>
          <w:color w:val="auto"/>
          <w:sz w:val="24"/>
        </w:rPr>
      </w:pPr>
      <w:r>
        <w:rPr>
          <w:rFonts w:hint="eastAsia" w:ascii="宋体" w:hAnsi="宋体" w:cs="宋体"/>
          <w:b/>
          <w:color w:val="auto"/>
          <w:sz w:val="24"/>
        </w:rPr>
        <w:t xml:space="preserve">三、获取招标文件 </w:t>
      </w:r>
      <w:r>
        <w:rPr>
          <w:rFonts w:hint="eastAsia" w:ascii="宋体" w:hAnsi="宋体" w:cs="宋体"/>
          <w:b/>
          <w:color w:val="auto"/>
          <w:sz w:val="24"/>
          <w:lang w:val="en-US" w:eastAsia="zh-CN"/>
        </w:rPr>
        <w:t>5</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6</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5 </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6 </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5 </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hint="eastAsia" w:ascii="宋体" w:hAnsi="宋体" w:eastAsia="宋体" w:cs="宋体"/>
          <w:color w:val="auto"/>
          <w:sz w:val="24"/>
        </w:rPr>
      </w:pPr>
      <w:r>
        <w:rPr>
          <w:rFonts w:hint="eastAsia" w:ascii="宋体" w:hAnsi="宋体" w:cs="宋体"/>
          <w:color w:val="auto"/>
          <w:sz w:val="24"/>
        </w:rPr>
        <w:t xml:space="preserve">   </w:t>
      </w:r>
      <w:r>
        <w:rPr>
          <w:rFonts w:hint="eastAsia" w:ascii="宋体" w:hAnsi="宋体" w:eastAsia="宋体" w:cs="宋体"/>
          <w:color w:val="auto"/>
          <w:sz w:val="24"/>
        </w:rPr>
        <w:t xml:space="preserve"> 名    称：</w:t>
      </w:r>
      <w:r>
        <w:rPr>
          <w:rFonts w:hint="eastAsia" w:ascii="宋体" w:hAnsi="宋体" w:eastAsia="宋体" w:cs="宋体"/>
          <w:color w:val="auto"/>
          <w:sz w:val="24"/>
          <w:lang w:eastAsia="zh-CN"/>
        </w:rPr>
        <w:t>淳安千岛湖旅游度假区管理委员会</w:t>
      </w: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地    址：</w:t>
      </w:r>
      <w:r>
        <w:rPr>
          <w:rFonts w:hint="eastAsia" w:ascii="宋体" w:hAnsi="宋体" w:eastAsia="宋体" w:cs="宋体"/>
          <w:color w:val="auto"/>
          <w:sz w:val="24"/>
          <w:lang w:val="en-US" w:eastAsia="zh-CN"/>
        </w:rPr>
        <w:t>淳安县千岛湖镇梦姑路99号</w:t>
      </w:r>
      <w:r>
        <w:rPr>
          <w:rFonts w:hint="eastAsia" w:ascii="宋体" w:hAnsi="宋体" w:eastAsia="宋体" w:cs="宋体"/>
          <w:color w:val="auto"/>
          <w:sz w:val="24"/>
        </w:rPr>
        <w:t xml:space="preserve">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传    真：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朱东栋</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0571-65025005</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王中华</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auto"/>
          <w:sz w:val="24"/>
          <w:highlight w:val="none"/>
          <w:lang w:val="en-US" w:eastAsia="zh-CN"/>
        </w:rPr>
        <w:t>0571-65025169</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浙江建安工程管理有限公司</w:t>
      </w:r>
    </w:p>
    <w:p>
      <w:pPr>
        <w:spacing w:line="360" w:lineRule="auto"/>
        <w:ind w:firstLine="480"/>
        <w:rPr>
          <w:rFonts w:ascii="宋体" w:hAnsi="宋体" w:cs="宋体"/>
          <w:color w:val="auto"/>
          <w:sz w:val="24"/>
        </w:rPr>
      </w:pPr>
      <w:r>
        <w:rPr>
          <w:rFonts w:hint="eastAsia" w:ascii="宋体" w:hAnsi="宋体" w:cs="宋体"/>
          <w:color w:val="auto"/>
          <w:sz w:val="24"/>
        </w:rPr>
        <w:t>地    址：浙江省淳安县千岛湖镇青春路2号3楼</w:t>
      </w:r>
    </w:p>
    <w:p>
      <w:pPr>
        <w:spacing w:line="360" w:lineRule="auto"/>
        <w:rPr>
          <w:rFonts w:ascii="宋体" w:hAnsi="宋体" w:cs="宋体"/>
          <w:color w:val="auto"/>
          <w:sz w:val="24"/>
        </w:rPr>
      </w:pPr>
      <w:r>
        <w:rPr>
          <w:rFonts w:hint="eastAsia" w:ascii="宋体" w:hAnsi="宋体" w:cs="宋体"/>
          <w:color w:val="auto"/>
          <w:sz w:val="24"/>
        </w:rPr>
        <w:t xml:space="preserve">    传    真：0571-24818576 </w:t>
      </w:r>
    </w:p>
    <w:p>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eastAsia="宋体" w:cs="宋体"/>
          <w:color w:val="auto"/>
          <w:sz w:val="24"/>
        </w:rPr>
        <w:t>：吴宝财</w:t>
      </w:r>
    </w:p>
    <w:p>
      <w:pPr>
        <w:spacing w:line="360" w:lineRule="auto"/>
        <w:rPr>
          <w:rFonts w:ascii="宋体" w:hAnsi="宋体" w:cs="宋体"/>
          <w:color w:val="auto"/>
          <w:sz w:val="24"/>
        </w:rPr>
      </w:pPr>
      <w:r>
        <w:rPr>
          <w:rFonts w:hint="eastAsia" w:ascii="宋体" w:hAnsi="宋体" w:cs="宋体"/>
          <w:color w:val="auto"/>
          <w:sz w:val="24"/>
        </w:rPr>
        <w:t xml:space="preserve">    项目联系方式（询问）：0571-24818576</w:t>
      </w:r>
    </w:p>
    <w:p>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eastAsia="zh-CN"/>
        </w:rPr>
        <w:t>王兴</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质疑联系方式：0571-24818576</w:t>
      </w:r>
    </w:p>
    <w:p>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pPr>
        <w:spacing w:line="360" w:lineRule="auto"/>
        <w:rPr>
          <w:rFonts w:ascii="宋体" w:hAnsi="宋体" w:cs="宋体"/>
          <w:color w:val="auto"/>
          <w:sz w:val="24"/>
        </w:rPr>
      </w:pPr>
      <w:r>
        <w:rPr>
          <w:rFonts w:hint="eastAsia" w:ascii="宋体" w:hAnsi="宋体" w:cs="宋体"/>
          <w:color w:val="auto"/>
          <w:sz w:val="24"/>
        </w:rPr>
        <w:t xml:space="preserve">   名    称：淳安县财政局</w:t>
      </w:r>
    </w:p>
    <w:p>
      <w:pPr>
        <w:spacing w:line="360" w:lineRule="auto"/>
        <w:rPr>
          <w:rFonts w:ascii="宋体" w:hAnsi="宋体" w:cs="宋体"/>
          <w:color w:val="auto"/>
          <w:sz w:val="24"/>
        </w:rPr>
      </w:pPr>
      <w:r>
        <w:rPr>
          <w:rFonts w:hint="eastAsia" w:ascii="宋体" w:hAnsi="宋体" w:cs="宋体"/>
          <w:color w:val="auto"/>
          <w:sz w:val="24"/>
        </w:rPr>
        <w:t xml:space="preserve">    地    址：淳安县千岛湖镇环湖北路695号 </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联系人 ：方建宏</w:t>
      </w:r>
    </w:p>
    <w:p>
      <w:pPr>
        <w:spacing w:line="360" w:lineRule="auto"/>
        <w:ind w:firstLine="480"/>
        <w:rPr>
          <w:rFonts w:hint="eastAsia" w:ascii="宋体" w:hAnsi="宋体" w:cs="宋体"/>
          <w:color w:val="auto"/>
          <w:sz w:val="24"/>
        </w:rPr>
      </w:pPr>
      <w:r>
        <w:rPr>
          <w:rFonts w:hint="eastAsia" w:ascii="宋体" w:hAnsi="宋体" w:cs="宋体"/>
          <w:color w:val="auto"/>
          <w:sz w:val="24"/>
        </w:rPr>
        <w:t xml:space="preserve">监督投诉电话：电话：0571-64818305   </w:t>
      </w:r>
    </w:p>
    <w:p>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902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事项</w:t>
            </w:r>
          </w:p>
        </w:tc>
        <w:tc>
          <w:tcPr>
            <w:tcW w:w="6551"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项目属性</w:t>
            </w:r>
          </w:p>
        </w:tc>
        <w:tc>
          <w:tcPr>
            <w:tcW w:w="6551"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40" w:lineRule="auto"/>
              <w:textAlignment w:val="auto"/>
              <w:rPr>
                <w:rFonts w:ascii="宋体" w:hAnsi="宋体" w:cs="宋体"/>
                <w:color w:val="auto"/>
                <w:sz w:val="24"/>
              </w:rPr>
            </w:pP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551"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kern w:val="0"/>
                <w:sz w:val="24"/>
                <w:szCs w:val="24"/>
              </w:rPr>
            </w:pPr>
            <w:r>
              <w:rPr>
                <w:rFonts w:hint="eastAsia" w:ascii="宋体" w:hAnsi="宋体" w:cs="宋体"/>
                <w:color w:val="auto"/>
                <w:kern w:val="0"/>
                <w:sz w:val="24"/>
                <w:szCs w:val="24"/>
              </w:rPr>
              <w:t>（1）标的：</w:t>
            </w:r>
            <w:r>
              <w:rPr>
                <w:rFonts w:hint="eastAsia" w:ascii="宋体" w:hAnsi="宋体" w:cs="宋体"/>
                <w:color w:val="auto"/>
                <w:kern w:val="0"/>
                <w:sz w:val="24"/>
                <w:szCs w:val="24"/>
                <w:u w:val="single"/>
                <w:lang w:eastAsia="zh-CN"/>
              </w:rPr>
              <w:t>亚运室外场馆网络安全等级保护测评服务项目</w:t>
            </w:r>
            <w:r>
              <w:rPr>
                <w:rFonts w:hint="eastAsia" w:ascii="宋体" w:hAnsi="宋体" w:cs="宋体"/>
                <w:color w:val="auto"/>
                <w:kern w:val="0"/>
                <w:sz w:val="24"/>
                <w:szCs w:val="24"/>
              </w:rPr>
              <w:t>，属于</w:t>
            </w:r>
            <w:r>
              <w:rPr>
                <w:rFonts w:hint="eastAsia" w:ascii="宋体" w:hAnsi="宋体" w:cs="宋体"/>
                <w:color w:val="auto"/>
                <w:kern w:val="0"/>
                <w:sz w:val="24"/>
                <w:szCs w:val="24"/>
                <w:u w:val="single"/>
                <w:lang w:eastAsia="zh-CN"/>
              </w:rPr>
              <w:t>软件和信息技术服务业</w:t>
            </w:r>
            <w:r>
              <w:rPr>
                <w:rFonts w:hint="eastAsia" w:ascii="宋体" w:hAnsi="宋体" w:cs="宋体"/>
                <w:color w:val="auto"/>
                <w:kern w:val="0"/>
                <w:sz w:val="24"/>
                <w:szCs w:val="24"/>
              </w:rPr>
              <w:t>；</w:t>
            </w:r>
          </w:p>
          <w:p>
            <w:pPr>
              <w:pStyle w:val="5"/>
              <w:pageBreakBefore w:val="0"/>
              <w:widowControl w:val="0"/>
              <w:kinsoku/>
              <w:wordWrap/>
              <w:overflowPunct/>
              <w:topLinePunct w:val="0"/>
              <w:autoSpaceDE/>
              <w:autoSpaceDN/>
              <w:bidi w:val="0"/>
              <w:spacing w:line="240" w:lineRule="auto"/>
              <w:textAlignment w:val="auto"/>
              <w:rPr>
                <w:rFonts w:ascii="宋体" w:hAnsi="宋体" w:eastAsia="宋体" w:cs="宋体"/>
                <w:color w:val="auto"/>
                <w:sz w:val="24"/>
                <w:szCs w:val="24"/>
                <w:lang w:val="en-US"/>
              </w:rPr>
            </w:pPr>
            <w:r>
              <w:rPr>
                <w:rFonts w:hint="eastAsia" w:ascii="宋体" w:hAnsi="宋体" w:eastAsia="宋体" w:cs="宋体"/>
                <w:color w:val="auto"/>
                <w:sz w:val="24"/>
                <w:szCs w:val="24"/>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是否允许采购进口产品</w:t>
            </w:r>
          </w:p>
        </w:tc>
        <w:tc>
          <w:tcPr>
            <w:tcW w:w="6551"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40" w:lineRule="auto"/>
              <w:textAlignment w:val="auto"/>
              <w:rPr>
                <w:rFonts w:ascii="宋体" w:hAnsi="宋体" w:cs="宋体"/>
                <w:color w:val="auto"/>
                <w:kern w:val="0"/>
                <w:sz w:val="24"/>
                <w:szCs w:val="24"/>
              </w:rPr>
            </w:pPr>
            <w:sdt>
              <w:sdtPr>
                <w:rPr>
                  <w:rFonts w:hint="eastAsia" w:ascii="宋体" w:hAnsi="宋体" w:cs="宋体"/>
                  <w:color w:val="auto"/>
                  <w:kern w:val="0"/>
                  <w:sz w:val="24"/>
                  <w:szCs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宋体" w:hAnsi="宋体" w:cs="宋体"/>
                    <w:color w:val="auto"/>
                    <w:kern w:val="0"/>
                    <w:sz w:val="24"/>
                    <w:szCs w:val="24"/>
                  </w:rPr>
                  <w:sym w:font="Wingdings" w:char="F0FE"/>
                </w:r>
              </w:sdtContent>
            </w:sdt>
            <w:r>
              <w:rPr>
                <w:rFonts w:hint="eastAsia" w:ascii="宋体" w:hAnsi="宋体" w:cs="宋体"/>
                <w:color w:val="auto"/>
                <w:kern w:val="0"/>
                <w:sz w:val="24"/>
                <w:szCs w:val="24"/>
              </w:rPr>
              <w:t>本项目不允许采购进口产品。</w:t>
            </w:r>
          </w:p>
          <w:p>
            <w:pPr>
              <w:pageBreakBefore w:val="0"/>
              <w:widowControl w:val="0"/>
              <w:kinsoku/>
              <w:wordWrap/>
              <w:overflowPunct/>
              <w:topLinePunct w:val="0"/>
              <w:autoSpaceDE/>
              <w:autoSpaceDN/>
              <w:bidi w:val="0"/>
              <w:spacing w:line="240" w:lineRule="auto"/>
              <w:textAlignment w:val="auto"/>
              <w:rPr>
                <w:rFonts w:ascii="宋体" w:hAnsi="宋体" w:cs="宋体"/>
                <w:color w:val="auto"/>
                <w:sz w:val="24"/>
                <w:szCs w:val="24"/>
              </w:rPr>
            </w:pPr>
            <w:sdt>
              <w:sdtPr>
                <w:rPr>
                  <w:rFonts w:hint="eastAsia" w:ascii="宋体" w:hAnsi="宋体" w:cs="宋体"/>
                  <w:color w:val="auto"/>
                  <w:kern w:val="0"/>
                  <w:sz w:val="24"/>
                  <w:szCs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宋体" w:hAnsi="宋体" w:cs="宋体"/>
                    <w:color w:val="auto"/>
                    <w:kern w:val="0"/>
                    <w:sz w:val="24"/>
                    <w:szCs w:val="24"/>
                  </w:rPr>
                  <w:t>☐</w:t>
                </w:r>
              </w:sdtContent>
            </w:sdt>
            <w:r>
              <w:rPr>
                <w:rFonts w:hint="eastAsia" w:ascii="宋体" w:hAnsi="宋体" w:cs="宋体"/>
                <w:color w:val="auto"/>
                <w:kern w:val="0"/>
                <w:sz w:val="24"/>
                <w:szCs w:val="24"/>
              </w:rPr>
              <w:t>可以就</w:t>
            </w:r>
            <w:r>
              <w:rPr>
                <w:rFonts w:hint="eastAsia" w:ascii="宋体" w:hAnsi="宋体" w:cs="宋体"/>
                <w:color w:val="auto"/>
                <w:sz w:val="24"/>
                <w:szCs w:val="24"/>
                <w:u w:val="single"/>
              </w:rPr>
              <w:t xml:space="preserve">    </w:t>
            </w:r>
            <w:r>
              <w:rPr>
                <w:rFonts w:hint="eastAsia" w:ascii="宋体" w:hAnsi="宋体" w:cs="宋体"/>
                <w:color w:val="auto"/>
                <w:kern w:val="0"/>
                <w:sz w:val="24"/>
                <w:szCs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分包</w:t>
            </w:r>
          </w:p>
        </w:tc>
        <w:tc>
          <w:tcPr>
            <w:tcW w:w="6551"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40" w:lineRule="auto"/>
              <w:textAlignment w:val="auto"/>
              <w:rPr>
                <w:rFonts w:hint="eastAsia"/>
                <w:sz w:val="24"/>
                <w:szCs w:val="24"/>
              </w:rPr>
            </w:pPr>
            <w:sdt>
              <w:sdtPr>
                <w:rPr>
                  <w:rFonts w:hint="eastAsia"/>
                  <w:sz w:val="24"/>
                  <w:szCs w:val="24"/>
                </w:rPr>
                <w:id w:val="-1276331357"/>
                <w14:checkbox>
                  <w14:checked w14:val="1"/>
                  <w14:checkedState w14:val="00FE" w14:font="Wingdings"/>
                  <w14:uncheckedState w14:val="2610" w14:font="MS Gothic"/>
                </w14:checkbox>
              </w:sdtPr>
              <w:sdtEndPr>
                <w:rPr>
                  <w:rFonts w:hint="eastAsia"/>
                  <w:b w:val="0"/>
                  <w:bCs w:val="0"/>
                  <w:sz w:val="24"/>
                  <w:szCs w:val="24"/>
                </w:rPr>
              </w:sdtEndPr>
              <w:sdtContent>
                <w:r>
                  <w:rPr>
                    <w:rFonts w:hint="eastAsia" w:ascii="Wingdings" w:hAnsi="Wingdings" w:eastAsia="宋体" w:cs="Times New Roman"/>
                    <w:kern w:val="2"/>
                    <w:sz w:val="24"/>
                    <w:szCs w:val="24"/>
                    <w:lang w:val="en-US" w:eastAsia="zh-CN" w:bidi="ar-SA"/>
                  </w:rPr>
                  <w:t>þ</w:t>
                </w:r>
              </w:sdtContent>
            </w:sdt>
            <w:r>
              <w:rPr>
                <w:rFonts w:hint="eastAsia" w:ascii="宋体" w:hAnsi="宋体" w:cs="宋体"/>
                <w:color w:val="auto"/>
                <w:kern w:val="0"/>
                <w:sz w:val="24"/>
                <w:szCs w:val="24"/>
              </w:rPr>
              <w:t>A</w:t>
            </w:r>
            <w:r>
              <w:rPr>
                <w:rFonts w:hint="eastAsia" w:ascii="Times New Roman" w:hAnsi="Times New Roman" w:eastAsia="宋体" w:cs="Times New Roman"/>
                <w:b w:val="0"/>
                <w:bCs w:val="0"/>
                <w:sz w:val="24"/>
                <w:szCs w:val="24"/>
              </w:rPr>
              <w:t>同</w:t>
            </w:r>
            <w:r>
              <w:rPr>
                <w:rFonts w:hint="eastAsia" w:ascii="Times New Roman" w:hAnsi="Times New Roman" w:eastAsia="宋体" w:cs="Times New Roman"/>
                <w:sz w:val="24"/>
                <w:szCs w:val="24"/>
              </w:rPr>
              <w:t>意将非主体</w:t>
            </w:r>
            <w:r>
              <w:rPr>
                <w:rFonts w:hint="eastAsia"/>
                <w:sz w:val="24"/>
                <w:szCs w:val="24"/>
              </w:rPr>
              <w:t>、非关键性的</w:t>
            </w:r>
            <w:r>
              <w:rPr>
                <w:rFonts w:hint="eastAsia"/>
                <w:sz w:val="24"/>
                <w:szCs w:val="24"/>
                <w:u w:val="single"/>
              </w:rPr>
              <w:t xml:space="preserve">  </w:t>
            </w:r>
            <w:r>
              <w:rPr>
                <w:rFonts w:hint="eastAsia"/>
                <w:sz w:val="24"/>
                <w:szCs w:val="24"/>
                <w:u w:val="single"/>
                <w:lang w:val="en-US" w:eastAsia="zh-CN"/>
              </w:rPr>
              <w:t>售后服务</w:t>
            </w:r>
            <w:r>
              <w:rPr>
                <w:rFonts w:hint="eastAsia"/>
                <w:sz w:val="24"/>
                <w:szCs w:val="24"/>
                <w:u w:val="single"/>
              </w:rPr>
              <w:t xml:space="preserve">  </w:t>
            </w:r>
            <w:r>
              <w:rPr>
                <w:rFonts w:hint="eastAsia"/>
                <w:sz w:val="24"/>
                <w:szCs w:val="24"/>
              </w:rPr>
              <w:t>工作分包。</w:t>
            </w:r>
          </w:p>
          <w:p>
            <w:pPr>
              <w:pageBreakBefore w:val="0"/>
              <w:widowControl w:val="0"/>
              <w:kinsoku/>
              <w:wordWrap/>
              <w:overflowPunct/>
              <w:topLinePunct w:val="0"/>
              <w:autoSpaceDE/>
              <w:autoSpaceDN/>
              <w:bidi w:val="0"/>
              <w:spacing w:line="240" w:lineRule="auto"/>
              <w:textAlignment w:val="auto"/>
              <w:rPr>
                <w:rFonts w:hint="eastAsia"/>
                <w:sz w:val="24"/>
                <w:szCs w:val="24"/>
              </w:rPr>
            </w:pPr>
            <w:sdt>
              <w:sdtPr>
                <w:rPr>
                  <w:rFonts w:hint="eastAsia"/>
                  <w:sz w:val="24"/>
                  <w:szCs w:val="24"/>
                </w:rPr>
                <w:id w:val="-1276331357"/>
                <w14:checkbox>
                  <w14:checked w14:val="0"/>
                  <w14:checkedState w14:val="00FE" w14:font="Wingdings"/>
                  <w14:uncheckedState w14:val="2610" w14:font="MS Gothic"/>
                </w14:checkbox>
              </w:sdtPr>
              <w:sdtEndPr>
                <w:rPr>
                  <w:rFonts w:hint="eastAsia"/>
                  <w:sz w:val="24"/>
                  <w:szCs w:val="24"/>
                </w:rPr>
              </w:sdtEndPr>
              <w:sdtContent>
                <w:r>
                  <w:rPr>
                    <w:rFonts w:hint="eastAsia"/>
                    <w:sz w:val="24"/>
                    <w:szCs w:val="24"/>
                    <w:lang w:val="en-US" w:eastAsia="zh-CN"/>
                  </w:rPr>
                  <w:t>☐</w:t>
                </w:r>
              </w:sdtContent>
            </w:sdt>
            <w:r>
              <w:rPr>
                <w:rFonts w:hint="eastAsia" w:ascii="宋体" w:hAnsi="宋体" w:eastAsia="宋体" w:cs="宋体"/>
                <w:color w:val="auto"/>
                <w:kern w:val="0"/>
                <w:sz w:val="24"/>
                <w:szCs w:val="24"/>
              </w:rPr>
              <w:t>B不</w:t>
            </w:r>
            <w:r>
              <w:rPr>
                <w:rFonts w:hint="eastAsia"/>
                <w:sz w:val="24"/>
                <w:szCs w:val="24"/>
              </w:rPr>
              <w:t>同意分包。</w:t>
            </w:r>
          </w:p>
          <w:p>
            <w:pPr>
              <w:pStyle w:val="2"/>
              <w:ind w:left="0" w:leftChars="0" w:firstLine="0" w:firstLineChars="0"/>
              <w:rPr>
                <w:sz w:val="24"/>
                <w:szCs w:val="24"/>
              </w:rPr>
            </w:pPr>
            <w:r>
              <w:rPr>
                <w:rFonts w:hint="eastAsia" w:ascii="宋体" w:hAnsi="宋体" w:cs="宋体"/>
                <w:color w:val="auto"/>
                <w:sz w:val="24"/>
                <w:szCs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开标前答疑会或现场考察</w:t>
            </w:r>
          </w:p>
        </w:tc>
        <w:tc>
          <w:tcPr>
            <w:tcW w:w="6551"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40" w:lineRule="auto"/>
              <w:textAlignment w:val="auto"/>
              <w:rPr>
                <w:rFonts w:ascii="宋体" w:hAnsi="宋体" w:cs="宋体"/>
                <w:color w:val="auto"/>
                <w:sz w:val="24"/>
                <w:szCs w:val="24"/>
              </w:rPr>
            </w:pPr>
            <w:sdt>
              <w:sdtPr>
                <w:rPr>
                  <w:rFonts w:hint="eastAsia" w:ascii="宋体" w:hAnsi="宋体" w:cs="宋体"/>
                  <w:color w:val="auto"/>
                  <w:kern w:val="0"/>
                  <w:sz w:val="24"/>
                  <w:szCs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szCs w:val="24"/>
              </w:rPr>
              <w:t>A</w:t>
            </w:r>
            <w:r>
              <w:rPr>
                <w:rFonts w:hint="eastAsia" w:ascii="宋体" w:hAnsi="宋体" w:cs="宋体"/>
                <w:color w:val="auto"/>
                <w:sz w:val="24"/>
                <w:szCs w:val="24"/>
              </w:rPr>
              <w:t>不组织。</w:t>
            </w:r>
          </w:p>
          <w:p>
            <w:pPr>
              <w:pageBreakBefore w:val="0"/>
              <w:widowControl w:val="0"/>
              <w:kinsoku/>
              <w:wordWrap/>
              <w:overflowPunct/>
              <w:topLinePunct w:val="0"/>
              <w:autoSpaceDE/>
              <w:autoSpaceDN/>
              <w:bidi w:val="0"/>
              <w:spacing w:line="240" w:lineRule="auto"/>
              <w:textAlignment w:val="auto"/>
              <w:rPr>
                <w:rFonts w:ascii="宋体" w:hAnsi="宋体" w:cs="宋体"/>
                <w:color w:val="auto"/>
                <w:sz w:val="24"/>
                <w:szCs w:val="24"/>
              </w:rPr>
            </w:pPr>
            <w:sdt>
              <w:sdtPr>
                <w:rPr>
                  <w:rFonts w:hint="eastAsia" w:ascii="宋体" w:hAnsi="宋体" w:cs="宋体"/>
                  <w:color w:val="auto"/>
                  <w:kern w:val="0"/>
                  <w:sz w:val="24"/>
                  <w:szCs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宋体" w:hAnsi="宋体" w:cs="宋体"/>
                    <w:color w:val="auto"/>
                    <w:kern w:val="0"/>
                    <w:sz w:val="24"/>
                    <w:szCs w:val="24"/>
                  </w:rPr>
                  <w:t>☐</w:t>
                </w:r>
              </w:sdtContent>
            </w:sdt>
            <w:r>
              <w:rPr>
                <w:rFonts w:hint="eastAsia" w:ascii="宋体" w:hAnsi="宋体" w:cs="宋体"/>
                <w:color w:val="auto"/>
                <w:kern w:val="0"/>
                <w:sz w:val="24"/>
                <w:szCs w:val="24"/>
              </w:rPr>
              <w:t>B组织，</w:t>
            </w:r>
            <w:r>
              <w:rPr>
                <w:rFonts w:hint="eastAsia" w:ascii="宋体" w:hAnsi="宋体" w:cs="宋体"/>
                <w:color w:val="auto"/>
                <w:sz w:val="24"/>
                <w:szCs w:val="24"/>
              </w:rPr>
              <w:t>时间：</w:t>
            </w:r>
            <w:r>
              <w:rPr>
                <w:rFonts w:hint="eastAsia" w:ascii="宋体" w:hAnsi="宋体" w:cs="宋体"/>
                <w:color w:val="auto"/>
                <w:sz w:val="24"/>
                <w:szCs w:val="24"/>
                <w:u w:val="single"/>
              </w:rPr>
              <w:t xml:space="preserve">      </w:t>
            </w:r>
            <w:r>
              <w:rPr>
                <w:rFonts w:hint="eastAsia" w:ascii="宋体" w:hAnsi="宋体" w:cs="宋体"/>
                <w:color w:val="auto"/>
                <w:sz w:val="24"/>
                <w:szCs w:val="24"/>
              </w:rPr>
              <w:t>,地点：</w:t>
            </w:r>
            <w:r>
              <w:rPr>
                <w:rFonts w:hint="eastAsia" w:ascii="宋体" w:hAnsi="宋体" w:cs="宋体"/>
                <w:color w:val="auto"/>
                <w:sz w:val="24"/>
                <w:szCs w:val="24"/>
                <w:u w:val="single"/>
              </w:rPr>
              <w:t xml:space="preserve">      </w:t>
            </w:r>
            <w:r>
              <w:rPr>
                <w:rFonts w:hint="eastAsia" w:ascii="宋体" w:hAnsi="宋体" w:cs="宋体"/>
                <w:color w:val="auto"/>
                <w:sz w:val="24"/>
                <w:szCs w:val="24"/>
              </w:rPr>
              <w:t>，联系人：</w:t>
            </w:r>
            <w:r>
              <w:rPr>
                <w:rFonts w:hint="eastAsia" w:ascii="宋体" w:hAnsi="宋体" w:cs="宋体"/>
                <w:color w:val="auto"/>
                <w:sz w:val="24"/>
                <w:szCs w:val="24"/>
                <w:u w:val="single"/>
              </w:rPr>
              <w:t xml:space="preserve">      </w:t>
            </w:r>
            <w:r>
              <w:rPr>
                <w:rFonts w:hint="eastAsia" w:ascii="宋体" w:hAnsi="宋体" w:cs="宋体"/>
                <w:color w:val="auto"/>
                <w:sz w:val="24"/>
                <w:szCs w:val="24"/>
              </w:rPr>
              <w:t>，联系方式：</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样品提供</w:t>
            </w:r>
          </w:p>
        </w:tc>
        <w:tc>
          <w:tcPr>
            <w:tcW w:w="6551"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40" w:lineRule="auto"/>
              <w:textAlignment w:val="auto"/>
              <w:rPr>
                <w:rFonts w:ascii="宋体" w:hAnsi="宋体" w:cs="宋体"/>
                <w:color w:val="auto"/>
                <w:sz w:val="24"/>
                <w:szCs w:val="24"/>
              </w:rPr>
            </w:pPr>
            <w:sdt>
              <w:sdtPr>
                <w:rPr>
                  <w:rFonts w:hint="eastAsia" w:ascii="宋体" w:hAnsi="宋体" w:cs="宋体"/>
                  <w:color w:val="auto"/>
                  <w:kern w:val="0"/>
                  <w:sz w:val="24"/>
                  <w:szCs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szCs w:val="24"/>
              </w:rPr>
              <w:t>A</w:t>
            </w:r>
            <w:r>
              <w:rPr>
                <w:rFonts w:hint="eastAsia" w:ascii="宋体" w:hAnsi="宋体" w:cs="宋体"/>
                <w:color w:val="auto"/>
                <w:sz w:val="24"/>
                <w:szCs w:val="24"/>
              </w:rPr>
              <w:t>不要求提供。</w:t>
            </w:r>
          </w:p>
          <w:p>
            <w:pPr>
              <w:pageBreakBefore w:val="0"/>
              <w:widowControl w:val="0"/>
              <w:kinsoku/>
              <w:wordWrap/>
              <w:overflowPunct/>
              <w:topLinePunct w:val="0"/>
              <w:autoSpaceDE/>
              <w:autoSpaceDN/>
              <w:bidi w:val="0"/>
              <w:spacing w:line="240" w:lineRule="auto"/>
              <w:textAlignment w:val="auto"/>
              <w:rPr>
                <w:rFonts w:ascii="宋体" w:hAnsi="宋体" w:cs="宋体"/>
                <w:color w:val="auto"/>
                <w:kern w:val="0"/>
                <w:sz w:val="24"/>
                <w:szCs w:val="24"/>
              </w:rPr>
            </w:pPr>
            <w:sdt>
              <w:sdtPr>
                <w:rPr>
                  <w:rFonts w:hint="eastAsia" w:ascii="宋体" w:hAnsi="宋体" w:cs="宋体"/>
                  <w:color w:val="auto"/>
                  <w:kern w:val="0"/>
                  <w:sz w:val="24"/>
                  <w:szCs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MS Gothic" w:hAnsi="MS Gothic" w:eastAsia="MS Gothic" w:cs="宋体"/>
                    <w:color w:val="auto"/>
                    <w:kern w:val="0"/>
                    <w:sz w:val="24"/>
                    <w:szCs w:val="24"/>
                  </w:rPr>
                  <w:t>☐</w:t>
                </w:r>
              </w:sdtContent>
            </w:sdt>
            <w:r>
              <w:rPr>
                <w:rFonts w:hint="eastAsia" w:ascii="宋体" w:hAnsi="宋体" w:cs="宋体"/>
                <w:color w:val="auto"/>
                <w:kern w:val="0"/>
                <w:sz w:val="24"/>
                <w:szCs w:val="24"/>
              </w:rPr>
              <w:t>B要求提供，</w:t>
            </w:r>
          </w:p>
          <w:p>
            <w:pPr>
              <w:pageBreakBefore w:val="0"/>
              <w:widowControl w:val="0"/>
              <w:kinsoku/>
              <w:wordWrap/>
              <w:overflowPunct/>
              <w:topLinePunct w:val="0"/>
              <w:autoSpaceDE/>
              <w:autoSpaceDN/>
              <w:bidi w:val="0"/>
              <w:spacing w:line="240" w:lineRule="auto"/>
              <w:textAlignment w:val="auto"/>
              <w:rPr>
                <w:rFonts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snapToGrid w:val="0"/>
                <w:color w:val="auto"/>
                <w:kern w:val="28"/>
                <w:sz w:val="24"/>
                <w:szCs w:val="24"/>
              </w:rPr>
              <w:t>样品：</w:t>
            </w:r>
            <w:r>
              <w:rPr>
                <w:rFonts w:hint="eastAsia" w:ascii="宋体" w:hAnsi="宋体" w:cs="宋体"/>
                <w:color w:val="auto"/>
                <w:sz w:val="24"/>
                <w:szCs w:val="24"/>
                <w:u w:val="single"/>
              </w:rPr>
              <w:t xml:space="preserve">    </w:t>
            </w:r>
            <w:r>
              <w:rPr>
                <w:rFonts w:hint="eastAsia" w:ascii="宋体" w:hAnsi="宋体" w:cs="宋体"/>
                <w:color w:val="auto"/>
                <w:kern w:val="0"/>
                <w:sz w:val="24"/>
                <w:szCs w:val="24"/>
              </w:rPr>
              <w:t>；</w:t>
            </w:r>
          </w:p>
          <w:p>
            <w:pPr>
              <w:pageBreakBefore w:val="0"/>
              <w:widowControl w:val="0"/>
              <w:kinsoku/>
              <w:wordWrap/>
              <w:overflowPunct/>
              <w:topLinePunct w:val="0"/>
              <w:autoSpaceDE/>
              <w:autoSpaceDN/>
              <w:bidi w:val="0"/>
              <w:spacing w:line="240" w:lineRule="auto"/>
              <w:textAlignment w:val="auto"/>
              <w:rPr>
                <w:rFonts w:ascii="宋体" w:hAnsi="宋体" w:cs="宋体"/>
                <w:color w:val="auto"/>
                <w:kern w:val="0"/>
                <w:sz w:val="24"/>
                <w:szCs w:val="24"/>
              </w:rPr>
            </w:pPr>
            <w:r>
              <w:rPr>
                <w:rFonts w:hint="eastAsia" w:ascii="宋体" w:hAnsi="宋体" w:cs="宋体"/>
                <w:color w:val="auto"/>
                <w:kern w:val="0"/>
                <w:sz w:val="24"/>
                <w:szCs w:val="24"/>
              </w:rPr>
              <w:t>（2）</w:t>
            </w:r>
            <w:r>
              <w:rPr>
                <w:rFonts w:hint="eastAsia" w:ascii="宋体" w:hAnsi="宋体" w:cs="宋体"/>
                <w:snapToGrid w:val="0"/>
                <w:color w:val="auto"/>
                <w:kern w:val="28"/>
                <w:sz w:val="24"/>
                <w:szCs w:val="24"/>
              </w:rPr>
              <w:t>样品制作的标准和要求：</w:t>
            </w:r>
            <w:r>
              <w:rPr>
                <w:rFonts w:hint="eastAsia" w:ascii="宋体" w:hAnsi="宋体" w:cs="宋体"/>
                <w:color w:val="auto"/>
                <w:sz w:val="24"/>
                <w:szCs w:val="24"/>
                <w:u w:val="single"/>
              </w:rPr>
              <w:t xml:space="preserve">    </w:t>
            </w:r>
            <w:r>
              <w:rPr>
                <w:rFonts w:hint="eastAsia" w:ascii="宋体" w:hAnsi="宋体" w:cs="宋体"/>
                <w:color w:val="auto"/>
                <w:kern w:val="0"/>
                <w:sz w:val="24"/>
                <w:szCs w:val="24"/>
              </w:rPr>
              <w:t>；</w:t>
            </w:r>
          </w:p>
          <w:p>
            <w:pPr>
              <w:pageBreakBefore w:val="0"/>
              <w:widowControl w:val="0"/>
              <w:kinsoku/>
              <w:wordWrap/>
              <w:overflowPunct/>
              <w:topLinePunct w:val="0"/>
              <w:autoSpaceDE/>
              <w:autoSpaceDN/>
              <w:bidi w:val="0"/>
              <w:spacing w:line="240" w:lineRule="auto"/>
              <w:textAlignment w:val="auto"/>
              <w:rPr>
                <w:rFonts w:ascii="宋体" w:hAnsi="宋体" w:cs="宋体"/>
                <w:color w:val="auto"/>
                <w:kern w:val="0"/>
                <w:sz w:val="24"/>
                <w:szCs w:val="24"/>
              </w:rPr>
            </w:pPr>
            <w:r>
              <w:rPr>
                <w:rFonts w:hint="eastAsia" w:ascii="宋体" w:hAnsi="宋体" w:cs="宋体"/>
                <w:color w:val="auto"/>
                <w:kern w:val="0"/>
                <w:sz w:val="24"/>
                <w:szCs w:val="24"/>
              </w:rPr>
              <w:t>（3）样品的评审方法以及评审标准</w:t>
            </w:r>
            <w:r>
              <w:rPr>
                <w:rFonts w:hint="eastAsia" w:ascii="宋体" w:hAnsi="宋体" w:cs="宋体"/>
                <w:snapToGrid w:val="0"/>
                <w:color w:val="auto"/>
                <w:kern w:val="28"/>
                <w:sz w:val="24"/>
                <w:szCs w:val="24"/>
              </w:rPr>
              <w:t>：详见</w:t>
            </w:r>
            <w:r>
              <w:rPr>
                <w:rFonts w:hint="eastAsia" w:ascii="宋体" w:hAnsi="宋体" w:cs="宋体"/>
                <w:color w:val="auto"/>
                <w:sz w:val="24"/>
                <w:szCs w:val="24"/>
                <w:u w:val="single"/>
              </w:rPr>
              <w:t>评标办法</w:t>
            </w:r>
            <w:r>
              <w:rPr>
                <w:rFonts w:hint="eastAsia" w:ascii="宋体" w:hAnsi="宋体" w:cs="宋体"/>
                <w:color w:val="auto"/>
                <w:kern w:val="0"/>
                <w:sz w:val="24"/>
                <w:szCs w:val="24"/>
              </w:rPr>
              <w:t>；</w:t>
            </w:r>
          </w:p>
          <w:p>
            <w:pPr>
              <w:pageBreakBefore w:val="0"/>
              <w:widowControl w:val="0"/>
              <w:kinsoku/>
              <w:wordWrap/>
              <w:overflowPunct/>
              <w:topLinePunct w:val="0"/>
              <w:autoSpaceDE/>
              <w:autoSpaceDN/>
              <w:bidi w:val="0"/>
              <w:spacing w:line="240" w:lineRule="auto"/>
              <w:textAlignment w:val="auto"/>
              <w:rPr>
                <w:rFonts w:ascii="宋体" w:hAnsi="宋体" w:cs="宋体"/>
                <w:color w:val="auto"/>
                <w:kern w:val="0"/>
                <w:sz w:val="24"/>
                <w:szCs w:val="24"/>
              </w:rPr>
            </w:pPr>
            <w:r>
              <w:rPr>
                <w:rFonts w:hint="eastAsia" w:ascii="宋体" w:hAnsi="宋体" w:cs="宋体"/>
                <w:color w:val="auto"/>
                <w:kern w:val="0"/>
                <w:sz w:val="24"/>
                <w:szCs w:val="24"/>
              </w:rPr>
              <w:t>（4）是否需要随样品提交检测报告：</w:t>
            </w:r>
            <w:sdt>
              <w:sdtPr>
                <w:rPr>
                  <w:rFonts w:hint="eastAsia" w:ascii="宋体" w:hAnsi="宋体" w:cs="宋体"/>
                  <w:color w:val="auto"/>
                  <w:kern w:val="0"/>
                  <w:sz w:val="24"/>
                  <w:szCs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MS Gothic" w:hAnsi="MS Gothic" w:eastAsia="MS Gothic" w:cs="宋体"/>
                    <w:color w:val="auto"/>
                    <w:kern w:val="0"/>
                    <w:sz w:val="24"/>
                    <w:szCs w:val="24"/>
                  </w:rPr>
                  <w:t>☐</w:t>
                </w:r>
              </w:sdtContent>
            </w:sdt>
            <w:r>
              <w:rPr>
                <w:rFonts w:hint="eastAsia" w:ascii="宋体" w:hAnsi="宋体" w:cs="宋体"/>
                <w:color w:val="auto"/>
                <w:kern w:val="0"/>
                <w:sz w:val="24"/>
                <w:szCs w:val="24"/>
              </w:rPr>
              <w:t>否；</w:t>
            </w:r>
            <w:sdt>
              <w:sdtPr>
                <w:rPr>
                  <w:rFonts w:hint="eastAsia" w:ascii="宋体" w:hAnsi="宋体" w:cs="宋体"/>
                  <w:color w:val="auto"/>
                  <w:kern w:val="0"/>
                  <w:sz w:val="24"/>
                  <w:szCs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宋体" w:hAnsi="宋体" w:cs="宋体"/>
                    <w:color w:val="auto"/>
                    <w:kern w:val="0"/>
                    <w:sz w:val="24"/>
                    <w:szCs w:val="24"/>
                  </w:rPr>
                  <w:t>☐</w:t>
                </w:r>
              </w:sdtContent>
            </w:sdt>
            <w:r>
              <w:rPr>
                <w:rFonts w:hint="eastAsia" w:ascii="宋体" w:hAnsi="宋体" w:cs="宋体"/>
                <w:color w:val="auto"/>
                <w:kern w:val="0"/>
                <w:sz w:val="24"/>
                <w:szCs w:val="24"/>
              </w:rPr>
              <w:t>是，检测机构的要求</w:t>
            </w:r>
            <w:r>
              <w:rPr>
                <w:rFonts w:hint="eastAsia" w:ascii="宋体" w:hAnsi="宋体" w:cs="宋体"/>
                <w:color w:val="auto"/>
                <w:sz w:val="24"/>
                <w:szCs w:val="24"/>
              </w:rPr>
              <w:t>：</w:t>
            </w:r>
            <w:r>
              <w:rPr>
                <w:rFonts w:hint="eastAsia" w:ascii="宋体" w:hAnsi="宋体" w:cs="宋体"/>
                <w:color w:val="auto"/>
                <w:sz w:val="24"/>
                <w:szCs w:val="24"/>
                <w:u w:val="single"/>
              </w:rPr>
              <w:t xml:space="preserve">    </w:t>
            </w:r>
            <w:r>
              <w:rPr>
                <w:rFonts w:hint="eastAsia" w:ascii="宋体" w:hAnsi="宋体" w:cs="宋体"/>
                <w:color w:val="auto"/>
                <w:kern w:val="0"/>
                <w:sz w:val="24"/>
                <w:szCs w:val="24"/>
              </w:rPr>
              <w:t>；检测内容</w:t>
            </w:r>
            <w:r>
              <w:rPr>
                <w:rFonts w:hint="eastAsia" w:ascii="宋体" w:hAnsi="宋体" w:cs="宋体"/>
                <w:color w:val="auto"/>
                <w:sz w:val="24"/>
                <w:szCs w:val="24"/>
              </w:rPr>
              <w:t>：</w:t>
            </w:r>
            <w:r>
              <w:rPr>
                <w:rFonts w:hint="eastAsia" w:ascii="宋体" w:hAnsi="宋体" w:cs="宋体"/>
                <w:color w:val="auto"/>
                <w:sz w:val="24"/>
                <w:szCs w:val="24"/>
                <w:u w:val="single"/>
              </w:rPr>
              <w:t xml:space="preserve">    </w:t>
            </w:r>
            <w:r>
              <w:rPr>
                <w:rFonts w:hint="eastAsia" w:ascii="宋体" w:hAnsi="宋体" w:cs="宋体"/>
                <w:color w:val="auto"/>
                <w:kern w:val="0"/>
                <w:sz w:val="24"/>
                <w:szCs w:val="24"/>
              </w:rPr>
              <w:t>。</w:t>
            </w:r>
          </w:p>
          <w:p>
            <w:pPr>
              <w:pageBreakBefore w:val="0"/>
              <w:widowControl w:val="0"/>
              <w:kinsoku/>
              <w:wordWrap/>
              <w:overflowPunct/>
              <w:topLinePunct w:val="0"/>
              <w:autoSpaceDE/>
              <w:autoSpaceDN/>
              <w:bidi w:val="0"/>
              <w:spacing w:line="240" w:lineRule="auto"/>
              <w:textAlignment w:val="auto"/>
              <w:rPr>
                <w:rFonts w:ascii="宋体" w:hAnsi="宋体" w:cs="宋体"/>
                <w:color w:val="auto"/>
                <w:sz w:val="24"/>
                <w:szCs w:val="24"/>
              </w:rPr>
            </w:pPr>
            <w:r>
              <w:rPr>
                <w:rFonts w:hint="eastAsia" w:ascii="宋体" w:hAnsi="宋体" w:cs="宋体"/>
                <w:color w:val="auto"/>
                <w:sz w:val="24"/>
                <w:szCs w:val="24"/>
              </w:rPr>
              <w:t>（5）提供样品的时间：</w:t>
            </w:r>
            <w:r>
              <w:rPr>
                <w:rFonts w:hint="eastAsia" w:ascii="宋体" w:hAnsi="宋体" w:cs="宋体"/>
                <w:color w:val="auto"/>
                <w:sz w:val="24"/>
                <w:szCs w:val="24"/>
                <w:u w:val="single"/>
              </w:rPr>
              <w:t xml:space="preserve">    </w:t>
            </w:r>
            <w:r>
              <w:rPr>
                <w:rFonts w:hint="eastAsia" w:ascii="宋体" w:hAnsi="宋体" w:cs="宋体"/>
                <w:color w:val="auto"/>
                <w:kern w:val="0"/>
                <w:sz w:val="24"/>
                <w:szCs w:val="24"/>
              </w:rPr>
              <w:t>；地点：</w:t>
            </w:r>
            <w:r>
              <w:rPr>
                <w:rFonts w:hint="eastAsia" w:ascii="宋体" w:hAnsi="宋体" w:cs="宋体"/>
                <w:color w:val="auto"/>
                <w:sz w:val="24"/>
                <w:szCs w:val="24"/>
                <w:u w:val="single"/>
              </w:rPr>
              <w:t xml:space="preserve">    </w:t>
            </w:r>
            <w:r>
              <w:rPr>
                <w:rFonts w:hint="eastAsia" w:ascii="宋体" w:hAnsi="宋体" w:cs="宋体"/>
                <w:color w:val="auto"/>
                <w:kern w:val="0"/>
                <w:sz w:val="24"/>
                <w:szCs w:val="24"/>
              </w:rPr>
              <w:t>；联系人</w:t>
            </w:r>
            <w:r>
              <w:rPr>
                <w:rFonts w:hint="eastAsia" w:ascii="宋体" w:hAnsi="宋体" w:cs="宋体"/>
                <w:color w:val="auto"/>
                <w:sz w:val="24"/>
                <w:szCs w:val="24"/>
              </w:rPr>
              <w:t>：</w:t>
            </w:r>
            <w:r>
              <w:rPr>
                <w:rFonts w:hint="eastAsia" w:ascii="宋体" w:hAnsi="宋体" w:cs="宋体"/>
                <w:color w:val="auto"/>
                <w:sz w:val="24"/>
                <w:szCs w:val="24"/>
                <w:u w:val="single"/>
              </w:rPr>
              <w:t xml:space="preserve">   </w:t>
            </w:r>
            <w:r>
              <w:rPr>
                <w:rFonts w:hint="eastAsia" w:ascii="宋体" w:hAnsi="宋体" w:cs="宋体"/>
                <w:color w:val="auto"/>
                <w:sz w:val="24"/>
                <w:szCs w:val="24"/>
              </w:rPr>
              <w:t>，</w:t>
            </w:r>
            <w:r>
              <w:rPr>
                <w:rFonts w:hint="eastAsia" w:ascii="宋体" w:hAnsi="宋体" w:cs="宋体"/>
                <w:color w:val="auto"/>
                <w:kern w:val="28"/>
                <w:sz w:val="24"/>
                <w:szCs w:val="24"/>
              </w:rPr>
              <w:t>联系电话：</w:t>
            </w:r>
            <w:r>
              <w:rPr>
                <w:rFonts w:hint="eastAsia" w:ascii="宋体" w:hAnsi="宋体" w:cs="宋体"/>
                <w:color w:val="auto"/>
                <w:sz w:val="24"/>
                <w:szCs w:val="24"/>
                <w:u w:val="single"/>
              </w:rPr>
              <w:t xml:space="preserve">    </w:t>
            </w:r>
            <w:r>
              <w:rPr>
                <w:rFonts w:hint="eastAsia" w:ascii="宋体" w:hAnsi="宋体" w:cs="宋体"/>
                <w:color w:val="auto"/>
                <w:sz w:val="24"/>
                <w:szCs w:val="24"/>
              </w:rPr>
              <w:t>。请投标人在上述时间内提供样品并按规定位置安装完毕。超过截止时间的，采购人或采购代理机构将不予接收，并将清场并封闭样品现场。</w:t>
            </w:r>
          </w:p>
          <w:p>
            <w:pPr>
              <w:pageBreakBefore w:val="0"/>
              <w:widowControl w:val="0"/>
              <w:kinsoku/>
              <w:wordWrap/>
              <w:overflowPunct/>
              <w:topLinePunct w:val="0"/>
              <w:autoSpaceDE/>
              <w:autoSpaceDN/>
              <w:bidi w:val="0"/>
              <w:spacing w:line="240" w:lineRule="auto"/>
              <w:textAlignment w:val="auto"/>
              <w:rPr>
                <w:rFonts w:ascii="宋体" w:hAnsi="宋体" w:cs="宋体"/>
                <w:color w:val="auto"/>
                <w:sz w:val="24"/>
                <w:szCs w:val="24"/>
              </w:rPr>
            </w:pPr>
            <w:r>
              <w:rPr>
                <w:rFonts w:hint="eastAsia" w:ascii="宋体" w:hAnsi="宋体" w:cs="宋体"/>
                <w:color w:val="auto"/>
                <w:sz w:val="24"/>
                <w:szCs w:val="24"/>
              </w:rPr>
              <w:t xml:space="preserve"> (6)采购活动结束后，对于未中标人提供的样品，采购人、</w:t>
            </w:r>
            <w:r>
              <w:rPr>
                <w:rFonts w:hint="eastAsia" w:ascii="宋体" w:hAnsi="宋体" w:cs="宋体"/>
                <w:color w:val="auto"/>
                <w:sz w:val="24"/>
                <w:szCs w:val="24"/>
                <w:lang w:eastAsia="zh-CN"/>
              </w:rPr>
              <w:t>采购代理机构</w:t>
            </w:r>
            <w:r>
              <w:rPr>
                <w:rFonts w:hint="eastAsia" w:ascii="宋体" w:hAnsi="宋体" w:cs="宋体"/>
                <w:color w:val="auto"/>
                <w:sz w:val="24"/>
                <w:szCs w:val="24"/>
              </w:rPr>
              <w:t>将通知未中标人在规定的时间内取回，逾期未取回的，采购人、</w:t>
            </w:r>
            <w:r>
              <w:rPr>
                <w:rFonts w:hint="eastAsia" w:ascii="宋体" w:hAnsi="宋体" w:cs="宋体"/>
                <w:color w:val="auto"/>
                <w:sz w:val="24"/>
                <w:szCs w:val="24"/>
                <w:lang w:eastAsia="zh-CN"/>
              </w:rPr>
              <w:t>采购代理机构</w:t>
            </w:r>
            <w:r>
              <w:rPr>
                <w:rFonts w:hint="eastAsia" w:ascii="宋体" w:hAnsi="宋体" w:cs="宋体"/>
                <w:color w:val="auto"/>
                <w:sz w:val="24"/>
                <w:szCs w:val="24"/>
              </w:rPr>
              <w:t>不负保管义务；对于中标人提供的样品，采购人将进行保管、封存，并作为履约验收的参考。</w:t>
            </w:r>
          </w:p>
          <w:p>
            <w:pPr>
              <w:pageBreakBefore w:val="0"/>
              <w:widowControl w:val="0"/>
              <w:kinsoku/>
              <w:wordWrap/>
              <w:overflowPunct/>
              <w:topLinePunct w:val="0"/>
              <w:autoSpaceDE/>
              <w:autoSpaceDN/>
              <w:bidi w:val="0"/>
              <w:spacing w:line="240" w:lineRule="auto"/>
              <w:textAlignment w:val="auto"/>
              <w:rPr>
                <w:rFonts w:ascii="宋体" w:hAnsi="宋体" w:cs="宋体"/>
                <w:b/>
                <w:color w:val="auto"/>
                <w:sz w:val="24"/>
                <w:szCs w:val="24"/>
              </w:rPr>
            </w:pPr>
            <w:r>
              <w:rPr>
                <w:rFonts w:hint="eastAsia" w:ascii="宋体" w:hAnsi="宋体" w:cs="宋体"/>
                <w:color w:val="auto"/>
                <w:sz w:val="24"/>
                <w:szCs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Cs/>
                <w:color w:val="auto"/>
                <w:sz w:val="24"/>
              </w:rPr>
            </w:pPr>
            <w:r>
              <w:rPr>
                <w:rFonts w:hint="eastAsia" w:ascii="宋体" w:hAnsi="宋体" w:cs="宋体"/>
                <w:b/>
                <w:color w:val="auto"/>
                <w:sz w:val="24"/>
              </w:rPr>
              <w:t>方案讲解演示</w:t>
            </w:r>
          </w:p>
        </w:tc>
        <w:tc>
          <w:tcPr>
            <w:tcW w:w="6551"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40" w:lineRule="auto"/>
              <w:textAlignment w:val="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pageBreakBefore w:val="0"/>
              <w:widowControl w:val="0"/>
              <w:kinsoku/>
              <w:wordWrap/>
              <w:overflowPunct/>
              <w:topLinePunct w:val="0"/>
              <w:autoSpaceDE/>
              <w:autoSpaceDN/>
              <w:bidi w:val="0"/>
              <w:spacing w:line="240" w:lineRule="auto"/>
              <w:textAlignment w:val="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pPr>
              <w:pageBreakBefore w:val="0"/>
              <w:widowControl w:val="0"/>
              <w:kinsoku/>
              <w:wordWrap/>
              <w:overflowPunct/>
              <w:topLinePunct w:val="0"/>
              <w:autoSpaceDE/>
              <w:autoSpaceDN/>
              <w:bidi w:val="0"/>
              <w:snapToGrid w:val="0"/>
              <w:spacing w:line="240" w:lineRule="auto"/>
              <w:textAlignment w:val="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restart"/>
            <w:tcBorders>
              <w:top w:val="single" w:color="auto" w:sz="4" w:space="0"/>
              <w:left w:val="single" w:color="auto" w:sz="4" w:space="0"/>
              <w:right w:val="single" w:color="auto" w:sz="4" w:space="0"/>
            </w:tcBorders>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投标人应当提供的资格、资信证明文件</w:t>
            </w:r>
          </w:p>
        </w:tc>
        <w:tc>
          <w:tcPr>
            <w:tcW w:w="6551" w:type="dxa"/>
            <w:tcBorders>
              <w:top w:val="single" w:color="000000" w:sz="8" w:space="0"/>
              <w:left w:val="single" w:color="000000" w:sz="2" w:space="0"/>
              <w:bottom w:val="single" w:color="auto" w:sz="4" w:space="0"/>
              <w:right w:val="single" w:color="000000" w:sz="8" w:space="0"/>
            </w:tcBorders>
            <w:vAlign w:val="center"/>
          </w:tcPr>
          <w:p>
            <w:pPr>
              <w:pageBreakBefore w:val="0"/>
              <w:widowControl w:val="0"/>
              <w:kinsoku/>
              <w:wordWrap/>
              <w:overflowPunct/>
              <w:topLinePunct w:val="0"/>
              <w:autoSpaceDE/>
              <w:autoSpaceDN/>
              <w:bidi w:val="0"/>
              <w:spacing w:line="240" w:lineRule="auto"/>
              <w:textAlignment w:val="auto"/>
              <w:rPr>
                <w:rFonts w:ascii="宋体" w:hAnsi="宋体" w:cs="宋体"/>
                <w:color w:val="auto"/>
                <w:sz w:val="24"/>
              </w:rPr>
            </w:pPr>
            <w:r>
              <w:rPr>
                <w:rFonts w:hint="eastAsia" w:ascii="宋体" w:hAnsi="宋体" w:cs="宋体"/>
                <w:color w:val="auto"/>
                <w:sz w:val="24"/>
              </w:rPr>
              <w:t>（1）资格证明文件：见招标文件第二部分11.1。</w:t>
            </w:r>
          </w:p>
          <w:p>
            <w:pPr>
              <w:pageBreakBefore w:val="0"/>
              <w:widowControl w:val="0"/>
              <w:kinsoku/>
              <w:wordWrap/>
              <w:overflowPunct/>
              <w:topLinePunct w:val="0"/>
              <w:autoSpaceDE/>
              <w:autoSpaceDN/>
              <w:bidi w:val="0"/>
              <w:spacing w:line="240" w:lineRule="auto"/>
              <w:textAlignment w:val="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continue"/>
            <w:tcBorders>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p>
        </w:tc>
        <w:tc>
          <w:tcPr>
            <w:tcW w:w="6551" w:type="dxa"/>
            <w:tcBorders>
              <w:top w:val="single" w:color="auto" w:sz="4"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40" w:lineRule="auto"/>
              <w:textAlignment w:val="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节能产品、环境标志产品</w:t>
            </w:r>
          </w:p>
        </w:tc>
        <w:tc>
          <w:tcPr>
            <w:tcW w:w="6551"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报价要求</w:t>
            </w:r>
          </w:p>
        </w:tc>
        <w:tc>
          <w:tcPr>
            <w:tcW w:w="6551"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left"/>
              <w:textAlignment w:val="auto"/>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pageBreakBefore w:val="0"/>
              <w:widowControl w:val="0"/>
              <w:kinsoku/>
              <w:wordWrap/>
              <w:overflowPunct/>
              <w:topLinePunct w:val="0"/>
              <w:autoSpaceDE/>
              <w:autoSpaceDN/>
              <w:bidi w:val="0"/>
              <w:snapToGrid w:val="0"/>
              <w:spacing w:line="240" w:lineRule="auto"/>
              <w:jc w:val="left"/>
              <w:textAlignment w:val="auto"/>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pageBreakBefore w:val="0"/>
              <w:widowControl w:val="0"/>
              <w:kinsoku/>
              <w:wordWrap/>
              <w:overflowPunct/>
              <w:topLinePunct w:val="0"/>
              <w:autoSpaceDE/>
              <w:autoSpaceDN/>
              <w:bidi w:val="0"/>
              <w:snapToGrid w:val="0"/>
              <w:spacing w:line="240" w:lineRule="auto"/>
              <w:ind w:firstLine="241" w:firstLineChars="100"/>
              <w:jc w:val="left"/>
              <w:textAlignment w:val="auto"/>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pageBreakBefore w:val="0"/>
              <w:widowControl w:val="0"/>
              <w:kinsoku/>
              <w:wordWrap/>
              <w:overflowPunct/>
              <w:topLinePunct w:val="0"/>
              <w:autoSpaceDE/>
              <w:autoSpaceDN/>
              <w:bidi w:val="0"/>
              <w:snapToGrid w:val="0"/>
              <w:spacing w:line="240" w:lineRule="auto"/>
              <w:ind w:firstLine="241" w:firstLineChars="100"/>
              <w:jc w:val="left"/>
              <w:textAlignment w:val="auto"/>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pageBreakBefore w:val="0"/>
              <w:widowControl w:val="0"/>
              <w:kinsoku/>
              <w:wordWrap/>
              <w:overflowPunct/>
              <w:topLinePunct w:val="0"/>
              <w:autoSpaceDE/>
              <w:autoSpaceDN/>
              <w:bidi w:val="0"/>
              <w:spacing w:line="240" w:lineRule="auto"/>
              <w:ind w:firstLine="241" w:firstLineChars="100"/>
              <w:textAlignment w:val="auto"/>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pageBreakBefore w:val="0"/>
              <w:widowControl w:val="0"/>
              <w:kinsoku/>
              <w:wordWrap/>
              <w:overflowPunct/>
              <w:topLinePunct w:val="0"/>
              <w:autoSpaceDE/>
              <w:autoSpaceDN/>
              <w:bidi w:val="0"/>
              <w:spacing w:line="240" w:lineRule="auto"/>
              <w:ind w:firstLine="241" w:firstLineChars="100"/>
              <w:textAlignment w:val="auto"/>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中小企业信用融资</w:t>
            </w:r>
          </w:p>
        </w:tc>
        <w:tc>
          <w:tcPr>
            <w:tcW w:w="6551" w:type="dxa"/>
            <w:tcBorders>
              <w:top w:val="single" w:color="000000" w:sz="8" w:space="0"/>
              <w:left w:val="single" w:color="000000" w:sz="2" w:space="0"/>
              <w:right w:val="single" w:color="000000" w:sz="8" w:space="0"/>
            </w:tcBorders>
            <w:vAlign w:val="center"/>
          </w:tcPr>
          <w:p>
            <w:pPr>
              <w:pageBreakBefore w:val="0"/>
              <w:widowControl w:val="0"/>
              <w:kinsoku/>
              <w:wordWrap/>
              <w:overflowPunct/>
              <w:topLinePunct w:val="0"/>
              <w:autoSpaceDE/>
              <w:autoSpaceDN/>
              <w:bidi w:val="0"/>
              <w:spacing w:line="240" w:lineRule="auto"/>
              <w:textAlignment w:val="auto"/>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备份投标文件送达地点和签收人员</w:t>
            </w:r>
          </w:p>
        </w:tc>
        <w:tc>
          <w:tcPr>
            <w:tcW w:w="6551" w:type="dxa"/>
            <w:tcBorders>
              <w:top w:val="single" w:color="000000" w:sz="8" w:space="0"/>
              <w:left w:val="single" w:color="000000" w:sz="2" w:space="0"/>
              <w:bottom w:val="single" w:color="000000" w:sz="8" w:space="0"/>
              <w:right w:val="single" w:color="000000" w:sz="8" w:space="0"/>
            </w:tcBorders>
            <w:vAlign w:val="center"/>
          </w:tcPr>
          <w:p>
            <w:pPr>
              <w:pStyle w:val="33"/>
              <w:pageBreakBefore w:val="0"/>
              <w:widowControl w:val="0"/>
              <w:kinsoku/>
              <w:wordWrap/>
              <w:overflowPunct/>
              <w:topLinePunct w:val="0"/>
              <w:autoSpaceDE/>
              <w:autoSpaceDN/>
              <w:bidi w:val="0"/>
              <w:spacing w:line="240" w:lineRule="auto"/>
              <w:textAlignment w:val="auto"/>
              <w:rPr>
                <w:rFonts w:hAnsi="宋体" w:cs="宋体"/>
                <w:color w:val="auto"/>
                <w:kern w:val="28"/>
                <w:sz w:val="24"/>
              </w:rPr>
            </w:pPr>
            <w:r>
              <w:rPr>
                <w:rFonts w:hint="eastAsia" w:hAnsi="宋体" w:cs="宋体"/>
                <w:color w:val="auto"/>
                <w:kern w:val="28"/>
                <w:sz w:val="24"/>
                <w:szCs w:val="24"/>
              </w:rPr>
              <w:t>备份投标文件送达地点：按政采云平台项目采购-电子招投标操作指南制作备份投标文件（后缀名为.bfbs），在投标截止时间前以电子邮件形式递交至(</w:t>
            </w:r>
            <w:r>
              <w:rPr>
                <w:rFonts w:hint="eastAsia" w:hAnsi="宋体" w:cs="宋体"/>
                <w:color w:val="auto"/>
                <w:kern w:val="28"/>
                <w:sz w:val="24"/>
                <w:szCs w:val="24"/>
              </w:rPr>
              <w:fldChar w:fldCharType="begin"/>
            </w:r>
            <w:r>
              <w:rPr>
                <w:rFonts w:hint="eastAsia" w:hAnsi="宋体" w:cs="宋体"/>
                <w:color w:val="auto"/>
                <w:kern w:val="28"/>
                <w:sz w:val="24"/>
                <w:szCs w:val="24"/>
              </w:rPr>
              <w:instrText xml:space="preserve"> HYPERLINK "mailto:2990430955@qq.com" </w:instrText>
            </w:r>
            <w:r>
              <w:rPr>
                <w:rFonts w:hint="eastAsia" w:hAnsi="宋体" w:cs="宋体"/>
                <w:color w:val="auto"/>
                <w:kern w:val="28"/>
                <w:sz w:val="24"/>
                <w:szCs w:val="24"/>
              </w:rPr>
              <w:fldChar w:fldCharType="separate"/>
            </w:r>
            <w:r>
              <w:rPr>
                <w:rFonts w:hint="eastAsia" w:hAnsi="宋体" w:cs="宋体"/>
                <w:color w:val="auto"/>
                <w:kern w:val="28"/>
                <w:sz w:val="24"/>
                <w:szCs w:val="24"/>
              </w:rPr>
              <w:t>1057680823@qq.com</w:t>
            </w:r>
            <w:r>
              <w:rPr>
                <w:rFonts w:hint="eastAsia" w:hAnsi="宋体" w:cs="宋体"/>
                <w:color w:val="auto"/>
                <w:kern w:val="28"/>
                <w:sz w:val="24"/>
                <w:szCs w:val="24"/>
              </w:rPr>
              <w:fldChar w:fldCharType="end"/>
            </w:r>
            <w:r>
              <w:rPr>
                <w:rFonts w:hint="eastAsia" w:hAnsi="宋体" w:cs="宋体"/>
                <w:color w:val="auto"/>
                <w:kern w:val="28"/>
                <w:sz w:val="24"/>
                <w:szCs w:val="24"/>
              </w:rPr>
              <w:t>)；备份投标文件签收人员联系电话：</w:t>
            </w:r>
            <w:r>
              <w:rPr>
                <w:rFonts w:hint="eastAsia" w:hAnsi="宋体" w:cs="宋体"/>
                <w:color w:val="auto"/>
                <w:kern w:val="28"/>
                <w:sz w:val="24"/>
                <w:szCs w:val="24"/>
                <w:u w:val="single"/>
              </w:rPr>
              <w:t>0571-24818576</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blHeader/>
        </w:trPr>
        <w:tc>
          <w:tcPr>
            <w:tcW w:w="629" w:type="dxa"/>
            <w:vMerge w:val="restart"/>
            <w:tcBorders>
              <w:top w:val="single" w:color="auto" w:sz="4" w:space="0"/>
              <w:left w:val="single" w:color="000000" w:sz="8"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551"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40" w:lineRule="auto"/>
              <w:textAlignment w:val="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continue"/>
            <w:tcBorders>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p>
        </w:tc>
        <w:tc>
          <w:tcPr>
            <w:tcW w:w="6551" w:type="dxa"/>
            <w:tcBorders>
              <w:top w:val="single" w:color="000000" w:sz="8" w:space="0"/>
              <w:left w:val="single" w:color="000000" w:sz="2" w:space="0"/>
              <w:bottom w:val="single" w:color="auto" w:sz="4" w:space="0"/>
              <w:right w:val="single" w:color="000000" w:sz="8" w:space="0"/>
            </w:tcBorders>
            <w:vAlign w:val="center"/>
          </w:tcPr>
          <w:p>
            <w:pPr>
              <w:pageBreakBefore w:val="0"/>
              <w:widowControl w:val="0"/>
              <w:kinsoku/>
              <w:wordWrap/>
              <w:overflowPunct/>
              <w:topLinePunct w:val="0"/>
              <w:autoSpaceDE/>
              <w:autoSpaceDN/>
              <w:bidi w:val="0"/>
              <w:spacing w:line="240" w:lineRule="auto"/>
              <w:textAlignment w:val="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pageBreakBefore w:val="0"/>
              <w:widowControl w:val="0"/>
              <w:kinsoku/>
              <w:wordWrap/>
              <w:overflowPunct/>
              <w:topLinePunct w:val="0"/>
              <w:autoSpaceDE/>
              <w:autoSpaceDN/>
              <w:bidi w:val="0"/>
              <w:spacing w:line="240" w:lineRule="auto"/>
              <w:textAlignment w:val="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Gothic" w:hAnsi="MS Gothic" w:cs="Arial" w:eastAsiaTheme="minorEastAsia"/>
                    <w:color w:val="auto"/>
                    <w:kern w:val="0"/>
                    <w:sz w:val="24"/>
                    <w:szCs w:val="24"/>
                    <w:lang w:val="en-US" w:eastAsia="zh-CN" w:bidi="ar-SA"/>
                  </w:rPr>
                  <w:t>☐</w:t>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中标服务费费用</w:t>
            </w:r>
          </w:p>
        </w:tc>
        <w:tc>
          <w:tcPr>
            <w:tcW w:w="6551" w:type="dxa"/>
            <w:tcBorders>
              <w:top w:val="single" w:color="auto" w:sz="4" w:space="0"/>
              <w:left w:val="single" w:color="000000" w:sz="2"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4"/>
              </w:rPr>
            </w:pPr>
            <w:r>
              <w:rPr>
                <w:rFonts w:hint="eastAsia" w:ascii="宋体" w:hAnsi="宋体" w:eastAsia="宋体" w:cs="宋体"/>
                <w:color w:val="auto"/>
                <w:sz w:val="24"/>
              </w:rPr>
              <w:t>中标服务费：</w:t>
            </w:r>
          </w:p>
          <w:p>
            <w:pPr>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4"/>
              </w:rPr>
            </w:pPr>
            <w:r>
              <w:rPr>
                <w:rFonts w:hint="eastAsia" w:ascii="宋体" w:hAnsi="宋体" w:eastAsia="宋体" w:cs="宋体"/>
                <w:color w:val="auto"/>
                <w:sz w:val="24"/>
              </w:rPr>
              <w:t>本项目代理服务费根据原国家发改委的计价格[2002]1980号文及发改办价格[2003]857号文件规定向中标单位收取，专家评审费按实际发生由采购单位支付。</w:t>
            </w:r>
          </w:p>
          <w:p>
            <w:pPr>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rPr>
              <w:t>收款单位（户名）:浙江建安工程管理有限公司淳安第二分公司</w:t>
            </w:r>
          </w:p>
          <w:p>
            <w:pPr>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rPr>
              <w:t>开户银行：中国农业银行淳安县支行</w:t>
            </w:r>
          </w:p>
          <w:p>
            <w:pPr>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kern w:val="0"/>
                <w:sz w:val="24"/>
              </w:rPr>
            </w:pPr>
            <w:r>
              <w:rPr>
                <w:rFonts w:hint="eastAsia" w:ascii="宋体" w:hAnsi="宋体" w:eastAsia="宋体" w:cs="宋体"/>
                <w:b/>
                <w:bCs/>
                <w:color w:val="auto"/>
                <w:sz w:val="24"/>
              </w:rPr>
              <w:t>银行账号：19075201040054300</w:t>
            </w:r>
          </w:p>
        </w:tc>
      </w:tr>
    </w:tbl>
    <w:p>
      <w:pPr>
        <w:snapToGrid w:val="0"/>
        <w:spacing w:line="360" w:lineRule="auto"/>
        <w:jc w:val="center"/>
        <w:rPr>
          <w:rFonts w:ascii="宋体" w:hAnsi="宋体" w:cs="宋体"/>
          <w:b/>
          <w:color w:val="auto"/>
          <w:sz w:val="32"/>
          <w:szCs w:val="20"/>
        </w:rPr>
      </w:pPr>
    </w:p>
    <w:bookmarkEnd w:id="10"/>
    <w:p>
      <w:pPr>
        <w:adjustRightInd/>
        <w:spacing w:line="360" w:lineRule="auto"/>
        <w:ind w:firstLine="3845" w:firstLineChars="1197"/>
        <w:outlineLvl w:val="0"/>
        <w:rPr>
          <w:rFonts w:ascii="宋体" w:hAnsi="宋体" w:cs="宋体"/>
          <w:b/>
          <w:color w:val="auto"/>
          <w:sz w:val="32"/>
          <w:szCs w:val="20"/>
        </w:rPr>
      </w:pPr>
      <w:bookmarkStart w:id="11" w:name="_Toc164416483"/>
      <w:bookmarkStart w:id="12" w:name="第三部分"/>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86"/>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86"/>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6"/>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pStyle w:val="128"/>
        <w:snapToGrid w:val="0"/>
        <w:spacing w:before="0"/>
        <w:ind w:firstLine="360"/>
        <w:rPr>
          <w:rFonts w:ascii="宋体" w:hAnsi="宋体" w:cs="宋体"/>
          <w:color w:val="auto"/>
          <w:sz w:val="18"/>
          <w:szCs w:val="18"/>
        </w:rPr>
      </w:pP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2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pPr>
        <w:pStyle w:val="128"/>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rPr>
      </w:pPr>
      <w:r>
        <w:rPr>
          <w:rFonts w:hint="eastAsia" w:hAnsi="宋体" w:cs="宋体"/>
          <w:b/>
          <w:color w:val="auto"/>
          <w:kern w:val="28"/>
          <w:sz w:val="24"/>
          <w:szCs w:val="24"/>
        </w:rPr>
        <w:t>9.投标保证金</w:t>
      </w:r>
    </w:p>
    <w:p>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28"/>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28"/>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28"/>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pPr>
        <w:pStyle w:val="33"/>
        <w:spacing w:line="360" w:lineRule="auto"/>
        <w:rPr>
          <w:rFonts w:hAnsi="宋体" w:cs="宋体"/>
          <w:b/>
          <w:color w:val="auto"/>
          <w:sz w:val="24"/>
          <w:szCs w:val="24"/>
        </w:rPr>
      </w:pPr>
      <w:r>
        <w:rPr>
          <w:rFonts w:hint="eastAsia" w:hAnsi="宋体" w:cs="宋体"/>
          <w:b/>
          <w:color w:val="auto"/>
          <w:sz w:val="24"/>
          <w:szCs w:val="24"/>
        </w:rPr>
        <w:t>15.备份投标文件</w:t>
      </w:r>
    </w:p>
    <w:p>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28"/>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28"/>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auto"/>
          <w:sz w:val="32"/>
        </w:rPr>
      </w:pPr>
    </w:p>
    <w:p>
      <w:pPr>
        <w:pStyle w:val="128"/>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4"/>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pStyle w:val="554"/>
        <w:spacing w:before="0" w:line="360" w:lineRule="auto"/>
        <w:ind w:left="0" w:firstLine="241" w:firstLineChars="100"/>
        <w:contextualSpacing/>
        <w:rPr>
          <w:rFonts w:hint="eastAsia" w:ascii="宋体" w:hAnsi="宋体" w:cs="宋体"/>
          <w:b/>
          <w:color w:val="auto"/>
          <w:sz w:val="24"/>
          <w:szCs w:val="24"/>
        </w:rPr>
      </w:pPr>
      <w:r>
        <w:rPr>
          <w:rFonts w:hint="eastAsia" w:ascii="宋体" w:hAnsi="宋体" w:cs="宋体"/>
          <w:b/>
          <w:color w:val="auto"/>
          <w:sz w:val="24"/>
          <w:szCs w:val="24"/>
        </w:rPr>
        <w:t>　19</w:t>
      </w:r>
      <w:r>
        <w:rPr>
          <w:rFonts w:hint="eastAsia" w:ascii="宋体" w:hAnsi="宋体" w:cs="宋体"/>
          <w:b/>
          <w:color w:val="auto"/>
          <w:sz w:val="24"/>
          <w:szCs w:val="24"/>
          <w:lang w:val="en-US" w:eastAsia="zh-CN"/>
        </w:rPr>
        <w:t>.</w:t>
      </w:r>
      <w:r>
        <w:rPr>
          <w:rFonts w:hint="eastAsia" w:ascii="宋体" w:hAnsi="宋体" w:cs="宋体"/>
          <w:b/>
          <w:color w:val="auto"/>
          <w:sz w:val="24"/>
          <w:szCs w:val="24"/>
        </w:rPr>
        <w:t>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pPr>
        <w:pStyle w:val="554"/>
        <w:spacing w:before="0" w:line="360" w:lineRule="auto"/>
        <w:ind w:left="0" w:firstLine="241" w:firstLineChars="100"/>
        <w:contextualSpacing/>
        <w:rPr>
          <w:rFonts w:hint="eastAsia" w:ascii="宋体" w:hAnsi="宋体" w:cs="宋体"/>
          <w:b/>
          <w:color w:val="auto"/>
          <w:sz w:val="24"/>
          <w:szCs w:val="24"/>
        </w:rPr>
      </w:pPr>
      <w:r>
        <w:rPr>
          <w:rFonts w:hint="eastAsia" w:ascii="宋体" w:hAnsi="宋体" w:cs="宋体"/>
          <w:b/>
          <w:color w:val="auto"/>
          <w:sz w:val="24"/>
          <w:szCs w:val="24"/>
        </w:rPr>
        <w:t>20</w:t>
      </w:r>
      <w:r>
        <w:rPr>
          <w:rFonts w:hint="eastAsia" w:ascii="宋体" w:hAnsi="宋体" w:cs="宋体"/>
          <w:b/>
          <w:color w:val="auto"/>
          <w:sz w:val="24"/>
          <w:szCs w:val="24"/>
          <w:lang w:eastAsia="zh-CN"/>
        </w:rPr>
        <w:t>.</w:t>
      </w:r>
      <w:r>
        <w:rPr>
          <w:rFonts w:hint="eastAsia" w:ascii="宋体" w:hAnsi="宋体" w:cs="宋体"/>
          <w:b/>
          <w:color w:val="auto"/>
          <w:sz w:val="24"/>
          <w:szCs w:val="24"/>
        </w:rPr>
        <w:t>信用信息查询</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28"/>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25"/>
        <w:spacing w:line="360" w:lineRule="auto"/>
        <w:ind w:left="479" w:hanging="479" w:hangingChars="199"/>
        <w:rPr>
          <w:rFonts w:cs="宋体"/>
          <w:b/>
          <w:color w:val="auto"/>
        </w:rPr>
      </w:pPr>
      <w:r>
        <w:rPr>
          <w:rFonts w:hint="eastAsia" w:cs="宋体"/>
          <w:b/>
          <w:color w:val="auto"/>
        </w:rPr>
        <w:t>22. 确定中标供应商</w:t>
      </w:r>
    </w:p>
    <w:p>
      <w:pPr>
        <w:pStyle w:val="128"/>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5"/>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5"/>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Style w:val="5"/>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rPr>
      </w:pP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28"/>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pPr>
        <w:pStyle w:val="128"/>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28"/>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28"/>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28"/>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28"/>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28"/>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5"/>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5236290"/>
      <w:bookmarkEnd w:id="16"/>
      <w:bookmarkStart w:id="17" w:name="_Hlt74729768"/>
      <w:bookmarkEnd w:id="17"/>
      <w:bookmarkStart w:id="18" w:name="_Hlt74714665"/>
      <w:bookmarkEnd w:id="18"/>
      <w:bookmarkStart w:id="19" w:name="_Hlt74730295"/>
      <w:bookmarkEnd w:id="19"/>
      <w:bookmarkStart w:id="20" w:name="_Hlt74707468"/>
      <w:bookmarkEnd w:id="20"/>
      <w:bookmarkStart w:id="21" w:name="_Hlt68057669"/>
      <w:bookmarkEnd w:id="21"/>
      <w:bookmarkStart w:id="22" w:name="_Hlt68073093"/>
      <w:bookmarkEnd w:id="22"/>
      <w:bookmarkStart w:id="23" w:name="_Hlt68072990"/>
      <w:bookmarkEnd w:id="23"/>
      <w:bookmarkStart w:id="24" w:name="_Hlt75236101"/>
      <w:bookmarkEnd w:id="24"/>
      <w:bookmarkStart w:id="25" w:name="_Hlt75236011"/>
      <w:bookmarkEnd w:id="25"/>
      <w:bookmarkStart w:id="26" w:name="_Hlt68403820"/>
      <w:bookmarkEnd w:id="26"/>
    </w:p>
    <w:bookmarkEnd w:id="11"/>
    <w:bookmarkEnd w:id="12"/>
    <w:p>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pPr>
        <w:pStyle w:val="5"/>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宋体" w:cs="宋体"/>
          <w:b/>
          <w:bCs/>
          <w:sz w:val="24"/>
          <w:szCs w:val="24"/>
          <w:lang w:eastAsia="zh-Hans"/>
        </w:rPr>
      </w:pPr>
      <w:r>
        <w:rPr>
          <w:rFonts w:hint="eastAsia" w:ascii="宋体" w:hAnsi="宋体" w:eastAsia="宋体" w:cs="宋体"/>
          <w:b/>
          <w:bCs/>
          <w:sz w:val="24"/>
          <w:szCs w:val="24"/>
          <w:lang w:eastAsia="zh-Hans"/>
        </w:rPr>
        <w:t>一、项目背景</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rPr>
        <w:t>本次等级保护测评的技术目标是根据</w:t>
      </w:r>
      <w:r>
        <w:rPr>
          <w:rFonts w:hint="eastAsia" w:ascii="宋体" w:hAnsi="宋体" w:eastAsia="宋体" w:cs="宋体"/>
          <w:sz w:val="24"/>
          <w:szCs w:val="24"/>
          <w:lang w:eastAsia="zh-Hans"/>
        </w:rPr>
        <w:t>淳安县亚运场馆</w:t>
      </w:r>
      <w:r>
        <w:rPr>
          <w:rFonts w:hint="eastAsia" w:ascii="宋体" w:hAnsi="宋体" w:eastAsia="宋体" w:cs="宋体"/>
          <w:sz w:val="24"/>
          <w:szCs w:val="24"/>
        </w:rPr>
        <w:t>等级保护对象的安全等级，选择对应等级的安全控制要求作为本次等级测评的安全基线，对等级保护对象进行全面、完整的等级测评，分析现有的安全措施与《网络安全等级保护基本要求》及行业相关法律法规的安全要求差距，并提出科学、合理、符合实际情况的改进建议，等级保护对象通过合理的改进，提升整体防护能力，实现等级保护对象的分等级保护与监管，网络安全事件的分等级响应的目的，将等级保护对象的安全保护落实到点。</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依据《中华人民共和国网络安全法》，第二十一条 国家实行网络安全等级保护制度。网络运营者应当按照网络安全等级保护制度的要求，履行安全保护义务。</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根据《信息安全等级保护管理办法》（公信安43号文）规定，信息系统建设完成后，运营者选择测评机构，依据等级保护相关等技术标准，定期对信息系统安全等级状况开展等级测评。</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《贯彻落实网络安全等级保护制度和关键信息基础设施安全保护制度的指导意见》公网安[2020]1960号，深入贯彻实施国家网络安全等级保护制度，深化网络定级备案工作；定期开展网络安全等级测评。</w:t>
      </w:r>
    </w:p>
    <w:p>
      <w:pPr>
        <w:pStyle w:val="5"/>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宋体" w:cs="宋体"/>
          <w:b/>
          <w:bCs/>
          <w:sz w:val="24"/>
          <w:szCs w:val="24"/>
          <w:lang w:eastAsia="zh-Hans"/>
        </w:rPr>
      </w:pPr>
      <w:r>
        <w:rPr>
          <w:rFonts w:hint="eastAsia" w:ascii="宋体" w:hAnsi="宋体" w:eastAsia="宋体" w:cs="宋体"/>
          <w:b/>
          <w:bCs/>
          <w:sz w:val="24"/>
          <w:szCs w:val="24"/>
          <w:lang w:eastAsia="zh-Hans"/>
        </w:rPr>
        <w:t>二、项目服务依据标准</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本项目应依据国家等级保护相关标准开展工作，依据标准（包括但不限于）如下国家标准：</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1.GB/T 22239-2019 《信息安全技术 网络安全等级保护基本要求》</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2.GB/T 22240-2020  《信息安全技术 网络安全等级保护定级指南》</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3.GB_T 25058-2019  《信息安全技术 网络安全等级保护实施指南》</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4.GB/T 28448-2019 《信息安全技术 网络安全等级保护测评要求》</w:t>
      </w:r>
    </w:p>
    <w:p>
      <w:pPr>
        <w:pStyle w:val="5"/>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宋体" w:cs="宋体"/>
          <w:b/>
          <w:bCs/>
          <w:sz w:val="24"/>
          <w:szCs w:val="24"/>
          <w:lang w:eastAsia="zh-Hans"/>
        </w:rPr>
      </w:pPr>
      <w:r>
        <w:rPr>
          <w:rFonts w:hint="eastAsia" w:ascii="宋体" w:hAnsi="宋体" w:eastAsia="宋体" w:cs="宋体"/>
          <w:b/>
          <w:bCs/>
          <w:sz w:val="24"/>
          <w:szCs w:val="24"/>
          <w:lang w:eastAsia="zh-Hans"/>
        </w:rPr>
        <w:t>三、项目服务原则</w:t>
      </w:r>
    </w:p>
    <w:p>
      <w:pPr>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本次网络安全保护等级保护测评实施方案设计与具体实施应满足以下原则：</w:t>
      </w:r>
    </w:p>
    <w:p>
      <w:pPr>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1.保密原则：对测评的过程数据和结果数据严格保密，未经授权不得泄露给任何单位和个人，不得利用此数据进行任何侵害采购人的行为，否则采购人有权追究</w:t>
      </w:r>
      <w:r>
        <w:rPr>
          <w:rFonts w:hint="eastAsia" w:ascii="宋体" w:hAnsi="宋体" w:eastAsia="宋体" w:cs="宋体"/>
          <w:sz w:val="24"/>
          <w:szCs w:val="24"/>
          <w:lang w:val="en-US" w:eastAsia="zh-CN"/>
        </w:rPr>
        <w:t>中标单位</w:t>
      </w:r>
      <w:r>
        <w:rPr>
          <w:rFonts w:hint="eastAsia" w:ascii="宋体" w:hAnsi="宋体" w:eastAsia="宋体" w:cs="宋体"/>
          <w:sz w:val="24"/>
          <w:szCs w:val="24"/>
        </w:rPr>
        <w:t>的责任。</w:t>
      </w:r>
    </w:p>
    <w:p>
      <w:pPr>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2.标准性原则：测评方案的设计与实施应依据国家等级保护的相关标准进行。</w:t>
      </w:r>
    </w:p>
    <w:p>
      <w:pPr>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3.规范性原则：</w:t>
      </w:r>
      <w:r>
        <w:rPr>
          <w:rFonts w:hint="eastAsia" w:ascii="宋体" w:hAnsi="宋体" w:eastAsia="宋体" w:cs="宋体"/>
          <w:sz w:val="24"/>
          <w:szCs w:val="24"/>
          <w:lang w:val="en-US" w:eastAsia="zh-CN"/>
        </w:rPr>
        <w:t>中标单位</w:t>
      </w:r>
      <w:r>
        <w:rPr>
          <w:rFonts w:hint="eastAsia" w:ascii="宋体" w:hAnsi="宋体" w:eastAsia="宋体" w:cs="宋体"/>
          <w:sz w:val="24"/>
          <w:szCs w:val="24"/>
        </w:rPr>
        <w:t>的工作中的过程和文档，具有很好的规范性，可以便于项目的跟踪和控制。</w:t>
      </w:r>
    </w:p>
    <w:p>
      <w:pPr>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4.可控性原则：测评服务的进度要跟上进度表的安排，保证</w:t>
      </w:r>
      <w:r>
        <w:rPr>
          <w:rFonts w:hint="eastAsia" w:ascii="宋体" w:hAnsi="宋体" w:eastAsia="宋体" w:cs="宋体"/>
          <w:sz w:val="24"/>
          <w:szCs w:val="24"/>
          <w:lang w:val="en-US" w:eastAsia="zh-CN"/>
        </w:rPr>
        <w:t>建设单位</w:t>
      </w:r>
      <w:r>
        <w:rPr>
          <w:rFonts w:hint="eastAsia" w:ascii="宋体" w:hAnsi="宋体" w:eastAsia="宋体" w:cs="宋体"/>
          <w:sz w:val="24"/>
          <w:szCs w:val="24"/>
        </w:rPr>
        <w:t>对于测评工作的可控性。</w:t>
      </w:r>
    </w:p>
    <w:p>
      <w:pPr>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5.整体性原则：测评的范围和内容应当整体全面，包括国家等级保护相关要求涉及的各个层面。</w:t>
      </w:r>
    </w:p>
    <w:p>
      <w:pPr>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6.最小影响原则：测评工作应尽可能小的影响系统和网络，并在可控范围内；测评工作不能对现有信息系统的正常运行、业务的正常开展产生任何影响。</w:t>
      </w:r>
    </w:p>
    <w:p>
      <w:pPr>
        <w:pStyle w:val="5"/>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宋体" w:cs="宋体"/>
          <w:b/>
          <w:bCs/>
          <w:sz w:val="24"/>
          <w:szCs w:val="24"/>
          <w:lang w:eastAsia="zh-Hans"/>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eastAsia="zh-Hans"/>
        </w:rPr>
        <w:t>、等级保护测评内容</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根据网络安全等级保护相关标准规范和主管部门要求，完成：</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1、本次测评系统的定级备案等工作，包括编制定级相关材料、专家评审、公安机关备案、提供整改建议报告、协助取得等保备案证明文件；</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本次项目测评内容包括（但不仅限于）：安全物理环境、安全通信网络、安全区域边界、安全计算环境、安全管理中心、安全管理制度、安全管理机构、安全管理人员、安全建设管理、安全运维管理，以及整体测评。</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测评分析信息系统整体安全防范的合理性时，应熟悉信息系统安全保护措施的具体实现方式和部署情况等，结合业务数据流分析不同区域和不同边界与安全保护措施的关系、重要业务和关键信息与安全保护措施的关系等，参照纵深防御的要求，识别信息系统的安全防范是否突出重点、层层深入，综合判定信息系统的整体安全防范是否恰当合理等。</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协助整改：</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根据测评结果，出具可行的信息系统整改建议，协助推进问题及时整改，使得测评结论满足公安部门备案要求，并完成测评报告备案工作。</w:t>
      </w:r>
    </w:p>
    <w:p>
      <w:pPr>
        <w:pStyle w:val="5"/>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宋体" w:cs="宋体"/>
          <w:b/>
          <w:bCs/>
          <w:sz w:val="24"/>
          <w:szCs w:val="24"/>
          <w:lang w:eastAsia="zh-Hans"/>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Hans"/>
        </w:rPr>
        <w:t>、项目服务内容</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本项目等保测评服务包含以下信息系统：</w:t>
      </w:r>
    </w:p>
    <w:tbl>
      <w:tblPr>
        <w:tblStyle w:val="63"/>
        <w:tblW w:w="8256"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3606"/>
        <w:gridCol w:w="1016"/>
        <w:gridCol w:w="1016"/>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场馆名称</w:t>
            </w:r>
          </w:p>
        </w:tc>
        <w:tc>
          <w:tcPr>
            <w:tcW w:w="360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系统名称</w:t>
            </w:r>
          </w:p>
        </w:tc>
        <w:tc>
          <w:tcPr>
            <w:tcW w:w="101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240" w:firstLineChars="100"/>
              <w:jc w:val="both"/>
              <w:textAlignment w:val="auto"/>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单价</w:t>
            </w:r>
          </w:p>
        </w:tc>
        <w:tc>
          <w:tcPr>
            <w:tcW w:w="101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数量</w:t>
            </w:r>
          </w:p>
        </w:tc>
        <w:tc>
          <w:tcPr>
            <w:tcW w:w="101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lang w:eastAsia="zh-Hans"/>
              </w:rPr>
            </w:pPr>
            <w:r>
              <w:rPr>
                <w:rFonts w:hint="eastAsia" w:ascii="宋体" w:hAnsi="宋体" w:eastAsia="宋体" w:cs="宋体"/>
                <w:kern w:val="0"/>
                <w:sz w:val="24"/>
                <w:szCs w:val="24"/>
              </w:rPr>
              <w:t>总价（</w:t>
            </w:r>
            <w:r>
              <w:rPr>
                <w:rFonts w:hint="eastAsia" w:ascii="宋体" w:hAnsi="宋体" w:eastAsia="宋体" w:cs="宋体"/>
                <w:kern w:val="0"/>
                <w:sz w:val="24"/>
                <w:szCs w:val="24"/>
                <w:lang w:val="en-US" w:eastAsia="zh-Hans"/>
              </w:rPr>
              <w:t>万</w:t>
            </w:r>
            <w:r>
              <w:rPr>
                <w:rFonts w:hint="eastAsia" w:ascii="宋体" w:hAnsi="宋体" w:eastAsia="宋体" w:cs="宋体"/>
                <w:kern w:val="0"/>
                <w:sz w:val="24"/>
                <w:szCs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Merge w:val="restart"/>
            <w:tcBorders>
              <w:top w:val="single" w:color="auto" w:sz="4" w:space="0"/>
              <w:left w:val="single" w:color="auto" w:sz="4" w:space="0"/>
              <w:right w:val="single" w:color="auto" w:sz="4" w:space="0"/>
            </w:tcBorders>
            <w:vAlign w:val="center"/>
          </w:tcPr>
          <w:p>
            <w:pPr>
              <w:pStyle w:val="859"/>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5" w:right="-252" w:rightChars="-120"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rPr>
              <w:t>山地车场馆</w:t>
            </w:r>
          </w:p>
        </w:tc>
        <w:tc>
          <w:tcPr>
            <w:tcW w:w="360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信息网络系统 </w:t>
            </w:r>
          </w:p>
        </w:tc>
        <w:tc>
          <w:tcPr>
            <w:tcW w:w="1016" w:type="dxa"/>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28125</w:t>
            </w:r>
          </w:p>
        </w:tc>
        <w:tc>
          <w:tcPr>
            <w:tcW w:w="1016" w:type="dxa"/>
            <w:vMerge w:val="restart"/>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1016" w:type="dxa"/>
            <w:vMerge w:val="restart"/>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Merge w:val="continue"/>
            <w:tcBorders>
              <w:left w:val="single" w:color="auto" w:sz="4" w:space="0"/>
              <w:right w:val="single" w:color="auto" w:sz="4" w:space="0"/>
            </w:tcBorders>
            <w:vAlign w:val="center"/>
          </w:tcPr>
          <w:p>
            <w:pPr>
              <w:pStyle w:val="859"/>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5" w:right="-252" w:rightChars="-120" w:firstLine="0" w:firstLineChars="0"/>
              <w:textAlignment w:val="auto"/>
              <w:rPr>
                <w:rFonts w:hint="eastAsia" w:ascii="宋体" w:hAnsi="宋体" w:eastAsia="宋体" w:cs="宋体"/>
                <w:kern w:val="0"/>
                <w:sz w:val="24"/>
                <w:szCs w:val="24"/>
              </w:rPr>
            </w:pPr>
          </w:p>
        </w:tc>
        <w:tc>
          <w:tcPr>
            <w:tcW w:w="360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视频安防监控系统</w:t>
            </w:r>
          </w:p>
        </w:tc>
        <w:tc>
          <w:tcPr>
            <w:tcW w:w="1016" w:type="dxa"/>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28125</w:t>
            </w:r>
          </w:p>
        </w:tc>
        <w:tc>
          <w:tcPr>
            <w:tcW w:w="1016" w:type="dxa"/>
            <w:vMerge w:val="continue"/>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p>
        </w:tc>
        <w:tc>
          <w:tcPr>
            <w:tcW w:w="1016" w:type="dxa"/>
            <w:vMerge w:val="continue"/>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Merge w:val="continue"/>
            <w:tcBorders>
              <w:left w:val="single" w:color="auto" w:sz="4" w:space="0"/>
              <w:right w:val="single" w:color="auto" w:sz="4" w:space="0"/>
            </w:tcBorders>
            <w:vAlign w:val="center"/>
          </w:tcPr>
          <w:p>
            <w:pPr>
              <w:pStyle w:val="859"/>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5" w:right="-252" w:rightChars="-120" w:firstLine="0" w:firstLineChars="0"/>
              <w:textAlignment w:val="auto"/>
              <w:rPr>
                <w:rFonts w:hint="eastAsia" w:ascii="宋体" w:hAnsi="宋体" w:eastAsia="宋体" w:cs="宋体"/>
                <w:kern w:val="0"/>
                <w:sz w:val="24"/>
                <w:szCs w:val="24"/>
              </w:rPr>
            </w:pPr>
          </w:p>
        </w:tc>
        <w:tc>
          <w:tcPr>
            <w:tcW w:w="360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比赛影像采集回放与分析系统</w:t>
            </w:r>
          </w:p>
        </w:tc>
        <w:tc>
          <w:tcPr>
            <w:tcW w:w="1016" w:type="dxa"/>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28125</w:t>
            </w:r>
          </w:p>
        </w:tc>
        <w:tc>
          <w:tcPr>
            <w:tcW w:w="1016" w:type="dxa"/>
            <w:vMerge w:val="continue"/>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p>
        </w:tc>
        <w:tc>
          <w:tcPr>
            <w:tcW w:w="1016" w:type="dxa"/>
            <w:vMerge w:val="continue"/>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Merge w:val="continue"/>
            <w:tcBorders>
              <w:left w:val="single" w:color="auto" w:sz="4" w:space="0"/>
              <w:bottom w:val="single" w:color="auto" w:sz="4" w:space="0"/>
              <w:right w:val="single" w:color="auto" w:sz="4" w:space="0"/>
            </w:tcBorders>
            <w:vAlign w:val="center"/>
          </w:tcPr>
          <w:p>
            <w:pPr>
              <w:pStyle w:val="859"/>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5" w:right="-252" w:rightChars="-120" w:firstLine="0" w:firstLineChars="0"/>
              <w:textAlignment w:val="auto"/>
              <w:rPr>
                <w:rFonts w:hint="eastAsia" w:ascii="宋体" w:hAnsi="宋体" w:eastAsia="宋体" w:cs="宋体"/>
                <w:kern w:val="0"/>
                <w:sz w:val="24"/>
                <w:szCs w:val="24"/>
              </w:rPr>
            </w:pPr>
          </w:p>
        </w:tc>
        <w:tc>
          <w:tcPr>
            <w:tcW w:w="360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信息显示及控制系统</w:t>
            </w:r>
          </w:p>
        </w:tc>
        <w:tc>
          <w:tcPr>
            <w:tcW w:w="1016" w:type="dxa"/>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28125</w:t>
            </w:r>
          </w:p>
        </w:tc>
        <w:tc>
          <w:tcPr>
            <w:tcW w:w="1016" w:type="dxa"/>
            <w:vMerge w:val="continue"/>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p>
        </w:tc>
        <w:tc>
          <w:tcPr>
            <w:tcW w:w="1016" w:type="dxa"/>
            <w:vMerge w:val="continue"/>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Merge w:val="restart"/>
            <w:tcBorders>
              <w:top w:val="single" w:color="auto" w:sz="4" w:space="0"/>
              <w:left w:val="single" w:color="auto" w:sz="4" w:space="0"/>
              <w:right w:val="single" w:color="auto" w:sz="4" w:space="0"/>
            </w:tcBorders>
            <w:vAlign w:val="center"/>
          </w:tcPr>
          <w:p>
            <w:pPr>
              <w:pStyle w:val="859"/>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5" w:right="-252" w:rightChars="-12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公路车场馆</w:t>
            </w:r>
          </w:p>
        </w:tc>
        <w:tc>
          <w:tcPr>
            <w:tcW w:w="360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信息网络系统 </w:t>
            </w:r>
          </w:p>
        </w:tc>
        <w:tc>
          <w:tcPr>
            <w:tcW w:w="1016" w:type="dxa"/>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28125</w:t>
            </w:r>
          </w:p>
        </w:tc>
        <w:tc>
          <w:tcPr>
            <w:tcW w:w="1016" w:type="dxa"/>
            <w:vMerge w:val="continue"/>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p>
        </w:tc>
        <w:tc>
          <w:tcPr>
            <w:tcW w:w="1016" w:type="dxa"/>
            <w:vMerge w:val="continue"/>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Merge w:val="continue"/>
            <w:tcBorders>
              <w:left w:val="single" w:color="auto" w:sz="4" w:space="0"/>
              <w:right w:val="single" w:color="auto" w:sz="4" w:space="0"/>
            </w:tcBorders>
            <w:vAlign w:val="center"/>
          </w:tcPr>
          <w:p>
            <w:pPr>
              <w:pStyle w:val="859"/>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5" w:right="-252" w:rightChars="-120" w:firstLine="0" w:firstLineChars="0"/>
              <w:textAlignment w:val="auto"/>
              <w:rPr>
                <w:rFonts w:hint="eastAsia" w:ascii="宋体" w:hAnsi="宋体" w:eastAsia="宋体" w:cs="宋体"/>
                <w:kern w:val="0"/>
                <w:sz w:val="24"/>
                <w:szCs w:val="24"/>
              </w:rPr>
            </w:pPr>
          </w:p>
        </w:tc>
        <w:tc>
          <w:tcPr>
            <w:tcW w:w="360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视频安防监控系统</w:t>
            </w:r>
          </w:p>
        </w:tc>
        <w:tc>
          <w:tcPr>
            <w:tcW w:w="1016" w:type="dxa"/>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28125</w:t>
            </w:r>
          </w:p>
        </w:tc>
        <w:tc>
          <w:tcPr>
            <w:tcW w:w="1016" w:type="dxa"/>
            <w:vMerge w:val="continue"/>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p>
        </w:tc>
        <w:tc>
          <w:tcPr>
            <w:tcW w:w="1016" w:type="dxa"/>
            <w:vMerge w:val="continue"/>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Merge w:val="continue"/>
            <w:tcBorders>
              <w:left w:val="single" w:color="auto" w:sz="4" w:space="0"/>
              <w:right w:val="single" w:color="auto" w:sz="4" w:space="0"/>
            </w:tcBorders>
            <w:vAlign w:val="center"/>
          </w:tcPr>
          <w:p>
            <w:pPr>
              <w:pStyle w:val="859"/>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5" w:right="-252" w:rightChars="-120" w:firstLine="0" w:firstLineChars="0"/>
              <w:textAlignment w:val="auto"/>
              <w:rPr>
                <w:rFonts w:hint="eastAsia" w:ascii="宋体" w:hAnsi="宋体" w:eastAsia="宋体" w:cs="宋体"/>
                <w:kern w:val="0"/>
                <w:sz w:val="24"/>
                <w:szCs w:val="24"/>
              </w:rPr>
            </w:pPr>
          </w:p>
        </w:tc>
        <w:tc>
          <w:tcPr>
            <w:tcW w:w="360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比赛影像采集回放与分析系统</w:t>
            </w:r>
          </w:p>
        </w:tc>
        <w:tc>
          <w:tcPr>
            <w:tcW w:w="1016" w:type="dxa"/>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28125</w:t>
            </w:r>
          </w:p>
        </w:tc>
        <w:tc>
          <w:tcPr>
            <w:tcW w:w="1016" w:type="dxa"/>
            <w:vMerge w:val="continue"/>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p>
        </w:tc>
        <w:tc>
          <w:tcPr>
            <w:tcW w:w="1016" w:type="dxa"/>
            <w:vMerge w:val="continue"/>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Merge w:val="continue"/>
            <w:tcBorders>
              <w:left w:val="single" w:color="auto" w:sz="4" w:space="0"/>
              <w:bottom w:val="single" w:color="auto" w:sz="4" w:space="0"/>
              <w:right w:val="single" w:color="auto" w:sz="4" w:space="0"/>
            </w:tcBorders>
            <w:vAlign w:val="center"/>
          </w:tcPr>
          <w:p>
            <w:pPr>
              <w:pStyle w:val="859"/>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5" w:right="-252" w:rightChars="-120" w:firstLine="0" w:firstLineChars="0"/>
              <w:textAlignment w:val="auto"/>
              <w:rPr>
                <w:rFonts w:hint="eastAsia" w:ascii="宋体" w:hAnsi="宋体" w:eastAsia="宋体" w:cs="宋体"/>
                <w:kern w:val="0"/>
                <w:sz w:val="24"/>
                <w:szCs w:val="24"/>
              </w:rPr>
            </w:pPr>
          </w:p>
        </w:tc>
        <w:tc>
          <w:tcPr>
            <w:tcW w:w="360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信息显示及控制系统</w:t>
            </w:r>
          </w:p>
        </w:tc>
        <w:tc>
          <w:tcPr>
            <w:tcW w:w="1016" w:type="dxa"/>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28125</w:t>
            </w:r>
          </w:p>
        </w:tc>
        <w:tc>
          <w:tcPr>
            <w:tcW w:w="1016" w:type="dxa"/>
            <w:vMerge w:val="continue"/>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p>
        </w:tc>
        <w:tc>
          <w:tcPr>
            <w:tcW w:w="1016" w:type="dxa"/>
            <w:vMerge w:val="continue"/>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Merge w:val="restart"/>
            <w:tcBorders>
              <w:top w:val="single" w:color="auto" w:sz="4" w:space="0"/>
              <w:left w:val="single" w:color="auto" w:sz="4" w:space="0"/>
              <w:right w:val="single" w:color="auto" w:sz="4" w:space="0"/>
            </w:tcBorders>
            <w:vAlign w:val="center"/>
          </w:tcPr>
          <w:p>
            <w:pPr>
              <w:pStyle w:val="859"/>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5" w:right="-252" w:rightChars="-12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铁人三项场馆</w:t>
            </w:r>
          </w:p>
        </w:tc>
        <w:tc>
          <w:tcPr>
            <w:tcW w:w="360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信息网络系统 </w:t>
            </w:r>
          </w:p>
        </w:tc>
        <w:tc>
          <w:tcPr>
            <w:tcW w:w="1016" w:type="dxa"/>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28125</w:t>
            </w:r>
          </w:p>
        </w:tc>
        <w:tc>
          <w:tcPr>
            <w:tcW w:w="1016" w:type="dxa"/>
            <w:vMerge w:val="continue"/>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p>
        </w:tc>
        <w:tc>
          <w:tcPr>
            <w:tcW w:w="1016" w:type="dxa"/>
            <w:vMerge w:val="continue"/>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Merge w:val="continue"/>
            <w:tcBorders>
              <w:left w:val="single" w:color="auto" w:sz="4" w:space="0"/>
              <w:right w:val="single" w:color="auto" w:sz="4" w:space="0"/>
            </w:tcBorders>
            <w:vAlign w:val="center"/>
          </w:tcPr>
          <w:p>
            <w:pPr>
              <w:pStyle w:val="859"/>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5" w:right="-252" w:rightChars="-120" w:firstLine="0" w:firstLineChars="0"/>
              <w:textAlignment w:val="auto"/>
              <w:rPr>
                <w:rFonts w:hint="eastAsia" w:ascii="宋体" w:hAnsi="宋体" w:eastAsia="宋体" w:cs="宋体"/>
                <w:kern w:val="0"/>
                <w:sz w:val="24"/>
                <w:szCs w:val="24"/>
              </w:rPr>
            </w:pPr>
          </w:p>
        </w:tc>
        <w:tc>
          <w:tcPr>
            <w:tcW w:w="360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视频安防监控系统</w:t>
            </w:r>
          </w:p>
        </w:tc>
        <w:tc>
          <w:tcPr>
            <w:tcW w:w="1016" w:type="dxa"/>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28125</w:t>
            </w:r>
          </w:p>
        </w:tc>
        <w:tc>
          <w:tcPr>
            <w:tcW w:w="1016" w:type="dxa"/>
            <w:vMerge w:val="continue"/>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p>
        </w:tc>
        <w:tc>
          <w:tcPr>
            <w:tcW w:w="1016" w:type="dxa"/>
            <w:vMerge w:val="continue"/>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Merge w:val="continue"/>
            <w:tcBorders>
              <w:left w:val="single" w:color="auto" w:sz="4" w:space="0"/>
              <w:right w:val="single" w:color="auto" w:sz="4" w:space="0"/>
            </w:tcBorders>
            <w:vAlign w:val="center"/>
          </w:tcPr>
          <w:p>
            <w:pPr>
              <w:pStyle w:val="859"/>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5" w:right="-252" w:rightChars="-120" w:firstLine="0" w:firstLineChars="0"/>
              <w:textAlignment w:val="auto"/>
              <w:rPr>
                <w:rFonts w:hint="eastAsia" w:ascii="宋体" w:hAnsi="宋体" w:eastAsia="宋体" w:cs="宋体"/>
                <w:kern w:val="0"/>
                <w:sz w:val="24"/>
                <w:szCs w:val="24"/>
              </w:rPr>
            </w:pPr>
          </w:p>
        </w:tc>
        <w:tc>
          <w:tcPr>
            <w:tcW w:w="360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比赛影像采集回放与分析系统</w:t>
            </w:r>
          </w:p>
        </w:tc>
        <w:tc>
          <w:tcPr>
            <w:tcW w:w="1016" w:type="dxa"/>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28125</w:t>
            </w:r>
          </w:p>
        </w:tc>
        <w:tc>
          <w:tcPr>
            <w:tcW w:w="1016" w:type="dxa"/>
            <w:vMerge w:val="continue"/>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p>
        </w:tc>
        <w:tc>
          <w:tcPr>
            <w:tcW w:w="1016" w:type="dxa"/>
            <w:vMerge w:val="continue"/>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Merge w:val="continue"/>
            <w:tcBorders>
              <w:left w:val="single" w:color="auto" w:sz="4" w:space="0"/>
              <w:bottom w:val="single" w:color="auto" w:sz="4" w:space="0"/>
              <w:right w:val="single" w:color="auto" w:sz="4" w:space="0"/>
            </w:tcBorders>
            <w:vAlign w:val="center"/>
          </w:tcPr>
          <w:p>
            <w:pPr>
              <w:pStyle w:val="859"/>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5" w:right="-252" w:rightChars="-120" w:firstLine="0" w:firstLineChars="0"/>
              <w:textAlignment w:val="auto"/>
              <w:rPr>
                <w:rFonts w:hint="eastAsia" w:ascii="宋体" w:hAnsi="宋体" w:eastAsia="宋体" w:cs="宋体"/>
                <w:kern w:val="0"/>
                <w:sz w:val="24"/>
                <w:szCs w:val="24"/>
              </w:rPr>
            </w:pPr>
          </w:p>
        </w:tc>
        <w:tc>
          <w:tcPr>
            <w:tcW w:w="360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信息显示及控制系统</w:t>
            </w:r>
          </w:p>
        </w:tc>
        <w:tc>
          <w:tcPr>
            <w:tcW w:w="1016" w:type="dxa"/>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28125</w:t>
            </w:r>
          </w:p>
        </w:tc>
        <w:tc>
          <w:tcPr>
            <w:tcW w:w="1016" w:type="dxa"/>
            <w:vMerge w:val="continue"/>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p>
        </w:tc>
        <w:tc>
          <w:tcPr>
            <w:tcW w:w="1016" w:type="dxa"/>
            <w:vMerge w:val="continue"/>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Merge w:val="restart"/>
            <w:tcBorders>
              <w:top w:val="single" w:color="auto" w:sz="4" w:space="0"/>
              <w:left w:val="single" w:color="auto" w:sz="4" w:space="0"/>
              <w:right w:val="single" w:color="auto" w:sz="4" w:space="0"/>
            </w:tcBorders>
            <w:vAlign w:val="center"/>
          </w:tcPr>
          <w:p>
            <w:pPr>
              <w:pStyle w:val="859"/>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5" w:right="-252" w:rightChars="-120"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rPr>
              <w:t>小轮车场馆</w:t>
            </w:r>
          </w:p>
        </w:tc>
        <w:tc>
          <w:tcPr>
            <w:tcW w:w="360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信息网络系统 </w:t>
            </w:r>
          </w:p>
        </w:tc>
        <w:tc>
          <w:tcPr>
            <w:tcW w:w="1016" w:type="dxa"/>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28125</w:t>
            </w:r>
          </w:p>
        </w:tc>
        <w:tc>
          <w:tcPr>
            <w:tcW w:w="1016" w:type="dxa"/>
            <w:vMerge w:val="continue"/>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p>
        </w:tc>
        <w:tc>
          <w:tcPr>
            <w:tcW w:w="1016" w:type="dxa"/>
            <w:vMerge w:val="continue"/>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Merge w:val="continue"/>
            <w:tcBorders>
              <w:left w:val="single" w:color="auto" w:sz="4" w:space="0"/>
              <w:right w:val="single" w:color="auto" w:sz="4" w:space="0"/>
            </w:tcBorders>
            <w:vAlign w:val="center"/>
          </w:tcPr>
          <w:p>
            <w:pPr>
              <w:pStyle w:val="859"/>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5" w:right="-252" w:rightChars="-120" w:firstLine="0" w:firstLineChars="0"/>
              <w:textAlignment w:val="auto"/>
              <w:rPr>
                <w:rFonts w:hint="eastAsia" w:ascii="宋体" w:hAnsi="宋体" w:eastAsia="宋体" w:cs="宋体"/>
                <w:kern w:val="0"/>
                <w:sz w:val="24"/>
                <w:szCs w:val="24"/>
              </w:rPr>
            </w:pPr>
          </w:p>
        </w:tc>
        <w:tc>
          <w:tcPr>
            <w:tcW w:w="360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视频安防监控系统</w:t>
            </w:r>
          </w:p>
        </w:tc>
        <w:tc>
          <w:tcPr>
            <w:tcW w:w="1016" w:type="dxa"/>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28125</w:t>
            </w:r>
          </w:p>
        </w:tc>
        <w:tc>
          <w:tcPr>
            <w:tcW w:w="1016" w:type="dxa"/>
            <w:vMerge w:val="continue"/>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p>
        </w:tc>
        <w:tc>
          <w:tcPr>
            <w:tcW w:w="1016" w:type="dxa"/>
            <w:vMerge w:val="continue"/>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Merge w:val="continue"/>
            <w:tcBorders>
              <w:left w:val="single" w:color="auto" w:sz="4" w:space="0"/>
              <w:right w:val="single" w:color="auto" w:sz="4" w:space="0"/>
            </w:tcBorders>
            <w:vAlign w:val="center"/>
          </w:tcPr>
          <w:p>
            <w:pPr>
              <w:pStyle w:val="859"/>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5" w:right="-252" w:rightChars="-120" w:firstLine="0" w:firstLineChars="0"/>
              <w:textAlignment w:val="auto"/>
              <w:rPr>
                <w:rFonts w:hint="eastAsia" w:ascii="宋体" w:hAnsi="宋体" w:eastAsia="宋体" w:cs="宋体"/>
                <w:kern w:val="0"/>
                <w:sz w:val="24"/>
                <w:szCs w:val="24"/>
              </w:rPr>
            </w:pPr>
          </w:p>
        </w:tc>
        <w:tc>
          <w:tcPr>
            <w:tcW w:w="360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比赛影像采集回放与分析系统</w:t>
            </w:r>
          </w:p>
        </w:tc>
        <w:tc>
          <w:tcPr>
            <w:tcW w:w="1016" w:type="dxa"/>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28125</w:t>
            </w:r>
          </w:p>
        </w:tc>
        <w:tc>
          <w:tcPr>
            <w:tcW w:w="1016" w:type="dxa"/>
            <w:vMerge w:val="continue"/>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p>
        </w:tc>
        <w:tc>
          <w:tcPr>
            <w:tcW w:w="1016" w:type="dxa"/>
            <w:vMerge w:val="continue"/>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Merge w:val="continue"/>
            <w:tcBorders>
              <w:left w:val="single" w:color="auto" w:sz="4" w:space="0"/>
              <w:bottom w:val="single" w:color="auto" w:sz="4" w:space="0"/>
              <w:right w:val="single" w:color="auto" w:sz="4" w:space="0"/>
            </w:tcBorders>
            <w:vAlign w:val="center"/>
          </w:tcPr>
          <w:p>
            <w:pPr>
              <w:pStyle w:val="859"/>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415" w:right="-252" w:rightChars="-120" w:firstLineChars="0"/>
              <w:textAlignment w:val="auto"/>
              <w:rPr>
                <w:rFonts w:hint="eastAsia" w:ascii="宋体" w:hAnsi="宋体" w:eastAsia="宋体" w:cs="宋体"/>
                <w:kern w:val="0"/>
                <w:sz w:val="24"/>
                <w:szCs w:val="24"/>
              </w:rPr>
            </w:pPr>
          </w:p>
        </w:tc>
        <w:tc>
          <w:tcPr>
            <w:tcW w:w="360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信息显示及控制系统</w:t>
            </w:r>
          </w:p>
        </w:tc>
        <w:tc>
          <w:tcPr>
            <w:tcW w:w="1016" w:type="dxa"/>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28125</w:t>
            </w:r>
          </w:p>
        </w:tc>
        <w:tc>
          <w:tcPr>
            <w:tcW w:w="1016"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p>
        </w:tc>
        <w:tc>
          <w:tcPr>
            <w:tcW w:w="1016"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kern w:val="0"/>
                <w:sz w:val="24"/>
                <w:szCs w:val="24"/>
              </w:rPr>
            </w:pPr>
          </w:p>
        </w:tc>
      </w:tr>
    </w:tbl>
    <w:p>
      <w:pPr>
        <w:pStyle w:val="5"/>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宋体" w:cs="宋体"/>
          <w:b/>
          <w:bCs/>
          <w:sz w:val="24"/>
          <w:szCs w:val="24"/>
          <w:lang w:eastAsia="zh-Hans"/>
        </w:rPr>
      </w:pPr>
      <w:r>
        <w:rPr>
          <w:rFonts w:hint="eastAsia" w:ascii="宋体" w:hAnsi="宋体" w:eastAsia="宋体" w:cs="宋体"/>
          <w:b/>
          <w:bCs/>
          <w:sz w:val="24"/>
          <w:szCs w:val="24"/>
          <w:lang w:eastAsia="zh-Hans"/>
        </w:rPr>
        <w:t>六、</w:t>
      </w:r>
      <w:r>
        <w:rPr>
          <w:rFonts w:hint="eastAsia" w:ascii="宋体" w:hAnsi="宋体" w:eastAsia="宋体" w:cs="宋体"/>
          <w:b/>
          <w:bCs/>
          <w:sz w:val="24"/>
          <w:szCs w:val="24"/>
          <w:lang w:val="en-US" w:eastAsia="zh-CN"/>
        </w:rPr>
        <w:t>其他</w:t>
      </w:r>
      <w:r>
        <w:rPr>
          <w:rFonts w:hint="eastAsia" w:ascii="宋体" w:hAnsi="宋体" w:eastAsia="宋体" w:cs="宋体"/>
          <w:b/>
          <w:bCs/>
          <w:sz w:val="24"/>
          <w:szCs w:val="24"/>
          <w:lang w:eastAsia="zh-Hans"/>
        </w:rPr>
        <w:t>要求</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1.测评方法</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测评方法必须符合GB/T 28448-2019 网络安全等级保护测评要求，满足国家等级保护备案相关标准规范，在开展等级测评工作时，从管理和技术两个层面，通过多种方法来采集测评证据，以确定被测系统与基本要求之间的符合性。采集测评证据的方式分为“人员访谈”、“文件审核”、“现场观察”、“技术测试”等手段。</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人员访谈：测评人员与被测单位信息技术人员进行面谈，测评人员可以了解其职责范围、工作陈述、基本安全意识、对安全管理获知的程度等信息。</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文件检查：测评人员对被测单位与信息安全管理活动相关的所有文件进行审查，包括安全方针和目标、程序文件、作业指导文件和记录文件等。</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现场观察：测评人员通过到现场参观，观察并获取关于被测系统现场的物理环境、信息系统的安全操作和各类安全管理活动的第一手资料。</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技术测试：测评人员通过对测评对象采用各种技术手段，获得被测系统在技术性控制的效力及符合性方面的证据。这些技术性措施包括：自动化的扫描工具、网络拓扑结构分析、本地主机审查、渗透测试等。</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2.安全等级测评报告等要求</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中标单位</w:t>
      </w:r>
      <w:r>
        <w:rPr>
          <w:rFonts w:hint="eastAsia" w:ascii="宋体" w:hAnsi="宋体" w:eastAsia="宋体" w:cs="宋体"/>
          <w:sz w:val="24"/>
          <w:szCs w:val="24"/>
        </w:rPr>
        <w:t>应对信息系统进行等级保护，形成相应的测评报告；</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（2）测评后出具符合公安主管部门要求的系统安全保护等级测评报告；</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（3）对上述系统不符合网络安全等级保护有关管理规范和技术标准的，</w:t>
      </w:r>
      <w:r>
        <w:rPr>
          <w:rFonts w:hint="eastAsia" w:ascii="宋体" w:hAnsi="宋体" w:eastAsia="宋体" w:cs="宋体"/>
          <w:sz w:val="24"/>
          <w:szCs w:val="24"/>
          <w:lang w:val="en-US" w:eastAsia="zh-CN"/>
        </w:rPr>
        <w:t>中标单位</w:t>
      </w:r>
      <w:r>
        <w:rPr>
          <w:rFonts w:hint="eastAsia" w:ascii="宋体" w:hAnsi="宋体" w:eastAsia="宋体" w:cs="宋体"/>
          <w:sz w:val="24"/>
          <w:szCs w:val="24"/>
        </w:rPr>
        <w:t>出具可行的整改方案，并为</w:t>
      </w:r>
      <w:r>
        <w:rPr>
          <w:rFonts w:hint="eastAsia" w:ascii="宋体" w:hAnsi="宋体" w:eastAsia="宋体" w:cs="宋体"/>
          <w:sz w:val="24"/>
          <w:szCs w:val="24"/>
          <w:lang w:val="en-US" w:eastAsia="zh-CN"/>
        </w:rPr>
        <w:t>建设单位</w:t>
      </w:r>
      <w:r>
        <w:rPr>
          <w:rFonts w:hint="eastAsia" w:ascii="宋体" w:hAnsi="宋体" w:eastAsia="宋体" w:cs="宋体"/>
          <w:sz w:val="24"/>
          <w:szCs w:val="24"/>
        </w:rPr>
        <w:t>提供整改咨询服务；</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中标单位</w:t>
      </w:r>
      <w:r>
        <w:rPr>
          <w:rFonts w:hint="eastAsia" w:ascii="宋体" w:hAnsi="宋体" w:eastAsia="宋体" w:cs="宋体"/>
          <w:sz w:val="24"/>
          <w:szCs w:val="24"/>
        </w:rPr>
        <w:t>协助</w:t>
      </w:r>
      <w:r>
        <w:rPr>
          <w:rFonts w:hint="eastAsia" w:ascii="宋体" w:hAnsi="宋体" w:eastAsia="宋体" w:cs="宋体"/>
          <w:sz w:val="24"/>
          <w:szCs w:val="24"/>
          <w:lang w:val="en-US" w:eastAsia="zh-CN"/>
        </w:rPr>
        <w:t>建设单位</w:t>
      </w:r>
      <w:r>
        <w:rPr>
          <w:rFonts w:hint="eastAsia" w:ascii="宋体" w:hAnsi="宋体" w:eastAsia="宋体" w:cs="宋体"/>
          <w:sz w:val="24"/>
          <w:szCs w:val="24"/>
        </w:rPr>
        <w:t>完成网络安全保护等级测评的相关备案手续。</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.本次等级保护测评实施要求</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中标单位</w:t>
      </w:r>
      <w:r>
        <w:rPr>
          <w:rFonts w:hint="eastAsia" w:ascii="宋体" w:hAnsi="宋体" w:eastAsia="宋体" w:cs="宋体"/>
          <w:sz w:val="24"/>
          <w:szCs w:val="24"/>
        </w:rPr>
        <w:t>应保证按时完成测评工作。</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中标单位</w:t>
      </w:r>
      <w:r>
        <w:rPr>
          <w:rFonts w:hint="eastAsia" w:ascii="宋体" w:hAnsi="宋体" w:eastAsia="宋体" w:cs="宋体"/>
          <w:sz w:val="24"/>
          <w:szCs w:val="24"/>
        </w:rPr>
        <w:t>应根据</w:t>
      </w:r>
      <w:r>
        <w:rPr>
          <w:rFonts w:hint="eastAsia" w:ascii="宋体" w:hAnsi="宋体" w:eastAsia="宋体" w:cs="宋体"/>
          <w:sz w:val="24"/>
          <w:szCs w:val="24"/>
          <w:lang w:val="en-US" w:eastAsia="zh-CN"/>
        </w:rPr>
        <w:t>建设单位</w:t>
      </w:r>
      <w:r>
        <w:rPr>
          <w:rFonts w:hint="eastAsia" w:ascii="宋体" w:hAnsi="宋体" w:eastAsia="宋体" w:cs="宋体"/>
          <w:sz w:val="24"/>
          <w:szCs w:val="24"/>
        </w:rPr>
        <w:t>工作需求、进度要求、实际情况进一步完善《信息系统整体测评实施方案》，对项目目标、工作任务、阶段性工作、项目组织机构、职责分工、项目进度、质量控制等内容进行详细的说明，并通过审核，以确保项目实施按时保质的完成。</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中标单位</w:t>
      </w:r>
      <w:r>
        <w:rPr>
          <w:rFonts w:hint="eastAsia" w:ascii="宋体" w:hAnsi="宋体" w:eastAsia="宋体" w:cs="宋体"/>
          <w:sz w:val="24"/>
          <w:szCs w:val="24"/>
        </w:rPr>
        <w:t>在项目实施过程中应服从</w:t>
      </w:r>
      <w:r>
        <w:rPr>
          <w:rFonts w:hint="eastAsia" w:ascii="宋体" w:hAnsi="宋体" w:eastAsia="宋体" w:cs="宋体"/>
          <w:sz w:val="24"/>
          <w:szCs w:val="24"/>
          <w:lang w:val="en-US" w:eastAsia="zh-CN"/>
        </w:rPr>
        <w:t>建设单位</w:t>
      </w:r>
      <w:r>
        <w:rPr>
          <w:rFonts w:hint="eastAsia" w:ascii="宋体" w:hAnsi="宋体" w:eastAsia="宋体" w:cs="宋体"/>
          <w:sz w:val="24"/>
          <w:szCs w:val="24"/>
        </w:rPr>
        <w:t>的统一领导和协调，</w:t>
      </w:r>
      <w:r>
        <w:rPr>
          <w:rFonts w:hint="eastAsia" w:ascii="宋体" w:hAnsi="宋体" w:eastAsia="宋体" w:cs="宋体"/>
          <w:sz w:val="24"/>
          <w:szCs w:val="24"/>
          <w:lang w:val="en-US" w:eastAsia="zh-CN"/>
        </w:rPr>
        <w:t>建设单位</w:t>
      </w:r>
      <w:r>
        <w:rPr>
          <w:rFonts w:hint="eastAsia" w:ascii="宋体" w:hAnsi="宋体" w:eastAsia="宋体" w:cs="宋体"/>
          <w:sz w:val="24"/>
          <w:szCs w:val="24"/>
        </w:rPr>
        <w:t>有权裁决</w:t>
      </w:r>
      <w:r>
        <w:rPr>
          <w:rFonts w:hint="eastAsia" w:ascii="宋体" w:hAnsi="宋体" w:eastAsia="宋体" w:cs="宋体"/>
          <w:sz w:val="24"/>
          <w:szCs w:val="24"/>
          <w:lang w:val="en-US" w:eastAsia="zh-CN"/>
        </w:rPr>
        <w:t>中标单位</w:t>
      </w:r>
      <w:r>
        <w:rPr>
          <w:rFonts w:hint="eastAsia" w:ascii="宋体" w:hAnsi="宋体" w:eastAsia="宋体" w:cs="宋体"/>
          <w:sz w:val="24"/>
          <w:szCs w:val="24"/>
        </w:rPr>
        <w:t>的责任范围，</w:t>
      </w:r>
      <w:r>
        <w:rPr>
          <w:rFonts w:hint="eastAsia" w:ascii="宋体" w:hAnsi="宋体" w:eastAsia="宋体" w:cs="宋体"/>
          <w:sz w:val="24"/>
          <w:szCs w:val="24"/>
          <w:lang w:val="en-US" w:eastAsia="zh-CN"/>
        </w:rPr>
        <w:t>中标单位</w:t>
      </w:r>
      <w:r>
        <w:rPr>
          <w:rFonts w:hint="eastAsia" w:ascii="宋体" w:hAnsi="宋体" w:eastAsia="宋体" w:cs="宋体"/>
          <w:sz w:val="24"/>
          <w:szCs w:val="24"/>
        </w:rPr>
        <w:t>必须执行，在</w:t>
      </w:r>
      <w:r>
        <w:rPr>
          <w:rFonts w:hint="eastAsia" w:ascii="宋体" w:hAnsi="宋体" w:eastAsia="宋体" w:cs="宋体"/>
          <w:sz w:val="24"/>
          <w:szCs w:val="24"/>
          <w:lang w:val="en-US" w:eastAsia="zh-CN"/>
        </w:rPr>
        <w:t>建设单位</w:t>
      </w:r>
      <w:r>
        <w:rPr>
          <w:rFonts w:hint="eastAsia" w:ascii="宋体" w:hAnsi="宋体" w:eastAsia="宋体" w:cs="宋体"/>
          <w:sz w:val="24"/>
          <w:szCs w:val="24"/>
        </w:rPr>
        <w:t>限定的时间内解决问题。</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（4）实施过程中形成的阶段性成果文件须指定相关责任人，明确相关职责。</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（5）在整改过程中，如需现场服务，</w:t>
      </w:r>
      <w:r>
        <w:rPr>
          <w:rFonts w:hint="eastAsia" w:ascii="宋体" w:hAnsi="宋体" w:eastAsia="宋体" w:cs="宋体"/>
          <w:sz w:val="24"/>
          <w:szCs w:val="24"/>
          <w:lang w:val="en-US" w:eastAsia="zh-CN"/>
        </w:rPr>
        <w:t>中标单位</w:t>
      </w:r>
      <w:r>
        <w:rPr>
          <w:rFonts w:hint="eastAsia" w:ascii="宋体" w:hAnsi="宋体" w:eastAsia="宋体" w:cs="宋体"/>
          <w:sz w:val="24"/>
          <w:szCs w:val="24"/>
        </w:rPr>
        <w:t>技术人员应赶到现场协助处理。</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.项目服务承诺</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中标单位</w:t>
      </w:r>
      <w:r>
        <w:rPr>
          <w:rFonts w:hint="eastAsia" w:ascii="宋体" w:hAnsi="宋体" w:eastAsia="宋体" w:cs="宋体"/>
          <w:sz w:val="24"/>
          <w:szCs w:val="24"/>
        </w:rPr>
        <w:t>应满足</w:t>
      </w:r>
      <w:r>
        <w:rPr>
          <w:rFonts w:hint="eastAsia" w:ascii="宋体" w:hAnsi="宋体" w:eastAsia="宋体" w:cs="宋体"/>
          <w:sz w:val="24"/>
          <w:szCs w:val="24"/>
          <w:lang w:val="en-US" w:eastAsia="zh-CN"/>
        </w:rPr>
        <w:t>建设单位</w:t>
      </w:r>
      <w:r>
        <w:rPr>
          <w:rFonts w:hint="eastAsia" w:ascii="宋体" w:hAnsi="宋体" w:eastAsia="宋体" w:cs="宋体"/>
          <w:sz w:val="24"/>
          <w:szCs w:val="24"/>
        </w:rPr>
        <w:t>提出的标准性、规范性、可控性、整体性、最小影响性及保密性原则，做到守时、保质。</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（2）保密性要求：</w:t>
      </w:r>
      <w:r>
        <w:rPr>
          <w:rFonts w:hint="eastAsia" w:ascii="宋体" w:hAnsi="宋体" w:eastAsia="宋体" w:cs="宋体"/>
          <w:sz w:val="24"/>
          <w:szCs w:val="24"/>
          <w:lang w:val="en-US" w:eastAsia="zh-CN"/>
        </w:rPr>
        <w:t>中标单位</w:t>
      </w:r>
      <w:r>
        <w:rPr>
          <w:rFonts w:hint="eastAsia" w:ascii="宋体" w:hAnsi="宋体" w:eastAsia="宋体" w:cs="宋体"/>
          <w:sz w:val="24"/>
          <w:szCs w:val="24"/>
        </w:rPr>
        <w:t>必须和</w:t>
      </w:r>
      <w:r>
        <w:rPr>
          <w:rFonts w:hint="eastAsia" w:ascii="宋体" w:hAnsi="宋体" w:eastAsia="宋体" w:cs="宋体"/>
          <w:sz w:val="24"/>
          <w:szCs w:val="24"/>
          <w:lang w:val="en-US" w:eastAsia="zh-CN"/>
        </w:rPr>
        <w:t>建设单位</w:t>
      </w:r>
      <w:r>
        <w:rPr>
          <w:rFonts w:hint="eastAsia" w:ascii="宋体" w:hAnsi="宋体" w:eastAsia="宋体" w:cs="宋体"/>
          <w:sz w:val="24"/>
          <w:szCs w:val="24"/>
        </w:rPr>
        <w:t>签订保密协议和非侵害性协议，</w:t>
      </w:r>
      <w:r>
        <w:rPr>
          <w:rFonts w:hint="eastAsia" w:ascii="宋体" w:hAnsi="宋体" w:eastAsia="宋体" w:cs="宋体"/>
          <w:sz w:val="24"/>
          <w:szCs w:val="24"/>
          <w:lang w:val="en-US" w:eastAsia="zh-CN"/>
        </w:rPr>
        <w:t>中标单位</w:t>
      </w:r>
      <w:r>
        <w:rPr>
          <w:rFonts w:hint="eastAsia" w:ascii="宋体" w:hAnsi="宋体" w:eastAsia="宋体" w:cs="宋体"/>
          <w:sz w:val="24"/>
          <w:szCs w:val="24"/>
        </w:rPr>
        <w:t>必须要与参加此次测评项目的所有项目组成员签订保密协议和非侵害性协议，在合同签定时一并提供给</w:t>
      </w:r>
      <w:r>
        <w:rPr>
          <w:rFonts w:hint="eastAsia" w:ascii="宋体" w:hAnsi="宋体" w:eastAsia="宋体" w:cs="宋体"/>
          <w:sz w:val="24"/>
          <w:szCs w:val="24"/>
          <w:lang w:val="en-US" w:eastAsia="zh-CN"/>
        </w:rPr>
        <w:t>建设单位</w:t>
      </w:r>
      <w:r>
        <w:rPr>
          <w:rFonts w:hint="eastAsia" w:ascii="宋体" w:hAnsi="宋体" w:eastAsia="宋体" w:cs="宋体"/>
          <w:sz w:val="24"/>
          <w:szCs w:val="24"/>
        </w:rPr>
        <w:t>。</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中标单位</w:t>
      </w:r>
      <w:r>
        <w:rPr>
          <w:rFonts w:hint="eastAsia" w:ascii="宋体" w:hAnsi="宋体" w:eastAsia="宋体" w:cs="宋体"/>
          <w:sz w:val="24"/>
          <w:szCs w:val="24"/>
        </w:rPr>
        <w:t>具体测评工作和等级保护测评报告的编写，必须在</w:t>
      </w:r>
      <w:r>
        <w:rPr>
          <w:rFonts w:hint="eastAsia" w:ascii="宋体" w:hAnsi="宋体" w:eastAsia="宋体" w:cs="宋体"/>
          <w:sz w:val="24"/>
          <w:szCs w:val="24"/>
          <w:lang w:val="en-US" w:eastAsia="zh-CN"/>
        </w:rPr>
        <w:t>建设单位</w:t>
      </w:r>
      <w:r>
        <w:rPr>
          <w:rFonts w:hint="eastAsia" w:ascii="宋体" w:hAnsi="宋体" w:eastAsia="宋体" w:cs="宋体"/>
          <w:sz w:val="24"/>
          <w:szCs w:val="24"/>
        </w:rPr>
        <w:t>的指定地点进行。对于测评中的重要资料和结果，在测评期间和测评结束后，</w:t>
      </w:r>
      <w:r>
        <w:rPr>
          <w:rFonts w:hint="eastAsia" w:ascii="宋体" w:hAnsi="宋体" w:eastAsia="宋体" w:cs="宋体"/>
          <w:sz w:val="24"/>
          <w:szCs w:val="24"/>
          <w:lang w:val="en-US" w:eastAsia="zh-CN"/>
        </w:rPr>
        <w:t>中标单位</w:t>
      </w:r>
      <w:r>
        <w:rPr>
          <w:rFonts w:hint="eastAsia" w:ascii="宋体" w:hAnsi="宋体" w:eastAsia="宋体" w:cs="宋体"/>
          <w:sz w:val="24"/>
          <w:szCs w:val="24"/>
        </w:rPr>
        <w:t>不得带离该地点。</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中标单位</w:t>
      </w:r>
      <w:r>
        <w:rPr>
          <w:rFonts w:hint="eastAsia" w:ascii="宋体" w:hAnsi="宋体" w:eastAsia="宋体" w:cs="宋体"/>
          <w:sz w:val="24"/>
          <w:szCs w:val="24"/>
        </w:rPr>
        <w:t>对接触的设备信息、数据资料等负有保密责任，不得泄露给任何第三方。</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（5）等级保护测评的品质保证：</w:t>
      </w:r>
      <w:r>
        <w:rPr>
          <w:rFonts w:hint="eastAsia" w:ascii="宋体" w:hAnsi="宋体" w:eastAsia="宋体" w:cs="宋体"/>
          <w:sz w:val="24"/>
          <w:szCs w:val="24"/>
          <w:lang w:val="en-US" w:eastAsia="zh-CN"/>
        </w:rPr>
        <w:t>中标单位</w:t>
      </w:r>
      <w:r>
        <w:rPr>
          <w:rFonts w:hint="eastAsia" w:ascii="宋体" w:hAnsi="宋体" w:eastAsia="宋体" w:cs="宋体"/>
          <w:sz w:val="24"/>
          <w:szCs w:val="24"/>
        </w:rPr>
        <w:t>应承诺指派工作经验丰富、技术实力雄厚的安全顾问，结合技术领先、结论可靠的测评工具为客户作全面等级保护测评。承诺测评过程按照国家标准进行，并保证对客户的资料严格保密。</w:t>
      </w:r>
    </w:p>
    <w:p>
      <w:pPr>
        <w:pStyle w:val="5"/>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宋体" w:cs="宋体"/>
          <w:b/>
          <w:bCs/>
          <w:sz w:val="24"/>
          <w:szCs w:val="24"/>
          <w:lang w:eastAsia="zh-Hans"/>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eastAsia="zh-Hans"/>
        </w:rPr>
        <w:t>、其它要求</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中标单位</w:t>
      </w:r>
      <w:r>
        <w:rPr>
          <w:rFonts w:hint="eastAsia" w:ascii="宋体" w:hAnsi="宋体" w:eastAsia="宋体" w:cs="宋体"/>
          <w:sz w:val="24"/>
          <w:szCs w:val="24"/>
        </w:rPr>
        <w:t>在测评方案书中，对能提供的网络安全等级保护测评进行详细说明，可根据具体情况在项目方案中提出建议，并附详细资料和说明。</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中标单位</w:t>
      </w:r>
      <w:r>
        <w:rPr>
          <w:rFonts w:hint="eastAsia" w:ascii="宋体" w:hAnsi="宋体" w:eastAsia="宋体" w:cs="宋体"/>
          <w:sz w:val="24"/>
          <w:szCs w:val="24"/>
        </w:rPr>
        <w:t>应对提供测评服务时所使用的设备及软件保证拥有设备软硬件的知识产权和所有权，并对所涉及的专利、知识产权等法律条款承担义务，</w:t>
      </w:r>
      <w:r>
        <w:rPr>
          <w:rFonts w:hint="eastAsia" w:ascii="宋体" w:hAnsi="宋体" w:eastAsia="宋体" w:cs="宋体"/>
          <w:sz w:val="24"/>
          <w:szCs w:val="24"/>
          <w:lang w:val="en-US" w:eastAsia="zh-CN"/>
        </w:rPr>
        <w:t>建设单位对</w:t>
      </w:r>
      <w:r>
        <w:rPr>
          <w:rFonts w:hint="eastAsia" w:ascii="宋体" w:hAnsi="宋体" w:eastAsia="宋体" w:cs="宋体"/>
          <w:sz w:val="24"/>
          <w:szCs w:val="24"/>
        </w:rPr>
        <w:t>以上问题不承担任何法律责任。</w:t>
      </w:r>
    </w:p>
    <w:p>
      <w:pPr>
        <w:pStyle w:val="5"/>
        <w:pageBreakBefore w:val="0"/>
        <w:kinsoku/>
        <w:wordWrap/>
        <w:overflowPunct/>
        <w:topLinePunct w:val="0"/>
        <w:autoSpaceDE/>
        <w:autoSpaceDN/>
        <w:bidi w:val="0"/>
        <w:adjustRightInd/>
        <w:snapToGrid/>
        <w:spacing w:before="0" w:after="0" w:line="560" w:lineRule="exac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八、商务要求</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付款方式：</w:t>
      </w:r>
      <w:r>
        <w:rPr>
          <w:rFonts w:hint="eastAsia" w:ascii="宋体" w:hAnsi="宋体" w:eastAsia="宋体" w:cs="宋体"/>
          <w:sz w:val="24"/>
          <w:szCs w:val="24"/>
        </w:rPr>
        <w:t>签订合同</w:t>
      </w:r>
      <w:r>
        <w:rPr>
          <w:rFonts w:hint="eastAsia" w:ascii="宋体" w:hAnsi="宋体" w:eastAsia="宋体" w:cs="宋体"/>
          <w:sz w:val="24"/>
          <w:szCs w:val="24"/>
          <w:lang w:val="en-US" w:eastAsia="zh-CN"/>
        </w:rPr>
        <w:t>且具备实施条件收到发票后7</w:t>
      </w:r>
      <w:r>
        <w:rPr>
          <w:rFonts w:hint="eastAsia" w:ascii="宋体" w:hAnsi="宋体" w:eastAsia="宋体" w:cs="宋体"/>
          <w:sz w:val="24"/>
          <w:szCs w:val="24"/>
        </w:rPr>
        <w:t>个工作日甲方应向乙方支付合同总金额50%，</w:t>
      </w:r>
      <w:r>
        <w:rPr>
          <w:rFonts w:hint="eastAsia" w:ascii="宋体" w:hAnsi="宋体" w:eastAsia="宋体" w:cs="宋体"/>
          <w:sz w:val="24"/>
          <w:szCs w:val="24"/>
          <w:lang w:val="en-US" w:eastAsia="zh-CN"/>
        </w:rPr>
        <w:t>项目验收合格收到发票后</w:t>
      </w:r>
      <w:r>
        <w:rPr>
          <w:rFonts w:hint="eastAsia" w:ascii="宋体" w:hAnsi="宋体" w:eastAsia="宋体" w:cs="宋体"/>
          <w:sz w:val="24"/>
          <w:szCs w:val="24"/>
        </w:rPr>
        <w:t>7个工作日甲方应向乙方支付合同总金额50%。</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2、服务</w:t>
      </w:r>
      <w:r>
        <w:rPr>
          <w:rFonts w:hint="eastAsia" w:ascii="宋体" w:hAnsi="宋体" w:eastAsia="宋体" w:cs="宋体"/>
          <w:sz w:val="24"/>
          <w:szCs w:val="24"/>
          <w:lang w:eastAsia="zh-CN"/>
        </w:rPr>
        <w:t>期：</w:t>
      </w:r>
      <w:r>
        <w:rPr>
          <w:rFonts w:hint="eastAsia" w:ascii="宋体" w:hAnsi="宋体" w:eastAsia="宋体" w:cs="宋体"/>
          <w:sz w:val="24"/>
          <w:szCs w:val="24"/>
          <w:lang w:val="en-US" w:eastAsia="zh-CN"/>
        </w:rPr>
        <w:t>签订合同后</w:t>
      </w:r>
      <w:r>
        <w:rPr>
          <w:rFonts w:hint="eastAsia" w:ascii="宋体" w:hAnsi="宋体" w:cs="宋体"/>
          <w:sz w:val="24"/>
          <w:szCs w:val="24"/>
          <w:lang w:val="en-US" w:eastAsia="zh-CN"/>
        </w:rPr>
        <w:t>30日内</w:t>
      </w:r>
      <w:r>
        <w:rPr>
          <w:rFonts w:hint="eastAsia" w:ascii="宋体" w:hAnsi="宋体" w:eastAsia="宋体" w:cs="宋体"/>
          <w:sz w:val="24"/>
          <w:szCs w:val="24"/>
          <w:lang w:val="en-US" w:eastAsia="zh-CN"/>
        </w:rPr>
        <w:t>完成等级保护测评，出具网络安全报告（不含整改时间）。</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3、项目实施地点：</w:t>
      </w:r>
      <w:r>
        <w:rPr>
          <w:rFonts w:hint="eastAsia" w:ascii="宋体" w:hAnsi="宋体" w:eastAsia="宋体" w:cs="宋体"/>
          <w:sz w:val="24"/>
          <w:szCs w:val="24"/>
          <w:lang w:val="en-US" w:eastAsia="zh-CN"/>
        </w:rPr>
        <w:t>淳安县</w:t>
      </w:r>
      <w:r>
        <w:rPr>
          <w:rFonts w:hint="eastAsia" w:ascii="宋体" w:hAnsi="宋体" w:eastAsia="宋体" w:cs="宋体"/>
          <w:sz w:val="24"/>
          <w:szCs w:val="24"/>
          <w:lang w:eastAsia="zh-CN"/>
        </w:rPr>
        <w:t>。</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eastAsia="zh-CN"/>
        </w:rPr>
        <w:t>4、履约保证金：</w:t>
      </w:r>
      <w:r>
        <w:rPr>
          <w:rFonts w:hint="eastAsia" w:ascii="宋体" w:hAnsi="宋体" w:eastAsia="宋体" w:cs="宋体"/>
          <w:sz w:val="24"/>
          <w:szCs w:val="24"/>
          <w:lang w:val="zh-CN" w:eastAsia="zh-CN"/>
        </w:rPr>
        <w:t>合同签订时，采购人将按《中华人民共和国政府采购法实施条例》有关规定自行收取项目履约保证金，并于合同到期后15天内退还供应商（无息退还）。供应商应当以支票、汇票、本票或者金融机构、担保机构出具的保函等非现金形式提交。履约保证金的数额不得超过政府采购合同金额的</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5、项目验收要求</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服务期结束后，30个工作日内乙方整理验收文档并提交验收申请，甲方及时组织自行验收。</w:t>
      </w:r>
      <w:r>
        <w:rPr>
          <w:rFonts w:hint="eastAsia" w:ascii="宋体" w:hAnsi="宋体" w:eastAsia="宋体" w:cs="宋体"/>
          <w:sz w:val="24"/>
          <w:szCs w:val="24"/>
          <w:lang w:val="zh-CN" w:eastAsia="zh-CN"/>
        </w:rPr>
        <w:t>采购人对中标单位的服务进行检查验收，如果发现数量不足或有质量、技术等问题，中标单位应负责根据合同及采购人的要求采取补足或更换等处理措施，并承担由此发生的一切损失和费用。验收合格后，采购人在验收单上签字并加盖单位公章。</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（1）本项目的目标是输出等级保护测评报告，并配合办理网络安全等级保护测评备案手续，该项目将产生一定数量的文档。</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（2）投标供应商应对所有正式交付件的综合质量审查负责，指定各交付件的相关责任人，明确相关职责。</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（3）投标供应商应提交验收方案，供采购人参考。</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（4）采购人将依据本项目的要求，组织相关部门或单位的技术专家对投标供应商提交的项目成果进行验收。</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lang w:val="en-US" w:eastAsia="zh-CN"/>
        </w:rPr>
        <w:sectPr>
          <w:footerReference r:id="rId8" w:type="default"/>
          <w:pgSz w:w="11906" w:h="16838"/>
          <w:pgMar w:top="1440" w:right="1800" w:bottom="1440" w:left="1800" w:header="851" w:footer="992" w:gutter="0"/>
          <w:cols w:space="720" w:num="1"/>
          <w:docGrid w:type="lines" w:linePitch="312" w:charSpace="0"/>
        </w:sectPr>
      </w:pPr>
    </w:p>
    <w:p>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8" w:name="_Toc184310291"/>
      <w:bookmarkEnd w:id="28"/>
      <w:bookmarkStart w:id="29" w:name="_Toc184314461"/>
      <w:bookmarkEnd w:id="29"/>
      <w:bookmarkStart w:id="30" w:name="_Toc184314463"/>
      <w:bookmarkEnd w:id="30"/>
      <w:bookmarkStart w:id="31" w:name="_Toc184313238"/>
      <w:bookmarkEnd w:id="31"/>
      <w:bookmarkStart w:id="32" w:name="_Toc184314442"/>
      <w:bookmarkEnd w:id="32"/>
      <w:bookmarkStart w:id="33" w:name="_Toc184308105"/>
      <w:bookmarkEnd w:id="33"/>
      <w:bookmarkStart w:id="34" w:name="_Toc184310292"/>
      <w:bookmarkEnd w:id="34"/>
      <w:bookmarkStart w:id="35" w:name="_Toc184308082"/>
      <w:bookmarkEnd w:id="35"/>
      <w:bookmarkStart w:id="36" w:name="_Toc184308048"/>
      <w:bookmarkEnd w:id="36"/>
      <w:bookmarkStart w:id="37" w:name="_Toc184310275"/>
      <w:bookmarkEnd w:id="37"/>
      <w:bookmarkStart w:id="38" w:name="_Toc184312074"/>
      <w:bookmarkEnd w:id="38"/>
      <w:bookmarkStart w:id="39" w:name="_Toc184312073"/>
      <w:bookmarkEnd w:id="39"/>
      <w:bookmarkStart w:id="40" w:name="_Toc184313257"/>
      <w:bookmarkEnd w:id="40"/>
      <w:bookmarkStart w:id="41" w:name="_Toc184313256"/>
      <w:bookmarkEnd w:id="41"/>
      <w:bookmarkStart w:id="42" w:name="_Toc184313274"/>
      <w:bookmarkEnd w:id="42"/>
      <w:bookmarkStart w:id="43" w:name="_Toc184313294"/>
      <w:bookmarkEnd w:id="43"/>
      <w:bookmarkStart w:id="44" w:name="_Toc184313243"/>
      <w:bookmarkEnd w:id="44"/>
      <w:bookmarkStart w:id="45" w:name="_Toc184312121"/>
      <w:bookmarkEnd w:id="45"/>
      <w:bookmarkStart w:id="46" w:name="_Toc184312122"/>
      <w:bookmarkEnd w:id="46"/>
      <w:bookmarkStart w:id="47" w:name="_Toc184312070"/>
      <w:bookmarkEnd w:id="47"/>
      <w:bookmarkStart w:id="48" w:name="_Toc184313260"/>
      <w:bookmarkEnd w:id="48"/>
      <w:bookmarkStart w:id="49" w:name="_Toc184314457"/>
      <w:bookmarkEnd w:id="49"/>
      <w:bookmarkStart w:id="50" w:name="_Toc184312102"/>
      <w:bookmarkEnd w:id="50"/>
      <w:bookmarkStart w:id="51" w:name="_Toc184314433"/>
      <w:bookmarkEnd w:id="51"/>
      <w:bookmarkStart w:id="52" w:name="_Toc184314479"/>
      <w:bookmarkEnd w:id="52"/>
      <w:bookmarkStart w:id="53" w:name="_Toc184314443"/>
      <w:bookmarkEnd w:id="53"/>
      <w:bookmarkStart w:id="54" w:name="_Toc184310299"/>
      <w:bookmarkEnd w:id="54"/>
      <w:bookmarkStart w:id="55" w:name="_Toc184313304"/>
      <w:bookmarkEnd w:id="55"/>
      <w:bookmarkStart w:id="56" w:name="_Toc184312111"/>
      <w:bookmarkEnd w:id="56"/>
      <w:bookmarkStart w:id="57" w:name="_Toc184312115"/>
      <w:bookmarkEnd w:id="57"/>
      <w:bookmarkStart w:id="58" w:name="_Toc184308093"/>
      <w:bookmarkEnd w:id="58"/>
      <w:bookmarkStart w:id="59" w:name="_Toc184310279"/>
      <w:bookmarkEnd w:id="59"/>
      <w:bookmarkStart w:id="60" w:name="_Toc184313239"/>
      <w:bookmarkEnd w:id="60"/>
      <w:bookmarkStart w:id="61" w:name="_Toc184308094"/>
      <w:bookmarkEnd w:id="61"/>
      <w:bookmarkStart w:id="62" w:name="_Toc184312120"/>
      <w:bookmarkEnd w:id="62"/>
      <w:bookmarkStart w:id="63" w:name="_Toc184308058"/>
      <w:bookmarkEnd w:id="63"/>
      <w:bookmarkStart w:id="64" w:name="_Toc184312125"/>
      <w:bookmarkEnd w:id="64"/>
      <w:bookmarkStart w:id="65" w:name="_Toc184314473"/>
      <w:bookmarkEnd w:id="65"/>
      <w:bookmarkStart w:id="66" w:name="_Toc184313272"/>
      <w:bookmarkEnd w:id="66"/>
      <w:bookmarkStart w:id="67" w:name="_Toc184314420"/>
      <w:bookmarkEnd w:id="67"/>
      <w:bookmarkStart w:id="68" w:name="_Toc184310331"/>
      <w:bookmarkEnd w:id="68"/>
      <w:bookmarkStart w:id="69" w:name="_Toc184313300"/>
      <w:bookmarkEnd w:id="69"/>
      <w:bookmarkStart w:id="70" w:name="_Toc184308069"/>
      <w:bookmarkEnd w:id="70"/>
      <w:bookmarkStart w:id="71" w:name="_Toc184312127"/>
      <w:bookmarkEnd w:id="71"/>
      <w:bookmarkStart w:id="72" w:name="_Toc184310339"/>
      <w:bookmarkEnd w:id="72"/>
      <w:bookmarkStart w:id="73" w:name="_Toc184314441"/>
      <w:bookmarkEnd w:id="73"/>
      <w:bookmarkStart w:id="74" w:name="_Toc184312071"/>
      <w:bookmarkEnd w:id="74"/>
      <w:bookmarkStart w:id="75" w:name="_Toc184308077"/>
      <w:bookmarkEnd w:id="75"/>
      <w:bookmarkStart w:id="76" w:name="_Toc184308092"/>
      <w:bookmarkEnd w:id="76"/>
      <w:bookmarkStart w:id="77" w:name="_Toc184314439"/>
      <w:bookmarkEnd w:id="77"/>
      <w:bookmarkStart w:id="78" w:name="_Toc184308061"/>
      <w:bookmarkEnd w:id="78"/>
      <w:bookmarkStart w:id="79" w:name="_Toc184314459"/>
      <w:bookmarkEnd w:id="79"/>
      <w:bookmarkStart w:id="80" w:name="_Toc184312133"/>
      <w:bookmarkEnd w:id="80"/>
      <w:bookmarkStart w:id="81" w:name="_Toc184308107"/>
      <w:bookmarkEnd w:id="81"/>
      <w:bookmarkStart w:id="82" w:name="_Toc184308056"/>
      <w:bookmarkEnd w:id="82"/>
      <w:bookmarkStart w:id="83" w:name="_Toc184313261"/>
      <w:bookmarkEnd w:id="83"/>
      <w:bookmarkStart w:id="84" w:name="_Toc184314444"/>
      <w:bookmarkEnd w:id="84"/>
      <w:bookmarkStart w:id="85" w:name="_Toc184313263"/>
      <w:bookmarkEnd w:id="85"/>
      <w:bookmarkStart w:id="86" w:name="_Toc184313302"/>
      <w:bookmarkEnd w:id="86"/>
      <w:bookmarkStart w:id="87" w:name="_Toc184308057"/>
      <w:bookmarkEnd w:id="87"/>
      <w:bookmarkStart w:id="88" w:name="_Toc184310307"/>
      <w:bookmarkEnd w:id="88"/>
      <w:bookmarkStart w:id="89" w:name="_Toc184313246"/>
      <w:bookmarkEnd w:id="89"/>
      <w:bookmarkStart w:id="90" w:name="_Toc184308065"/>
      <w:bookmarkEnd w:id="90"/>
      <w:bookmarkStart w:id="91" w:name="_Toc184308037"/>
      <w:bookmarkEnd w:id="91"/>
      <w:bookmarkStart w:id="92" w:name="_Toc184310296"/>
      <w:bookmarkEnd w:id="92"/>
      <w:bookmarkStart w:id="93" w:name="_Toc184312084"/>
      <w:bookmarkEnd w:id="93"/>
      <w:bookmarkStart w:id="94" w:name="_Toc184313247"/>
      <w:bookmarkEnd w:id="94"/>
      <w:bookmarkStart w:id="95" w:name="_Toc184312089"/>
      <w:bookmarkEnd w:id="95"/>
      <w:bookmarkStart w:id="96" w:name="_Toc184310334"/>
      <w:bookmarkEnd w:id="96"/>
      <w:bookmarkStart w:id="97" w:name="_Toc184314456"/>
      <w:bookmarkEnd w:id="97"/>
      <w:bookmarkStart w:id="98" w:name="_Toc184314411"/>
      <w:bookmarkEnd w:id="98"/>
      <w:bookmarkStart w:id="99" w:name="_Toc184314454"/>
      <w:bookmarkEnd w:id="99"/>
      <w:bookmarkStart w:id="100" w:name="_Toc184310321"/>
      <w:bookmarkEnd w:id="100"/>
      <w:bookmarkStart w:id="101" w:name="_Toc184314475"/>
      <w:bookmarkEnd w:id="101"/>
      <w:bookmarkStart w:id="102" w:name="_Toc184314434"/>
      <w:bookmarkEnd w:id="102"/>
      <w:bookmarkStart w:id="103" w:name="_Toc184314468"/>
      <w:bookmarkEnd w:id="103"/>
      <w:bookmarkStart w:id="104" w:name="_Toc184312094"/>
      <w:bookmarkEnd w:id="104"/>
      <w:bookmarkStart w:id="105" w:name="_Toc184314414"/>
      <w:bookmarkEnd w:id="105"/>
      <w:bookmarkStart w:id="106" w:name="_Toc184314428"/>
      <w:bookmarkEnd w:id="106"/>
      <w:bookmarkStart w:id="107" w:name="_Toc184312130"/>
      <w:bookmarkEnd w:id="107"/>
      <w:bookmarkStart w:id="108" w:name="_Toc184314464"/>
      <w:bookmarkEnd w:id="108"/>
      <w:bookmarkStart w:id="109" w:name="_Toc184314424"/>
      <w:bookmarkEnd w:id="109"/>
      <w:bookmarkStart w:id="110" w:name="_Toc184308074"/>
      <w:bookmarkEnd w:id="110"/>
      <w:bookmarkStart w:id="111" w:name="_Toc184310336"/>
      <w:bookmarkEnd w:id="111"/>
      <w:bookmarkStart w:id="112" w:name="_Toc184313280"/>
      <w:bookmarkEnd w:id="112"/>
      <w:bookmarkStart w:id="113" w:name="_Toc184312124"/>
      <w:bookmarkEnd w:id="113"/>
      <w:bookmarkStart w:id="114" w:name="_Toc184310338"/>
      <w:bookmarkEnd w:id="114"/>
      <w:bookmarkStart w:id="115" w:name="_Toc184313291"/>
      <w:bookmarkEnd w:id="115"/>
      <w:bookmarkStart w:id="116" w:name="_Toc184313250"/>
      <w:bookmarkEnd w:id="116"/>
      <w:bookmarkStart w:id="117" w:name="_Toc184308101"/>
      <w:bookmarkEnd w:id="117"/>
      <w:bookmarkStart w:id="118" w:name="_Toc184310284"/>
      <w:bookmarkEnd w:id="118"/>
      <w:bookmarkStart w:id="119" w:name="_Toc184314416"/>
      <w:bookmarkEnd w:id="119"/>
      <w:bookmarkStart w:id="120" w:name="_Toc184314435"/>
      <w:bookmarkEnd w:id="120"/>
      <w:bookmarkStart w:id="121" w:name="_Toc184308104"/>
      <w:bookmarkEnd w:id="121"/>
      <w:bookmarkStart w:id="122" w:name="_Toc184313278"/>
      <w:bookmarkEnd w:id="122"/>
      <w:bookmarkStart w:id="123" w:name="_Toc184310313"/>
      <w:bookmarkEnd w:id="123"/>
      <w:bookmarkStart w:id="124" w:name="_Toc184308095"/>
      <w:bookmarkEnd w:id="124"/>
      <w:bookmarkStart w:id="125" w:name="_Toc184310312"/>
      <w:bookmarkEnd w:id="125"/>
      <w:bookmarkStart w:id="126" w:name="_Toc184308100"/>
      <w:bookmarkEnd w:id="126"/>
      <w:bookmarkStart w:id="127" w:name="_Toc184308079"/>
      <w:bookmarkEnd w:id="127"/>
      <w:bookmarkStart w:id="128" w:name="_Toc184313306"/>
      <w:bookmarkEnd w:id="128"/>
      <w:bookmarkStart w:id="129" w:name="_Toc184314481"/>
      <w:bookmarkEnd w:id="129"/>
      <w:bookmarkStart w:id="130" w:name="_Toc184313290"/>
      <w:bookmarkEnd w:id="130"/>
      <w:bookmarkStart w:id="131" w:name="_Toc184308085"/>
      <w:bookmarkEnd w:id="131"/>
      <w:bookmarkStart w:id="132" w:name="_Toc184313292"/>
      <w:bookmarkEnd w:id="132"/>
      <w:bookmarkStart w:id="133" w:name="_Toc184312112"/>
      <w:bookmarkEnd w:id="133"/>
      <w:bookmarkStart w:id="134" w:name="_Toc184310327"/>
      <w:bookmarkEnd w:id="134"/>
      <w:bookmarkStart w:id="135" w:name="_Toc184310273"/>
      <w:bookmarkEnd w:id="135"/>
      <w:bookmarkStart w:id="136" w:name="_Toc184310282"/>
      <w:bookmarkEnd w:id="136"/>
      <w:bookmarkStart w:id="137" w:name="_Toc184312090"/>
      <w:bookmarkEnd w:id="137"/>
      <w:bookmarkStart w:id="138" w:name="_Toc184308078"/>
      <w:bookmarkEnd w:id="138"/>
      <w:bookmarkStart w:id="139" w:name="_Toc184310293"/>
      <w:bookmarkEnd w:id="139"/>
      <w:bookmarkStart w:id="140" w:name="_Toc184312075"/>
      <w:bookmarkEnd w:id="140"/>
      <w:bookmarkStart w:id="141" w:name="_Toc184308047"/>
      <w:bookmarkEnd w:id="141"/>
      <w:bookmarkStart w:id="142" w:name="_Toc184310272"/>
      <w:bookmarkEnd w:id="142"/>
      <w:bookmarkStart w:id="143" w:name="_Toc184314421"/>
      <w:bookmarkEnd w:id="143"/>
      <w:bookmarkStart w:id="144" w:name="_Toc184314429"/>
      <w:bookmarkEnd w:id="144"/>
      <w:bookmarkStart w:id="145" w:name="_Toc184312091"/>
      <w:bookmarkEnd w:id="145"/>
      <w:bookmarkStart w:id="146" w:name="_Toc184313277"/>
      <w:bookmarkEnd w:id="146"/>
      <w:bookmarkStart w:id="147" w:name="_Toc184308039"/>
      <w:bookmarkEnd w:id="147"/>
      <w:bookmarkStart w:id="148" w:name="_Toc184310324"/>
      <w:bookmarkEnd w:id="148"/>
      <w:bookmarkStart w:id="149" w:name="_Toc184312095"/>
      <w:bookmarkEnd w:id="149"/>
      <w:bookmarkStart w:id="150" w:name="_Toc184313295"/>
      <w:bookmarkEnd w:id="150"/>
      <w:bookmarkStart w:id="151" w:name="_Toc184312131"/>
      <w:bookmarkEnd w:id="151"/>
      <w:bookmarkStart w:id="152" w:name="_Toc184314452"/>
      <w:bookmarkEnd w:id="152"/>
      <w:bookmarkStart w:id="153" w:name="_Toc184314430"/>
      <w:bookmarkEnd w:id="153"/>
      <w:bookmarkStart w:id="154" w:name="_Toc184312126"/>
      <w:bookmarkEnd w:id="154"/>
      <w:bookmarkStart w:id="155" w:name="_Toc184312106"/>
      <w:bookmarkEnd w:id="155"/>
      <w:bookmarkStart w:id="156" w:name="_Toc184312093"/>
      <w:bookmarkEnd w:id="156"/>
      <w:bookmarkStart w:id="157" w:name="_Toc184314478"/>
      <w:bookmarkEnd w:id="157"/>
      <w:bookmarkStart w:id="158" w:name="_Toc184313252"/>
      <w:bookmarkEnd w:id="158"/>
      <w:bookmarkStart w:id="159" w:name="_Toc184308098"/>
      <w:bookmarkEnd w:id="159"/>
      <w:bookmarkStart w:id="160" w:name="_Toc184308053"/>
      <w:bookmarkEnd w:id="160"/>
      <w:bookmarkStart w:id="161" w:name="_Toc184310332"/>
      <w:bookmarkEnd w:id="161"/>
      <w:bookmarkStart w:id="162" w:name="_Toc184310289"/>
      <w:bookmarkEnd w:id="162"/>
      <w:bookmarkStart w:id="163" w:name="_Toc184312129"/>
      <w:bookmarkEnd w:id="163"/>
      <w:bookmarkStart w:id="164" w:name="_Toc184313258"/>
      <w:bookmarkEnd w:id="164"/>
      <w:bookmarkStart w:id="165" w:name="_Toc184310320"/>
      <w:bookmarkEnd w:id="165"/>
      <w:bookmarkStart w:id="166" w:name="_Toc184314413"/>
      <w:bookmarkEnd w:id="166"/>
      <w:bookmarkStart w:id="167" w:name="_Toc184310295"/>
      <w:bookmarkEnd w:id="167"/>
      <w:bookmarkStart w:id="168" w:name="_Toc184312117"/>
      <w:bookmarkEnd w:id="168"/>
      <w:bookmarkStart w:id="169" w:name="_Toc184308067"/>
      <w:bookmarkEnd w:id="169"/>
      <w:bookmarkStart w:id="170" w:name="_Toc184313240"/>
      <w:bookmarkEnd w:id="170"/>
      <w:bookmarkStart w:id="171" w:name="_Toc184313269"/>
      <w:bookmarkEnd w:id="171"/>
      <w:bookmarkStart w:id="172" w:name="_Toc184314415"/>
      <w:bookmarkEnd w:id="172"/>
      <w:bookmarkStart w:id="173" w:name="_Toc184313282"/>
      <w:bookmarkEnd w:id="173"/>
      <w:bookmarkStart w:id="174" w:name="_Toc184313286"/>
      <w:bookmarkEnd w:id="174"/>
      <w:bookmarkStart w:id="175" w:name="_Toc184310314"/>
      <w:bookmarkEnd w:id="175"/>
      <w:bookmarkStart w:id="176" w:name="_Toc184308052"/>
      <w:bookmarkEnd w:id="176"/>
      <w:bookmarkStart w:id="177" w:name="_Toc184310305"/>
      <w:bookmarkEnd w:id="177"/>
      <w:bookmarkStart w:id="178" w:name="_Toc184308068"/>
      <w:bookmarkEnd w:id="178"/>
      <w:bookmarkStart w:id="179" w:name="_Toc184312136"/>
      <w:bookmarkEnd w:id="179"/>
      <w:bookmarkStart w:id="180" w:name="_Toc184314460"/>
      <w:bookmarkEnd w:id="180"/>
      <w:bookmarkStart w:id="181" w:name="_Toc184308036"/>
      <w:bookmarkEnd w:id="181"/>
      <w:bookmarkStart w:id="182" w:name="_Toc184310298"/>
      <w:bookmarkEnd w:id="182"/>
      <w:bookmarkStart w:id="183" w:name="_Toc184314472"/>
      <w:bookmarkEnd w:id="183"/>
      <w:bookmarkStart w:id="184" w:name="_Toc184308073"/>
      <w:bookmarkEnd w:id="184"/>
      <w:bookmarkStart w:id="185" w:name="_Toc184314418"/>
      <w:bookmarkEnd w:id="185"/>
      <w:bookmarkStart w:id="186" w:name="_Toc184310302"/>
      <w:bookmarkEnd w:id="186"/>
      <w:bookmarkStart w:id="187" w:name="_Toc184313275"/>
      <w:bookmarkEnd w:id="187"/>
      <w:bookmarkStart w:id="188" w:name="_Toc184312086"/>
      <w:bookmarkEnd w:id="188"/>
      <w:bookmarkStart w:id="189" w:name="_Toc184312134"/>
      <w:bookmarkEnd w:id="189"/>
      <w:bookmarkStart w:id="190" w:name="_Toc184310340"/>
      <w:bookmarkEnd w:id="190"/>
      <w:bookmarkStart w:id="191" w:name="_Toc184308081"/>
      <w:bookmarkEnd w:id="191"/>
      <w:bookmarkStart w:id="192" w:name="_Toc184308080"/>
      <w:bookmarkEnd w:id="192"/>
      <w:bookmarkStart w:id="193" w:name="_Toc184310323"/>
      <w:bookmarkEnd w:id="193"/>
      <w:bookmarkStart w:id="194" w:name="_Toc184314423"/>
      <w:bookmarkEnd w:id="194"/>
      <w:bookmarkStart w:id="195" w:name="_Toc184310283"/>
      <w:bookmarkEnd w:id="195"/>
      <w:bookmarkStart w:id="196" w:name="_Toc184314426"/>
      <w:bookmarkEnd w:id="196"/>
      <w:bookmarkStart w:id="197" w:name="_Toc184313310"/>
      <w:bookmarkEnd w:id="197"/>
      <w:bookmarkStart w:id="198" w:name="_Toc184310306"/>
      <w:bookmarkEnd w:id="198"/>
      <w:bookmarkStart w:id="199" w:name="_Toc184314427"/>
      <w:bookmarkEnd w:id="199"/>
      <w:bookmarkStart w:id="200" w:name="_Toc184314471"/>
      <w:bookmarkEnd w:id="200"/>
      <w:bookmarkStart w:id="201" w:name="_Toc184310319"/>
      <w:bookmarkEnd w:id="201"/>
      <w:bookmarkStart w:id="202" w:name="_Toc184313271"/>
      <w:bookmarkEnd w:id="202"/>
      <w:bookmarkStart w:id="203" w:name="_Toc184308046"/>
      <w:bookmarkEnd w:id="203"/>
      <w:bookmarkStart w:id="204" w:name="_Toc184314450"/>
      <w:bookmarkEnd w:id="204"/>
      <w:bookmarkStart w:id="205" w:name="_Toc184312119"/>
      <w:bookmarkEnd w:id="205"/>
      <w:bookmarkStart w:id="206" w:name="_Toc184308083"/>
      <w:bookmarkEnd w:id="206"/>
      <w:bookmarkStart w:id="207" w:name="_Toc184308063"/>
      <w:bookmarkEnd w:id="207"/>
      <w:bookmarkStart w:id="208" w:name="_Toc184310304"/>
      <w:bookmarkEnd w:id="208"/>
      <w:bookmarkStart w:id="209" w:name="_Toc184312138"/>
      <w:bookmarkEnd w:id="209"/>
      <w:bookmarkStart w:id="210" w:name="_Toc184313305"/>
      <w:bookmarkEnd w:id="210"/>
      <w:bookmarkStart w:id="211" w:name="_Toc184314410"/>
      <w:bookmarkEnd w:id="211"/>
      <w:bookmarkStart w:id="212" w:name="_Toc184314453"/>
      <w:bookmarkEnd w:id="212"/>
      <w:bookmarkStart w:id="213" w:name="_Toc184312132"/>
      <w:bookmarkEnd w:id="213"/>
      <w:bookmarkStart w:id="214" w:name="_Toc184314469"/>
      <w:bookmarkEnd w:id="214"/>
      <w:bookmarkStart w:id="215" w:name="_Toc184308108"/>
      <w:bookmarkEnd w:id="215"/>
      <w:bookmarkStart w:id="216" w:name="_Toc184310310"/>
      <w:bookmarkEnd w:id="216"/>
      <w:bookmarkStart w:id="217" w:name="_Toc184310330"/>
      <w:bookmarkEnd w:id="217"/>
      <w:bookmarkStart w:id="218" w:name="_Toc184313284"/>
      <w:bookmarkEnd w:id="218"/>
      <w:bookmarkStart w:id="219" w:name="_Toc184312088"/>
      <w:bookmarkEnd w:id="219"/>
      <w:bookmarkStart w:id="220" w:name="_Toc184310280"/>
      <w:bookmarkEnd w:id="220"/>
      <w:bookmarkStart w:id="221" w:name="_Toc184308076"/>
      <w:bookmarkEnd w:id="221"/>
      <w:bookmarkStart w:id="222" w:name="_Toc184312080"/>
      <w:bookmarkEnd w:id="222"/>
      <w:bookmarkStart w:id="223" w:name="_Toc184314451"/>
      <w:bookmarkEnd w:id="223"/>
      <w:bookmarkStart w:id="224" w:name="_Toc184313279"/>
      <w:bookmarkEnd w:id="224"/>
      <w:bookmarkStart w:id="225" w:name="_Toc184312114"/>
      <w:bookmarkEnd w:id="225"/>
      <w:bookmarkStart w:id="226" w:name="_Toc184314436"/>
      <w:bookmarkEnd w:id="226"/>
      <w:bookmarkStart w:id="227" w:name="_Toc184313270"/>
      <w:bookmarkEnd w:id="227"/>
      <w:bookmarkStart w:id="228" w:name="_Toc184312108"/>
      <w:bookmarkEnd w:id="228"/>
      <w:bookmarkStart w:id="229" w:name="_Toc184312128"/>
      <w:bookmarkEnd w:id="229"/>
      <w:bookmarkStart w:id="230" w:name="_Toc184308072"/>
      <w:bookmarkEnd w:id="230"/>
      <w:bookmarkStart w:id="231" w:name="_Toc184313281"/>
      <w:bookmarkEnd w:id="231"/>
      <w:bookmarkStart w:id="232" w:name="_Toc184310297"/>
      <w:bookmarkEnd w:id="232"/>
      <w:bookmarkStart w:id="233" w:name="_Toc184313309"/>
      <w:bookmarkEnd w:id="233"/>
      <w:bookmarkStart w:id="234" w:name="_Toc184313259"/>
      <w:bookmarkEnd w:id="234"/>
      <w:bookmarkStart w:id="235" w:name="_Toc184314419"/>
      <w:bookmarkEnd w:id="235"/>
      <w:bookmarkStart w:id="236" w:name="_Toc184310315"/>
      <w:bookmarkEnd w:id="236"/>
      <w:bookmarkStart w:id="237" w:name="_Toc184313249"/>
      <w:bookmarkEnd w:id="237"/>
      <w:bookmarkStart w:id="238" w:name="_Toc184314445"/>
      <w:bookmarkEnd w:id="238"/>
      <w:bookmarkStart w:id="239" w:name="_Toc184312110"/>
      <w:bookmarkEnd w:id="239"/>
      <w:bookmarkStart w:id="240" w:name="_Toc184310281"/>
      <w:bookmarkEnd w:id="240"/>
      <w:bookmarkStart w:id="241" w:name="_Toc184310343"/>
      <w:bookmarkEnd w:id="241"/>
      <w:bookmarkStart w:id="242" w:name="_Toc184313289"/>
      <w:bookmarkEnd w:id="242"/>
      <w:bookmarkStart w:id="243" w:name="_Toc184308051"/>
      <w:bookmarkEnd w:id="243"/>
      <w:bookmarkStart w:id="244" w:name="_Toc184310285"/>
      <w:bookmarkEnd w:id="244"/>
      <w:bookmarkStart w:id="245" w:name="_Toc184308040"/>
      <w:bookmarkEnd w:id="245"/>
      <w:bookmarkStart w:id="246" w:name="_Toc184310317"/>
      <w:bookmarkEnd w:id="246"/>
      <w:bookmarkStart w:id="247" w:name="_Toc184313307"/>
      <w:bookmarkEnd w:id="247"/>
      <w:bookmarkStart w:id="248" w:name="_Toc184310341"/>
      <w:bookmarkEnd w:id="248"/>
      <w:bookmarkStart w:id="249" w:name="_Toc184312099"/>
      <w:bookmarkEnd w:id="249"/>
      <w:bookmarkStart w:id="250" w:name="_Toc184310322"/>
      <w:bookmarkEnd w:id="250"/>
      <w:bookmarkStart w:id="251" w:name="_Toc184308060"/>
      <w:bookmarkEnd w:id="251"/>
      <w:bookmarkStart w:id="252" w:name="_Toc184314476"/>
      <w:bookmarkEnd w:id="252"/>
      <w:bookmarkStart w:id="253" w:name="_Toc184314437"/>
      <w:bookmarkEnd w:id="253"/>
      <w:bookmarkStart w:id="254" w:name="_Toc184314462"/>
      <w:bookmarkEnd w:id="254"/>
      <w:bookmarkStart w:id="255" w:name="_Toc184312113"/>
      <w:bookmarkEnd w:id="255"/>
      <w:bookmarkStart w:id="256" w:name="_Toc184308088"/>
      <w:bookmarkEnd w:id="256"/>
      <w:bookmarkStart w:id="257" w:name="_Toc184312085"/>
      <w:bookmarkEnd w:id="257"/>
      <w:bookmarkStart w:id="258" w:name="_Toc184308049"/>
      <w:bookmarkEnd w:id="258"/>
      <w:bookmarkStart w:id="259" w:name="_Toc184314447"/>
      <w:bookmarkEnd w:id="259"/>
      <w:bookmarkStart w:id="260" w:name="_Toc184312082"/>
      <w:bookmarkEnd w:id="260"/>
      <w:bookmarkStart w:id="261" w:name="_Toc184313301"/>
      <w:bookmarkEnd w:id="261"/>
      <w:bookmarkStart w:id="262" w:name="_Toc184312135"/>
      <w:bookmarkEnd w:id="262"/>
      <w:bookmarkStart w:id="263" w:name="_Toc184308050"/>
      <w:bookmarkEnd w:id="263"/>
      <w:bookmarkStart w:id="264" w:name="_Toc184314422"/>
      <w:bookmarkEnd w:id="264"/>
      <w:bookmarkStart w:id="265" w:name="_Toc184310274"/>
      <w:bookmarkEnd w:id="265"/>
      <w:bookmarkStart w:id="266" w:name="_Toc184313308"/>
      <w:bookmarkEnd w:id="266"/>
      <w:bookmarkStart w:id="267" w:name="_Toc184313255"/>
      <w:bookmarkEnd w:id="267"/>
      <w:bookmarkStart w:id="268" w:name="_Toc184310318"/>
      <w:bookmarkEnd w:id="268"/>
      <w:bookmarkStart w:id="269" w:name="_Toc184313283"/>
      <w:bookmarkEnd w:id="269"/>
      <w:bookmarkStart w:id="270" w:name="_Toc184310337"/>
      <w:bookmarkEnd w:id="270"/>
      <w:bookmarkStart w:id="271" w:name="_Toc184308091"/>
      <w:bookmarkEnd w:id="271"/>
      <w:bookmarkStart w:id="272" w:name="_Toc184312072"/>
      <w:bookmarkEnd w:id="272"/>
      <w:bookmarkStart w:id="273" w:name="_Toc184312098"/>
      <w:bookmarkEnd w:id="273"/>
      <w:bookmarkStart w:id="274" w:name="_Toc184310277"/>
      <w:bookmarkEnd w:id="274"/>
      <w:bookmarkStart w:id="275" w:name="_Toc184308097"/>
      <w:bookmarkEnd w:id="275"/>
      <w:bookmarkStart w:id="276" w:name="_Toc184312123"/>
      <w:bookmarkEnd w:id="276"/>
      <w:bookmarkStart w:id="277" w:name="_Toc184312103"/>
      <w:bookmarkEnd w:id="277"/>
      <w:bookmarkStart w:id="278" w:name="_Toc184310328"/>
      <w:bookmarkEnd w:id="278"/>
      <w:bookmarkStart w:id="279" w:name="_Toc184314482"/>
      <w:bookmarkEnd w:id="279"/>
      <w:bookmarkStart w:id="280" w:name="_Toc184314467"/>
      <w:bookmarkEnd w:id="280"/>
      <w:bookmarkStart w:id="281" w:name="_Toc184314455"/>
      <w:bookmarkEnd w:id="281"/>
      <w:bookmarkStart w:id="282" w:name="_Toc184308045"/>
      <w:bookmarkEnd w:id="282"/>
      <w:bookmarkStart w:id="283" w:name="_Toc184313296"/>
      <w:bookmarkEnd w:id="283"/>
      <w:bookmarkStart w:id="284" w:name="_Toc184313287"/>
      <w:bookmarkEnd w:id="284"/>
      <w:bookmarkStart w:id="285" w:name="_Toc184313262"/>
      <w:bookmarkEnd w:id="285"/>
      <w:bookmarkStart w:id="286" w:name="_Toc184308106"/>
      <w:bookmarkEnd w:id="286"/>
      <w:bookmarkStart w:id="287" w:name="_Toc184312109"/>
      <w:bookmarkEnd w:id="287"/>
      <w:bookmarkStart w:id="288" w:name="_Toc184310301"/>
      <w:bookmarkEnd w:id="288"/>
      <w:bookmarkStart w:id="289" w:name="_Toc184310325"/>
      <w:bookmarkEnd w:id="289"/>
      <w:bookmarkStart w:id="290" w:name="_Toc184313245"/>
      <w:bookmarkEnd w:id="290"/>
      <w:bookmarkStart w:id="291" w:name="_Toc184313253"/>
      <w:bookmarkEnd w:id="291"/>
      <w:bookmarkStart w:id="292" w:name="_Toc184310300"/>
      <w:bookmarkEnd w:id="292"/>
      <w:bookmarkStart w:id="293" w:name="_Toc184312079"/>
      <w:bookmarkEnd w:id="293"/>
      <w:bookmarkStart w:id="294" w:name="_Toc184310333"/>
      <w:bookmarkEnd w:id="294"/>
      <w:bookmarkStart w:id="295" w:name="_Toc184308041"/>
      <w:bookmarkEnd w:id="295"/>
      <w:bookmarkStart w:id="296" w:name="_Toc184308071"/>
      <w:bookmarkEnd w:id="296"/>
      <w:bookmarkStart w:id="297" w:name="_Toc184308084"/>
      <w:bookmarkEnd w:id="297"/>
      <w:bookmarkStart w:id="298" w:name="_Toc184310316"/>
      <w:bookmarkEnd w:id="298"/>
      <w:bookmarkStart w:id="299" w:name="_Toc184308087"/>
      <w:bookmarkEnd w:id="299"/>
      <w:bookmarkStart w:id="300" w:name="_Toc184313303"/>
      <w:bookmarkEnd w:id="300"/>
      <w:bookmarkStart w:id="301" w:name="_Toc184312116"/>
      <w:bookmarkEnd w:id="301"/>
      <w:bookmarkStart w:id="302" w:name="_Toc184308096"/>
      <w:bookmarkEnd w:id="302"/>
      <w:bookmarkStart w:id="303" w:name="_Toc184313268"/>
      <w:bookmarkEnd w:id="303"/>
      <w:bookmarkStart w:id="304" w:name="_Toc184310290"/>
      <w:bookmarkEnd w:id="304"/>
      <w:bookmarkStart w:id="305" w:name="_Toc184314448"/>
      <w:bookmarkEnd w:id="305"/>
      <w:bookmarkStart w:id="306" w:name="_Toc184308055"/>
      <w:bookmarkEnd w:id="306"/>
      <w:bookmarkStart w:id="307" w:name="_Toc184310308"/>
      <w:bookmarkEnd w:id="307"/>
      <w:bookmarkStart w:id="308" w:name="_Toc184310342"/>
      <w:bookmarkEnd w:id="308"/>
      <w:bookmarkStart w:id="309" w:name="_Toc184314480"/>
      <w:bookmarkEnd w:id="309"/>
      <w:bookmarkStart w:id="310" w:name="_Toc184312076"/>
      <w:bookmarkEnd w:id="310"/>
      <w:bookmarkStart w:id="311" w:name="_Toc184313267"/>
      <w:bookmarkEnd w:id="311"/>
      <w:bookmarkStart w:id="312" w:name="_Toc184312101"/>
      <w:bookmarkEnd w:id="312"/>
      <w:bookmarkStart w:id="313" w:name="_Toc184313248"/>
      <w:bookmarkEnd w:id="313"/>
      <w:bookmarkStart w:id="314" w:name="_Toc184314470"/>
      <w:bookmarkEnd w:id="314"/>
      <w:bookmarkStart w:id="315" w:name="_Toc184308066"/>
      <w:bookmarkEnd w:id="315"/>
      <w:bookmarkStart w:id="316" w:name="_Toc184314417"/>
      <w:bookmarkEnd w:id="316"/>
      <w:bookmarkStart w:id="317" w:name="_Toc184308043"/>
      <w:bookmarkEnd w:id="317"/>
      <w:bookmarkStart w:id="318" w:name="_Toc184314432"/>
      <w:bookmarkEnd w:id="318"/>
      <w:bookmarkStart w:id="319" w:name="_Toc184313298"/>
      <w:bookmarkEnd w:id="319"/>
      <w:bookmarkStart w:id="320" w:name="_Toc184314449"/>
      <w:bookmarkEnd w:id="320"/>
      <w:bookmarkStart w:id="321" w:name="_Toc184308075"/>
      <w:bookmarkEnd w:id="321"/>
      <w:bookmarkStart w:id="322" w:name="_Toc184310335"/>
      <w:bookmarkEnd w:id="322"/>
      <w:bookmarkStart w:id="323" w:name="_Toc184313273"/>
      <w:bookmarkEnd w:id="323"/>
      <w:bookmarkStart w:id="324" w:name="_Toc184313288"/>
      <w:bookmarkEnd w:id="324"/>
      <w:bookmarkStart w:id="325" w:name="_Toc184314431"/>
      <w:bookmarkEnd w:id="325"/>
      <w:bookmarkStart w:id="326" w:name="_Toc184312105"/>
      <w:bookmarkEnd w:id="326"/>
      <w:bookmarkStart w:id="327" w:name="_Toc184313254"/>
      <w:bookmarkEnd w:id="327"/>
      <w:bookmarkStart w:id="328" w:name="_Toc184308062"/>
      <w:bookmarkEnd w:id="328"/>
      <w:bookmarkStart w:id="329" w:name="_Toc184313276"/>
      <w:bookmarkEnd w:id="329"/>
      <w:bookmarkStart w:id="330" w:name="_Toc184313285"/>
      <w:bookmarkEnd w:id="330"/>
      <w:bookmarkStart w:id="331" w:name="_Toc184312083"/>
      <w:bookmarkEnd w:id="331"/>
      <w:bookmarkStart w:id="332" w:name="_Toc184310288"/>
      <w:bookmarkEnd w:id="332"/>
      <w:bookmarkStart w:id="333" w:name="_Toc184310344"/>
      <w:bookmarkEnd w:id="333"/>
      <w:bookmarkStart w:id="334" w:name="_Toc184313265"/>
      <w:bookmarkEnd w:id="334"/>
      <w:bookmarkStart w:id="335" w:name="_Toc184308059"/>
      <w:bookmarkEnd w:id="335"/>
      <w:bookmarkStart w:id="336" w:name="_Toc184313264"/>
      <w:bookmarkEnd w:id="336"/>
      <w:bookmarkStart w:id="337" w:name="_Toc184308086"/>
      <w:bookmarkEnd w:id="337"/>
      <w:bookmarkStart w:id="338" w:name="_Toc184313299"/>
      <w:bookmarkEnd w:id="338"/>
      <w:bookmarkStart w:id="339" w:name="_Toc184313242"/>
      <w:bookmarkEnd w:id="339"/>
      <w:bookmarkStart w:id="340" w:name="_Toc184308044"/>
      <w:bookmarkEnd w:id="340"/>
      <w:bookmarkStart w:id="341" w:name="_Toc184313297"/>
      <w:bookmarkEnd w:id="341"/>
      <w:bookmarkStart w:id="342" w:name="_Toc184308038"/>
      <w:bookmarkEnd w:id="342"/>
      <w:bookmarkStart w:id="343" w:name="_Toc184314477"/>
      <w:bookmarkEnd w:id="343"/>
      <w:bookmarkStart w:id="344" w:name="_Toc184312097"/>
      <w:bookmarkEnd w:id="344"/>
      <w:bookmarkStart w:id="345" w:name="_Toc184308070"/>
      <w:bookmarkEnd w:id="345"/>
      <w:bookmarkStart w:id="346" w:name="_Toc184308089"/>
      <w:bookmarkEnd w:id="346"/>
      <w:bookmarkStart w:id="347" w:name="_Toc184310278"/>
      <w:bookmarkEnd w:id="347"/>
      <w:bookmarkStart w:id="348" w:name="_Toc184312092"/>
      <w:bookmarkEnd w:id="348"/>
      <w:bookmarkStart w:id="349" w:name="_Toc184310276"/>
      <w:bookmarkEnd w:id="349"/>
      <w:bookmarkStart w:id="350" w:name="_Toc184308103"/>
      <w:bookmarkEnd w:id="350"/>
      <w:bookmarkStart w:id="351" w:name="_Toc184312100"/>
      <w:bookmarkEnd w:id="351"/>
      <w:bookmarkStart w:id="352" w:name="_Toc184308090"/>
      <w:bookmarkEnd w:id="352"/>
      <w:bookmarkStart w:id="353" w:name="_Toc184313241"/>
      <w:bookmarkEnd w:id="353"/>
      <w:bookmarkStart w:id="354" w:name="_Toc184312068"/>
      <w:bookmarkEnd w:id="354"/>
      <w:bookmarkStart w:id="355" w:name="_Toc184314425"/>
      <w:bookmarkEnd w:id="355"/>
      <w:bookmarkStart w:id="356" w:name="_Toc184310326"/>
      <w:bookmarkEnd w:id="356"/>
      <w:bookmarkStart w:id="357" w:name="_Toc184312087"/>
      <w:bookmarkEnd w:id="357"/>
      <w:bookmarkStart w:id="358" w:name="_Toc184308102"/>
      <w:bookmarkEnd w:id="358"/>
      <w:bookmarkStart w:id="359" w:name="_Toc184312096"/>
      <w:bookmarkEnd w:id="359"/>
      <w:bookmarkStart w:id="360" w:name="_Toc184314474"/>
      <w:bookmarkEnd w:id="360"/>
      <w:bookmarkStart w:id="361" w:name="_Toc184310311"/>
      <w:bookmarkEnd w:id="361"/>
      <w:bookmarkStart w:id="362" w:name="_Toc184313266"/>
      <w:bookmarkEnd w:id="362"/>
      <w:bookmarkStart w:id="363" w:name="_Toc184308064"/>
      <w:bookmarkEnd w:id="363"/>
      <w:bookmarkStart w:id="364" w:name="_Toc184312107"/>
      <w:bookmarkEnd w:id="364"/>
      <w:bookmarkStart w:id="365" w:name="_Toc184312137"/>
      <w:bookmarkEnd w:id="365"/>
      <w:bookmarkStart w:id="366" w:name="_Toc184314465"/>
      <w:bookmarkEnd w:id="366"/>
      <w:bookmarkStart w:id="367" w:name="_Toc184312081"/>
      <w:bookmarkEnd w:id="367"/>
      <w:bookmarkStart w:id="368" w:name="_Toc184308042"/>
      <w:bookmarkEnd w:id="368"/>
      <w:bookmarkStart w:id="369" w:name="_Toc184312139"/>
      <w:bookmarkEnd w:id="369"/>
      <w:bookmarkStart w:id="370" w:name="_Toc184312067"/>
      <w:bookmarkEnd w:id="370"/>
      <w:bookmarkStart w:id="371" w:name="_Toc184312069"/>
      <w:bookmarkEnd w:id="371"/>
      <w:bookmarkStart w:id="372" w:name="_Toc184308054"/>
      <w:bookmarkEnd w:id="372"/>
      <w:bookmarkStart w:id="373" w:name="_Toc184310286"/>
      <w:bookmarkEnd w:id="373"/>
      <w:bookmarkStart w:id="374" w:name="_Toc184308099"/>
      <w:bookmarkEnd w:id="374"/>
      <w:bookmarkStart w:id="375" w:name="_Toc184314412"/>
      <w:bookmarkEnd w:id="375"/>
      <w:bookmarkStart w:id="376" w:name="_Toc184310303"/>
      <w:bookmarkEnd w:id="376"/>
      <w:bookmarkStart w:id="377" w:name="_Toc184312078"/>
      <w:bookmarkEnd w:id="377"/>
      <w:bookmarkStart w:id="378" w:name="_Toc184314440"/>
      <w:bookmarkEnd w:id="378"/>
      <w:bookmarkStart w:id="379" w:name="_Toc184310329"/>
      <w:bookmarkEnd w:id="379"/>
      <w:bookmarkStart w:id="380" w:name="_Toc184312077"/>
      <w:bookmarkEnd w:id="380"/>
      <w:bookmarkStart w:id="381" w:name="_Toc184310309"/>
      <w:bookmarkEnd w:id="381"/>
      <w:bookmarkStart w:id="382" w:name="_Toc184310294"/>
      <w:bookmarkEnd w:id="382"/>
      <w:bookmarkStart w:id="383" w:name="_Toc184314446"/>
      <w:bookmarkEnd w:id="383"/>
      <w:bookmarkStart w:id="384" w:name="_Toc184314458"/>
      <w:bookmarkEnd w:id="384"/>
      <w:bookmarkStart w:id="385" w:name="_Toc184312118"/>
      <w:bookmarkEnd w:id="385"/>
      <w:bookmarkStart w:id="386" w:name="_Toc184313251"/>
      <w:bookmarkEnd w:id="386"/>
      <w:bookmarkStart w:id="387" w:name="_Toc184312104"/>
      <w:bookmarkEnd w:id="387"/>
      <w:bookmarkStart w:id="388" w:name="_Toc184314466"/>
      <w:bookmarkEnd w:id="388"/>
      <w:bookmarkStart w:id="389" w:name="_Toc184313293"/>
      <w:bookmarkEnd w:id="389"/>
      <w:bookmarkStart w:id="390" w:name="_Toc184314438"/>
      <w:bookmarkEnd w:id="390"/>
      <w:bookmarkStart w:id="391" w:name="_Toc184313244"/>
      <w:bookmarkEnd w:id="391"/>
      <w:bookmarkStart w:id="392" w:name="_Toc184310287"/>
      <w:bookmarkEnd w:id="392"/>
      <w:r>
        <w:rPr>
          <w:rFonts w:hint="eastAsia" w:ascii="宋体" w:hAnsi="宋体" w:cs="宋体"/>
          <w:b/>
          <w:color w:val="auto"/>
          <w:sz w:val="36"/>
          <w:szCs w:val="36"/>
        </w:rPr>
        <w:t>评标办法</w:t>
      </w:r>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4470"/>
        <w:gridCol w:w="735"/>
        <w:gridCol w:w="945"/>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序号</w:t>
            </w:r>
          </w:p>
        </w:tc>
        <w:tc>
          <w:tcPr>
            <w:tcW w:w="447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评标标准</w:t>
            </w:r>
          </w:p>
        </w:tc>
        <w:tc>
          <w:tcPr>
            <w:tcW w:w="735"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权重</w:t>
            </w:r>
          </w:p>
        </w:tc>
        <w:tc>
          <w:tcPr>
            <w:tcW w:w="945"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主观分/客观分属性</w:t>
            </w:r>
          </w:p>
        </w:tc>
        <w:tc>
          <w:tcPr>
            <w:tcW w:w="1645" w:type="dxa"/>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rPr>
            </w:pPr>
            <w:r>
              <w:rPr>
                <w:rFonts w:hint="eastAsia" w:ascii="宋体" w:hAnsi="宋体" w:eastAsia="宋体" w:cs="宋体"/>
                <w:bCs/>
                <w:color w:val="auto"/>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1</w:t>
            </w:r>
          </w:p>
        </w:tc>
        <w:tc>
          <w:tcPr>
            <w:tcW w:w="4470" w:type="dxa"/>
            <w:vAlign w:val="center"/>
          </w:tcPr>
          <w:p>
            <w:pPr>
              <w:widowControl/>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u w:val="none"/>
              </w:rPr>
              <w:t>体系认证</w:t>
            </w:r>
            <w:r>
              <w:rPr>
                <w:rFonts w:hint="eastAsia" w:ascii="宋体" w:hAnsi="宋体" w:eastAsia="宋体" w:cs="宋体"/>
                <w:b/>
                <w:bCs/>
                <w:color w:val="auto"/>
                <w:sz w:val="24"/>
                <w:szCs w:val="24"/>
                <w:highlight w:val="none"/>
                <w:u w:val="none"/>
                <w:lang w:val="en-US" w:eastAsia="zh-CN"/>
              </w:rPr>
              <w:t>证书</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1、投标人具有中国合格评定国家认可委（CNAS）颁发的实验室或检验机构认可证书</w:t>
            </w:r>
            <w:r>
              <w:rPr>
                <w:rFonts w:hint="eastAsia" w:ascii="宋体" w:hAnsi="宋体" w:eastAsia="宋体" w:cs="宋体"/>
                <w:bCs/>
                <w:color w:val="auto"/>
                <w:sz w:val="24"/>
                <w:szCs w:val="24"/>
                <w:highlight w:val="none"/>
                <w:lang w:val="en-US" w:eastAsia="zh-CN"/>
              </w:rPr>
              <w:t>的得1分</w:t>
            </w:r>
            <w:r>
              <w:rPr>
                <w:rFonts w:hint="eastAsia" w:ascii="宋体" w:hAnsi="宋体" w:eastAsia="宋体" w:cs="宋体"/>
                <w:bCs/>
                <w:color w:val="auto"/>
                <w:sz w:val="24"/>
                <w:szCs w:val="24"/>
                <w:highlight w:val="none"/>
                <w:lang w:val="zh-CN" w:eastAsia="zh-CN"/>
              </w:rPr>
              <w:t>；</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2、投标人具有ISO9001质量体系认证得1分；</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eastAsia="zh-CN"/>
              </w:rPr>
              <w:t>投标人具有信息安全风险评估服务资质证书</w:t>
            </w:r>
            <w:r>
              <w:rPr>
                <w:rFonts w:hint="eastAsia" w:ascii="宋体" w:hAnsi="宋体" w:eastAsia="宋体" w:cs="宋体"/>
                <w:bCs/>
                <w:color w:val="auto"/>
                <w:sz w:val="24"/>
                <w:szCs w:val="24"/>
                <w:highlight w:val="none"/>
                <w:lang w:val="en-US" w:eastAsia="zh-CN"/>
              </w:rPr>
              <w:t>二级（及以上）</w:t>
            </w:r>
            <w:r>
              <w:rPr>
                <w:rFonts w:hint="eastAsia" w:ascii="宋体" w:hAnsi="宋体" w:eastAsia="宋体" w:cs="宋体"/>
                <w:bCs/>
                <w:color w:val="auto"/>
                <w:sz w:val="24"/>
                <w:szCs w:val="24"/>
                <w:highlight w:val="none"/>
                <w:lang w:val="zh-CN" w:eastAsia="zh-CN"/>
              </w:rPr>
              <w:t>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eastAsia="zh-CN"/>
              </w:rPr>
              <w:t>分；</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eastAsia="zh-CN"/>
              </w:rPr>
              <w:t>、投标人荣获国家信息安全等级保护工作协调小组办公室授予的先进单位且获得全国网络安全等级保护测评机构网络安全攻防大赛获奖证书得1分；</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zh-CN" w:eastAsia="zh-CN"/>
              </w:rPr>
              <w:t>、供应商参与网络安全等级保护测评高风险判定（T/ISEAA001-2020）编制得1分；</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zh-CN" w:eastAsia="zh-CN"/>
              </w:rPr>
              <w:t>、供应商参与信息安全技术网络安全等级保护大数据基本要求（T/ISEAA002-2021）编制得1分。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sz w:val="24"/>
                <w:szCs w:val="24"/>
                <w:lang w:val="en-US" w:eastAsia="zh-CN"/>
              </w:rPr>
              <w:t>需提供有效期内证书</w:t>
            </w:r>
            <w:r>
              <w:rPr>
                <w:rFonts w:hint="eastAsia" w:ascii="宋体" w:hAnsi="宋体" w:eastAsia="宋体" w:cs="宋体"/>
                <w:b/>
                <w:bCs/>
                <w:color w:val="auto"/>
                <w:sz w:val="24"/>
                <w:szCs w:val="24"/>
                <w:highlight w:val="none"/>
                <w:lang w:val="en-US" w:eastAsia="zh-CN"/>
              </w:rPr>
              <w:t>原件扫描</w:t>
            </w:r>
            <w:r>
              <w:rPr>
                <w:rFonts w:hint="eastAsia" w:ascii="宋体" w:hAnsi="宋体" w:eastAsia="宋体" w:cs="宋体"/>
                <w:b/>
                <w:bCs/>
                <w:color w:val="auto"/>
                <w:sz w:val="24"/>
                <w:szCs w:val="24"/>
                <w:highlight w:val="none"/>
                <w:lang w:eastAsia="zh-CN"/>
              </w:rPr>
              <w:t>件</w:t>
            </w:r>
            <w:r>
              <w:rPr>
                <w:rFonts w:hint="eastAsia" w:ascii="宋体" w:hAnsi="宋体" w:eastAsia="宋体" w:cs="宋体"/>
                <w:b/>
                <w:bCs/>
                <w:color w:val="auto"/>
                <w:sz w:val="24"/>
                <w:szCs w:val="24"/>
                <w:lang w:val="en-US" w:eastAsia="zh-CN"/>
              </w:rPr>
              <w:t>，否则不得分。</w:t>
            </w:r>
          </w:p>
        </w:tc>
        <w:tc>
          <w:tcPr>
            <w:tcW w:w="735"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tc>
        <w:tc>
          <w:tcPr>
            <w:tcW w:w="945"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lang w:val="en-US" w:eastAsia="zh-CN"/>
              </w:rPr>
              <w:t>客</w:t>
            </w:r>
            <w:r>
              <w:rPr>
                <w:rFonts w:hint="eastAsia" w:ascii="宋体" w:hAnsi="宋体" w:eastAsia="宋体" w:cs="宋体"/>
                <w:bCs/>
                <w:color w:val="auto"/>
                <w:sz w:val="24"/>
              </w:rPr>
              <w:t>观分</w:t>
            </w:r>
          </w:p>
        </w:tc>
        <w:tc>
          <w:tcPr>
            <w:tcW w:w="1645"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u w:val="none"/>
              </w:rPr>
              <w:t>体系认证</w:t>
            </w:r>
            <w:r>
              <w:rPr>
                <w:rFonts w:hint="eastAsia" w:ascii="宋体" w:hAnsi="宋体" w:eastAsia="宋体" w:cs="宋体"/>
                <w:color w:val="auto"/>
                <w:sz w:val="24"/>
                <w:szCs w:val="24"/>
                <w:highlight w:val="none"/>
                <w:u w:val="none"/>
                <w:lang w:val="en-US" w:eastAsia="zh-CN"/>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2</w:t>
            </w:r>
          </w:p>
        </w:tc>
        <w:tc>
          <w:tcPr>
            <w:tcW w:w="4470" w:type="dxa"/>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b/>
                <w:bCs/>
                <w:color w:val="auto"/>
                <w:sz w:val="24"/>
                <w:szCs w:val="24"/>
                <w:highlight w:val="none"/>
              </w:rPr>
              <w:t>企业业绩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none"/>
              </w:rPr>
              <w:t>投标人</w:t>
            </w:r>
            <w:r>
              <w:rPr>
                <w:rFonts w:hint="eastAsia" w:ascii="宋体" w:hAnsi="宋体" w:eastAsia="宋体" w:cs="宋体"/>
                <w:color w:val="auto"/>
                <w:sz w:val="24"/>
                <w:szCs w:val="24"/>
                <w:highlight w:val="none"/>
                <w:u w:val="none"/>
                <w:lang w:eastAsia="zh-CN"/>
              </w:rPr>
              <w:t>自</w:t>
            </w:r>
            <w:r>
              <w:rPr>
                <w:rFonts w:hint="eastAsia" w:ascii="宋体" w:hAnsi="宋体" w:eastAsia="宋体" w:cs="宋体"/>
                <w:color w:val="auto"/>
                <w:sz w:val="24"/>
                <w:szCs w:val="24"/>
                <w:highlight w:val="none"/>
                <w:u w:val="none"/>
                <w:lang w:val="en-US" w:eastAsia="zh-CN"/>
              </w:rPr>
              <w:t>2020年1月1日以来（以验收时间为准）成功</w:t>
            </w:r>
            <w:r>
              <w:rPr>
                <w:rFonts w:hint="eastAsia" w:ascii="宋体" w:hAnsi="宋体" w:eastAsia="宋体" w:cs="宋体"/>
                <w:color w:val="auto"/>
                <w:sz w:val="24"/>
                <w:szCs w:val="24"/>
                <w:highlight w:val="none"/>
                <w:u w:val="none"/>
              </w:rPr>
              <w:t>承担过</w:t>
            </w:r>
            <w:r>
              <w:rPr>
                <w:rFonts w:hint="eastAsia" w:ascii="宋体" w:hAnsi="宋体" w:eastAsia="宋体" w:cs="宋体"/>
                <w:color w:val="auto"/>
                <w:sz w:val="24"/>
                <w:szCs w:val="24"/>
                <w:highlight w:val="none"/>
                <w:u w:val="none"/>
                <w:lang w:eastAsia="zh-CN"/>
              </w:rPr>
              <w:t>同类</w:t>
            </w:r>
            <w:r>
              <w:rPr>
                <w:rFonts w:hint="eastAsia" w:ascii="宋体" w:hAnsi="宋体" w:eastAsia="宋体" w:cs="宋体"/>
                <w:color w:val="auto"/>
                <w:sz w:val="24"/>
                <w:szCs w:val="24"/>
                <w:highlight w:val="none"/>
                <w:u w:val="none"/>
              </w:rPr>
              <w:t>服务</w:t>
            </w:r>
            <w:r>
              <w:rPr>
                <w:rFonts w:hint="eastAsia" w:ascii="宋体" w:hAnsi="宋体" w:eastAsia="宋体" w:cs="宋体"/>
                <w:color w:val="auto"/>
                <w:sz w:val="24"/>
                <w:szCs w:val="24"/>
                <w:highlight w:val="none"/>
                <w:u w:val="none"/>
                <w:lang w:val="en-US" w:eastAsia="zh-CN"/>
              </w:rPr>
              <w:t>项目业绩的，</w:t>
            </w:r>
            <w:r>
              <w:rPr>
                <w:rFonts w:hint="eastAsia" w:ascii="宋体" w:hAnsi="宋体" w:eastAsia="宋体" w:cs="宋体"/>
                <w:color w:val="auto"/>
                <w:sz w:val="24"/>
                <w:szCs w:val="24"/>
                <w:highlight w:val="none"/>
                <w:u w:val="none"/>
              </w:rPr>
              <w:t>每</w:t>
            </w:r>
            <w:r>
              <w:rPr>
                <w:rFonts w:hint="eastAsia" w:ascii="宋体" w:hAnsi="宋体" w:eastAsia="宋体" w:cs="宋体"/>
                <w:color w:val="auto"/>
                <w:sz w:val="24"/>
                <w:szCs w:val="24"/>
                <w:highlight w:val="none"/>
                <w:u w:val="none"/>
                <w:lang w:val="en-US" w:eastAsia="zh-CN"/>
              </w:rPr>
              <w:t>个业绩1</w:t>
            </w:r>
            <w:r>
              <w:rPr>
                <w:rFonts w:hint="eastAsia" w:ascii="宋体" w:hAnsi="宋体" w:eastAsia="宋体" w:cs="宋体"/>
                <w:color w:val="auto"/>
                <w:sz w:val="24"/>
                <w:szCs w:val="24"/>
                <w:highlight w:val="none"/>
                <w:u w:val="none"/>
              </w:rPr>
              <w:t>分，</w:t>
            </w:r>
            <w:r>
              <w:rPr>
                <w:rFonts w:hint="eastAsia" w:ascii="宋体" w:hAnsi="宋体" w:eastAsia="宋体" w:cs="宋体"/>
                <w:color w:val="auto"/>
                <w:sz w:val="24"/>
                <w:szCs w:val="24"/>
                <w:highlight w:val="none"/>
                <w:u w:val="none"/>
                <w:lang w:eastAsia="zh-CN"/>
              </w:rPr>
              <w:t>最高得</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分</w:t>
            </w:r>
            <w:r>
              <w:rPr>
                <w:rFonts w:hint="eastAsia" w:ascii="宋体" w:hAnsi="宋体" w:eastAsia="宋体" w:cs="宋体"/>
                <w:color w:val="auto"/>
                <w:sz w:val="24"/>
                <w:szCs w:val="24"/>
                <w:highlight w:val="none"/>
                <w:u w:val="none"/>
                <w:lang w:eastAsia="zh-CN"/>
              </w:rPr>
              <w:t>。</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sz w:val="24"/>
                <w:szCs w:val="24"/>
                <w:highlight w:val="none"/>
                <w:u w:val="none"/>
                <w:lang w:eastAsia="zh-CN"/>
              </w:rPr>
              <w:t>需</w:t>
            </w:r>
            <w:r>
              <w:rPr>
                <w:rFonts w:hint="eastAsia" w:ascii="宋体" w:hAnsi="宋体" w:eastAsia="宋体" w:cs="宋体"/>
                <w:b/>
                <w:bCs/>
                <w:color w:val="auto"/>
                <w:sz w:val="24"/>
                <w:szCs w:val="24"/>
                <w:highlight w:val="none"/>
              </w:rPr>
              <w:t>提供合同</w:t>
            </w:r>
            <w:r>
              <w:rPr>
                <w:rFonts w:hint="eastAsia" w:ascii="宋体" w:hAnsi="宋体" w:eastAsia="宋体" w:cs="宋体"/>
                <w:b/>
                <w:bCs/>
                <w:color w:val="auto"/>
                <w:sz w:val="24"/>
                <w:szCs w:val="24"/>
                <w:highlight w:val="none"/>
                <w:lang w:val="en-US" w:eastAsia="zh-CN"/>
              </w:rPr>
              <w:t>和</w:t>
            </w:r>
            <w:r>
              <w:rPr>
                <w:rFonts w:hint="eastAsia" w:ascii="宋体" w:hAnsi="宋体" w:eastAsia="宋体" w:cs="宋体"/>
                <w:b/>
                <w:bCs/>
                <w:color w:val="auto"/>
                <w:sz w:val="24"/>
                <w:szCs w:val="24"/>
                <w:highlight w:val="none"/>
                <w:lang w:eastAsia="zh-CN"/>
              </w:rPr>
              <w:t>验收证明</w:t>
            </w:r>
            <w:r>
              <w:rPr>
                <w:rFonts w:hint="eastAsia" w:ascii="宋体" w:hAnsi="宋体" w:eastAsia="宋体" w:cs="宋体"/>
                <w:b/>
                <w:bCs/>
                <w:color w:val="auto"/>
                <w:sz w:val="24"/>
                <w:szCs w:val="24"/>
                <w:highlight w:val="none"/>
                <w:lang w:val="en-US" w:eastAsia="zh-CN"/>
              </w:rPr>
              <w:t>原件扫描</w:t>
            </w:r>
            <w:r>
              <w:rPr>
                <w:rFonts w:hint="eastAsia" w:ascii="宋体" w:hAnsi="宋体" w:eastAsia="宋体" w:cs="宋体"/>
                <w:b/>
                <w:bCs/>
                <w:color w:val="auto"/>
                <w:sz w:val="24"/>
                <w:szCs w:val="24"/>
                <w:highlight w:val="none"/>
                <w:lang w:eastAsia="zh-CN"/>
              </w:rPr>
              <w:t>件，否则不得分。</w:t>
            </w:r>
          </w:p>
        </w:tc>
        <w:tc>
          <w:tcPr>
            <w:tcW w:w="735"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2分</w:t>
            </w:r>
          </w:p>
        </w:tc>
        <w:tc>
          <w:tcPr>
            <w:tcW w:w="945"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lang w:val="en-US" w:eastAsia="zh-CN"/>
              </w:rPr>
              <w:t>客</w:t>
            </w:r>
            <w:r>
              <w:rPr>
                <w:rFonts w:hint="eastAsia" w:ascii="宋体" w:hAnsi="宋体" w:eastAsia="宋体" w:cs="宋体"/>
                <w:bCs/>
                <w:color w:val="auto"/>
                <w:sz w:val="24"/>
              </w:rPr>
              <w:t>观分</w:t>
            </w:r>
          </w:p>
        </w:tc>
        <w:tc>
          <w:tcPr>
            <w:tcW w:w="1645"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企业业绩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4470" w:type="dxa"/>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sz w:val="24"/>
                <w:szCs w:val="24"/>
                <w:highlight w:val="none"/>
              </w:rPr>
              <w:t>服务机构情况及服务</w:t>
            </w:r>
            <w:r>
              <w:rPr>
                <w:rFonts w:hint="eastAsia" w:ascii="宋体" w:hAnsi="宋体" w:eastAsia="宋体" w:cs="宋体"/>
                <w:b/>
                <w:bCs/>
                <w:color w:val="auto"/>
                <w:sz w:val="24"/>
                <w:szCs w:val="24"/>
                <w:highlight w:val="none"/>
                <w:lang w:eastAsia="zh-CN"/>
              </w:rPr>
              <w:t>响应</w:t>
            </w:r>
            <w:r>
              <w:rPr>
                <w:rFonts w:hint="eastAsia" w:ascii="宋体" w:hAnsi="宋体" w:eastAsia="宋体" w:cs="宋体"/>
                <w:b/>
                <w:bCs/>
                <w:color w:val="auto"/>
                <w:sz w:val="24"/>
                <w:szCs w:val="24"/>
                <w:highlight w:val="none"/>
              </w:rPr>
              <w:t>能力</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投标人提供服务机构和人员等情况，是否拥有常驻服务和技术支持机构及较强的专业技术队伍，能否提供快速的服务响应。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735"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5分</w:t>
            </w:r>
          </w:p>
        </w:tc>
        <w:tc>
          <w:tcPr>
            <w:tcW w:w="945"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rPr>
              <w:t>主观分</w:t>
            </w:r>
          </w:p>
        </w:tc>
        <w:tc>
          <w:tcPr>
            <w:tcW w:w="1645"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服务机构情况及服务</w:t>
            </w:r>
            <w:r>
              <w:rPr>
                <w:rFonts w:hint="eastAsia" w:ascii="宋体" w:hAnsi="宋体" w:eastAsia="宋体" w:cs="宋体"/>
                <w:b w:val="0"/>
                <w:bCs w:val="0"/>
                <w:color w:val="auto"/>
                <w:sz w:val="24"/>
                <w:szCs w:val="24"/>
                <w:highlight w:val="none"/>
                <w:lang w:eastAsia="zh-CN"/>
              </w:rPr>
              <w:t>响应</w:t>
            </w:r>
            <w:r>
              <w:rPr>
                <w:rFonts w:hint="eastAsia" w:ascii="宋体" w:hAnsi="宋体" w:eastAsia="宋体" w:cs="宋体"/>
                <w:b w:val="0"/>
                <w:bCs w:val="0"/>
                <w:color w:val="auto"/>
                <w:sz w:val="24"/>
                <w:szCs w:val="24"/>
                <w:highlight w:val="none"/>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4</w:t>
            </w:r>
          </w:p>
        </w:tc>
        <w:tc>
          <w:tcPr>
            <w:tcW w:w="4470" w:type="dxa"/>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项目需求的响应程度</w:t>
            </w:r>
            <w:r>
              <w:rPr>
                <w:rFonts w:hint="eastAsia" w:ascii="宋体"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对招标需求的响应</w:t>
            </w:r>
            <w:r>
              <w:rPr>
                <w:rFonts w:hint="eastAsia" w:ascii="宋体" w:hAnsi="宋体" w:eastAsia="宋体" w:cs="宋体"/>
                <w:b w:val="0"/>
                <w:bCs w:val="0"/>
                <w:color w:val="auto"/>
                <w:sz w:val="24"/>
                <w:szCs w:val="24"/>
                <w:highlight w:val="none"/>
              </w:rPr>
              <w:t>存在负偏离的每项扣</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分，具体偏离情况在技术偏离表中详细列出。</w:t>
            </w:r>
          </w:p>
        </w:tc>
        <w:tc>
          <w:tcPr>
            <w:tcW w:w="735"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val="en-US" w:eastAsia="zh-CN"/>
              </w:rPr>
              <w:t>分</w:t>
            </w:r>
          </w:p>
        </w:tc>
        <w:tc>
          <w:tcPr>
            <w:tcW w:w="945"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rPr>
            </w:pPr>
            <w:r>
              <w:rPr>
                <w:rFonts w:hint="eastAsia" w:ascii="宋体" w:hAnsi="宋体" w:eastAsia="宋体" w:cs="宋体"/>
                <w:bCs/>
                <w:color w:val="auto"/>
                <w:sz w:val="24"/>
                <w:lang w:val="en-US" w:eastAsia="zh-CN"/>
              </w:rPr>
              <w:t>客</w:t>
            </w:r>
            <w:r>
              <w:rPr>
                <w:rFonts w:hint="eastAsia" w:ascii="宋体" w:hAnsi="宋体" w:eastAsia="宋体" w:cs="宋体"/>
                <w:bCs/>
                <w:color w:val="auto"/>
                <w:sz w:val="24"/>
              </w:rPr>
              <w:t>观分</w:t>
            </w:r>
          </w:p>
        </w:tc>
        <w:tc>
          <w:tcPr>
            <w:tcW w:w="1645"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项目需求的响应程度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5</w:t>
            </w:r>
          </w:p>
        </w:tc>
        <w:tc>
          <w:tcPr>
            <w:tcW w:w="4470" w:type="dxa"/>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bCs/>
                <w:sz w:val="24"/>
                <w:szCs w:val="24"/>
                <w:lang w:eastAsia="zh-CN"/>
              </w:rPr>
            </w:pPr>
            <w:r>
              <w:rPr>
                <w:rFonts w:hint="eastAsia" w:ascii="宋体" w:hAnsi="宋体" w:eastAsia="宋体" w:cs="宋体"/>
                <w:b/>
                <w:bCs/>
                <w:color w:val="00000A"/>
                <w:kern w:val="0"/>
                <w:sz w:val="24"/>
                <w:szCs w:val="24"/>
                <w:lang w:eastAsia="zh-Hans"/>
              </w:rPr>
              <w:t>实施技术方案</w:t>
            </w:r>
            <w:r>
              <w:rPr>
                <w:rFonts w:hint="eastAsia" w:ascii="宋体" w:hAnsi="宋体" w:eastAsia="宋体" w:cs="宋体"/>
                <w:b/>
                <w:bCs/>
                <w:sz w:val="24"/>
                <w:szCs w:val="24"/>
                <w:lang w:eastAsia="zh-CN"/>
              </w:rPr>
              <w:t>。</w:t>
            </w:r>
          </w:p>
          <w:p>
            <w:pPr>
              <w:pStyle w:val="2"/>
              <w:numPr>
                <w:ilvl w:val="0"/>
                <w:numId w:val="1"/>
              </w:numPr>
              <w:rPr>
                <w:rFonts w:hint="eastAsia" w:ascii="宋体" w:hAnsi="宋体" w:eastAsia="宋体" w:cs="宋体"/>
                <w:sz w:val="24"/>
                <w:szCs w:val="24"/>
                <w:lang w:val="en-US" w:eastAsia="zh-CN"/>
              </w:rPr>
            </w:pPr>
            <w:r>
              <w:rPr>
                <w:rFonts w:hint="eastAsia" w:ascii="宋体" w:hAnsi="宋体" w:eastAsia="宋体" w:cs="宋体"/>
                <w:sz w:val="24"/>
                <w:szCs w:val="24"/>
              </w:rPr>
              <w:t>根据投标人对收集各系统信息，编制定级材料，协助完成定级备案工作的方案进行打分。</w:t>
            </w:r>
            <w:r>
              <w:rPr>
                <w:rFonts w:hint="eastAsia" w:ascii="宋体" w:hAnsi="宋体" w:eastAsia="宋体" w:cs="宋体"/>
                <w:sz w:val="24"/>
                <w:szCs w:val="24"/>
                <w:lang w:val="en-US" w:eastAsia="zh-CN"/>
              </w:rPr>
              <w:t>0-5分</w:t>
            </w:r>
          </w:p>
          <w:p>
            <w:pPr>
              <w:numPr>
                <w:ilvl w:val="0"/>
                <w:numId w:val="1"/>
              </w:numPr>
              <w:rPr>
                <w:rFonts w:hint="eastAsia" w:ascii="宋体" w:hAnsi="宋体" w:eastAsia="宋体" w:cs="宋体"/>
                <w:sz w:val="24"/>
                <w:szCs w:val="24"/>
                <w:lang w:val="en-US" w:eastAsia="zh-CN"/>
              </w:rPr>
            </w:pPr>
            <w:r>
              <w:rPr>
                <w:rFonts w:hint="eastAsia" w:ascii="宋体" w:hAnsi="宋体" w:eastAsia="宋体" w:cs="宋体"/>
                <w:sz w:val="24"/>
                <w:szCs w:val="24"/>
              </w:rPr>
              <w:t>针对进行初步的系统调研，掌握各系统的主要功能和业务流程，了解测评范围内的信息系统及其包含的信息资产的方案进行打分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0-5分</w:t>
            </w:r>
          </w:p>
          <w:p>
            <w:pPr>
              <w:pStyle w:val="2"/>
              <w:numPr>
                <w:ilvl w:val="0"/>
                <w:numId w:val="1"/>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针对采用安全核查表的形式从管理层面和技术规范执行角度，对信息系统进行现场的安全管理核查，了解到包括人的因素在内的系统运行状况的方案进行打分。</w:t>
            </w:r>
            <w:r>
              <w:rPr>
                <w:rFonts w:hint="eastAsia" w:ascii="宋体" w:hAnsi="宋体" w:eastAsia="宋体" w:cs="宋体"/>
                <w:sz w:val="24"/>
                <w:szCs w:val="24"/>
                <w:lang w:val="en-US" w:eastAsia="zh-CN"/>
              </w:rPr>
              <w:t>0-5分</w:t>
            </w:r>
          </w:p>
          <w:p>
            <w:pPr>
              <w:numPr>
                <w:ilvl w:val="0"/>
                <w:numId w:val="1"/>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针对在用户许可的情况下，对重要设备和重要网络系统进行手工配置检查、安全工具测试等，对网络拓扑结构进行合理性分析的方案进行打分。</w:t>
            </w:r>
            <w:r>
              <w:rPr>
                <w:rFonts w:hint="eastAsia" w:ascii="宋体" w:hAnsi="宋体" w:eastAsia="宋体" w:cs="宋体"/>
                <w:sz w:val="24"/>
                <w:szCs w:val="24"/>
                <w:lang w:val="en-US" w:eastAsia="zh-CN"/>
              </w:rPr>
              <w:t>0-5分</w:t>
            </w:r>
          </w:p>
          <w:p>
            <w:pPr>
              <w:pStyle w:val="2"/>
              <w:numPr>
                <w:ilvl w:val="0"/>
                <w:numId w:val="1"/>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针对在安全工具测试和安全管理核查的基础上，根据信息系统的特点，发现和分析安全控制间、层面间以及区域间的相互关联关系，以及安全控制间、层面间和区域间是否存在安全功能上的增强、补充和削弱作用以及信息系统整体结构安全性、不同信息系统之间整体安全性的方案进行打分。</w:t>
            </w:r>
            <w:r>
              <w:rPr>
                <w:rFonts w:hint="eastAsia" w:ascii="宋体" w:hAnsi="宋体" w:eastAsia="宋体" w:cs="宋体"/>
                <w:sz w:val="24"/>
                <w:szCs w:val="24"/>
                <w:lang w:val="en-US" w:eastAsia="zh-CN"/>
              </w:rPr>
              <w:t>0-5分</w:t>
            </w:r>
          </w:p>
          <w:p>
            <w:pPr>
              <w:numPr>
                <w:ilvl w:val="0"/>
                <w:numId w:val="1"/>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针对在安全技术测评和整体测评的基础上，根据信息系统的特点，对安全状况给出一个综合评价，出具等级保护测评报告。分析采购人现有安全保护措施与国家等级保护要求之间的差距，同时结合行业的业务特点和信息安全策略要求，给出整改建议书的方案进行打分</w:t>
            </w: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0-5分</w:t>
            </w:r>
          </w:p>
        </w:tc>
        <w:tc>
          <w:tcPr>
            <w:tcW w:w="735"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rPr>
            </w:pP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分</w:t>
            </w:r>
          </w:p>
        </w:tc>
        <w:tc>
          <w:tcPr>
            <w:tcW w:w="945"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rPr>
            </w:pPr>
            <w:r>
              <w:rPr>
                <w:rFonts w:hint="eastAsia" w:ascii="宋体" w:hAnsi="宋体" w:eastAsia="宋体" w:cs="宋体"/>
                <w:bCs/>
                <w:color w:val="auto"/>
                <w:sz w:val="24"/>
              </w:rPr>
              <w:t>主观分</w:t>
            </w:r>
          </w:p>
        </w:tc>
        <w:tc>
          <w:tcPr>
            <w:tcW w:w="1645"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Hans"/>
              </w:rPr>
              <w:t>实施技术方案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6</w:t>
            </w:r>
          </w:p>
        </w:tc>
        <w:tc>
          <w:tcPr>
            <w:tcW w:w="4470"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保密控制方案。</w:t>
            </w:r>
            <w:r>
              <w:rPr>
                <w:rFonts w:hint="eastAsia" w:ascii="宋体" w:hAnsi="宋体" w:eastAsia="宋体" w:cs="宋体"/>
                <w:b w:val="0"/>
                <w:bCs/>
                <w:color w:val="auto"/>
                <w:kern w:val="2"/>
                <w:sz w:val="24"/>
                <w:szCs w:val="24"/>
                <w:lang w:val="en-US" w:eastAsia="zh-CN" w:bidi="ar-SA"/>
              </w:rPr>
              <w:t>根据投标人针对本项目制订的安全保密制度及实施措施进行打分。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w:t>
            </w:r>
          </w:p>
        </w:tc>
        <w:tc>
          <w:tcPr>
            <w:tcW w:w="735"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5分</w:t>
            </w:r>
          </w:p>
        </w:tc>
        <w:tc>
          <w:tcPr>
            <w:tcW w:w="945"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rPr>
              <w:t>主观分</w:t>
            </w:r>
          </w:p>
        </w:tc>
        <w:tc>
          <w:tcPr>
            <w:tcW w:w="164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kern w:val="2"/>
                <w:sz w:val="24"/>
                <w:szCs w:val="24"/>
                <w:lang w:val="en-US" w:eastAsia="zh-CN" w:bidi="ar-SA"/>
              </w:rPr>
              <w:t>保密控制方案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7</w:t>
            </w:r>
          </w:p>
        </w:tc>
        <w:tc>
          <w:tcPr>
            <w:tcW w:w="4470"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项目验收方案</w:t>
            </w:r>
            <w:r>
              <w:rPr>
                <w:rFonts w:hint="eastAsia" w:ascii="宋体" w:hAnsi="宋体" w:eastAsia="宋体" w:cs="宋体"/>
                <w:b w:val="0"/>
                <w:bCs/>
                <w:color w:val="auto"/>
                <w:kern w:val="2"/>
                <w:sz w:val="24"/>
                <w:szCs w:val="24"/>
                <w:lang w:val="en-US" w:eastAsia="zh-CN" w:bidi="ar-SA"/>
              </w:rPr>
              <w:t>。供应商配合采购人的验收方案，根据验收的方案合理性、资料完整性和及时性等进行评分。（0-5分）</w:t>
            </w:r>
          </w:p>
        </w:tc>
        <w:tc>
          <w:tcPr>
            <w:tcW w:w="735"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5分</w:t>
            </w:r>
          </w:p>
        </w:tc>
        <w:tc>
          <w:tcPr>
            <w:tcW w:w="945"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rPr>
              <w:t>主观分</w:t>
            </w:r>
          </w:p>
        </w:tc>
        <w:tc>
          <w:tcPr>
            <w:tcW w:w="164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4"/>
              </w:rPr>
            </w:pPr>
            <w:r>
              <w:rPr>
                <w:rFonts w:hint="eastAsia" w:ascii="宋体" w:hAnsi="宋体" w:eastAsia="宋体" w:cs="宋体"/>
                <w:b w:val="0"/>
                <w:bCs/>
                <w:color w:val="auto"/>
                <w:kern w:val="2"/>
                <w:sz w:val="24"/>
                <w:szCs w:val="24"/>
                <w:lang w:val="en-US" w:eastAsia="zh-CN" w:bidi="ar-SA"/>
              </w:rPr>
              <w:t>项目验收方案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8</w:t>
            </w:r>
          </w:p>
        </w:tc>
        <w:tc>
          <w:tcPr>
            <w:tcW w:w="4470"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项目目负责人情况。</w:t>
            </w:r>
            <w:r>
              <w:rPr>
                <w:rFonts w:hint="eastAsia" w:ascii="宋体" w:hAnsi="宋体" w:eastAsia="宋体" w:cs="宋体"/>
                <w:b w:val="0"/>
                <w:bCs/>
                <w:color w:val="auto"/>
                <w:kern w:val="2"/>
                <w:sz w:val="24"/>
                <w:szCs w:val="24"/>
                <w:lang w:val="en-US" w:eastAsia="zh-CN" w:bidi="ar-SA"/>
              </w:rPr>
              <w:t>具有高级测评师证书、国家重要信息系统保护人员培训证书（CIIPT）、商用密码应用安全性评估人员测评能力证书的，提供一个得2分，最高得6分。提供有效期内证书原件扫描件及近一个月的社保证明，不提供不得分。</w:t>
            </w:r>
          </w:p>
        </w:tc>
        <w:tc>
          <w:tcPr>
            <w:tcW w:w="735"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6分</w:t>
            </w:r>
          </w:p>
        </w:tc>
        <w:tc>
          <w:tcPr>
            <w:tcW w:w="945"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lang w:val="en-US" w:eastAsia="zh-CN"/>
              </w:rPr>
              <w:t>客</w:t>
            </w:r>
            <w:r>
              <w:rPr>
                <w:rFonts w:hint="eastAsia" w:ascii="宋体" w:hAnsi="宋体" w:eastAsia="宋体" w:cs="宋体"/>
                <w:bCs/>
                <w:color w:val="auto"/>
                <w:sz w:val="24"/>
              </w:rPr>
              <w:t>观分</w:t>
            </w:r>
          </w:p>
        </w:tc>
        <w:tc>
          <w:tcPr>
            <w:tcW w:w="164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9</w:t>
            </w:r>
          </w:p>
        </w:tc>
        <w:tc>
          <w:tcPr>
            <w:tcW w:w="4470"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bCs w:val="0"/>
                <w:color w:val="auto"/>
                <w:kern w:val="2"/>
                <w:sz w:val="24"/>
                <w:szCs w:val="24"/>
                <w:lang w:val="en-US" w:eastAsia="zh-Hans" w:bidi="ar-SA"/>
              </w:rPr>
            </w:pPr>
            <w:r>
              <w:rPr>
                <w:rFonts w:hint="eastAsia" w:ascii="宋体" w:hAnsi="宋体" w:eastAsia="宋体" w:cs="宋体"/>
                <w:b/>
                <w:bCs w:val="0"/>
                <w:color w:val="auto"/>
                <w:kern w:val="2"/>
                <w:sz w:val="24"/>
                <w:szCs w:val="24"/>
                <w:lang w:val="en-US" w:eastAsia="zh-CN" w:bidi="ar-SA"/>
              </w:rPr>
              <w:t>项目组人员情况。</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color w:val="auto"/>
                <w:kern w:val="2"/>
                <w:sz w:val="24"/>
                <w:szCs w:val="24"/>
                <w:lang w:val="en-US" w:eastAsia="zh-Hans" w:bidi="ar-SA"/>
              </w:rPr>
            </w:pPr>
            <w:r>
              <w:rPr>
                <w:rFonts w:hint="eastAsia" w:ascii="宋体" w:hAnsi="宋体" w:eastAsia="宋体" w:cs="宋体"/>
                <w:b w:val="0"/>
                <w:bCs/>
                <w:color w:val="auto"/>
                <w:kern w:val="2"/>
                <w:sz w:val="24"/>
                <w:szCs w:val="24"/>
                <w:lang w:val="en-US" w:eastAsia="zh-CN" w:bidi="ar-SA"/>
              </w:rPr>
              <w:t>1</w:t>
            </w:r>
            <w:r>
              <w:rPr>
                <w:rFonts w:hint="eastAsia" w:ascii="宋体" w:hAnsi="宋体" w:eastAsia="宋体" w:cs="宋体"/>
                <w:b w:val="0"/>
                <w:bCs/>
                <w:color w:val="auto"/>
                <w:kern w:val="2"/>
                <w:sz w:val="24"/>
                <w:szCs w:val="24"/>
                <w:lang w:val="en-US" w:eastAsia="zh-Hans" w:bidi="ar-SA"/>
              </w:rPr>
              <w:t>. 投标人所承诺的项目组成人员项目具有高级工程师</w:t>
            </w:r>
            <w:r>
              <w:rPr>
                <w:rFonts w:hint="eastAsia" w:ascii="宋体" w:hAnsi="宋体" w:eastAsia="宋体" w:cs="宋体"/>
                <w:b w:val="0"/>
                <w:bCs/>
                <w:color w:val="auto"/>
                <w:kern w:val="2"/>
                <w:sz w:val="24"/>
                <w:szCs w:val="24"/>
                <w:lang w:val="en-US" w:eastAsia="zh-CN" w:bidi="ar-SA"/>
              </w:rPr>
              <w:t>（信息技术（技术开发））专业技术资格证书</w:t>
            </w:r>
            <w:r>
              <w:rPr>
                <w:rFonts w:hint="eastAsia" w:ascii="宋体" w:hAnsi="宋体" w:eastAsia="宋体" w:cs="宋体"/>
                <w:b w:val="0"/>
                <w:bCs/>
                <w:color w:val="auto"/>
                <w:kern w:val="2"/>
                <w:sz w:val="24"/>
                <w:szCs w:val="24"/>
                <w:lang w:val="en-US" w:eastAsia="zh-Hans" w:bidi="ar-SA"/>
              </w:rPr>
              <w:t>的，得2分；</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color w:val="auto"/>
                <w:kern w:val="2"/>
                <w:sz w:val="24"/>
                <w:szCs w:val="24"/>
                <w:lang w:val="en-US" w:eastAsia="zh-Hans" w:bidi="ar-SA"/>
              </w:rPr>
            </w:pPr>
            <w:r>
              <w:rPr>
                <w:rFonts w:hint="eastAsia" w:ascii="宋体" w:hAnsi="宋体" w:eastAsia="宋体" w:cs="宋体"/>
                <w:b w:val="0"/>
                <w:bCs/>
                <w:color w:val="auto"/>
                <w:kern w:val="2"/>
                <w:sz w:val="24"/>
                <w:szCs w:val="24"/>
                <w:lang w:val="en-US" w:eastAsia="zh-CN" w:bidi="ar-SA"/>
              </w:rPr>
              <w:t>2</w:t>
            </w:r>
            <w:r>
              <w:rPr>
                <w:rFonts w:hint="eastAsia" w:ascii="宋体" w:hAnsi="宋体" w:eastAsia="宋体" w:cs="宋体"/>
                <w:b w:val="0"/>
                <w:bCs/>
                <w:color w:val="auto"/>
                <w:kern w:val="2"/>
                <w:sz w:val="24"/>
                <w:szCs w:val="24"/>
                <w:lang w:val="en-US" w:eastAsia="zh-Hans" w:bidi="ar-SA"/>
              </w:rPr>
              <w:t>.  投标人所承诺的</w:t>
            </w:r>
            <w:r>
              <w:rPr>
                <w:rFonts w:hint="eastAsia" w:ascii="宋体" w:hAnsi="宋体" w:eastAsia="宋体" w:cs="宋体"/>
                <w:b w:val="0"/>
                <w:bCs/>
                <w:color w:val="auto"/>
                <w:kern w:val="2"/>
                <w:sz w:val="24"/>
                <w:szCs w:val="24"/>
                <w:lang w:val="en-US" w:eastAsia="zh-CN" w:bidi="ar-SA"/>
              </w:rPr>
              <w:t>项目现场实施人员中具备</w:t>
            </w:r>
            <w:r>
              <w:rPr>
                <w:rFonts w:hint="eastAsia" w:ascii="宋体" w:hAnsi="宋体" w:eastAsia="宋体" w:cs="宋体"/>
                <w:b w:val="0"/>
                <w:bCs/>
                <w:color w:val="auto"/>
                <w:kern w:val="2"/>
                <w:sz w:val="24"/>
                <w:szCs w:val="24"/>
                <w:lang w:val="en-US" w:eastAsia="zh-Hans" w:bidi="ar-SA"/>
              </w:rPr>
              <w:t xml:space="preserve">（CIIP-I）国家重要信息系统保护人员培训证书的，得2分；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提供有效期内证书原件扫描件及近一个月的社保证明，不提供不得分。</w:t>
            </w:r>
          </w:p>
        </w:tc>
        <w:tc>
          <w:tcPr>
            <w:tcW w:w="735"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4分</w:t>
            </w:r>
          </w:p>
        </w:tc>
        <w:tc>
          <w:tcPr>
            <w:tcW w:w="945"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lang w:val="en-US" w:eastAsia="zh-CN"/>
              </w:rPr>
              <w:t>客</w:t>
            </w:r>
            <w:r>
              <w:rPr>
                <w:rFonts w:hint="eastAsia" w:ascii="宋体" w:hAnsi="宋体" w:eastAsia="宋体" w:cs="宋体"/>
                <w:bCs/>
                <w:color w:val="auto"/>
                <w:sz w:val="24"/>
              </w:rPr>
              <w:t>观分</w:t>
            </w:r>
          </w:p>
        </w:tc>
        <w:tc>
          <w:tcPr>
            <w:tcW w:w="164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项目组人员情况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10</w:t>
            </w:r>
          </w:p>
        </w:tc>
        <w:tc>
          <w:tcPr>
            <w:tcW w:w="4470" w:type="dxa"/>
            <w:vAlign w:val="top"/>
          </w:tcPr>
          <w:p>
            <w:pPr>
              <w:keepNext w:val="0"/>
              <w:keepLines w:val="0"/>
              <w:pageBreakBefore w:val="0"/>
              <w:kinsoku/>
              <w:wordWrap/>
              <w:overflowPunct/>
              <w:topLinePunct w:val="0"/>
              <w:autoSpaceDE/>
              <w:autoSpaceDN/>
              <w:bidi w:val="0"/>
              <w:spacing w:line="24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有效投标报价的最低价作为评标基准价，其最低报价为满分；按［投标报价得分=（评标基准价/投标报价）*</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］的计算公式计算。</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2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%的扣除，用扣除后的价格参加评审。</w:t>
            </w:r>
          </w:p>
        </w:tc>
        <w:tc>
          <w:tcPr>
            <w:tcW w:w="735" w:type="dxa"/>
            <w:vAlign w:val="center"/>
          </w:tcPr>
          <w:p>
            <w:pPr>
              <w:keepNext w:val="0"/>
              <w:keepLines w:val="0"/>
              <w:pageBreakBefore w:val="0"/>
              <w:kinsoku/>
              <w:wordWrap/>
              <w:overflowPunct/>
              <w:topLinePunct w:val="0"/>
              <w:autoSpaceDE/>
              <w:autoSpaceDN/>
              <w:bidi w:val="0"/>
              <w:spacing w:line="240" w:lineRule="auto"/>
              <w:jc w:val="center"/>
              <w:textAlignment w:val="auto"/>
              <w:outlineLvl w:val="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20</w:t>
            </w:r>
          </w:p>
        </w:tc>
        <w:tc>
          <w:tcPr>
            <w:tcW w:w="945" w:type="dxa"/>
            <w:vAlign w:val="center"/>
          </w:tcPr>
          <w:p>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rPr>
              <w:t>客观分</w:t>
            </w:r>
          </w:p>
        </w:tc>
        <w:tc>
          <w:tcPr>
            <w:tcW w:w="1645" w:type="dxa"/>
            <w:vAlign w:val="center"/>
          </w:tcPr>
          <w:p>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w:t>
            </w:r>
          </w:p>
        </w:tc>
      </w:tr>
    </w:tbl>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adjustRightInd/>
        <w:spacing w:line="360" w:lineRule="auto"/>
        <w:rPr>
          <w:rFonts w:hint="eastAsia" w:ascii="宋体" w:hAnsi="宋体" w:cs="宋体"/>
          <w:b/>
          <w:color w:val="auto"/>
          <w:sz w:val="32"/>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cs="宋体"/>
          <w:b/>
          <w:color w:val="auto"/>
          <w:sz w:val="32"/>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adjustRightInd/>
        <w:spacing w:line="360" w:lineRule="auto"/>
        <w:rPr>
          <w:rFonts w:hint="eastAsia" w:ascii="宋体" w:hAnsi="宋体" w:cs="宋体"/>
          <w:b/>
          <w:color w:val="auto"/>
          <w:sz w:val="32"/>
        </w:rPr>
      </w:pPr>
      <w:r>
        <w:rPr>
          <w:rFonts w:hint="eastAsia" w:ascii="宋体" w:hAnsi="宋体" w:cs="宋体"/>
          <w:b/>
          <w:color w:val="auto"/>
          <w:sz w:val="32"/>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28"/>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28"/>
        <w:spacing w:before="0"/>
        <w:ind w:firstLine="480"/>
        <w:rPr>
          <w:rFonts w:hint="eastAsia"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28"/>
        <w:spacing w:before="0"/>
        <w:ind w:firstLine="480"/>
        <w:rPr>
          <w:rFonts w:hint="eastAsia"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28"/>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5"/>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5"/>
        <w:snapToGrid w:val="0"/>
        <w:spacing w:line="360" w:lineRule="auto"/>
        <w:rPr>
          <w:rFonts w:cs="宋体"/>
          <w:color w:val="auto"/>
        </w:rPr>
      </w:pPr>
      <w:r>
        <w:rPr>
          <w:rFonts w:hint="eastAsia" w:cs="宋体"/>
          <w:color w:val="auto"/>
        </w:rPr>
        <w:t>5.2出现影响采购公正的违法、违规行为的；</w:t>
      </w:r>
    </w:p>
    <w:p>
      <w:pPr>
        <w:pStyle w:val="25"/>
        <w:snapToGrid w:val="0"/>
        <w:spacing w:line="360" w:lineRule="auto"/>
        <w:rPr>
          <w:rFonts w:cs="宋体"/>
          <w:color w:val="auto"/>
        </w:rPr>
      </w:pPr>
      <w:r>
        <w:rPr>
          <w:rFonts w:hint="eastAsia" w:cs="宋体"/>
          <w:color w:val="auto"/>
        </w:rPr>
        <w:t>5.3投标人的报价均超过了采购预算，采购人不能支付的；</w:t>
      </w:r>
    </w:p>
    <w:p>
      <w:pPr>
        <w:pStyle w:val="25"/>
        <w:snapToGrid w:val="0"/>
        <w:spacing w:line="360" w:lineRule="auto"/>
        <w:rPr>
          <w:rFonts w:cs="宋体"/>
          <w:color w:val="auto"/>
        </w:rPr>
      </w:pPr>
      <w:r>
        <w:rPr>
          <w:rFonts w:hint="eastAsia" w:cs="宋体"/>
          <w:color w:val="auto"/>
        </w:rPr>
        <w:t>5.4因重大变故，采购任务取消的。</w:t>
      </w:r>
    </w:p>
    <w:p>
      <w:pPr>
        <w:pStyle w:val="25"/>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5"/>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color w:val="auto"/>
        </w:rPr>
      </w:pPr>
    </w:p>
    <w:bookmarkEnd w:id="27"/>
    <w:p>
      <w:pPr>
        <w:pStyle w:val="3"/>
        <w:rPr>
          <w:color w:val="auto"/>
        </w:rPr>
      </w:pPr>
      <w:bookmarkStart w:id="393" w:name="第五部分"/>
      <w:bookmarkStart w:id="394" w:name="_Toc86217003"/>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pP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pPr>
        <w:pStyle w:val="699"/>
        <w:ind w:firstLine="2843" w:firstLineChars="1180"/>
        <w:rPr>
          <w:rFonts w:ascii="宋体" w:hAnsi="宋体" w:cs="宋体"/>
          <w:b/>
          <w:color w:val="auto"/>
          <w:szCs w:val="24"/>
        </w:rPr>
      </w:pPr>
      <w:r>
        <w:rPr>
          <w:rFonts w:hint="eastAsia" w:ascii="宋体" w:hAnsi="宋体" w:cs="宋体"/>
          <w:b/>
          <w:color w:val="auto"/>
          <w:szCs w:val="24"/>
        </w:rPr>
        <w:t>第一部分 合同书</w:t>
      </w:r>
    </w:p>
    <w:p>
      <w:pPr>
        <w:spacing w:before="120" w:line="22" w:lineRule="atLeast"/>
        <w:rPr>
          <w:rFonts w:ascii="宋体" w:hAnsi="宋体" w:cs="宋体"/>
          <w:color w:val="auto"/>
          <w:sz w:val="24"/>
        </w:rPr>
      </w:pPr>
    </w:p>
    <w:p>
      <w:pPr>
        <w:pStyle w:val="5"/>
        <w:rPr>
          <w:color w:val="auto"/>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596"/>
        <w:spacing w:before="120" w:line="22" w:lineRule="atLeast"/>
        <w:rPr>
          <w:rFonts w:ascii="宋体" w:hAnsi="宋体" w:eastAsia="宋体" w:cs="宋体"/>
          <w:color w:val="auto"/>
          <w:szCs w:val="24"/>
        </w:rPr>
      </w:pPr>
    </w:p>
    <w:p>
      <w:pPr>
        <w:pStyle w:val="596"/>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jc w:val="left"/>
        <w:rPr>
          <w:rFonts w:ascii="宋体" w:hAnsi="宋体" w:cs="宋体"/>
          <w:color w:val="auto"/>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lang w:eastAsia="zh-CN"/>
        </w:rPr>
        <w:t>淳安千岛湖旅游度假区管理委员会</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亚运室外场馆网络安全等级保护测评服务项目</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淳安千岛湖旅游度假区管理委员会</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pPr>
        <w:spacing w:line="560" w:lineRule="exact"/>
        <w:ind w:firstLine="482" w:firstLineChars="200"/>
        <w:outlineLvl w:val="0"/>
        <w:rPr>
          <w:rFonts w:ascii="宋体" w:hAnsi="宋体"/>
          <w:color w:val="auto"/>
          <w:sz w:val="24"/>
        </w:rPr>
      </w:pPr>
      <w:bookmarkStart w:id="395" w:name="_Toc28855"/>
      <w:bookmarkStart w:id="396" w:name="_Toc15367"/>
      <w:bookmarkStart w:id="397" w:name="_Toc20421"/>
      <w:bookmarkStart w:id="398" w:name="_Toc19273"/>
      <w:bookmarkStart w:id="399" w:name="_Toc22967"/>
      <w:r>
        <w:rPr>
          <w:rFonts w:ascii="宋体" w:hAnsi="宋体"/>
          <w:b/>
          <w:color w:val="auto"/>
          <w:sz w:val="24"/>
        </w:rPr>
        <w:t xml:space="preserve">1.1 </w:t>
      </w:r>
      <w:r>
        <w:rPr>
          <w:rFonts w:hint="eastAsia" w:ascii="宋体" w:hAnsi="宋体"/>
          <w:b/>
          <w:color w:val="auto"/>
          <w:sz w:val="24"/>
        </w:rPr>
        <w:t>合同组成部分</w:t>
      </w:r>
      <w:bookmarkEnd w:id="395"/>
      <w:bookmarkEnd w:id="396"/>
      <w:bookmarkEnd w:id="397"/>
      <w:bookmarkEnd w:id="398"/>
      <w:bookmarkEnd w:id="399"/>
    </w:p>
    <w:p>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pPr>
        <w:spacing w:line="560" w:lineRule="exact"/>
        <w:ind w:firstLine="482" w:firstLineChars="200"/>
        <w:outlineLvl w:val="0"/>
        <w:rPr>
          <w:rFonts w:ascii="宋体" w:hAnsi="宋体"/>
          <w:b/>
          <w:color w:val="auto"/>
          <w:sz w:val="24"/>
        </w:rPr>
      </w:pPr>
      <w:bookmarkStart w:id="400" w:name="_Toc6311"/>
      <w:bookmarkStart w:id="401" w:name="_Toc22185"/>
      <w:bookmarkStart w:id="402" w:name="_Toc6773"/>
      <w:bookmarkStart w:id="403" w:name="_Toc2918"/>
      <w:bookmarkStart w:id="404" w:name="_Toc18585"/>
      <w:r>
        <w:rPr>
          <w:rFonts w:ascii="宋体" w:hAnsi="宋体"/>
          <w:b/>
          <w:color w:val="auto"/>
          <w:sz w:val="24"/>
        </w:rPr>
        <w:t xml:space="preserve">1.2 </w:t>
      </w:r>
      <w:r>
        <w:rPr>
          <w:rFonts w:hint="eastAsia" w:ascii="宋体" w:hAnsi="宋体"/>
          <w:b/>
          <w:color w:val="auto"/>
          <w:sz w:val="24"/>
        </w:rPr>
        <w:t>标的</w:t>
      </w:r>
      <w:bookmarkEnd w:id="400"/>
      <w:bookmarkEnd w:id="401"/>
      <w:bookmarkEnd w:id="402"/>
      <w:bookmarkEnd w:id="403"/>
      <w:bookmarkEnd w:id="404"/>
    </w:p>
    <w:p>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pPr>
        <w:pStyle w:val="957"/>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pPr>
        <w:spacing w:line="560" w:lineRule="exact"/>
        <w:ind w:firstLine="480" w:firstLineChars="200"/>
        <w:rPr>
          <w:rFonts w:ascii="宋体" w:hAnsi="宋体" w:cs="宋体"/>
          <w:color w:val="auto"/>
          <w:sz w:val="24"/>
          <w:u w:val="single"/>
        </w:rPr>
      </w:pPr>
      <w:bookmarkStart w:id="405" w:name="_Toc13918"/>
      <w:bookmarkStart w:id="406" w:name="_Toc1386"/>
      <w:bookmarkStart w:id="407" w:name="_Toc4929"/>
      <w:bookmarkStart w:id="408" w:name="_Toc5635"/>
      <w:bookmarkStart w:id="409" w:name="_Toc21124"/>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5"/>
      <w:bookmarkEnd w:id="406"/>
      <w:bookmarkEnd w:id="407"/>
      <w:bookmarkEnd w:id="408"/>
      <w:bookmarkEnd w:id="409"/>
    </w:p>
    <w:p>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pPr>
              <w:pStyle w:val="317"/>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pPr>
              <w:pStyle w:val="317"/>
              <w:spacing w:line="560" w:lineRule="exact"/>
              <w:jc w:val="center"/>
              <w:rPr>
                <w:rFonts w:hAnsi="宋体"/>
                <w:color w:val="auto"/>
                <w:sz w:val="24"/>
                <w:szCs w:val="24"/>
              </w:rPr>
            </w:pPr>
            <w:r>
              <w:rPr>
                <w:rFonts w:hAnsi="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rPr>
            </w:pPr>
          </w:p>
        </w:tc>
        <w:tc>
          <w:tcPr>
            <w:tcW w:w="3402" w:type="dxa"/>
            <w:vAlign w:val="center"/>
          </w:tcPr>
          <w:p>
            <w:pPr>
              <w:pStyle w:val="317"/>
              <w:spacing w:line="560" w:lineRule="exact"/>
              <w:ind w:firstLine="200"/>
              <w:jc w:val="center"/>
              <w:rPr>
                <w:rFonts w:hAnsi="宋体"/>
                <w:color w:val="auto"/>
                <w:sz w:val="24"/>
                <w:szCs w:val="24"/>
              </w:rPr>
            </w:pPr>
          </w:p>
        </w:tc>
        <w:tc>
          <w:tcPr>
            <w:tcW w:w="2552" w:type="dxa"/>
            <w:vAlign w:val="center"/>
          </w:tcPr>
          <w:p>
            <w:pPr>
              <w:pStyle w:val="317"/>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rPr>
            </w:pPr>
          </w:p>
        </w:tc>
        <w:tc>
          <w:tcPr>
            <w:tcW w:w="3402" w:type="dxa"/>
            <w:vAlign w:val="center"/>
          </w:tcPr>
          <w:p>
            <w:pPr>
              <w:pStyle w:val="317"/>
              <w:spacing w:line="560" w:lineRule="exact"/>
              <w:ind w:firstLine="200"/>
              <w:jc w:val="center"/>
              <w:rPr>
                <w:rFonts w:hAnsi="宋体"/>
                <w:color w:val="auto"/>
                <w:sz w:val="24"/>
                <w:szCs w:val="24"/>
              </w:rPr>
            </w:pPr>
          </w:p>
        </w:tc>
        <w:tc>
          <w:tcPr>
            <w:tcW w:w="2552" w:type="dxa"/>
            <w:vAlign w:val="center"/>
          </w:tcPr>
          <w:p>
            <w:pPr>
              <w:pStyle w:val="317"/>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rPr>
            </w:pPr>
          </w:p>
        </w:tc>
        <w:tc>
          <w:tcPr>
            <w:tcW w:w="3402" w:type="dxa"/>
            <w:vAlign w:val="center"/>
          </w:tcPr>
          <w:p>
            <w:pPr>
              <w:pStyle w:val="317"/>
              <w:spacing w:line="560" w:lineRule="exact"/>
              <w:ind w:firstLine="200"/>
              <w:jc w:val="center"/>
              <w:rPr>
                <w:rFonts w:hAnsi="宋体"/>
                <w:color w:val="auto"/>
                <w:sz w:val="24"/>
                <w:szCs w:val="24"/>
              </w:rPr>
            </w:pPr>
          </w:p>
        </w:tc>
        <w:tc>
          <w:tcPr>
            <w:tcW w:w="2552" w:type="dxa"/>
            <w:vAlign w:val="center"/>
          </w:tcPr>
          <w:p>
            <w:pPr>
              <w:pStyle w:val="317"/>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rPr>
            </w:pPr>
          </w:p>
        </w:tc>
        <w:tc>
          <w:tcPr>
            <w:tcW w:w="3402" w:type="dxa"/>
            <w:vAlign w:val="center"/>
          </w:tcPr>
          <w:p>
            <w:pPr>
              <w:pStyle w:val="317"/>
              <w:spacing w:line="560" w:lineRule="exact"/>
              <w:ind w:firstLine="200"/>
              <w:jc w:val="center"/>
              <w:rPr>
                <w:rFonts w:hAnsi="宋体"/>
                <w:color w:val="auto"/>
                <w:sz w:val="24"/>
                <w:szCs w:val="24"/>
              </w:rPr>
            </w:pPr>
          </w:p>
        </w:tc>
        <w:tc>
          <w:tcPr>
            <w:tcW w:w="2552" w:type="dxa"/>
            <w:vAlign w:val="center"/>
          </w:tcPr>
          <w:p>
            <w:pPr>
              <w:pStyle w:val="317"/>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603" w:type="dxa"/>
            <w:gridSpan w:val="2"/>
            <w:vAlign w:val="center"/>
          </w:tcPr>
          <w:p>
            <w:pPr>
              <w:pStyle w:val="317"/>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pPr>
              <w:pStyle w:val="317"/>
              <w:spacing w:line="560" w:lineRule="exact"/>
              <w:ind w:firstLine="200"/>
              <w:jc w:val="center"/>
              <w:rPr>
                <w:rFonts w:hAnsi="宋体"/>
                <w:color w:val="auto"/>
                <w:sz w:val="24"/>
                <w:szCs w:val="24"/>
              </w:rPr>
            </w:pPr>
          </w:p>
        </w:tc>
      </w:tr>
    </w:tbl>
    <w:p>
      <w:pPr>
        <w:spacing w:line="560" w:lineRule="exact"/>
        <w:ind w:firstLine="480" w:firstLineChars="200"/>
        <w:rPr>
          <w:rFonts w:ascii="宋体" w:hAnsi="宋体"/>
          <w:color w:val="auto"/>
          <w:sz w:val="24"/>
        </w:rPr>
      </w:pPr>
      <w:bookmarkStart w:id="410" w:name="_Toc3654"/>
      <w:bookmarkStart w:id="411" w:name="_Toc30158"/>
      <w:bookmarkStart w:id="412" w:name="_Toc14993"/>
      <w:bookmarkStart w:id="413" w:name="_Toc26916"/>
      <w:bookmarkStart w:id="414" w:name="_Toc3050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pPr>
        <w:pStyle w:val="5"/>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0"/>
    <w:bookmarkEnd w:id="411"/>
    <w:bookmarkEnd w:id="412"/>
    <w:bookmarkEnd w:id="413"/>
    <w:bookmarkEnd w:id="414"/>
    <w:p>
      <w:pPr>
        <w:pStyle w:val="957"/>
        <w:spacing w:before="0" w:beforeAutospacing="0" w:after="0" w:afterAutospacing="0" w:line="360" w:lineRule="auto"/>
        <w:ind w:firstLine="480"/>
        <w:rPr>
          <w:b/>
          <w:color w:val="auto"/>
        </w:rPr>
      </w:pPr>
      <w:bookmarkStart w:id="415" w:name="_Toc10340"/>
      <w:bookmarkStart w:id="416" w:name="_Toc22618"/>
      <w:bookmarkStart w:id="417" w:name="_Toc1814"/>
      <w:bookmarkStart w:id="418" w:name="_Toc8772"/>
      <w:bookmarkStart w:id="419" w:name="_Toc3625"/>
      <w:bookmarkStart w:id="420" w:name="_Toc4760"/>
      <w:bookmarkStart w:id="421" w:name="_Toc11108"/>
      <w:bookmarkStart w:id="422" w:name="_Toc31421"/>
      <w:r>
        <w:rPr>
          <w:rFonts w:hint="eastAsia"/>
          <w:b/>
          <w:color w:val="auto"/>
        </w:rPr>
        <w:t>1.4履约保证金</w:t>
      </w:r>
    </w:p>
    <w:p>
      <w:pPr>
        <w:pStyle w:val="957"/>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5"/>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5"/>
      <w:bookmarkEnd w:id="416"/>
      <w:bookmarkEnd w:id="417"/>
      <w:r>
        <w:rPr>
          <w:rFonts w:hint="eastAsia" w:ascii="宋体" w:hAnsi="宋体" w:cs="宋体"/>
          <w:b/>
          <w:color w:val="auto"/>
          <w:sz w:val="24"/>
        </w:rPr>
        <w:t>预付款</w:t>
      </w:r>
    </w:p>
    <w:p>
      <w:pPr>
        <w:pStyle w:val="957"/>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957"/>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57"/>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57"/>
        <w:spacing w:before="0" w:beforeAutospacing="0" w:after="0" w:afterAutospacing="0" w:line="360" w:lineRule="auto"/>
        <w:ind w:firstLine="480"/>
        <w:rPr>
          <w:b/>
          <w:bCs/>
          <w:color w:val="auto"/>
        </w:rPr>
      </w:pPr>
      <w:r>
        <w:rPr>
          <w:rFonts w:hint="eastAsia"/>
          <w:b/>
          <w:bCs/>
          <w:color w:val="auto"/>
        </w:rPr>
        <w:t>1.6资金支付</w:t>
      </w:r>
    </w:p>
    <w:p>
      <w:pPr>
        <w:pStyle w:val="957"/>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8"/>
      <w:bookmarkEnd w:id="419"/>
      <w:bookmarkEnd w:id="420"/>
      <w:bookmarkEnd w:id="421"/>
      <w:bookmarkEnd w:id="422"/>
    </w:p>
    <w:p>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outlineLvl w:val="0"/>
        <w:rPr>
          <w:rFonts w:ascii="宋体" w:hAnsi="宋体"/>
          <w:bCs/>
          <w:color w:val="auto"/>
          <w:sz w:val="24"/>
        </w:rPr>
      </w:pPr>
      <w:bookmarkStart w:id="423" w:name="_Toc8586"/>
      <w:bookmarkStart w:id="424" w:name="_Toc2375"/>
      <w:bookmarkStart w:id="425" w:name="_Toc24662"/>
      <w:bookmarkStart w:id="426" w:name="_Toc5698"/>
      <w:bookmarkStart w:id="427" w:name="_Toc3079"/>
      <w:r>
        <w:rPr>
          <w:rFonts w:hint="eastAsia" w:ascii="宋体" w:hAnsi="宋体"/>
          <w:bCs/>
          <w:color w:val="auto"/>
          <w:sz w:val="24"/>
        </w:rPr>
        <w:t>1.7.4若服务</w:t>
      </w:r>
      <w:r>
        <w:rPr>
          <w:rFonts w:hint="eastAsia"/>
          <w:bCs/>
          <w:color w:val="auto"/>
          <w:sz w:val="24"/>
        </w:rPr>
        <w:t>涉及货物的，则货物的：</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3"/>
      <w:bookmarkEnd w:id="424"/>
      <w:bookmarkEnd w:id="425"/>
      <w:bookmarkEnd w:id="426"/>
      <w:bookmarkEnd w:id="427"/>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pPr>
        <w:pStyle w:val="5"/>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pPr>
        <w:spacing w:line="560" w:lineRule="exact"/>
        <w:ind w:firstLine="480" w:firstLineChars="200"/>
        <w:rPr>
          <w:rFonts w:ascii="宋体" w:hAnsi="宋体" w:cs="宋体"/>
          <w:color w:val="auto"/>
          <w:sz w:val="24"/>
        </w:rPr>
      </w:pPr>
      <w:bookmarkStart w:id="428" w:name="_Toc18683"/>
      <w:bookmarkStart w:id="429" w:name="_Toc30329"/>
      <w:bookmarkStart w:id="430" w:name="_Toc26807"/>
      <w:bookmarkStart w:id="431" w:name="_Toc32454"/>
      <w:bookmarkStart w:id="432" w:name="_Toc949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color w:val="auto"/>
          <w:sz w:val="24"/>
        </w:rPr>
      </w:pPr>
      <w:bookmarkStart w:id="433" w:name="_Toc16021"/>
      <w:bookmarkStart w:id="434" w:name="_Toc15583"/>
      <w:bookmarkStart w:id="435" w:name="_Toc28375"/>
      <w:r>
        <w:rPr>
          <w:rFonts w:hint="eastAsia" w:ascii="宋体" w:hAnsi="宋体" w:cs="宋体"/>
          <w:b/>
          <w:color w:val="auto"/>
          <w:sz w:val="24"/>
        </w:rPr>
        <w:t>1.9合同争议的解决</w:t>
      </w:r>
      <w:bookmarkEnd w:id="433"/>
      <w:bookmarkEnd w:id="434"/>
      <w:bookmarkEnd w:id="435"/>
    </w:p>
    <w:p>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0"/>
        <w:rPr>
          <w:rFonts w:ascii="宋体" w:hAnsi="宋体" w:cs="宋体"/>
          <w:b/>
          <w:color w:val="auto"/>
          <w:sz w:val="24"/>
        </w:rPr>
      </w:pPr>
      <w:bookmarkStart w:id="436" w:name="_Toc11173"/>
      <w:bookmarkStart w:id="437" w:name="_Toc15322"/>
      <w:bookmarkStart w:id="438" w:name="_Toc7245"/>
      <w:r>
        <w:rPr>
          <w:rFonts w:hint="eastAsia" w:ascii="宋体" w:hAnsi="宋体" w:cs="宋体"/>
          <w:b/>
          <w:color w:val="auto"/>
          <w:sz w:val="24"/>
        </w:rPr>
        <w:t>2.0 合同生效</w:t>
      </w:r>
      <w:bookmarkEnd w:id="436"/>
      <w:bookmarkEnd w:id="437"/>
      <w:bookmarkEnd w:id="438"/>
    </w:p>
    <w:p>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pPr>
        <w:autoSpaceDE w:val="0"/>
        <w:autoSpaceDN w:val="0"/>
        <w:spacing w:line="560" w:lineRule="exact"/>
        <w:rPr>
          <w:rFonts w:ascii="宋体" w:hAnsi="宋体"/>
          <w:color w:val="auto"/>
          <w:sz w:val="24"/>
          <w:lang w:val="zh-CN"/>
        </w:rPr>
      </w:pPr>
    </w:p>
    <w:p>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pPr>
        <w:autoSpaceDE w:val="0"/>
        <w:autoSpaceDN w:val="0"/>
        <w:spacing w:line="560" w:lineRule="exact"/>
        <w:rPr>
          <w:rFonts w:ascii="宋体" w:hAnsi="宋体"/>
          <w:color w:val="auto"/>
          <w:sz w:val="24"/>
          <w:lang w:val="zh-CN"/>
        </w:rPr>
      </w:pP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pPr>
        <w:widowControl/>
        <w:spacing w:line="560" w:lineRule="exact"/>
        <w:jc w:val="left"/>
        <w:rPr>
          <w:rFonts w:ascii="宋体" w:hAnsi="宋体"/>
          <w:b/>
          <w:color w:val="auto"/>
          <w:sz w:val="24"/>
        </w:rPr>
      </w:pPr>
    </w:p>
    <w:p>
      <w:pPr>
        <w:widowControl/>
        <w:adjustRightInd/>
        <w:jc w:val="left"/>
        <w:rPr>
          <w:rFonts w:ascii="宋体" w:hAnsi="宋体"/>
          <w:b/>
          <w:color w:val="auto"/>
          <w:sz w:val="24"/>
        </w:rPr>
      </w:pPr>
      <w:r>
        <w:rPr>
          <w:rFonts w:ascii="宋体" w:hAnsi="宋体"/>
          <w:b/>
          <w:color w:val="auto"/>
        </w:rPr>
        <w:br w:type="page"/>
      </w:r>
    </w:p>
    <w:p>
      <w:pPr>
        <w:pStyle w:val="699"/>
        <w:spacing w:line="560" w:lineRule="exact"/>
        <w:ind w:left="0" w:leftChars="0" w:firstLine="0" w:firstLineChars="0"/>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pPr>
        <w:spacing w:line="560" w:lineRule="exact"/>
        <w:ind w:firstLine="482" w:firstLineChars="200"/>
        <w:outlineLvl w:val="0"/>
        <w:rPr>
          <w:rFonts w:ascii="宋体" w:hAnsi="宋体"/>
          <w:b/>
          <w:color w:val="auto"/>
          <w:sz w:val="24"/>
        </w:rPr>
      </w:pPr>
      <w:bookmarkStart w:id="439" w:name="_Toc19680"/>
      <w:bookmarkStart w:id="440" w:name="_Toc31297"/>
      <w:bookmarkStart w:id="441" w:name="_Toc25079"/>
      <w:bookmarkStart w:id="442" w:name="_Toc14021"/>
      <w:bookmarkStart w:id="443" w:name="_Toc5228"/>
      <w:r>
        <w:rPr>
          <w:rFonts w:ascii="宋体" w:hAnsi="宋体"/>
          <w:b/>
          <w:color w:val="auto"/>
          <w:sz w:val="24"/>
        </w:rPr>
        <w:t>2.1 定义</w:t>
      </w:r>
      <w:bookmarkEnd w:id="439"/>
      <w:bookmarkEnd w:id="440"/>
      <w:bookmarkEnd w:id="441"/>
      <w:bookmarkEnd w:id="442"/>
      <w:bookmarkEnd w:id="443"/>
    </w:p>
    <w:p>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pPr>
        <w:spacing w:line="560" w:lineRule="exact"/>
        <w:ind w:firstLine="482" w:firstLineChars="200"/>
        <w:outlineLvl w:val="0"/>
        <w:rPr>
          <w:rFonts w:ascii="宋体" w:hAnsi="宋体"/>
          <w:b/>
          <w:color w:val="auto"/>
          <w:sz w:val="24"/>
        </w:rPr>
      </w:pPr>
      <w:bookmarkStart w:id="444" w:name="_Toc16752"/>
      <w:bookmarkStart w:id="445" w:name="_Toc23289"/>
      <w:bookmarkStart w:id="446" w:name="_Toc3769"/>
      <w:bookmarkStart w:id="447" w:name="_Toc19539"/>
      <w:bookmarkStart w:id="448" w:name="_Toc31402"/>
      <w:r>
        <w:rPr>
          <w:rFonts w:ascii="宋体" w:hAnsi="宋体"/>
          <w:b/>
          <w:color w:val="auto"/>
          <w:sz w:val="24"/>
        </w:rPr>
        <w:t>2.2 技术规范</w:t>
      </w:r>
      <w:bookmarkEnd w:id="444"/>
      <w:bookmarkEnd w:id="445"/>
      <w:bookmarkEnd w:id="446"/>
      <w:bookmarkEnd w:id="447"/>
      <w:bookmarkEnd w:id="448"/>
    </w:p>
    <w:p>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pPr>
        <w:spacing w:line="560" w:lineRule="exact"/>
        <w:ind w:firstLine="482" w:firstLineChars="200"/>
        <w:outlineLvl w:val="0"/>
        <w:rPr>
          <w:rFonts w:ascii="宋体" w:hAnsi="宋体"/>
          <w:b/>
          <w:color w:val="auto"/>
          <w:sz w:val="24"/>
        </w:rPr>
      </w:pPr>
      <w:bookmarkStart w:id="449" w:name="_Toc27945"/>
      <w:bookmarkStart w:id="450" w:name="_Toc9161"/>
      <w:bookmarkStart w:id="451" w:name="_Toc12412"/>
      <w:bookmarkStart w:id="452" w:name="_Toc4133"/>
      <w:bookmarkStart w:id="453" w:name="_Toc13673"/>
      <w:r>
        <w:rPr>
          <w:rFonts w:ascii="宋体" w:hAnsi="宋体"/>
          <w:b/>
          <w:color w:val="auto"/>
          <w:sz w:val="24"/>
        </w:rPr>
        <w:t>2.3 知识产权</w:t>
      </w:r>
      <w:bookmarkEnd w:id="449"/>
      <w:bookmarkEnd w:id="450"/>
      <w:bookmarkEnd w:id="451"/>
      <w:bookmarkEnd w:id="452"/>
      <w:bookmarkEnd w:id="453"/>
    </w:p>
    <w:p>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rPr>
      </w:pPr>
      <w:bookmarkStart w:id="454" w:name="_Toc26555"/>
      <w:bookmarkStart w:id="455" w:name="_Toc31233"/>
      <w:bookmarkStart w:id="456" w:name="_Toc15447"/>
      <w:bookmarkStart w:id="457" w:name="_Toc22011"/>
      <w:bookmarkStart w:id="458" w:name="_Toc32670"/>
      <w:r>
        <w:rPr>
          <w:rFonts w:ascii="宋体" w:hAnsi="宋体"/>
          <w:b/>
          <w:color w:val="auto"/>
          <w:sz w:val="24"/>
        </w:rPr>
        <w:t>2.5 结算方式和付款条件</w:t>
      </w:r>
      <w:bookmarkEnd w:id="454"/>
      <w:bookmarkEnd w:id="455"/>
      <w:bookmarkEnd w:id="456"/>
      <w:bookmarkEnd w:id="457"/>
      <w:bookmarkEnd w:id="458"/>
    </w:p>
    <w:p>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459" w:name="_Toc30507"/>
      <w:bookmarkStart w:id="460" w:name="_Toc13467"/>
      <w:bookmarkStart w:id="461" w:name="_Toc13154"/>
      <w:bookmarkStart w:id="462" w:name="_Toc16163"/>
      <w:bookmarkStart w:id="463" w:name="_Toc18990"/>
      <w:r>
        <w:rPr>
          <w:rFonts w:ascii="宋体" w:hAnsi="宋体"/>
          <w:b/>
          <w:color w:val="auto"/>
          <w:sz w:val="24"/>
        </w:rPr>
        <w:t>2.6 技术资料和保密义务</w:t>
      </w:r>
      <w:bookmarkEnd w:id="459"/>
      <w:bookmarkEnd w:id="460"/>
      <w:bookmarkEnd w:id="461"/>
      <w:bookmarkEnd w:id="462"/>
      <w:bookmarkEnd w:id="463"/>
    </w:p>
    <w:p>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rPr>
      </w:pPr>
      <w:bookmarkStart w:id="464" w:name="_Toc19069"/>
      <w:r>
        <w:rPr>
          <w:rFonts w:ascii="宋体" w:hAnsi="宋体"/>
          <w:b/>
          <w:color w:val="auto"/>
          <w:sz w:val="24"/>
        </w:rPr>
        <w:t xml:space="preserve">2.7 </w:t>
      </w:r>
      <w:r>
        <w:rPr>
          <w:rFonts w:hint="eastAsia" w:ascii="宋体" w:hAnsi="宋体"/>
          <w:b/>
          <w:color w:val="auto"/>
          <w:sz w:val="24"/>
        </w:rPr>
        <w:t>质量保证</w:t>
      </w:r>
      <w:bookmarkEnd w:id="464"/>
    </w:p>
    <w:p>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rPr>
      </w:pPr>
      <w:bookmarkStart w:id="465" w:name="_Toc22267"/>
      <w:r>
        <w:rPr>
          <w:rFonts w:ascii="宋体" w:hAnsi="宋体"/>
          <w:b/>
          <w:color w:val="auto"/>
          <w:sz w:val="24"/>
        </w:rPr>
        <w:t xml:space="preserve">2.8 </w:t>
      </w:r>
      <w:r>
        <w:rPr>
          <w:rFonts w:hint="eastAsia" w:ascii="宋体" w:hAnsi="宋体"/>
          <w:b/>
          <w:color w:val="auto"/>
          <w:sz w:val="24"/>
        </w:rPr>
        <w:t>延迟履行</w:t>
      </w:r>
      <w:bookmarkEnd w:id="465"/>
    </w:p>
    <w:p>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pPr>
        <w:spacing w:line="560" w:lineRule="exact"/>
        <w:ind w:firstLine="482" w:firstLineChars="200"/>
        <w:outlineLvl w:val="0"/>
        <w:rPr>
          <w:rFonts w:ascii="宋体" w:hAnsi="宋体"/>
          <w:b/>
          <w:color w:val="auto"/>
          <w:sz w:val="24"/>
        </w:rPr>
      </w:pPr>
      <w:bookmarkStart w:id="466" w:name="_Toc10611"/>
      <w:r>
        <w:rPr>
          <w:rFonts w:ascii="宋体" w:hAnsi="宋体"/>
          <w:b/>
          <w:color w:val="auto"/>
          <w:sz w:val="24"/>
        </w:rPr>
        <w:t xml:space="preserve">2.9 </w:t>
      </w:r>
      <w:r>
        <w:rPr>
          <w:rFonts w:hint="eastAsia" w:ascii="宋体" w:hAnsi="宋体"/>
          <w:b/>
          <w:color w:val="auto"/>
          <w:sz w:val="24"/>
        </w:rPr>
        <w:t>合同变更</w:t>
      </w:r>
      <w:bookmarkEnd w:id="466"/>
    </w:p>
    <w:p>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467" w:name="_Toc21830"/>
      <w:bookmarkStart w:id="468" w:name="_Toc23368"/>
      <w:bookmarkStart w:id="469" w:name="_Toc42"/>
      <w:bookmarkStart w:id="470" w:name="_Toc26689"/>
      <w:bookmarkStart w:id="471" w:name="_Toc10663"/>
      <w:r>
        <w:rPr>
          <w:rFonts w:ascii="宋体" w:hAnsi="宋体"/>
          <w:b/>
          <w:color w:val="auto"/>
          <w:sz w:val="24"/>
        </w:rPr>
        <w:t>2.10 合同转让和分包</w:t>
      </w:r>
      <w:bookmarkEnd w:id="467"/>
      <w:bookmarkEnd w:id="468"/>
      <w:bookmarkEnd w:id="469"/>
      <w:bookmarkEnd w:id="470"/>
      <w:bookmarkEnd w:id="471"/>
    </w:p>
    <w:p>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pPr>
        <w:spacing w:line="560" w:lineRule="exact"/>
        <w:ind w:firstLine="482" w:firstLineChars="200"/>
        <w:outlineLvl w:val="0"/>
        <w:rPr>
          <w:rFonts w:ascii="宋体" w:hAnsi="宋体"/>
          <w:b/>
          <w:color w:val="auto"/>
          <w:sz w:val="24"/>
        </w:rPr>
      </w:pPr>
      <w:bookmarkStart w:id="472" w:name="_Toc14371"/>
      <w:bookmarkStart w:id="473" w:name="_Toc32494"/>
      <w:bookmarkStart w:id="474" w:name="_Toc26633"/>
      <w:bookmarkStart w:id="475" w:name="_Toc25571"/>
      <w:bookmarkStart w:id="476" w:name="_Toc4720"/>
      <w:r>
        <w:rPr>
          <w:rFonts w:ascii="宋体" w:hAnsi="宋体"/>
          <w:b/>
          <w:color w:val="auto"/>
          <w:sz w:val="24"/>
        </w:rPr>
        <w:t>2.11 不可抗力</w:t>
      </w:r>
      <w:bookmarkEnd w:id="472"/>
      <w:bookmarkEnd w:id="473"/>
      <w:bookmarkEnd w:id="474"/>
      <w:bookmarkEnd w:id="475"/>
      <w:bookmarkEnd w:id="476"/>
    </w:p>
    <w:p>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477" w:name="_Toc3638"/>
      <w:bookmarkStart w:id="478" w:name="_Toc24465"/>
      <w:bookmarkStart w:id="479" w:name="_Toc14115"/>
      <w:bookmarkStart w:id="480" w:name="_Toc23854"/>
      <w:bookmarkStart w:id="481" w:name="_Toc25783"/>
      <w:r>
        <w:rPr>
          <w:rFonts w:ascii="宋体" w:hAnsi="宋体"/>
          <w:b/>
          <w:color w:val="auto"/>
          <w:sz w:val="24"/>
        </w:rPr>
        <w:t>2.12 税费</w:t>
      </w:r>
      <w:bookmarkEnd w:id="477"/>
      <w:bookmarkEnd w:id="478"/>
      <w:bookmarkEnd w:id="479"/>
      <w:bookmarkEnd w:id="480"/>
      <w:bookmarkEnd w:id="481"/>
    </w:p>
    <w:p>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pPr>
        <w:spacing w:line="560" w:lineRule="exact"/>
        <w:ind w:firstLine="482" w:firstLineChars="200"/>
        <w:outlineLvl w:val="0"/>
        <w:rPr>
          <w:rFonts w:ascii="宋体" w:hAnsi="宋体"/>
          <w:b/>
          <w:color w:val="auto"/>
          <w:sz w:val="24"/>
        </w:rPr>
      </w:pPr>
      <w:bookmarkStart w:id="482" w:name="_Toc30105"/>
      <w:bookmarkStart w:id="483" w:name="_Toc25525"/>
      <w:bookmarkStart w:id="484" w:name="_Toc7315"/>
      <w:bookmarkStart w:id="485" w:name="_Toc26883"/>
      <w:bookmarkStart w:id="486" w:name="_Toc14814"/>
      <w:r>
        <w:rPr>
          <w:rFonts w:ascii="宋体" w:hAnsi="宋体"/>
          <w:b/>
          <w:color w:val="auto"/>
          <w:sz w:val="24"/>
        </w:rPr>
        <w:t>2.13 乙方破产</w:t>
      </w:r>
      <w:bookmarkEnd w:id="482"/>
      <w:bookmarkEnd w:id="483"/>
      <w:bookmarkEnd w:id="484"/>
      <w:bookmarkEnd w:id="485"/>
      <w:bookmarkEnd w:id="486"/>
    </w:p>
    <w:p>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pPr>
        <w:spacing w:line="560" w:lineRule="exact"/>
        <w:ind w:firstLine="482" w:firstLineChars="200"/>
        <w:outlineLvl w:val="0"/>
        <w:rPr>
          <w:rFonts w:ascii="宋体" w:hAnsi="宋体"/>
          <w:b/>
          <w:color w:val="auto"/>
          <w:sz w:val="24"/>
        </w:rPr>
      </w:pPr>
      <w:bookmarkStart w:id="487" w:name="_Toc23323"/>
      <w:bookmarkStart w:id="488" w:name="_Toc2016"/>
      <w:bookmarkStart w:id="489" w:name="_Toc1123"/>
      <w:r>
        <w:rPr>
          <w:rFonts w:ascii="宋体" w:hAnsi="宋体"/>
          <w:b/>
          <w:color w:val="auto"/>
          <w:sz w:val="24"/>
        </w:rPr>
        <w:t>2.14 合同中止、终止</w:t>
      </w:r>
      <w:bookmarkEnd w:id="487"/>
      <w:bookmarkEnd w:id="488"/>
      <w:bookmarkEnd w:id="489"/>
    </w:p>
    <w:p>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490" w:name="_Toc1969"/>
      <w:bookmarkStart w:id="491" w:name="_Toc14525"/>
      <w:bookmarkStart w:id="492" w:name="_Toc17363"/>
      <w:r>
        <w:rPr>
          <w:rFonts w:ascii="宋体" w:hAnsi="宋体"/>
          <w:b/>
          <w:color w:val="auto"/>
          <w:sz w:val="24"/>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pPr>
        <w:spacing w:line="560" w:lineRule="exact"/>
        <w:ind w:firstLine="482" w:firstLineChars="200"/>
        <w:outlineLvl w:val="0"/>
        <w:rPr>
          <w:rFonts w:ascii="宋体" w:hAnsi="宋体"/>
          <w:b/>
          <w:color w:val="auto"/>
          <w:sz w:val="24"/>
        </w:rPr>
      </w:pPr>
      <w:bookmarkStart w:id="493" w:name="_Toc31892"/>
      <w:bookmarkStart w:id="494" w:name="_Toc2308"/>
      <w:bookmarkStart w:id="495" w:name="_Toc12666"/>
      <w:bookmarkStart w:id="496" w:name="_Toc9808"/>
      <w:bookmarkStart w:id="497" w:name="_Toc25198"/>
      <w:r>
        <w:rPr>
          <w:rFonts w:ascii="宋体" w:hAnsi="宋体"/>
          <w:b/>
          <w:color w:val="auto"/>
          <w:sz w:val="24"/>
        </w:rPr>
        <w:t>2.16 通知和送达</w:t>
      </w:r>
      <w:bookmarkEnd w:id="493"/>
      <w:bookmarkEnd w:id="494"/>
      <w:bookmarkEnd w:id="495"/>
      <w:bookmarkEnd w:id="496"/>
      <w:bookmarkEnd w:id="497"/>
    </w:p>
    <w:p>
      <w:pPr>
        <w:spacing w:line="560" w:lineRule="exact"/>
        <w:ind w:firstLine="480" w:firstLineChars="200"/>
        <w:rPr>
          <w:rFonts w:ascii="宋体" w:hAnsi="宋体"/>
          <w:color w:val="auto"/>
          <w:sz w:val="24"/>
        </w:rPr>
      </w:pPr>
      <w:bookmarkStart w:id="498" w:name="_Toc18401"/>
      <w:bookmarkStart w:id="499"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8"/>
      <w:bookmarkEnd w:id="499"/>
    </w:p>
    <w:p>
      <w:pPr>
        <w:spacing w:line="560" w:lineRule="exact"/>
        <w:ind w:firstLine="482" w:firstLineChars="200"/>
        <w:outlineLvl w:val="0"/>
        <w:rPr>
          <w:rFonts w:ascii="宋体" w:hAnsi="宋体"/>
          <w:b/>
          <w:color w:val="auto"/>
          <w:sz w:val="24"/>
        </w:rPr>
      </w:pPr>
      <w:bookmarkStart w:id="500" w:name="_Toc12254"/>
      <w:bookmarkStart w:id="501" w:name="_Toc20808"/>
      <w:bookmarkStart w:id="502" w:name="_Toc28906"/>
      <w:bookmarkStart w:id="503" w:name="_Toc27644"/>
      <w:bookmarkStart w:id="504" w:name="_Toc5063"/>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0"/>
      <w:bookmarkEnd w:id="501"/>
      <w:bookmarkEnd w:id="502"/>
      <w:bookmarkEnd w:id="503"/>
      <w:bookmarkEnd w:id="504"/>
    </w:p>
    <w:p>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pPr>
        <w:spacing w:line="560" w:lineRule="exact"/>
        <w:ind w:firstLine="482" w:firstLineChars="200"/>
        <w:outlineLvl w:val="0"/>
        <w:rPr>
          <w:rFonts w:ascii="宋体" w:hAnsi="宋体" w:cs="宋体"/>
          <w:b/>
          <w:color w:val="auto"/>
          <w:sz w:val="24"/>
        </w:rPr>
      </w:pPr>
      <w:bookmarkStart w:id="505" w:name="_Toc18540"/>
      <w:bookmarkStart w:id="506" w:name="_Toc4355"/>
      <w:bookmarkStart w:id="507" w:name="_Toc30599"/>
      <w:r>
        <w:rPr>
          <w:rFonts w:hint="eastAsia" w:ascii="宋体" w:hAnsi="宋体" w:cs="宋体"/>
          <w:b/>
          <w:color w:val="auto"/>
          <w:sz w:val="24"/>
        </w:rPr>
        <w:t>2.18 计量单位</w:t>
      </w:r>
      <w:bookmarkEnd w:id="505"/>
      <w:bookmarkEnd w:id="506"/>
      <w:bookmarkEnd w:id="507"/>
    </w:p>
    <w:p>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08" w:name="_Toc331685784"/>
      <w:r>
        <w:rPr>
          <w:rFonts w:hint="eastAsia" w:ascii="宋体" w:hAnsi="宋体" w:cs="宋体"/>
          <w:b/>
          <w:color w:val="auto"/>
          <w:sz w:val="24"/>
        </w:rPr>
        <w:t xml:space="preserve"> </w:t>
      </w:r>
      <w:bookmarkEnd w:id="508"/>
      <w:r>
        <w:rPr>
          <w:rFonts w:hint="eastAsia" w:ascii="宋体" w:hAnsi="宋体" w:cs="宋体"/>
          <w:b/>
          <w:color w:val="auto"/>
          <w:sz w:val="24"/>
        </w:rPr>
        <w:t>第三部分  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ascii="宋体" w:hAnsi="宋体" w:cs="宋体"/>
                <w:b/>
                <w:color w:val="auto"/>
                <w:sz w:val="24"/>
              </w:rPr>
            </w:pPr>
            <w:r>
              <w:rPr>
                <w:rFonts w:hint="eastAsia" w:ascii="宋体" w:hAnsi="宋体" w:cs="宋体"/>
                <w:b/>
                <w:color w:val="auto"/>
                <w:sz w:val="24"/>
              </w:rPr>
              <w:t>条款号</w:t>
            </w:r>
          </w:p>
        </w:tc>
        <w:tc>
          <w:tcPr>
            <w:tcW w:w="4464" w:type="pct"/>
            <w:vAlign w:val="center"/>
          </w:tcPr>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r>
              <w:rPr>
                <w:rFonts w:hint="eastAsia" w:ascii="宋体" w:hAnsi="宋体" w:cs="宋体"/>
                <w:color w:val="auto"/>
                <w:sz w:val="24"/>
              </w:rPr>
              <w:t>1.3.2</w:t>
            </w:r>
          </w:p>
        </w:tc>
        <w:tc>
          <w:tcPr>
            <w:tcW w:w="4464" w:type="pct"/>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default" w:ascii="宋体" w:hAnsi="宋体" w:eastAsia="宋体" w:cs="宋体"/>
                <w:color w:val="auto"/>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r>
              <w:rPr>
                <w:rFonts w:hint="eastAsia" w:ascii="宋体" w:hAnsi="宋体" w:cs="宋体"/>
                <w:color w:val="auto"/>
                <w:sz w:val="24"/>
              </w:rPr>
              <w:t>1.4.2</w:t>
            </w:r>
          </w:p>
        </w:tc>
        <w:tc>
          <w:tcPr>
            <w:tcW w:w="4464" w:type="pct"/>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r>
              <w:rPr>
                <w:rFonts w:hint="eastAsia" w:ascii="宋体" w:hAnsi="宋体" w:eastAsia="宋体" w:cs="宋体"/>
                <w:color w:val="auto"/>
                <w:sz w:val="24"/>
                <w:szCs w:val="24"/>
                <w:highlight w:val="none"/>
                <w:lang w:val="zh-CN" w:eastAsia="zh-CN"/>
              </w:rPr>
              <w:t>合同签订时，采购人将按《中华人民共和国政府采购法实施条例》有关规定自行收取项目履约保证金，并于合同到期后15天内退还供应商（无息退还）。供应商应当以支票、汇票、本票或者金融机构、担保机构出具的保函等非现金形式提交。履约保证金的数额不得超过政府采购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auto"/>
                <w:sz w:val="24"/>
                <w:lang w:eastAsia="zh-CN"/>
              </w:rPr>
            </w:pPr>
            <w:r>
              <w:rPr>
                <w:rFonts w:hint="eastAsia" w:ascii="宋体" w:hAnsi="宋体" w:eastAsia="宋体" w:cs="宋体"/>
                <w:sz w:val="24"/>
                <w:szCs w:val="24"/>
              </w:rPr>
              <w:t>签订合同</w:t>
            </w:r>
            <w:r>
              <w:rPr>
                <w:rFonts w:hint="eastAsia" w:ascii="宋体" w:hAnsi="宋体" w:eastAsia="宋体" w:cs="宋体"/>
                <w:sz w:val="24"/>
                <w:szCs w:val="24"/>
                <w:lang w:val="en-US" w:eastAsia="zh-CN"/>
              </w:rPr>
              <w:t>且具备实施条件收到发票后</w:t>
            </w:r>
            <w:r>
              <w:rPr>
                <w:rFonts w:hint="eastAsia" w:ascii="宋体" w:hAnsi="宋体" w:cs="宋体"/>
                <w:sz w:val="24"/>
                <w:szCs w:val="24"/>
                <w:lang w:val="en-US" w:eastAsia="zh-CN"/>
              </w:rPr>
              <w:t>7</w:t>
            </w:r>
            <w:r>
              <w:rPr>
                <w:rFonts w:hint="eastAsia" w:ascii="宋体" w:hAnsi="宋体" w:eastAsia="宋体" w:cs="宋体"/>
                <w:sz w:val="24"/>
                <w:szCs w:val="24"/>
              </w:rPr>
              <w:t>个工作日甲方应向乙方支付合同总金额50%</w:t>
            </w:r>
            <w:r>
              <w:rPr>
                <w:rFonts w:hint="eastAsia" w:ascii="宋体" w:hAnsi="宋体" w:eastAsia="宋体" w:cs="宋体"/>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r>
              <w:rPr>
                <w:rFonts w:hint="eastAsia" w:ascii="宋体" w:hAnsi="宋体" w:cs="宋体"/>
                <w:color w:val="auto"/>
                <w:sz w:val="24"/>
              </w:rPr>
              <w:t>1.5.2</w:t>
            </w:r>
          </w:p>
        </w:tc>
        <w:tc>
          <w:tcPr>
            <w:tcW w:w="4464" w:type="pct"/>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r>
              <w:rPr>
                <w:rFonts w:hint="eastAsia" w:ascii="宋体" w:hAnsi="宋体" w:cs="宋体"/>
                <w:color w:val="auto"/>
                <w:sz w:val="24"/>
              </w:rPr>
              <w:t>中标单位需在中标后提交银行、保险公司等金融机构出具的预付款保函。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r>
              <w:rPr>
                <w:rFonts w:hint="eastAsia" w:ascii="宋体" w:hAnsi="宋体" w:cs="宋体"/>
                <w:color w:val="auto"/>
                <w:sz w:val="24"/>
              </w:rPr>
              <w:t>1.6.2</w:t>
            </w:r>
          </w:p>
        </w:tc>
        <w:tc>
          <w:tcPr>
            <w:tcW w:w="4464" w:type="pct"/>
            <w:vAlign w:val="center"/>
          </w:tcPr>
          <w:p>
            <w:pPr>
              <w:pStyle w:val="964"/>
              <w:numPr>
                <w:ilvl w:val="0"/>
                <w:numId w:val="0"/>
              </w:numPr>
              <w:spacing w:line="336" w:lineRule="auto"/>
              <w:rPr>
                <w:rFonts w:ascii="宋体" w:hAnsi="宋体" w:cs="宋体"/>
                <w:color w:val="auto"/>
                <w:sz w:val="24"/>
              </w:rPr>
            </w:pPr>
            <w:r>
              <w:rPr>
                <w:rFonts w:hint="eastAsia" w:ascii="宋体" w:hAnsi="宋体" w:eastAsia="宋体" w:cs="宋体"/>
                <w:sz w:val="24"/>
                <w:szCs w:val="24"/>
              </w:rPr>
              <w:t>签订合同</w:t>
            </w:r>
            <w:r>
              <w:rPr>
                <w:rFonts w:hint="eastAsia" w:ascii="宋体" w:hAnsi="宋体" w:eastAsia="宋体" w:cs="宋体"/>
                <w:sz w:val="24"/>
                <w:szCs w:val="24"/>
                <w:lang w:val="en-US" w:eastAsia="zh-CN"/>
              </w:rPr>
              <w:t>且具备实施条件收到发票后</w:t>
            </w:r>
            <w:r>
              <w:rPr>
                <w:rFonts w:hint="eastAsia" w:ascii="宋体" w:hAnsi="宋体" w:cs="宋体"/>
                <w:sz w:val="24"/>
                <w:szCs w:val="24"/>
                <w:lang w:val="en-US" w:eastAsia="zh-CN"/>
              </w:rPr>
              <w:t>7</w:t>
            </w:r>
            <w:r>
              <w:rPr>
                <w:rFonts w:hint="eastAsia" w:ascii="宋体" w:hAnsi="宋体" w:eastAsia="宋体" w:cs="宋体"/>
                <w:sz w:val="24"/>
                <w:szCs w:val="24"/>
              </w:rPr>
              <w:t>个工作日甲方应向乙方支付合同总金额50%，</w:t>
            </w:r>
            <w:r>
              <w:rPr>
                <w:rFonts w:hint="eastAsia" w:ascii="宋体" w:hAnsi="宋体" w:eastAsia="宋体" w:cs="宋体"/>
                <w:sz w:val="24"/>
                <w:szCs w:val="24"/>
                <w:lang w:val="en-US" w:eastAsia="zh-CN"/>
              </w:rPr>
              <w:t>项目验收合格收到发票后</w:t>
            </w:r>
            <w:r>
              <w:rPr>
                <w:rFonts w:hint="eastAsia" w:ascii="宋体" w:hAnsi="宋体" w:eastAsia="宋体" w:cs="宋体"/>
                <w:sz w:val="24"/>
                <w:szCs w:val="24"/>
              </w:rPr>
              <w:t>7个工作日甲方应向乙方支付合同总金额50%。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r>
              <w:rPr>
                <w:rFonts w:hint="eastAsia" w:ascii="宋体" w:hAnsi="宋体" w:cs="宋体"/>
                <w:color w:val="auto"/>
                <w:sz w:val="24"/>
              </w:rPr>
              <w:t>1.7.1</w:t>
            </w:r>
          </w:p>
        </w:tc>
        <w:tc>
          <w:tcPr>
            <w:tcW w:w="4464" w:type="pct"/>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cs="宋体"/>
                <w:color w:val="auto"/>
                <w:sz w:val="24"/>
              </w:rPr>
            </w:pPr>
            <w:r>
              <w:rPr>
                <w:rFonts w:hint="eastAsia" w:ascii="宋体" w:hAnsi="宋体" w:eastAsia="宋体" w:cs="宋体"/>
                <w:b w:val="0"/>
                <w:bCs w:val="0"/>
                <w:color w:val="auto"/>
                <w:sz w:val="24"/>
                <w:szCs w:val="24"/>
                <w:highlight w:val="none"/>
                <w:lang w:val="en-US" w:eastAsia="zh-CN"/>
              </w:rPr>
              <w:t>签订合同后</w:t>
            </w:r>
            <w:r>
              <w:rPr>
                <w:rFonts w:hint="eastAsia" w:ascii="宋体" w:hAnsi="宋体" w:cs="宋体"/>
                <w:b w:val="0"/>
                <w:bCs w:val="0"/>
                <w:sz w:val="24"/>
                <w:szCs w:val="24"/>
                <w:lang w:val="en-US" w:eastAsia="zh-CN"/>
              </w:rPr>
              <w:t>30日内</w:t>
            </w:r>
            <w:r>
              <w:rPr>
                <w:rFonts w:hint="eastAsia" w:ascii="宋体" w:hAnsi="宋体" w:eastAsia="宋体" w:cs="宋体"/>
                <w:b w:val="0"/>
                <w:bCs w:val="0"/>
                <w:sz w:val="24"/>
                <w:szCs w:val="24"/>
                <w:lang w:val="en-US" w:eastAsia="zh-CN"/>
              </w:rPr>
              <w:t>完成等级保护测评，出具网络安全报告（不含整改时间）</w:t>
            </w:r>
            <w:r>
              <w:rPr>
                <w:rFonts w:hint="eastAsia" w:ascii="宋体" w:hAnsi="宋体" w:eastAsia="宋体" w:cs="宋体"/>
                <w:b w:val="0"/>
                <w:bCs w:val="0"/>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r>
              <w:rPr>
                <w:rFonts w:hint="eastAsia" w:ascii="宋体" w:hAnsi="宋体" w:cs="宋体"/>
                <w:color w:val="auto"/>
                <w:sz w:val="24"/>
              </w:rPr>
              <w:t>1.7.2</w:t>
            </w:r>
          </w:p>
        </w:tc>
        <w:tc>
          <w:tcPr>
            <w:tcW w:w="4464" w:type="pct"/>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cs="宋体"/>
                <w:color w:val="auto"/>
                <w:sz w:val="24"/>
              </w:rPr>
            </w:pPr>
            <w:r>
              <w:rPr>
                <w:rFonts w:hint="eastAsia" w:ascii="宋体" w:hAnsi="宋体" w:cs="宋体"/>
                <w:color w:val="auto"/>
                <w:sz w:val="24"/>
              </w:rPr>
              <w:t>采购单位指定地点。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r>
              <w:rPr>
                <w:rFonts w:hint="eastAsia" w:ascii="宋体" w:hAnsi="宋体" w:cs="宋体"/>
                <w:color w:val="auto"/>
                <w:sz w:val="24"/>
              </w:rPr>
              <w:t>1.7.3</w:t>
            </w:r>
          </w:p>
        </w:tc>
        <w:tc>
          <w:tcPr>
            <w:tcW w:w="4464" w:type="pct"/>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cs="宋体"/>
                <w:color w:val="auto"/>
                <w:sz w:val="24"/>
              </w:rPr>
            </w:pPr>
            <w:r>
              <w:rPr>
                <w:rFonts w:hint="eastAsia" w:ascii="宋体" w:hAnsi="宋体" w:eastAsia="宋体" w:cs="宋体"/>
                <w:color w:val="auto"/>
                <w:sz w:val="24"/>
              </w:rPr>
              <w:t>按项目服务要求提供服务。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r>
              <w:rPr>
                <w:rFonts w:hint="eastAsia" w:ascii="宋体" w:hAnsi="宋体" w:cs="宋体"/>
                <w:color w:val="auto"/>
                <w:sz w:val="24"/>
              </w:rPr>
              <w:t>1.7.4.1</w:t>
            </w:r>
          </w:p>
        </w:tc>
        <w:tc>
          <w:tcPr>
            <w:tcW w:w="4464" w:type="pct"/>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r>
              <w:rPr>
                <w:rFonts w:hint="eastAsia" w:ascii="宋体" w:hAnsi="宋体" w:cs="宋体"/>
                <w:color w:val="auto"/>
                <w:sz w:val="24"/>
              </w:rPr>
              <w:t>1.7.4.2</w:t>
            </w:r>
          </w:p>
        </w:tc>
        <w:tc>
          <w:tcPr>
            <w:tcW w:w="4464" w:type="pct"/>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r>
              <w:rPr>
                <w:rFonts w:hint="eastAsia" w:ascii="宋体" w:hAnsi="宋体" w:cs="宋体"/>
                <w:color w:val="auto"/>
                <w:sz w:val="24"/>
              </w:rPr>
              <w:t>1.7.4.3</w:t>
            </w:r>
          </w:p>
        </w:tc>
        <w:tc>
          <w:tcPr>
            <w:tcW w:w="4464" w:type="pct"/>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r>
              <w:rPr>
                <w:rFonts w:hint="eastAsia" w:ascii="宋体" w:hAnsi="宋体" w:cs="宋体"/>
                <w:color w:val="auto"/>
                <w:sz w:val="24"/>
              </w:rPr>
              <w:t>1.8.7</w:t>
            </w:r>
          </w:p>
        </w:tc>
        <w:tc>
          <w:tcPr>
            <w:tcW w:w="4464" w:type="pct"/>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cs="宋体"/>
                <w:color w:val="auto"/>
                <w:sz w:val="24"/>
              </w:rPr>
            </w:pPr>
            <w:r>
              <w:rPr>
                <w:rFonts w:hint="eastAsia" w:ascii="宋体" w:hAnsi="宋体" w:cs="宋体"/>
                <w:color w:val="auto"/>
                <w:sz w:val="24"/>
              </w:rPr>
              <w:t>1、甲方无正当理由拒绝接受服务的，甲方向乙方偿付合同款项百分之五作为违约金。</w:t>
            </w:r>
          </w:p>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cs="宋体"/>
                <w:color w:val="auto"/>
                <w:sz w:val="24"/>
              </w:rPr>
            </w:pPr>
            <w:r>
              <w:rPr>
                <w:rFonts w:hint="eastAsia" w:ascii="宋体" w:hAnsi="宋体" w:cs="宋体"/>
                <w:color w:val="auto"/>
                <w:sz w:val="24"/>
              </w:rPr>
              <w:t>2、甲方无故逾期验收和办理款项支付手续的，甲方应按逾期付款总额每日万分之五向乙方支付违约金。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r>
              <w:rPr>
                <w:rFonts w:hint="eastAsia" w:ascii="宋体" w:hAnsi="宋体" w:cs="宋体"/>
                <w:color w:val="auto"/>
                <w:sz w:val="24"/>
              </w:rPr>
              <w:t>1.9.1</w:t>
            </w:r>
          </w:p>
        </w:tc>
        <w:tc>
          <w:tcPr>
            <w:tcW w:w="4464" w:type="pct"/>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r>
              <w:rPr>
                <w:rFonts w:hint="eastAsia" w:ascii="宋体" w:hAnsi="宋体" w:cs="宋体"/>
                <w:color w:val="auto"/>
                <w:sz w:val="24"/>
              </w:rPr>
              <w:t>1.9.2</w:t>
            </w:r>
          </w:p>
        </w:tc>
        <w:tc>
          <w:tcPr>
            <w:tcW w:w="4464" w:type="pct"/>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cs="宋体"/>
                <w:color w:val="auto"/>
                <w:sz w:val="24"/>
              </w:rPr>
            </w:pPr>
            <w:r>
              <w:rPr>
                <w:rFonts w:hint="eastAsia" w:ascii="宋体" w:hAnsi="宋体" w:cs="宋体"/>
                <w:color w:val="auto"/>
                <w:sz w:val="24"/>
                <w:lang w:val="zh-CN"/>
              </w:rPr>
              <w:t>向淳安县人民法院提起诉讼。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r>
              <w:rPr>
                <w:rFonts w:hint="eastAsia" w:ascii="宋体" w:hAnsi="宋体" w:cs="宋体"/>
                <w:color w:val="auto"/>
                <w:sz w:val="24"/>
              </w:rPr>
              <w:t>2.3.2</w:t>
            </w:r>
          </w:p>
        </w:tc>
        <w:tc>
          <w:tcPr>
            <w:tcW w:w="4464" w:type="pct"/>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cs="宋体"/>
                <w:color w:val="auto"/>
                <w:sz w:val="24"/>
                <w:lang w:eastAsia="zh-CN"/>
              </w:rPr>
            </w:pPr>
            <w:r>
              <w:rPr>
                <w:rFonts w:hint="eastAsia" w:ascii="宋体" w:hAnsi="宋体" w:cs="宋体"/>
                <w:color w:val="auto"/>
                <w:sz w:val="24"/>
                <w:lang w:eastAsia="zh-CN"/>
              </w:rPr>
              <w:t>乙方开具正规发票后经甲方确认支付。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cs="宋体"/>
                <w:color w:val="auto"/>
                <w:sz w:val="24"/>
              </w:rPr>
            </w:pPr>
            <w:r>
              <w:rPr>
                <w:rFonts w:hint="eastAsia" w:ascii="宋体" w:hAnsi="宋体" w:cs="宋体"/>
                <w:color w:val="auto"/>
                <w:sz w:val="24"/>
              </w:rPr>
              <w:t>10个工作日内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cs="宋体"/>
                <w:color w:val="auto"/>
                <w:sz w:val="24"/>
              </w:rPr>
            </w:pPr>
            <w:r>
              <w:rPr>
                <w:rFonts w:hint="eastAsia" w:ascii="宋体" w:hAnsi="宋体" w:cs="宋体"/>
                <w:color w:val="auto"/>
                <w:sz w:val="24"/>
              </w:rPr>
              <w:t>10个工作日内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采购需求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r>
              <w:rPr>
                <w:rFonts w:hint="eastAsia" w:ascii="宋体" w:hAnsi="宋体" w:cs="宋体"/>
                <w:color w:val="auto"/>
                <w:sz w:val="24"/>
              </w:rPr>
              <w:t>服务期满后甲方</w:t>
            </w:r>
            <w:r>
              <w:rPr>
                <w:rFonts w:hint="eastAsia" w:ascii="宋体" w:hAnsi="宋体" w:cs="宋体"/>
                <w:color w:val="auto"/>
                <w:sz w:val="24"/>
                <w:lang w:val="en-US" w:eastAsia="zh-CN"/>
              </w:rPr>
              <w:t>对乙方的服务情况</w:t>
            </w:r>
            <w:r>
              <w:rPr>
                <w:rFonts w:hint="eastAsia" w:ascii="宋体" w:hAnsi="宋体" w:cs="宋体"/>
                <w:color w:val="auto"/>
                <w:sz w:val="24"/>
              </w:rPr>
              <w:t>等进行核查验收，以此作为付款依据。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r>
              <w:rPr>
                <w:rFonts w:hint="eastAsia" w:ascii="宋体" w:hAnsi="宋体" w:cs="宋体"/>
                <w:color w:val="auto"/>
                <w:sz w:val="24"/>
              </w:rPr>
              <w:t>2.19</w:t>
            </w:r>
          </w:p>
        </w:tc>
        <w:tc>
          <w:tcPr>
            <w:tcW w:w="4464" w:type="pct"/>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r>
              <w:rPr>
                <w:rFonts w:hint="eastAsia" w:ascii="宋体" w:hAnsi="宋体" w:cs="宋体"/>
                <w:color w:val="auto"/>
                <w:sz w:val="24"/>
              </w:rPr>
              <w:t>本合同一式伍份，甲、乙双方各执贰份，采购代理机构壹份。</w:t>
            </w:r>
          </w:p>
        </w:tc>
      </w:tr>
    </w:tbl>
    <w:p>
      <w:pPr>
        <w:spacing w:line="360" w:lineRule="auto"/>
        <w:ind w:left="-420" w:leftChars="-200" w:right="-420" w:rightChars="-200" w:firstLine="480" w:firstLineChars="200"/>
        <w:rPr>
          <w:rFonts w:ascii="宋体" w:hAnsi="宋体" w:cs="宋体"/>
          <w:color w:val="auto"/>
          <w:sz w:val="24"/>
        </w:rPr>
      </w:pPr>
    </w:p>
    <w:p>
      <w:pPr>
        <w:pStyle w:val="2"/>
        <w:rPr>
          <w:rFonts w:ascii="宋体" w:hAnsi="宋体" w:cs="宋体"/>
          <w:color w:val="auto"/>
          <w:sz w:val="24"/>
        </w:rPr>
      </w:pPr>
    </w:p>
    <w:p>
      <w:pPr>
        <w:rPr>
          <w:rFonts w:ascii="宋体" w:hAnsi="宋体" w:cs="宋体"/>
          <w:color w:val="auto"/>
          <w:sz w:val="24"/>
        </w:rPr>
      </w:pPr>
    </w:p>
    <w:p>
      <w:pPr>
        <w:pStyle w:val="2"/>
        <w:rPr>
          <w:rFonts w:ascii="宋体" w:hAnsi="宋体" w:cs="宋体"/>
          <w:color w:val="auto"/>
          <w:sz w:val="24"/>
        </w:rPr>
      </w:pPr>
    </w:p>
    <w:p>
      <w:pPr>
        <w:rPr>
          <w:rFonts w:ascii="宋体" w:hAnsi="宋体" w:cs="宋体"/>
          <w:color w:val="auto"/>
          <w:sz w:val="24"/>
        </w:rPr>
      </w:pPr>
    </w:p>
    <w:p>
      <w:pPr>
        <w:pStyle w:val="2"/>
        <w:rPr>
          <w:rFonts w:ascii="宋体" w:hAnsi="宋体" w:cs="宋体"/>
          <w:color w:val="auto"/>
          <w:sz w:val="24"/>
        </w:rPr>
      </w:pPr>
    </w:p>
    <w:p>
      <w:pPr>
        <w:rPr>
          <w:rFonts w:ascii="宋体" w:hAnsi="宋体" w:cs="宋体"/>
          <w:color w:val="auto"/>
          <w:sz w:val="24"/>
        </w:rPr>
      </w:pPr>
    </w:p>
    <w:p>
      <w:pPr>
        <w:pStyle w:val="2"/>
        <w:rPr>
          <w:rFonts w:ascii="宋体" w:hAnsi="宋体" w:cs="宋体"/>
          <w:color w:val="auto"/>
          <w:sz w:val="24"/>
        </w:rPr>
      </w:pPr>
    </w:p>
    <w:p>
      <w:pPr>
        <w:rPr>
          <w:rFonts w:ascii="宋体" w:hAnsi="宋体" w:cs="宋体"/>
          <w:color w:val="auto"/>
          <w:sz w:val="24"/>
        </w:rPr>
      </w:pPr>
    </w:p>
    <w:p>
      <w:pPr>
        <w:pStyle w:val="2"/>
        <w:rPr>
          <w:rFonts w:ascii="宋体" w:hAnsi="宋体" w:cs="宋体"/>
          <w:color w:val="auto"/>
          <w:sz w:val="24"/>
        </w:rPr>
      </w:pPr>
    </w:p>
    <w:p>
      <w:pPr>
        <w:rPr>
          <w:rFonts w:ascii="宋体" w:hAnsi="宋体" w:cs="宋体"/>
          <w:color w:val="auto"/>
          <w:sz w:val="24"/>
        </w:rPr>
      </w:pPr>
    </w:p>
    <w:p>
      <w:pPr>
        <w:pStyle w:val="2"/>
        <w:rPr>
          <w:rFonts w:ascii="宋体" w:hAnsi="宋体" w:cs="宋体"/>
          <w:color w:val="auto"/>
          <w:sz w:val="24"/>
        </w:rPr>
      </w:pPr>
    </w:p>
    <w:p>
      <w:pPr>
        <w:rPr>
          <w:rFonts w:ascii="宋体" w:hAnsi="宋体" w:cs="宋体"/>
          <w:color w:val="auto"/>
          <w:sz w:val="24"/>
        </w:rPr>
      </w:pPr>
    </w:p>
    <w:p>
      <w:pPr>
        <w:pStyle w:val="2"/>
        <w:rPr>
          <w:rFonts w:ascii="宋体" w:hAnsi="宋体" w:cs="宋体"/>
          <w:color w:val="auto"/>
          <w:sz w:val="24"/>
        </w:rPr>
      </w:pPr>
    </w:p>
    <w:p>
      <w:pPr>
        <w:rPr>
          <w:rFonts w:ascii="宋体" w:hAnsi="宋体" w:cs="宋体"/>
          <w:color w:val="auto"/>
          <w:sz w:val="24"/>
        </w:rPr>
      </w:pPr>
    </w:p>
    <w:p>
      <w:pPr>
        <w:pStyle w:val="2"/>
        <w:rPr>
          <w:rFonts w:ascii="宋体" w:hAnsi="宋体" w:cs="宋体"/>
          <w:color w:val="auto"/>
          <w:sz w:val="24"/>
        </w:rPr>
      </w:pPr>
    </w:p>
    <w:p>
      <w:pPr>
        <w:rPr>
          <w:rFonts w:ascii="宋体" w:hAnsi="宋体" w:cs="宋体"/>
          <w:color w:val="auto"/>
          <w:sz w:val="24"/>
        </w:rPr>
      </w:pPr>
    </w:p>
    <w:p>
      <w:pPr>
        <w:pStyle w:val="2"/>
        <w:rPr>
          <w:rFonts w:ascii="宋体" w:hAnsi="宋体" w:cs="宋体"/>
          <w:color w:val="auto"/>
          <w:sz w:val="24"/>
        </w:rPr>
      </w:pPr>
    </w:p>
    <w:p>
      <w:pPr>
        <w:rPr>
          <w:rFonts w:ascii="宋体" w:hAnsi="宋体" w:cs="宋体"/>
          <w:color w:val="auto"/>
          <w:sz w:val="24"/>
        </w:rPr>
      </w:pPr>
    </w:p>
    <w:p>
      <w:pPr>
        <w:pStyle w:val="2"/>
        <w:rPr>
          <w:rFonts w:ascii="宋体" w:hAnsi="宋体" w:cs="宋体"/>
          <w:color w:val="auto"/>
          <w:sz w:val="24"/>
        </w:rPr>
      </w:pPr>
    </w:p>
    <w:p>
      <w:pPr>
        <w:rPr>
          <w:rFonts w:ascii="宋体" w:hAnsi="宋体" w:cs="宋体"/>
          <w:color w:val="auto"/>
          <w:sz w:val="24"/>
        </w:rPr>
      </w:pPr>
    </w:p>
    <w:p>
      <w:pPr>
        <w:pStyle w:val="2"/>
        <w:rPr>
          <w:rFonts w:ascii="宋体" w:hAnsi="宋体" w:cs="宋体"/>
          <w:color w:val="auto"/>
          <w:sz w:val="24"/>
        </w:rPr>
      </w:pPr>
    </w:p>
    <w:p>
      <w:pPr>
        <w:rPr>
          <w:rFonts w:ascii="宋体" w:hAnsi="宋体" w:cs="宋体"/>
          <w:color w:val="auto"/>
          <w:sz w:val="24"/>
        </w:rPr>
      </w:pPr>
    </w:p>
    <w:p>
      <w:pPr>
        <w:pStyle w:val="2"/>
        <w:rPr>
          <w:rFonts w:ascii="宋体" w:hAnsi="宋体" w:cs="宋体"/>
          <w:color w:val="auto"/>
          <w:sz w:val="24"/>
        </w:rPr>
      </w:pPr>
    </w:p>
    <w:p>
      <w:pPr>
        <w:rPr>
          <w:rFonts w:ascii="宋体" w:hAnsi="宋体" w:cs="宋体"/>
          <w:color w:val="auto"/>
          <w:sz w:val="24"/>
        </w:rPr>
      </w:pPr>
    </w:p>
    <w:p>
      <w:pPr>
        <w:pStyle w:val="2"/>
        <w:rPr>
          <w:rFonts w:ascii="宋体" w:hAnsi="宋体" w:cs="宋体"/>
          <w:color w:val="auto"/>
          <w:sz w:val="24"/>
        </w:rPr>
      </w:pPr>
    </w:p>
    <w:p>
      <w:pPr>
        <w:rPr>
          <w:rFonts w:ascii="宋体" w:hAnsi="宋体" w:cs="宋体"/>
          <w:color w:val="auto"/>
          <w:sz w:val="24"/>
        </w:rPr>
      </w:pPr>
    </w:p>
    <w:p>
      <w:pPr>
        <w:pStyle w:val="2"/>
        <w:rPr>
          <w:rFonts w:ascii="宋体" w:hAnsi="宋体" w:cs="宋体"/>
          <w:color w:val="auto"/>
          <w:sz w:val="24"/>
        </w:rPr>
      </w:pPr>
    </w:p>
    <w:p>
      <w:pPr>
        <w:rPr>
          <w:rFonts w:ascii="宋体" w:hAnsi="宋体" w:cs="宋体"/>
          <w:color w:val="auto"/>
          <w:sz w:val="24"/>
        </w:rPr>
      </w:pPr>
    </w:p>
    <w:p>
      <w:pPr>
        <w:pStyle w:val="2"/>
        <w:rPr>
          <w:rFonts w:ascii="宋体" w:hAnsi="宋体" w:cs="宋体"/>
          <w:color w:val="auto"/>
          <w:sz w:val="24"/>
        </w:rPr>
      </w:pPr>
    </w:p>
    <w:p>
      <w:pPr>
        <w:rPr>
          <w:rFonts w:ascii="宋体" w:hAnsi="宋体" w:cs="宋体"/>
          <w:color w:val="auto"/>
          <w:sz w:val="24"/>
        </w:rPr>
      </w:pPr>
    </w:p>
    <w:p>
      <w:pPr>
        <w:pStyle w:val="2"/>
        <w:rPr>
          <w:rFonts w:ascii="宋体" w:hAnsi="宋体" w:cs="宋体"/>
          <w:color w:val="auto"/>
          <w:sz w:val="24"/>
        </w:rPr>
      </w:pPr>
    </w:p>
    <w:p/>
    <w:p>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lang w:eastAsia="zh-CN"/>
        </w:rPr>
        <w:t>淳安千岛湖旅游度假区管理委员会</w:t>
      </w:r>
      <w:r>
        <w:rPr>
          <w:rFonts w:hint="eastAsia" w:ascii="宋体" w:hAnsi="宋体" w:cs="宋体"/>
          <w:color w:val="auto"/>
          <w:sz w:val="24"/>
        </w:rPr>
        <w:t>、</w:t>
      </w:r>
      <w:r>
        <w:rPr>
          <w:rFonts w:hint="eastAsia" w:ascii="宋体" w:hAnsi="宋体" w:cs="宋体"/>
          <w:color w:val="auto"/>
          <w:sz w:val="24"/>
          <w:lang w:eastAsia="zh-CN"/>
        </w:rPr>
        <w:t>浙江建安工程管理有限公司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亚运室外场馆网络安全等级保护测评服务项目</w:t>
      </w:r>
      <w:r>
        <w:rPr>
          <w:rFonts w:hint="eastAsia" w:ascii="宋体" w:hAnsi="宋体" w:cs="宋体"/>
          <w:color w:val="auto"/>
          <w:sz w:val="24"/>
        </w:rPr>
        <w:t>【招标编号：</w:t>
      </w:r>
      <w:r>
        <w:rPr>
          <w:rFonts w:hint="eastAsia" w:ascii="宋体" w:hAnsi="宋体" w:cs="宋体"/>
          <w:color w:val="auto"/>
          <w:sz w:val="24"/>
          <w:lang w:eastAsia="zh-CN"/>
        </w:rPr>
        <w:t>ZJJAZF[2023]18号</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spacing w:line="360" w:lineRule="auto"/>
        <w:jc w:val="center"/>
        <w:outlineLvl w:val="0"/>
        <w:rPr>
          <w:rFonts w:hint="eastAsia" w:ascii="宋体" w:hAnsi="宋体" w:cs="宋体"/>
          <w:b/>
          <w:color w:val="auto"/>
          <w:sz w:val="36"/>
          <w:szCs w:val="20"/>
        </w:rPr>
      </w:pPr>
    </w:p>
    <w:p>
      <w:pPr>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淳安千岛湖旅游度假区管理委员会</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亚运室外场馆网络安全等级保护测评服务项目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kern w:val="0"/>
          <w:sz w:val="24"/>
          <w:u w:val="single"/>
          <w:lang w:eastAsia="zh-CN"/>
        </w:rPr>
        <w:t>亚运室外场馆网络安全等级保护测评服务项目</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eastAsia="zh-CN"/>
        </w:rPr>
        <w:t>软件和信息技术服务业</w:t>
      </w:r>
      <w:r>
        <w:rPr>
          <w:rFonts w:hint="eastAsia" w:ascii="宋体" w:hAnsi="宋体" w:cs="宋体"/>
          <w:color w:val="auto"/>
          <w:sz w:val="24"/>
          <w:u w:val="single"/>
        </w:rPr>
        <w:t>）</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lang w:eastAsia="zh-CN"/>
        </w:rPr>
        <w:t>淳安千岛湖旅游度假区管理委员会</w:t>
      </w:r>
      <w:r>
        <w:rPr>
          <w:rFonts w:hint="eastAsia" w:ascii="宋体" w:hAnsi="宋体" w:cs="宋体"/>
          <w:color w:val="auto"/>
          <w:sz w:val="24"/>
        </w:rPr>
        <w:t>、</w:t>
      </w:r>
      <w:r>
        <w:rPr>
          <w:rFonts w:hint="eastAsia" w:ascii="宋体" w:hAnsi="宋体" w:cs="宋体"/>
          <w:color w:val="auto"/>
          <w:sz w:val="24"/>
          <w:lang w:eastAsia="zh-CN"/>
        </w:rPr>
        <w:t>浙江建安工程管理有限公司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亚运室外场馆网络安全等级保护测评服务项目</w:t>
      </w:r>
      <w:r>
        <w:rPr>
          <w:rFonts w:hint="eastAsia" w:ascii="宋体" w:hAnsi="宋体" w:cs="宋体"/>
          <w:color w:val="auto"/>
          <w:sz w:val="24"/>
        </w:rPr>
        <w:t>【招标编号：</w:t>
      </w:r>
      <w:r>
        <w:rPr>
          <w:rFonts w:hint="eastAsia" w:ascii="宋体" w:hAnsi="宋体" w:cs="宋体"/>
          <w:color w:val="auto"/>
          <w:sz w:val="24"/>
          <w:lang w:eastAsia="zh-CN"/>
        </w:rPr>
        <w:t>ZJJAZF[2023]18号</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9" w:name="_Hlk101257010"/>
      <w:r>
        <w:rPr>
          <w:rFonts w:hint="eastAsia" w:ascii="宋体" w:hAnsi="宋体" w:cs="宋体"/>
          <w:color w:val="auto"/>
          <w:sz w:val="24"/>
        </w:rPr>
        <w:t>（如果有)</w:t>
      </w:r>
      <w:bookmarkEnd w:id="509"/>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5"/>
        <w:rPr>
          <w:color w:val="auto"/>
          <w:lang w:val="en-US"/>
        </w:rPr>
      </w:pPr>
    </w:p>
    <w:p>
      <w:pPr>
        <w:jc w:val="center"/>
        <w:rPr>
          <w:rFonts w:ascii="宋体" w:hAnsi="宋体" w:cs="宋体"/>
          <w:b/>
          <w:color w:val="auto"/>
          <w:kern w:val="0"/>
          <w:sz w:val="32"/>
          <w:szCs w:val="32"/>
        </w:rPr>
      </w:pPr>
    </w:p>
    <w:p>
      <w:pPr>
        <w:pStyle w:val="2"/>
      </w:pPr>
    </w:p>
    <w:p>
      <w:pPr>
        <w:jc w:val="center"/>
        <w:rPr>
          <w:rFonts w:ascii="宋体" w:hAnsi="宋体" w:cs="宋体"/>
          <w:b/>
          <w:color w:val="auto"/>
          <w:kern w:val="0"/>
          <w:sz w:val="32"/>
          <w:szCs w:val="32"/>
        </w:rPr>
      </w:pP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淳安千岛湖旅游度假区管理委员会</w:t>
      </w:r>
      <w:r>
        <w:rPr>
          <w:rFonts w:hint="eastAsia" w:ascii="宋体" w:hAnsi="宋体" w:cs="宋体"/>
          <w:color w:val="auto"/>
          <w:sz w:val="24"/>
        </w:rPr>
        <w:t>、</w:t>
      </w:r>
      <w:r>
        <w:rPr>
          <w:rFonts w:hint="eastAsia" w:ascii="宋体" w:hAnsi="宋体" w:cs="宋体"/>
          <w:color w:val="auto"/>
          <w:sz w:val="24"/>
          <w:lang w:eastAsia="zh-CN"/>
        </w:rPr>
        <w:t>浙江建安工程管理有限公司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亚运室外场馆网络安全等级保护测评服务项目</w:t>
      </w:r>
      <w:r>
        <w:rPr>
          <w:rFonts w:hint="eastAsia" w:ascii="宋体" w:hAnsi="宋体" w:cs="宋体"/>
          <w:color w:val="auto"/>
          <w:sz w:val="24"/>
        </w:rPr>
        <w:t>【招标编号：</w:t>
      </w:r>
      <w:r>
        <w:rPr>
          <w:rFonts w:hint="eastAsia" w:ascii="宋体" w:hAnsi="宋体" w:cs="宋体"/>
          <w:color w:val="auto"/>
          <w:sz w:val="24"/>
          <w:lang w:eastAsia="zh-CN"/>
        </w:rPr>
        <w:t>ZJJAZF[2023]18号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淳安千岛湖旅游度假区管理委员会</w:t>
      </w:r>
      <w:r>
        <w:rPr>
          <w:rFonts w:hint="eastAsia" w:ascii="宋体" w:hAnsi="宋体" w:cs="宋体"/>
          <w:color w:val="auto"/>
          <w:sz w:val="24"/>
        </w:rPr>
        <w:t>、</w:t>
      </w:r>
      <w:r>
        <w:rPr>
          <w:rFonts w:hint="eastAsia" w:ascii="宋体" w:hAnsi="宋体" w:cs="宋体"/>
          <w:color w:val="auto"/>
          <w:sz w:val="24"/>
          <w:lang w:eastAsia="zh-CN"/>
        </w:rPr>
        <w:t>浙江建安工程管理有限公司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亚运室外场馆网络安全等级保护测评服务项目</w:t>
      </w:r>
      <w:r>
        <w:rPr>
          <w:rFonts w:hint="eastAsia" w:ascii="宋体" w:hAnsi="宋体" w:cs="宋体"/>
          <w:color w:val="auto"/>
          <w:sz w:val="24"/>
        </w:rPr>
        <w:t>【招标编号：</w:t>
      </w:r>
      <w:r>
        <w:rPr>
          <w:rFonts w:hint="eastAsia" w:ascii="宋体" w:hAnsi="宋体" w:cs="宋体"/>
          <w:color w:val="auto"/>
          <w:sz w:val="24"/>
          <w:lang w:eastAsia="zh-CN"/>
        </w:rPr>
        <w:t>ZJJAZF[2023]18号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6"/>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rPr>
            </w:pPr>
            <w:r>
              <w:rPr>
                <w:rFonts w:hint="eastAsia" w:hAnsi="宋体" w:cs="宋体"/>
                <w:bCs/>
                <w:color w:val="auto"/>
                <w:sz w:val="24"/>
              </w:rPr>
              <w:t>正面：                                 反面：</w:t>
            </w:r>
          </w:p>
          <w:p>
            <w:pPr>
              <w:pStyle w:val="146"/>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淳安千岛湖旅游度假区管理委员会</w:t>
      </w:r>
      <w:r>
        <w:rPr>
          <w:rFonts w:hint="eastAsia" w:ascii="宋体" w:hAnsi="宋体" w:cs="宋体"/>
          <w:color w:val="auto"/>
          <w:sz w:val="24"/>
        </w:rPr>
        <w:t>、</w:t>
      </w:r>
      <w:r>
        <w:rPr>
          <w:rFonts w:hint="eastAsia" w:ascii="宋体" w:hAnsi="宋体" w:cs="宋体"/>
          <w:color w:val="auto"/>
          <w:sz w:val="24"/>
          <w:lang w:eastAsia="zh-CN"/>
        </w:rPr>
        <w:t>浙江建安工程管理有限公司</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淳安千岛湖旅游度假区管理委员会</w:t>
      </w:r>
      <w:r>
        <w:rPr>
          <w:rFonts w:hint="eastAsia" w:ascii="宋体" w:hAnsi="宋体" w:cs="宋体"/>
          <w:color w:val="auto"/>
          <w:sz w:val="24"/>
        </w:rPr>
        <w:t>、</w:t>
      </w:r>
      <w:r>
        <w:rPr>
          <w:rFonts w:hint="eastAsia" w:ascii="宋体" w:hAnsi="宋体" w:cs="宋体"/>
          <w:color w:val="auto"/>
          <w:sz w:val="24"/>
          <w:lang w:eastAsia="zh-CN"/>
        </w:rPr>
        <w:t>浙江建安工程管理有限公司</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亚运室外场馆网络安全等级保护测评服务项目</w:t>
      </w:r>
      <w:r>
        <w:rPr>
          <w:rFonts w:hint="eastAsia" w:ascii="宋体" w:hAnsi="宋体" w:cs="宋体"/>
          <w:color w:val="auto"/>
          <w:kern w:val="0"/>
          <w:sz w:val="24"/>
          <w:lang w:val="zh-CN"/>
        </w:rPr>
        <w:t>【招标编号：</w:t>
      </w:r>
      <w:r>
        <w:rPr>
          <w:rFonts w:hint="eastAsia" w:ascii="宋体" w:hAnsi="宋体" w:cs="宋体"/>
          <w:color w:val="auto"/>
          <w:sz w:val="24"/>
          <w:lang w:eastAsia="zh-CN"/>
        </w:rPr>
        <w:t>ZJJAZF[2023]18号</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pPr>
        <w:spacing w:line="360" w:lineRule="auto"/>
        <w:ind w:firstLine="480" w:firstLineChars="200"/>
        <w:rPr>
          <w:rFonts w:hint="eastAsia" w:ascii="宋体" w:hAnsi="宋体" w:cs="宋体"/>
          <w:b w:val="0"/>
          <w:bCs/>
          <w:color w:val="auto"/>
          <w:kern w:val="0"/>
          <w:sz w:val="24"/>
          <w:lang w:val="en-US" w:eastAsia="zh-CN"/>
        </w:rPr>
      </w:pPr>
      <w:r>
        <w:rPr>
          <w:rFonts w:hint="eastAsia" w:ascii="宋体" w:hAnsi="宋体" w:cs="宋体"/>
          <w:b w:val="0"/>
          <w:bCs/>
          <w:color w:val="auto"/>
          <w:kern w:val="0"/>
          <w:sz w:val="24"/>
          <w:lang w:val="en-US" w:eastAsia="zh-CN"/>
        </w:rPr>
        <w:t>4、符合招标文件中列明的可享受中小企业政策的投标人，请填写中小企业声明函。注：投标人提供的中小企业声明函内容不实的，属于提供虚假材料谋取中标、成交，依照《中华人民共和国政府采购法》等国家有关规定追究相关相应责任。</w:t>
      </w:r>
    </w:p>
    <w:p>
      <w:pPr>
        <w:pStyle w:val="2"/>
        <w:rPr>
          <w:rFonts w:hint="default" w:eastAsia="宋体"/>
          <w:b/>
          <w:bCs w:val="0"/>
          <w:lang w:val="en-US" w:eastAsia="zh-CN"/>
        </w:rPr>
      </w:pPr>
      <w:r>
        <w:rPr>
          <w:rFonts w:hint="eastAsia" w:hAnsi="宋体" w:cs="宋体"/>
          <w:b/>
          <w:bCs w:val="0"/>
          <w:color w:val="auto"/>
          <w:kern w:val="0"/>
          <w:sz w:val="24"/>
          <w:lang w:val="en-US" w:eastAsia="zh-CN"/>
        </w:rPr>
        <w:t>5、特别说明：</w:t>
      </w:r>
      <w:r>
        <w:rPr>
          <w:rFonts w:hint="eastAsia" w:ascii="宋体" w:hAnsi="宋体" w:cs="宋体"/>
          <w:b/>
          <w:bCs w:val="0"/>
          <w:color w:val="auto"/>
          <w:sz w:val="24"/>
        </w:rPr>
        <w:t>▲</w:t>
      </w:r>
      <w:r>
        <w:rPr>
          <w:rFonts w:hint="eastAsia" w:ascii="宋体" w:hAnsi="宋体" w:cs="宋体"/>
          <w:b/>
          <w:bCs w:val="0"/>
          <w:color w:val="auto"/>
          <w:sz w:val="24"/>
          <w:lang w:eastAsia="zh-CN"/>
        </w:rPr>
        <w:t>供应商报价低于项目预算</w:t>
      </w:r>
      <w:r>
        <w:rPr>
          <w:rFonts w:hint="eastAsia" w:ascii="宋体" w:hAnsi="宋体" w:cs="宋体"/>
          <w:b/>
          <w:bCs w:val="0"/>
          <w:color w:val="auto"/>
          <w:sz w:val="24"/>
          <w:lang w:val="en-US" w:eastAsia="zh-CN"/>
        </w:rPr>
        <w:t>50%的，应当在报价文件中详细阐述不影响产品质量或诚信履约的具体原因。</w:t>
      </w: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510" w:name="OLE_LINK13"/>
      <w:bookmarkStart w:id="511" w:name="OLE_LINK14"/>
      <w:r>
        <w:rPr>
          <w:rFonts w:hint="eastAsia" w:ascii="宋体" w:hAnsi="宋体" w:cs="宋体"/>
          <w:b/>
          <w:color w:val="auto"/>
          <w:spacing w:val="6"/>
          <w:sz w:val="32"/>
          <w:szCs w:val="32"/>
        </w:rPr>
        <w:t>残疾人福利性单位声明函</w:t>
      </w:r>
    </w:p>
    <w:bookmarkEnd w:id="510"/>
    <w:bookmarkEnd w:id="511"/>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lang w:eastAsia="zh-CN"/>
        </w:rPr>
        <w:t>淳安千岛湖旅游度假区管理委员会</w:t>
      </w:r>
      <w:r>
        <w:rPr>
          <w:rFonts w:hint="eastAsia" w:ascii="宋体" w:hAnsi="宋体" w:cs="宋体"/>
          <w:color w:val="auto"/>
          <w:sz w:val="24"/>
          <w:u w:val="single"/>
          <w:lang w:val="en-US" w:eastAsia="zh-CN"/>
        </w:rPr>
        <w:t xml:space="preserve"> </w:t>
      </w:r>
      <w:r>
        <w:rPr>
          <w:rFonts w:hint="eastAsia" w:ascii="宋体" w:hAnsi="宋体" w:cs="宋体"/>
          <w:color w:val="auto"/>
          <w:sz w:val="24"/>
        </w:rPr>
        <w:t>单位的</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lang w:eastAsia="zh-CN"/>
        </w:rPr>
        <w:t>亚运室外场馆网络安全等级保护测评服务项目</w:t>
      </w:r>
      <w:r>
        <w:rPr>
          <w:rFonts w:hint="eastAsia" w:ascii="宋体" w:hAnsi="宋体" w:cs="宋体"/>
          <w:color w:val="auto"/>
          <w:sz w:val="24"/>
          <w:u w:val="single"/>
          <w:lang w:val="en-US" w:eastAsia="zh-CN"/>
        </w:rPr>
        <w:t xml:space="preserve"> </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lang w:eastAsia="zh-CN"/>
        </w:rPr>
        <w:t>淳安千岛湖旅游度假区管理委员会</w:t>
      </w:r>
      <w:r>
        <w:rPr>
          <w:rFonts w:hint="eastAsia" w:ascii="宋体" w:hAnsi="宋体" w:cs="宋体"/>
          <w:color w:val="auto"/>
          <w:sz w:val="24"/>
          <w:u w:val="single"/>
        </w:rPr>
        <w:t>、</w:t>
      </w:r>
      <w:r>
        <w:rPr>
          <w:rFonts w:hint="eastAsia" w:ascii="宋体" w:hAnsi="宋体" w:cs="宋体"/>
          <w:color w:val="auto"/>
          <w:sz w:val="24"/>
          <w:u w:val="single"/>
          <w:lang w:eastAsia="zh-CN"/>
        </w:rPr>
        <w:t>浙江建安工程管理有限公司</w:t>
      </w:r>
      <w:r>
        <w:rPr>
          <w:rFonts w:hint="eastAsia" w:ascii="宋体" w:hAnsi="宋体" w:cs="宋体"/>
          <w:color w:val="auto"/>
          <w:sz w:val="24"/>
          <w:u w:val="single"/>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亚运室外场馆网络安全等级保护测评服务项目</w:t>
      </w:r>
      <w:r>
        <w:rPr>
          <w:rFonts w:hint="eastAsia" w:ascii="宋体" w:hAnsi="宋体" w:cs="宋体"/>
          <w:color w:val="auto"/>
          <w:sz w:val="24"/>
        </w:rPr>
        <w:t>【招标编号：</w:t>
      </w:r>
      <w:r>
        <w:rPr>
          <w:rFonts w:hint="eastAsia" w:ascii="宋体" w:hAnsi="宋体" w:cs="宋体"/>
          <w:color w:val="auto"/>
          <w:sz w:val="24"/>
          <w:lang w:eastAsia="zh-CN"/>
        </w:rPr>
        <w:t>ZJJAZF[2023]18号</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hint="eastAsia" w:ascii="宋体" w:hAnsi="宋体" w:cs="宋体"/>
          <w:b/>
          <w:color w:val="auto"/>
          <w:spacing w:val="6"/>
          <w:sz w:val="32"/>
          <w:szCs w:val="32"/>
        </w:rPr>
      </w:pPr>
    </w:p>
    <w:p>
      <w:pPr>
        <w:autoSpaceDE w:val="0"/>
        <w:autoSpaceDN w:val="0"/>
        <w:jc w:val="center"/>
        <w:rPr>
          <w:rFonts w:hint="eastAsia" w:ascii="宋体" w:hAnsi="宋体" w:cs="宋体"/>
          <w:b/>
          <w:color w:val="auto"/>
          <w:spacing w:val="6"/>
          <w:sz w:val="32"/>
          <w:szCs w:val="32"/>
        </w:rPr>
      </w:pPr>
    </w:p>
    <w:p>
      <w:pPr>
        <w:autoSpaceDE w:val="0"/>
        <w:autoSpaceDN w:val="0"/>
        <w:jc w:val="center"/>
        <w:rPr>
          <w:rFonts w:hint="eastAsia" w:ascii="宋体" w:hAnsi="宋体" w:cs="宋体"/>
          <w:b/>
          <w:color w:val="auto"/>
          <w:spacing w:val="6"/>
          <w:sz w:val="32"/>
          <w:szCs w:val="32"/>
        </w:rPr>
      </w:pPr>
    </w:p>
    <w:p>
      <w:pPr>
        <w:autoSpaceDE w:val="0"/>
        <w:autoSpaceDN w:val="0"/>
        <w:jc w:val="center"/>
        <w:rPr>
          <w:rFonts w:hint="eastAsia" w:ascii="宋体" w:hAnsi="宋体" w:cs="宋体"/>
          <w:b/>
          <w:color w:val="auto"/>
          <w:spacing w:val="6"/>
          <w:sz w:val="32"/>
          <w:szCs w:val="32"/>
        </w:rPr>
      </w:pPr>
    </w:p>
    <w:p>
      <w:pPr>
        <w:autoSpaceDE w:val="0"/>
        <w:autoSpaceDN w:val="0"/>
        <w:jc w:val="center"/>
        <w:rPr>
          <w:rFonts w:hint="eastAsia" w:ascii="宋体" w:hAnsi="宋体" w:cs="宋体"/>
          <w:b/>
          <w:color w:val="auto"/>
          <w:spacing w:val="6"/>
          <w:sz w:val="32"/>
          <w:szCs w:val="32"/>
        </w:rPr>
      </w:pPr>
    </w:p>
    <w:p>
      <w:pPr>
        <w:autoSpaceDE w:val="0"/>
        <w:autoSpaceDN w:val="0"/>
        <w:jc w:val="center"/>
        <w:rPr>
          <w:rFonts w:hint="eastAsia" w:ascii="宋体" w:hAnsi="宋体" w:cs="宋体"/>
          <w:b/>
          <w:color w:val="auto"/>
          <w:spacing w:val="6"/>
          <w:sz w:val="32"/>
          <w:szCs w:val="32"/>
        </w:rPr>
      </w:pP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亚运室外场馆网络安全等级保护测评服务项目</w:t>
      </w:r>
      <w:r>
        <w:rPr>
          <w:rFonts w:hint="eastAsia" w:ascii="宋体" w:hAnsi="宋体" w:cs="宋体"/>
          <w:color w:val="auto"/>
          <w:sz w:val="24"/>
        </w:rPr>
        <w:t>【招标编号：</w:t>
      </w:r>
      <w:r>
        <w:rPr>
          <w:rFonts w:hint="eastAsia" w:ascii="宋体" w:hAnsi="宋体" w:cs="宋体"/>
          <w:color w:val="auto"/>
          <w:sz w:val="24"/>
          <w:lang w:eastAsia="zh-CN"/>
        </w:rPr>
        <w:t>ZJJAZF[2023]18号</w:t>
      </w:r>
      <w:r>
        <w:rPr>
          <w:rFonts w:hint="eastAsia" w:ascii="宋体" w:hAnsi="宋体" w:cs="宋体"/>
          <w:color w:val="auto"/>
          <w:sz w:val="24"/>
        </w:rPr>
        <w:t>】</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12"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12"/>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13"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13"/>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1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14"/>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亚运室外场馆网络安全等级保护测评服务项目</w:t>
      </w:r>
      <w:r>
        <w:rPr>
          <w:rFonts w:hint="eastAsia" w:ascii="宋体" w:hAnsi="宋体" w:cs="宋体"/>
          <w:color w:val="auto"/>
          <w:sz w:val="24"/>
        </w:rPr>
        <w:t>【招标编号：</w:t>
      </w:r>
      <w:r>
        <w:rPr>
          <w:rFonts w:hint="eastAsia" w:ascii="宋体" w:hAnsi="宋体" w:cs="宋体"/>
          <w:color w:val="auto"/>
          <w:sz w:val="24"/>
          <w:lang w:eastAsia="zh-CN"/>
        </w:rPr>
        <w:t>ZJJAZF[2023]18号</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5"/>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rPr>
          <w:color w:val="auto"/>
        </w:rPr>
      </w:pPr>
      <w:r>
        <w:rPr>
          <w:rFonts w:hint="eastAsia"/>
          <w:color w:val="auto"/>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pStyle w:val="5"/>
        <w:ind w:left="0" w:leftChars="0" w:firstLine="0" w:firstLineChars="0"/>
        <w:rPr>
          <w:rFonts w:ascii="宋体" w:hAnsi="宋体" w:eastAsia="宋体" w:cs="宋体"/>
          <w:color w:val="auto"/>
          <w:lang w:val="en-US"/>
        </w:rPr>
      </w:pPr>
    </w:p>
    <w:p>
      <w:pPr>
        <w:spacing w:line="360" w:lineRule="auto"/>
        <w:ind w:right="420"/>
        <w:rPr>
          <w:rFonts w:ascii="宋体" w:hAnsi="宋体" w:cs="宋体"/>
          <w:color w:val="auto"/>
        </w:rPr>
      </w:pPr>
    </w:p>
    <w:p>
      <w:pPr>
        <w:spacing w:line="360" w:lineRule="auto"/>
        <w:rPr>
          <w:rFonts w:ascii="宋体" w:hAnsi="宋体" w:cs="宋体"/>
          <w:bCs/>
          <w:color w:val="auto"/>
          <w:sz w:val="24"/>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panose1 w:val="02020609040205080304"/>
    <w:charset w:val="80"/>
    <w:family w:val="roman"/>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36110187"/>
    <w:bookmarkStart w:id="516" w:name="_Toc164085800"/>
    <w:bookmarkStart w:id="517" w:name="_Toc91899912"/>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C60DE5"/>
    <w:multiLevelType w:val="singleLevel"/>
    <w:tmpl w:val="F3C60D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NmU1ZDA4M2RiZTFmM2E0NjBjYTQzODgxNjk1MWUifQ=="/>
    <w:docVar w:name="KSO_WPS_MARK_KEY" w:val="5195c772-466d-4301-801d-edc03cb0539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47DE1"/>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4E"/>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207"/>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447828"/>
    <w:rsid w:val="025F0711"/>
    <w:rsid w:val="026B2E25"/>
    <w:rsid w:val="02824D4D"/>
    <w:rsid w:val="02DC4B10"/>
    <w:rsid w:val="02DD76CE"/>
    <w:rsid w:val="02F36323"/>
    <w:rsid w:val="02F5619C"/>
    <w:rsid w:val="031F3DF1"/>
    <w:rsid w:val="0326446A"/>
    <w:rsid w:val="032D5555"/>
    <w:rsid w:val="036634D2"/>
    <w:rsid w:val="03887BE8"/>
    <w:rsid w:val="03DD35E4"/>
    <w:rsid w:val="04076900"/>
    <w:rsid w:val="041A5A3B"/>
    <w:rsid w:val="042311BA"/>
    <w:rsid w:val="042B157A"/>
    <w:rsid w:val="046F071C"/>
    <w:rsid w:val="048F763B"/>
    <w:rsid w:val="049F330E"/>
    <w:rsid w:val="04AA775C"/>
    <w:rsid w:val="04AF1889"/>
    <w:rsid w:val="04F66F48"/>
    <w:rsid w:val="05251E14"/>
    <w:rsid w:val="05A16594"/>
    <w:rsid w:val="05A7762D"/>
    <w:rsid w:val="05D92A62"/>
    <w:rsid w:val="060E5941"/>
    <w:rsid w:val="06110FAF"/>
    <w:rsid w:val="06493CA7"/>
    <w:rsid w:val="065A6178"/>
    <w:rsid w:val="066F1CF3"/>
    <w:rsid w:val="06783F44"/>
    <w:rsid w:val="06930BB8"/>
    <w:rsid w:val="06F33FA6"/>
    <w:rsid w:val="07245D42"/>
    <w:rsid w:val="07264C62"/>
    <w:rsid w:val="0779354C"/>
    <w:rsid w:val="07BD6F20"/>
    <w:rsid w:val="07E35D35"/>
    <w:rsid w:val="08061376"/>
    <w:rsid w:val="08395955"/>
    <w:rsid w:val="08452D77"/>
    <w:rsid w:val="085E5421"/>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E53B72"/>
    <w:rsid w:val="0AE71698"/>
    <w:rsid w:val="0B30404E"/>
    <w:rsid w:val="0B4C6C14"/>
    <w:rsid w:val="0B547599"/>
    <w:rsid w:val="0B631A88"/>
    <w:rsid w:val="0B680A2B"/>
    <w:rsid w:val="0B683D45"/>
    <w:rsid w:val="0B775EDE"/>
    <w:rsid w:val="0B7F3F11"/>
    <w:rsid w:val="0B884417"/>
    <w:rsid w:val="0BF6188C"/>
    <w:rsid w:val="0BF73C91"/>
    <w:rsid w:val="0C170175"/>
    <w:rsid w:val="0C571A41"/>
    <w:rsid w:val="0C5C1171"/>
    <w:rsid w:val="0C5E1CBC"/>
    <w:rsid w:val="0C615B50"/>
    <w:rsid w:val="0C8445DA"/>
    <w:rsid w:val="0C87121B"/>
    <w:rsid w:val="0C8C0749"/>
    <w:rsid w:val="0CC007F7"/>
    <w:rsid w:val="0CC617AC"/>
    <w:rsid w:val="0CE618DF"/>
    <w:rsid w:val="0CFE707A"/>
    <w:rsid w:val="0D063BDA"/>
    <w:rsid w:val="0D08375F"/>
    <w:rsid w:val="0D162709"/>
    <w:rsid w:val="0D184CFB"/>
    <w:rsid w:val="0D4A7419"/>
    <w:rsid w:val="0D827401"/>
    <w:rsid w:val="0D84094E"/>
    <w:rsid w:val="0D8A00E9"/>
    <w:rsid w:val="0D8D589E"/>
    <w:rsid w:val="0DA01C73"/>
    <w:rsid w:val="0DD63300"/>
    <w:rsid w:val="0DF50604"/>
    <w:rsid w:val="0DF702FE"/>
    <w:rsid w:val="0E060E51"/>
    <w:rsid w:val="0E0B38F0"/>
    <w:rsid w:val="0E5604B2"/>
    <w:rsid w:val="0E6D5D79"/>
    <w:rsid w:val="0E7143C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EE0D7B"/>
    <w:rsid w:val="10F33360"/>
    <w:rsid w:val="10FC16EA"/>
    <w:rsid w:val="110765F0"/>
    <w:rsid w:val="110F1D40"/>
    <w:rsid w:val="11266F33"/>
    <w:rsid w:val="118963A1"/>
    <w:rsid w:val="11C6522A"/>
    <w:rsid w:val="11E104CC"/>
    <w:rsid w:val="11E20309"/>
    <w:rsid w:val="12255233"/>
    <w:rsid w:val="12530213"/>
    <w:rsid w:val="125C0BBE"/>
    <w:rsid w:val="127723A9"/>
    <w:rsid w:val="12862074"/>
    <w:rsid w:val="12883966"/>
    <w:rsid w:val="129245E0"/>
    <w:rsid w:val="129E45B4"/>
    <w:rsid w:val="12D81596"/>
    <w:rsid w:val="13072A44"/>
    <w:rsid w:val="135F4BE2"/>
    <w:rsid w:val="139B1A0A"/>
    <w:rsid w:val="139D25C7"/>
    <w:rsid w:val="13BF3CE4"/>
    <w:rsid w:val="141008D8"/>
    <w:rsid w:val="14125FE6"/>
    <w:rsid w:val="146D271E"/>
    <w:rsid w:val="14982588"/>
    <w:rsid w:val="149A5AD9"/>
    <w:rsid w:val="14A7619D"/>
    <w:rsid w:val="14FA34A0"/>
    <w:rsid w:val="150536C3"/>
    <w:rsid w:val="150C1963"/>
    <w:rsid w:val="151447A0"/>
    <w:rsid w:val="154A6454"/>
    <w:rsid w:val="15762120"/>
    <w:rsid w:val="157E709D"/>
    <w:rsid w:val="159266A5"/>
    <w:rsid w:val="169721C5"/>
    <w:rsid w:val="16A8729C"/>
    <w:rsid w:val="16B33777"/>
    <w:rsid w:val="16BC70A7"/>
    <w:rsid w:val="16C6339E"/>
    <w:rsid w:val="16D74CB7"/>
    <w:rsid w:val="172F2D79"/>
    <w:rsid w:val="17557BEF"/>
    <w:rsid w:val="17D349C1"/>
    <w:rsid w:val="1830729E"/>
    <w:rsid w:val="1870062C"/>
    <w:rsid w:val="18817102"/>
    <w:rsid w:val="18830A15"/>
    <w:rsid w:val="18852B28"/>
    <w:rsid w:val="188B5321"/>
    <w:rsid w:val="18B95307"/>
    <w:rsid w:val="19932372"/>
    <w:rsid w:val="19A20DD5"/>
    <w:rsid w:val="19AE03F1"/>
    <w:rsid w:val="1A071A03"/>
    <w:rsid w:val="1A1F16AE"/>
    <w:rsid w:val="1A3B5C77"/>
    <w:rsid w:val="1A674266"/>
    <w:rsid w:val="1A984BAD"/>
    <w:rsid w:val="1A9E0042"/>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7025D"/>
    <w:rsid w:val="1D3963AF"/>
    <w:rsid w:val="1D6A673C"/>
    <w:rsid w:val="1D9247AE"/>
    <w:rsid w:val="1DB567EC"/>
    <w:rsid w:val="1DF51A98"/>
    <w:rsid w:val="1E01086B"/>
    <w:rsid w:val="1E1F1B54"/>
    <w:rsid w:val="1E3D060F"/>
    <w:rsid w:val="1E3F7D2E"/>
    <w:rsid w:val="1E4134E4"/>
    <w:rsid w:val="1E5062B3"/>
    <w:rsid w:val="1E523514"/>
    <w:rsid w:val="1E587F21"/>
    <w:rsid w:val="1E714A66"/>
    <w:rsid w:val="1E802593"/>
    <w:rsid w:val="1E8B6156"/>
    <w:rsid w:val="1EA703CC"/>
    <w:rsid w:val="1EB7330C"/>
    <w:rsid w:val="1F066139"/>
    <w:rsid w:val="1F0A0FF3"/>
    <w:rsid w:val="1F5275D0"/>
    <w:rsid w:val="1F5771FF"/>
    <w:rsid w:val="1FAA4D39"/>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F2247"/>
    <w:rsid w:val="22BE6801"/>
    <w:rsid w:val="230C5CE8"/>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40A88"/>
    <w:rsid w:val="24D663E6"/>
    <w:rsid w:val="24D77F2B"/>
    <w:rsid w:val="258B00E2"/>
    <w:rsid w:val="25A03B85"/>
    <w:rsid w:val="25A917A6"/>
    <w:rsid w:val="25BE27CC"/>
    <w:rsid w:val="25EB6089"/>
    <w:rsid w:val="25F74A5C"/>
    <w:rsid w:val="2628662C"/>
    <w:rsid w:val="262D45DE"/>
    <w:rsid w:val="26871DC8"/>
    <w:rsid w:val="26A53EF9"/>
    <w:rsid w:val="26A94201"/>
    <w:rsid w:val="26AC274F"/>
    <w:rsid w:val="26EF1BA9"/>
    <w:rsid w:val="27044A29"/>
    <w:rsid w:val="271D34C8"/>
    <w:rsid w:val="276142BF"/>
    <w:rsid w:val="27783712"/>
    <w:rsid w:val="27907362"/>
    <w:rsid w:val="27C464EE"/>
    <w:rsid w:val="27F37477"/>
    <w:rsid w:val="28333E1D"/>
    <w:rsid w:val="28454BD6"/>
    <w:rsid w:val="28455253"/>
    <w:rsid w:val="28551971"/>
    <w:rsid w:val="285B1C53"/>
    <w:rsid w:val="289F7086"/>
    <w:rsid w:val="28B6769B"/>
    <w:rsid w:val="28C32028"/>
    <w:rsid w:val="28CC490F"/>
    <w:rsid w:val="28DE40AA"/>
    <w:rsid w:val="29345E77"/>
    <w:rsid w:val="294C65AD"/>
    <w:rsid w:val="29806583"/>
    <w:rsid w:val="298B3C4C"/>
    <w:rsid w:val="29F26D24"/>
    <w:rsid w:val="29FA0F90"/>
    <w:rsid w:val="2A063491"/>
    <w:rsid w:val="2A15033F"/>
    <w:rsid w:val="2A1662C1"/>
    <w:rsid w:val="2A1C7367"/>
    <w:rsid w:val="2A2815FA"/>
    <w:rsid w:val="2A6D6092"/>
    <w:rsid w:val="2A7D76B4"/>
    <w:rsid w:val="2AA06533"/>
    <w:rsid w:val="2B437463"/>
    <w:rsid w:val="2B6A3EF4"/>
    <w:rsid w:val="2B7807EE"/>
    <w:rsid w:val="2BA50BF7"/>
    <w:rsid w:val="2BBF00EC"/>
    <w:rsid w:val="2BC37CFD"/>
    <w:rsid w:val="2BD5237F"/>
    <w:rsid w:val="2BE536CE"/>
    <w:rsid w:val="2BE758D9"/>
    <w:rsid w:val="2C09049E"/>
    <w:rsid w:val="2C0A653C"/>
    <w:rsid w:val="2C191F85"/>
    <w:rsid w:val="2C6646BB"/>
    <w:rsid w:val="2CE82D6F"/>
    <w:rsid w:val="2D343236"/>
    <w:rsid w:val="2DCE2518"/>
    <w:rsid w:val="2DD15014"/>
    <w:rsid w:val="2DF72DE4"/>
    <w:rsid w:val="2DFB125A"/>
    <w:rsid w:val="2E0220AF"/>
    <w:rsid w:val="2E0627FD"/>
    <w:rsid w:val="2E150147"/>
    <w:rsid w:val="2E4B082A"/>
    <w:rsid w:val="2E5D4E86"/>
    <w:rsid w:val="2E5D790B"/>
    <w:rsid w:val="2E9A3C18"/>
    <w:rsid w:val="2EBB0FEE"/>
    <w:rsid w:val="2EC63002"/>
    <w:rsid w:val="2EF53AD4"/>
    <w:rsid w:val="2F0A6B38"/>
    <w:rsid w:val="2F946CCB"/>
    <w:rsid w:val="2FD25781"/>
    <w:rsid w:val="2FDC745C"/>
    <w:rsid w:val="2FFD7934"/>
    <w:rsid w:val="30733ACD"/>
    <w:rsid w:val="308C3862"/>
    <w:rsid w:val="309379D8"/>
    <w:rsid w:val="30A270F7"/>
    <w:rsid w:val="30DF1478"/>
    <w:rsid w:val="30EC586F"/>
    <w:rsid w:val="30F229C1"/>
    <w:rsid w:val="314550B7"/>
    <w:rsid w:val="319C6071"/>
    <w:rsid w:val="31AC537E"/>
    <w:rsid w:val="31DD71CE"/>
    <w:rsid w:val="31E3679B"/>
    <w:rsid w:val="31E732FD"/>
    <w:rsid w:val="32517576"/>
    <w:rsid w:val="32BE5C2C"/>
    <w:rsid w:val="32FB6478"/>
    <w:rsid w:val="33263B3F"/>
    <w:rsid w:val="332A5650"/>
    <w:rsid w:val="336963EB"/>
    <w:rsid w:val="33816EEB"/>
    <w:rsid w:val="33EB55CD"/>
    <w:rsid w:val="33EC4C02"/>
    <w:rsid w:val="340053F5"/>
    <w:rsid w:val="340D2360"/>
    <w:rsid w:val="3410665D"/>
    <w:rsid w:val="34211214"/>
    <w:rsid w:val="342E63AB"/>
    <w:rsid w:val="343E5F1E"/>
    <w:rsid w:val="34950E68"/>
    <w:rsid w:val="34986E94"/>
    <w:rsid w:val="34AF62C9"/>
    <w:rsid w:val="34CB4388"/>
    <w:rsid w:val="34E42656"/>
    <w:rsid w:val="34FA6E12"/>
    <w:rsid w:val="354D7158"/>
    <w:rsid w:val="355A28E3"/>
    <w:rsid w:val="358D5588"/>
    <w:rsid w:val="35A85D44"/>
    <w:rsid w:val="363A3B40"/>
    <w:rsid w:val="365302AE"/>
    <w:rsid w:val="36607A0A"/>
    <w:rsid w:val="366E227C"/>
    <w:rsid w:val="366F2E0D"/>
    <w:rsid w:val="367B6A5C"/>
    <w:rsid w:val="36A74ADA"/>
    <w:rsid w:val="36AD60D5"/>
    <w:rsid w:val="36B224F9"/>
    <w:rsid w:val="36EC0CC9"/>
    <w:rsid w:val="373F410B"/>
    <w:rsid w:val="37E75AA2"/>
    <w:rsid w:val="37EE7094"/>
    <w:rsid w:val="37F4235E"/>
    <w:rsid w:val="38080D1C"/>
    <w:rsid w:val="38296C89"/>
    <w:rsid w:val="383002EB"/>
    <w:rsid w:val="383A69FC"/>
    <w:rsid w:val="38586797"/>
    <w:rsid w:val="389C6097"/>
    <w:rsid w:val="38BC0149"/>
    <w:rsid w:val="38D87D1C"/>
    <w:rsid w:val="38ED1F80"/>
    <w:rsid w:val="39636459"/>
    <w:rsid w:val="396B7F6C"/>
    <w:rsid w:val="39B417A9"/>
    <w:rsid w:val="39FC5695"/>
    <w:rsid w:val="3A006D8E"/>
    <w:rsid w:val="3A3651E5"/>
    <w:rsid w:val="3A543DA5"/>
    <w:rsid w:val="3A744481"/>
    <w:rsid w:val="3A8C7BEF"/>
    <w:rsid w:val="3A906246"/>
    <w:rsid w:val="3AAA0646"/>
    <w:rsid w:val="3ADB6274"/>
    <w:rsid w:val="3AE72E6B"/>
    <w:rsid w:val="3B2349B7"/>
    <w:rsid w:val="3B616CFF"/>
    <w:rsid w:val="3B6259F6"/>
    <w:rsid w:val="3B976654"/>
    <w:rsid w:val="3BC01EFC"/>
    <w:rsid w:val="3BCA786A"/>
    <w:rsid w:val="3BD31E2F"/>
    <w:rsid w:val="3BF15831"/>
    <w:rsid w:val="3C105946"/>
    <w:rsid w:val="3C471448"/>
    <w:rsid w:val="3C5F759A"/>
    <w:rsid w:val="3C6C525A"/>
    <w:rsid w:val="3C9429D3"/>
    <w:rsid w:val="3CCE23CB"/>
    <w:rsid w:val="3CD17D17"/>
    <w:rsid w:val="3D2F4655"/>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591E5E"/>
    <w:rsid w:val="3F6363FE"/>
    <w:rsid w:val="3F756B8F"/>
    <w:rsid w:val="3F7D438F"/>
    <w:rsid w:val="3F84512C"/>
    <w:rsid w:val="3F95482B"/>
    <w:rsid w:val="4019356B"/>
    <w:rsid w:val="40592157"/>
    <w:rsid w:val="406E1CAE"/>
    <w:rsid w:val="407231D7"/>
    <w:rsid w:val="40A0133A"/>
    <w:rsid w:val="40C31A53"/>
    <w:rsid w:val="40FF545D"/>
    <w:rsid w:val="410067C8"/>
    <w:rsid w:val="41354204"/>
    <w:rsid w:val="418F0D2A"/>
    <w:rsid w:val="41D01505"/>
    <w:rsid w:val="42474939"/>
    <w:rsid w:val="424C3C57"/>
    <w:rsid w:val="426074A6"/>
    <w:rsid w:val="42613FF3"/>
    <w:rsid w:val="42660D96"/>
    <w:rsid w:val="428667D2"/>
    <w:rsid w:val="429338D8"/>
    <w:rsid w:val="42AB6E74"/>
    <w:rsid w:val="42CD1CE0"/>
    <w:rsid w:val="42E1381E"/>
    <w:rsid w:val="42ED6459"/>
    <w:rsid w:val="42FE58DD"/>
    <w:rsid w:val="43174B3D"/>
    <w:rsid w:val="434B790E"/>
    <w:rsid w:val="4360274F"/>
    <w:rsid w:val="43977AB6"/>
    <w:rsid w:val="43A3342B"/>
    <w:rsid w:val="43A51B15"/>
    <w:rsid w:val="43C77C27"/>
    <w:rsid w:val="43DE09EE"/>
    <w:rsid w:val="44002FAD"/>
    <w:rsid w:val="449101DD"/>
    <w:rsid w:val="44DE1391"/>
    <w:rsid w:val="451B225C"/>
    <w:rsid w:val="452410C9"/>
    <w:rsid w:val="45317DFB"/>
    <w:rsid w:val="456D3CE4"/>
    <w:rsid w:val="4579042C"/>
    <w:rsid w:val="457F0571"/>
    <w:rsid w:val="45851176"/>
    <w:rsid w:val="45C63B94"/>
    <w:rsid w:val="45D95AA6"/>
    <w:rsid w:val="460E7DA5"/>
    <w:rsid w:val="46422483"/>
    <w:rsid w:val="4659254A"/>
    <w:rsid w:val="465B0637"/>
    <w:rsid w:val="465B1E84"/>
    <w:rsid w:val="465E3F0D"/>
    <w:rsid w:val="466A16E6"/>
    <w:rsid w:val="46893F2B"/>
    <w:rsid w:val="46C4686E"/>
    <w:rsid w:val="46C73B51"/>
    <w:rsid w:val="477B778F"/>
    <w:rsid w:val="478203EC"/>
    <w:rsid w:val="47B025FA"/>
    <w:rsid w:val="4809698F"/>
    <w:rsid w:val="4811697D"/>
    <w:rsid w:val="482254E2"/>
    <w:rsid w:val="487A3E25"/>
    <w:rsid w:val="488B5503"/>
    <w:rsid w:val="48931F3C"/>
    <w:rsid w:val="48937E21"/>
    <w:rsid w:val="489A0361"/>
    <w:rsid w:val="48B94FF3"/>
    <w:rsid w:val="48E37AAB"/>
    <w:rsid w:val="48FD4B4C"/>
    <w:rsid w:val="490A68E0"/>
    <w:rsid w:val="491055FE"/>
    <w:rsid w:val="495F5B3E"/>
    <w:rsid w:val="496F77D7"/>
    <w:rsid w:val="497654FD"/>
    <w:rsid w:val="49B64211"/>
    <w:rsid w:val="49DF2FAE"/>
    <w:rsid w:val="49E56AF9"/>
    <w:rsid w:val="49F6167F"/>
    <w:rsid w:val="4A064FA0"/>
    <w:rsid w:val="4A16615C"/>
    <w:rsid w:val="4A3F27B2"/>
    <w:rsid w:val="4A4424D7"/>
    <w:rsid w:val="4AB82D0F"/>
    <w:rsid w:val="4AEB7664"/>
    <w:rsid w:val="4AFD7C19"/>
    <w:rsid w:val="4B0567D1"/>
    <w:rsid w:val="4B236AAE"/>
    <w:rsid w:val="4B707271"/>
    <w:rsid w:val="4B9739F7"/>
    <w:rsid w:val="4BAF1783"/>
    <w:rsid w:val="4BEE2503"/>
    <w:rsid w:val="4C245A30"/>
    <w:rsid w:val="4CB6685F"/>
    <w:rsid w:val="4CC367FE"/>
    <w:rsid w:val="4D077F3C"/>
    <w:rsid w:val="4D123355"/>
    <w:rsid w:val="4D2A3B31"/>
    <w:rsid w:val="4D312C52"/>
    <w:rsid w:val="4D905305"/>
    <w:rsid w:val="4D964A72"/>
    <w:rsid w:val="4D9A5B1B"/>
    <w:rsid w:val="4D9C1254"/>
    <w:rsid w:val="4E793892"/>
    <w:rsid w:val="4E800872"/>
    <w:rsid w:val="4EC05A55"/>
    <w:rsid w:val="4EC569ED"/>
    <w:rsid w:val="4ED50EA1"/>
    <w:rsid w:val="4EEC050C"/>
    <w:rsid w:val="4F104EC3"/>
    <w:rsid w:val="4F134C72"/>
    <w:rsid w:val="4F47354A"/>
    <w:rsid w:val="4F911C54"/>
    <w:rsid w:val="4F9C007C"/>
    <w:rsid w:val="4FE625E0"/>
    <w:rsid w:val="4FEF3B18"/>
    <w:rsid w:val="5021480F"/>
    <w:rsid w:val="507210F2"/>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04CA0"/>
    <w:rsid w:val="5244713B"/>
    <w:rsid w:val="52615633"/>
    <w:rsid w:val="526F4DE4"/>
    <w:rsid w:val="52977FD4"/>
    <w:rsid w:val="52A25790"/>
    <w:rsid w:val="52A96B6F"/>
    <w:rsid w:val="52B45975"/>
    <w:rsid w:val="52D94AA4"/>
    <w:rsid w:val="52EA3A62"/>
    <w:rsid w:val="52F50BB8"/>
    <w:rsid w:val="52FE6B4C"/>
    <w:rsid w:val="53097272"/>
    <w:rsid w:val="53544462"/>
    <w:rsid w:val="53590226"/>
    <w:rsid w:val="5397158E"/>
    <w:rsid w:val="539F20DD"/>
    <w:rsid w:val="53AC65A8"/>
    <w:rsid w:val="53DD2C05"/>
    <w:rsid w:val="54013861"/>
    <w:rsid w:val="54487265"/>
    <w:rsid w:val="544D6070"/>
    <w:rsid w:val="54605E1E"/>
    <w:rsid w:val="54B3506A"/>
    <w:rsid w:val="54C618EB"/>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C5CDB"/>
    <w:rsid w:val="570F5219"/>
    <w:rsid w:val="571A1A7B"/>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B47F65"/>
    <w:rsid w:val="59BB7545"/>
    <w:rsid w:val="59D93E6F"/>
    <w:rsid w:val="59F80043"/>
    <w:rsid w:val="5A09252F"/>
    <w:rsid w:val="5A0B2778"/>
    <w:rsid w:val="5A2A7C7B"/>
    <w:rsid w:val="5A3E2560"/>
    <w:rsid w:val="5A5D3B6E"/>
    <w:rsid w:val="5A637A76"/>
    <w:rsid w:val="5A6D33BA"/>
    <w:rsid w:val="5A792B1F"/>
    <w:rsid w:val="5A874767"/>
    <w:rsid w:val="5AA85BE2"/>
    <w:rsid w:val="5AAD6F28"/>
    <w:rsid w:val="5AD63A24"/>
    <w:rsid w:val="5B2E1A1D"/>
    <w:rsid w:val="5B414466"/>
    <w:rsid w:val="5B843A1C"/>
    <w:rsid w:val="5B873E3F"/>
    <w:rsid w:val="5BA22B1E"/>
    <w:rsid w:val="5C02690E"/>
    <w:rsid w:val="5C0C052C"/>
    <w:rsid w:val="5C196DA7"/>
    <w:rsid w:val="5C2A048C"/>
    <w:rsid w:val="5C80234E"/>
    <w:rsid w:val="5C8A680C"/>
    <w:rsid w:val="5D0C4701"/>
    <w:rsid w:val="5D0F0395"/>
    <w:rsid w:val="5D221076"/>
    <w:rsid w:val="5D397964"/>
    <w:rsid w:val="5D5A391C"/>
    <w:rsid w:val="5D5F10C0"/>
    <w:rsid w:val="5D891B7B"/>
    <w:rsid w:val="5DAD38EE"/>
    <w:rsid w:val="5DB1138B"/>
    <w:rsid w:val="5DC331FB"/>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42451C"/>
    <w:rsid w:val="605129B1"/>
    <w:rsid w:val="606F2E37"/>
    <w:rsid w:val="607330CE"/>
    <w:rsid w:val="60825176"/>
    <w:rsid w:val="609F2AC4"/>
    <w:rsid w:val="60FA2EE8"/>
    <w:rsid w:val="61021EFD"/>
    <w:rsid w:val="61054A27"/>
    <w:rsid w:val="610A52BC"/>
    <w:rsid w:val="610C0686"/>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B0555C"/>
    <w:rsid w:val="64C158BF"/>
    <w:rsid w:val="64CE2EAA"/>
    <w:rsid w:val="653C3090"/>
    <w:rsid w:val="65644F35"/>
    <w:rsid w:val="65854376"/>
    <w:rsid w:val="658767BE"/>
    <w:rsid w:val="65892531"/>
    <w:rsid w:val="659B3A50"/>
    <w:rsid w:val="66195831"/>
    <w:rsid w:val="66291CDA"/>
    <w:rsid w:val="662E75B1"/>
    <w:rsid w:val="66342C2E"/>
    <w:rsid w:val="663E784C"/>
    <w:rsid w:val="668B6A45"/>
    <w:rsid w:val="66A575B3"/>
    <w:rsid w:val="67011F07"/>
    <w:rsid w:val="6703445B"/>
    <w:rsid w:val="672F3F24"/>
    <w:rsid w:val="673E055F"/>
    <w:rsid w:val="67551CE3"/>
    <w:rsid w:val="67A22552"/>
    <w:rsid w:val="67B22DCC"/>
    <w:rsid w:val="67B850C4"/>
    <w:rsid w:val="67BE71AA"/>
    <w:rsid w:val="67D90273"/>
    <w:rsid w:val="67DE5875"/>
    <w:rsid w:val="67E55852"/>
    <w:rsid w:val="67EB1AB4"/>
    <w:rsid w:val="67FA1285"/>
    <w:rsid w:val="68092C9C"/>
    <w:rsid w:val="68551F4F"/>
    <w:rsid w:val="687C10C9"/>
    <w:rsid w:val="68840C16"/>
    <w:rsid w:val="68872541"/>
    <w:rsid w:val="68876EFB"/>
    <w:rsid w:val="68884654"/>
    <w:rsid w:val="689F444F"/>
    <w:rsid w:val="68B96DBB"/>
    <w:rsid w:val="68CA2805"/>
    <w:rsid w:val="68E937A3"/>
    <w:rsid w:val="691664E5"/>
    <w:rsid w:val="693E15D3"/>
    <w:rsid w:val="69627681"/>
    <w:rsid w:val="6977531D"/>
    <w:rsid w:val="699566D7"/>
    <w:rsid w:val="69CC2BFF"/>
    <w:rsid w:val="69D106BF"/>
    <w:rsid w:val="69FD55B8"/>
    <w:rsid w:val="6A0B1C62"/>
    <w:rsid w:val="6A22716C"/>
    <w:rsid w:val="6A2406C8"/>
    <w:rsid w:val="6A6F0401"/>
    <w:rsid w:val="6ADC37BF"/>
    <w:rsid w:val="6ADE0BD1"/>
    <w:rsid w:val="6AE96859"/>
    <w:rsid w:val="6B147746"/>
    <w:rsid w:val="6B24787C"/>
    <w:rsid w:val="6B2A62D8"/>
    <w:rsid w:val="6B573233"/>
    <w:rsid w:val="6B5B6274"/>
    <w:rsid w:val="6B935D53"/>
    <w:rsid w:val="6C196F71"/>
    <w:rsid w:val="6C226FCB"/>
    <w:rsid w:val="6C240F7A"/>
    <w:rsid w:val="6C31226F"/>
    <w:rsid w:val="6C552F0B"/>
    <w:rsid w:val="6C691082"/>
    <w:rsid w:val="6C8C67B7"/>
    <w:rsid w:val="6C9D744C"/>
    <w:rsid w:val="6CA52552"/>
    <w:rsid w:val="6D167928"/>
    <w:rsid w:val="6D26299B"/>
    <w:rsid w:val="6D4772EC"/>
    <w:rsid w:val="6D9078AF"/>
    <w:rsid w:val="6DAA3FEF"/>
    <w:rsid w:val="6DC0172B"/>
    <w:rsid w:val="6DCB690C"/>
    <w:rsid w:val="6DD41A5B"/>
    <w:rsid w:val="6DF43C2E"/>
    <w:rsid w:val="6DF51CA3"/>
    <w:rsid w:val="6E785F23"/>
    <w:rsid w:val="6E8335BD"/>
    <w:rsid w:val="6E8E12EF"/>
    <w:rsid w:val="6E972936"/>
    <w:rsid w:val="6EBC36EB"/>
    <w:rsid w:val="6ED446C5"/>
    <w:rsid w:val="6F2A7D94"/>
    <w:rsid w:val="6F8331F1"/>
    <w:rsid w:val="6FAE1A09"/>
    <w:rsid w:val="6FD75BF8"/>
    <w:rsid w:val="707723D0"/>
    <w:rsid w:val="707B7E92"/>
    <w:rsid w:val="70F5661B"/>
    <w:rsid w:val="71360107"/>
    <w:rsid w:val="713B688E"/>
    <w:rsid w:val="715045BF"/>
    <w:rsid w:val="71D43752"/>
    <w:rsid w:val="71F1796A"/>
    <w:rsid w:val="72154626"/>
    <w:rsid w:val="72262B5D"/>
    <w:rsid w:val="72283FF7"/>
    <w:rsid w:val="722E7212"/>
    <w:rsid w:val="723A0474"/>
    <w:rsid w:val="725923E4"/>
    <w:rsid w:val="72864BF7"/>
    <w:rsid w:val="728A58AF"/>
    <w:rsid w:val="729023FC"/>
    <w:rsid w:val="735F33CB"/>
    <w:rsid w:val="73C0646E"/>
    <w:rsid w:val="742222F5"/>
    <w:rsid w:val="74476126"/>
    <w:rsid w:val="74706664"/>
    <w:rsid w:val="747F3682"/>
    <w:rsid w:val="748922C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0C0F88"/>
    <w:rsid w:val="77136511"/>
    <w:rsid w:val="77340A39"/>
    <w:rsid w:val="77351FD0"/>
    <w:rsid w:val="77472422"/>
    <w:rsid w:val="777F31F2"/>
    <w:rsid w:val="77D1700D"/>
    <w:rsid w:val="77EC04CC"/>
    <w:rsid w:val="78775729"/>
    <w:rsid w:val="78A42DB0"/>
    <w:rsid w:val="78A656AB"/>
    <w:rsid w:val="78B1554E"/>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50ECC"/>
    <w:rsid w:val="7A587477"/>
    <w:rsid w:val="7A615382"/>
    <w:rsid w:val="7A67303B"/>
    <w:rsid w:val="7AAB1D04"/>
    <w:rsid w:val="7AB43E11"/>
    <w:rsid w:val="7ABA4368"/>
    <w:rsid w:val="7AD05746"/>
    <w:rsid w:val="7ADC6EC3"/>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97134"/>
    <w:rsid w:val="7D6E6D43"/>
    <w:rsid w:val="7D823D52"/>
    <w:rsid w:val="7DB57A34"/>
    <w:rsid w:val="7DE60973"/>
    <w:rsid w:val="7DEF0916"/>
    <w:rsid w:val="7E1E5218"/>
    <w:rsid w:val="7E9A4E1F"/>
    <w:rsid w:val="7EA7723A"/>
    <w:rsid w:val="7EF56FBB"/>
    <w:rsid w:val="7F037115"/>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18"/>
    <w:qFormat/>
    <w:uiPriority w:val="0"/>
    <w:pPr>
      <w:ind w:firstLine="420"/>
    </w:pPr>
    <w:rPr>
      <w:rFonts w:hAnsi="Calibri" w:cs="Times New Roman"/>
      <w:snapToGrid/>
      <w:szCs w:val="20"/>
    </w:rPr>
  </w:style>
  <w:style w:type="paragraph" w:styleId="3">
    <w:name w:val="Body Text"/>
    <w:basedOn w:val="1"/>
    <w:next w:val="2"/>
    <w:link w:val="427"/>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1"/>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qFormat/>
    <w:uiPriority w:val="99"/>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DAS正文"/>
    <w:basedOn w:val="1"/>
    <w:qFormat/>
    <w:uiPriority w:val="0"/>
    <w:pPr>
      <w:spacing w:line="360" w:lineRule="auto"/>
      <w:ind w:right="181" w:firstLine="482"/>
    </w:pPr>
    <w:rPr>
      <w:rFonts w:ascii="Verdana" w:hAnsi="Verdana" w:eastAsia="仿宋"/>
      <w:sz w:val="24"/>
    </w:rPr>
  </w:style>
  <w:style w:type="character" w:customStyle="1" w:styleId="963">
    <w:name w:val="NormalCharacter"/>
    <w:qFormat/>
    <w:uiPriority w:val="0"/>
  </w:style>
  <w:style w:type="paragraph" w:customStyle="1" w:styleId="964">
    <w:name w:val="[Normal]"/>
    <w:qFormat/>
    <w:uiPriority w:val="0"/>
    <w:rPr>
      <w:rFonts w:ascii="宋体" w:hAnsi="宋体" w:eastAsia="宋体" w:cs="Times New Roman"/>
      <w:sz w:val="24"/>
      <w:lang w:val="en-US" w:eastAsia="en-US" w:bidi="ar-SA"/>
    </w:rPr>
  </w:style>
  <w:style w:type="character" w:customStyle="1" w:styleId="965">
    <w:name w:val="无"/>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36765</Words>
  <Characters>39018</Characters>
  <Lines>281</Lines>
  <Paragraphs>79</Paragraphs>
  <TotalTime>10</TotalTime>
  <ScaleCrop>false</ScaleCrop>
  <LinksUpToDate>false</LinksUpToDate>
  <CharactersWithSpaces>44423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方建成</cp:lastModifiedBy>
  <cp:lastPrinted>2021-12-27T11:06:00Z</cp:lastPrinted>
  <dcterms:modified xsi:type="dcterms:W3CDTF">2023-05-16T08:59:53Z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9BC10D121FD84C51A0CB30AF2453C459_13</vt:lpwstr>
  </property>
</Properties>
</file>