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4"/>
          <w:szCs w:val="44"/>
        </w:rPr>
      </w:pPr>
    </w:p>
    <w:p>
      <w:pPr>
        <w:adjustRightInd/>
        <w:spacing w:line="360" w:lineRule="auto"/>
        <w:jc w:val="center"/>
        <w:rPr>
          <w:rFonts w:hint="eastAsia" w:ascii="宋体" w:hAnsi="宋体" w:eastAsia="宋体" w:cs="宋体"/>
          <w:color w:val="auto"/>
          <w:sz w:val="48"/>
          <w:szCs w:val="48"/>
          <w:lang w:eastAsia="zh-CN"/>
        </w:rPr>
      </w:pPr>
      <w:r>
        <w:rPr>
          <w:rFonts w:hint="eastAsia" w:ascii="宋体" w:hAnsi="宋体" w:cs="宋体"/>
          <w:color w:val="auto"/>
          <w:sz w:val="48"/>
          <w:szCs w:val="48"/>
          <w:lang w:eastAsia="zh-CN"/>
        </w:rPr>
        <w:t>富文乡石头埠淳岸（杭州千岛湖）麦芽威士忌酒厂污水管道、泵站及电气安装项目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招标文件</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（电子招投标）</w:t>
      </w:r>
    </w:p>
    <w:p>
      <w:pPr>
        <w:snapToGrid w:val="0"/>
        <w:spacing w:line="360" w:lineRule="auto"/>
        <w:jc w:val="center"/>
        <w:rPr>
          <w:rFonts w:hint="eastAsia" w:ascii="宋体" w:hAnsi="宋体" w:eastAsia="宋体" w:cs="宋体"/>
          <w:color w:val="auto"/>
          <w:sz w:val="30"/>
          <w:szCs w:val="30"/>
          <w:lang w:eastAsia="zh-CN"/>
        </w:rPr>
      </w:pPr>
      <w:r>
        <w:rPr>
          <w:rFonts w:hint="eastAsia" w:ascii="宋体" w:hAnsi="宋体" w:cs="宋体"/>
          <w:color w:val="auto"/>
          <w:sz w:val="30"/>
          <w:szCs w:val="30"/>
        </w:rPr>
        <w:t>编号:</w:t>
      </w:r>
      <w:r>
        <w:rPr>
          <w:rFonts w:hint="eastAsia" w:ascii="宋体" w:hAnsi="宋体" w:cs="宋体"/>
          <w:color w:val="auto"/>
          <w:sz w:val="30"/>
          <w:szCs w:val="30"/>
          <w:lang w:eastAsia="zh-CN"/>
        </w:rPr>
        <w:t>ZJJAZF[2024]38号</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pStyle w:val="43"/>
        <w:rPr>
          <w:rFonts w:ascii="宋体" w:hAnsi="宋体" w:cs="宋体"/>
          <w:b/>
          <w:color w:val="auto"/>
          <w:sz w:val="44"/>
          <w:szCs w:val="44"/>
        </w:rPr>
      </w:pPr>
    </w:p>
    <w:p>
      <w:pPr>
        <w:rPr>
          <w:color w:val="auto"/>
        </w:rPr>
      </w:pPr>
    </w:p>
    <w:p>
      <w:pPr>
        <w:spacing w:line="360" w:lineRule="auto"/>
        <w:jc w:val="center"/>
        <w:rPr>
          <w:rFonts w:ascii="宋体" w:hAnsi="宋体" w:cs="宋体"/>
          <w:b/>
          <w:color w:val="auto"/>
          <w:sz w:val="44"/>
          <w:szCs w:val="44"/>
        </w:rPr>
      </w:pPr>
    </w:p>
    <w:p>
      <w:pPr>
        <w:pStyle w:val="43"/>
        <w:rPr>
          <w:rFonts w:ascii="宋体" w:hAnsi="宋体" w:cs="宋体"/>
          <w:b/>
          <w:color w:val="auto"/>
          <w:sz w:val="44"/>
          <w:szCs w:val="44"/>
        </w:rPr>
      </w:pPr>
    </w:p>
    <w:p>
      <w:pPr>
        <w:rPr>
          <w:color w:val="auto"/>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napToGrid w:val="0"/>
        <w:spacing w:line="360" w:lineRule="auto"/>
        <w:jc w:val="center"/>
        <w:rPr>
          <w:rFonts w:hint="eastAsia" w:ascii="宋体" w:hAnsi="宋体" w:eastAsia="宋体" w:cs="宋体"/>
          <w:color w:val="auto"/>
          <w:sz w:val="32"/>
          <w:szCs w:val="32"/>
          <w:lang w:eastAsia="zh-CN"/>
        </w:rPr>
      </w:pPr>
      <w:r>
        <w:rPr>
          <w:rFonts w:hint="eastAsia" w:ascii="宋体" w:hAnsi="宋体" w:cs="宋体"/>
          <w:color w:val="auto"/>
          <w:sz w:val="32"/>
          <w:szCs w:val="32"/>
          <w:lang w:eastAsia="zh-CN"/>
        </w:rPr>
        <w:t>淳安县富文乡人民政府</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color w:val="auto"/>
          <w:sz w:val="32"/>
          <w:szCs w:val="32"/>
          <w:lang w:eastAsia="zh-CN"/>
        </w:rPr>
        <w:t>浙江建安工程管理有限公司</w:t>
      </w:r>
    </w:p>
    <w:p>
      <w:pPr>
        <w:snapToGrid w:val="0"/>
        <w:spacing w:line="360" w:lineRule="auto"/>
        <w:jc w:val="center"/>
        <w:rPr>
          <w:rFonts w:ascii="宋体" w:hAnsi="宋体" w:cs="宋体"/>
          <w:bCs/>
          <w:color w:val="auto"/>
          <w:sz w:val="32"/>
          <w:szCs w:val="32"/>
        </w:rPr>
      </w:pPr>
      <w:r>
        <w:rPr>
          <w:rFonts w:hint="eastAsia" w:ascii="宋体" w:hAnsi="宋体" w:cs="宋体"/>
          <w:bCs/>
          <w:color w:val="auto"/>
          <w:sz w:val="32"/>
          <w:szCs w:val="32"/>
        </w:rPr>
        <w:t>二〇二三年</w:t>
      </w:r>
      <w:r>
        <w:rPr>
          <w:rFonts w:hint="eastAsia" w:ascii="宋体" w:hAnsi="宋体" w:cs="宋体"/>
          <w:bCs/>
          <w:color w:val="auto"/>
          <w:sz w:val="32"/>
          <w:szCs w:val="32"/>
          <w:lang w:val="en-US" w:eastAsia="zh-CN"/>
        </w:rPr>
        <w:t>十二月</w:t>
      </w:r>
      <w:bookmarkStart w:id="528" w:name="_GoBack"/>
      <w:bookmarkEnd w:id="528"/>
      <w:r>
        <w:rPr>
          <w:rFonts w:hint="eastAsia" w:ascii="宋体" w:hAnsi="宋体" w:cs="宋体"/>
          <w:bCs/>
          <w:color w:val="auto"/>
          <w:sz w:val="32"/>
          <w:szCs w:val="32"/>
          <w:lang w:val="en-US" w:eastAsia="zh-CN"/>
        </w:rPr>
        <w:t>二十九</w:t>
      </w:r>
      <w:r>
        <w:rPr>
          <w:rFonts w:hint="eastAsia" w:ascii="宋体" w:hAnsi="宋体" w:cs="宋体"/>
          <w:bCs/>
          <w:color w:val="auto"/>
          <w:sz w:val="32"/>
          <w:szCs w:val="32"/>
        </w:rPr>
        <w:t>日</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rPr>
      </w:pPr>
      <w:r>
        <w:rPr>
          <w:rFonts w:hint="eastAsia" w:ascii="宋体" w:hAnsi="宋体" w:cs="宋体"/>
          <w:color w:val="auto"/>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u w:val="single"/>
        </w:rPr>
      </w:pPr>
      <w:r>
        <w:rPr>
          <w:rFonts w:hint="eastAsia" w:ascii="宋体" w:hAnsi="宋体" w:cs="宋体"/>
          <w:color w:val="auto"/>
          <w:sz w:val="24"/>
          <w:u w:val="single"/>
          <w:lang w:eastAsia="zh-CN"/>
        </w:rPr>
        <w:t>富文乡石头埠淳岸（杭州千岛湖）麦芽威士忌酒厂污水管道、泵站及电气安装项目</w:t>
      </w:r>
      <w:r>
        <w:rPr>
          <w:rFonts w:hint="eastAsia" w:ascii="宋体" w:hAnsi="宋体" w:cs="宋体"/>
          <w:color w:val="auto"/>
          <w:sz w:val="24"/>
        </w:rPr>
        <w:t>招标项目的潜在投标人应在政采云平台（</w:t>
      </w:r>
      <w:r>
        <w:rPr>
          <w:color w:val="auto"/>
        </w:rPr>
        <w:fldChar w:fldCharType="begin"/>
      </w:r>
      <w:r>
        <w:rPr>
          <w:color w:val="auto"/>
        </w:rPr>
        <w:instrText xml:space="preserve">HYPERLINK "https://www.zcygov.cn/）获取（下载）招标文件，并于2023年%20月%20日%20点%20分00秒"</w:instrText>
      </w:r>
      <w:r>
        <w:rPr>
          <w:color w:val="auto"/>
        </w:rPr>
        <w:fldChar w:fldCharType="separate"/>
      </w:r>
      <w:r>
        <w:rPr>
          <w:rStyle w:val="77"/>
          <w:rFonts w:hint="eastAsia" w:ascii="宋体" w:hAnsi="宋体" w:eastAsia="宋体" w:cs="宋体"/>
          <w:snapToGrid/>
          <w:color w:val="auto"/>
          <w:kern w:val="2"/>
          <w:sz w:val="24"/>
          <w:szCs w:val="24"/>
        </w:rPr>
        <w:t>https://www.zcygov.cn/）获取（下载）招标文件，并于</w:t>
      </w:r>
      <w:r>
        <w:rPr>
          <w:rStyle w:val="77"/>
          <w:rFonts w:hint="eastAsia" w:ascii="宋体" w:hAnsi="宋体" w:cs="宋体"/>
          <w:snapToGrid/>
          <w:color w:val="auto"/>
          <w:kern w:val="2"/>
          <w:sz w:val="24"/>
          <w:szCs w:val="24"/>
          <w:u w:val="single"/>
          <w:lang w:eastAsia="zh-CN"/>
        </w:rPr>
        <w:t>2024</w:t>
      </w:r>
      <w:r>
        <w:rPr>
          <w:rStyle w:val="77"/>
          <w:rFonts w:hint="eastAsia" w:ascii="宋体" w:hAnsi="宋体" w:eastAsia="宋体" w:cs="宋体"/>
          <w:snapToGrid/>
          <w:color w:val="auto"/>
          <w:kern w:val="2"/>
          <w:sz w:val="24"/>
          <w:szCs w:val="24"/>
          <w:u w:val="single"/>
        </w:rPr>
        <w:t>年</w:t>
      </w:r>
      <w:r>
        <w:rPr>
          <w:rStyle w:val="77"/>
          <w:rFonts w:hint="eastAsia" w:ascii="宋体" w:hAnsi="宋体" w:cs="宋体"/>
          <w:snapToGrid/>
          <w:color w:val="auto"/>
          <w:kern w:val="2"/>
          <w:sz w:val="24"/>
          <w:szCs w:val="24"/>
          <w:u w:val="single"/>
          <w:lang w:val="en-US" w:eastAsia="zh-CN"/>
        </w:rPr>
        <w:t>1</w:t>
      </w:r>
      <w:r>
        <w:rPr>
          <w:rStyle w:val="77"/>
          <w:rFonts w:hint="eastAsia" w:ascii="宋体" w:hAnsi="宋体" w:eastAsia="宋体" w:cs="宋体"/>
          <w:snapToGrid/>
          <w:color w:val="auto"/>
          <w:kern w:val="2"/>
          <w:sz w:val="24"/>
          <w:szCs w:val="24"/>
          <w:u w:val="single"/>
        </w:rPr>
        <w:t>月</w:t>
      </w:r>
      <w:r>
        <w:rPr>
          <w:rStyle w:val="77"/>
          <w:rFonts w:hint="eastAsia" w:ascii="宋体" w:hAnsi="宋体" w:cs="宋体"/>
          <w:snapToGrid/>
          <w:color w:val="auto"/>
          <w:kern w:val="2"/>
          <w:sz w:val="24"/>
          <w:szCs w:val="24"/>
          <w:u w:val="single"/>
          <w:lang w:val="en-US" w:eastAsia="zh-CN"/>
        </w:rPr>
        <w:t>18</w:t>
      </w:r>
      <w:r>
        <w:rPr>
          <w:rStyle w:val="77"/>
          <w:rFonts w:hint="eastAsia" w:ascii="宋体" w:hAnsi="宋体" w:eastAsia="宋体" w:cs="宋体"/>
          <w:snapToGrid/>
          <w:color w:val="auto"/>
          <w:kern w:val="2"/>
          <w:sz w:val="24"/>
          <w:szCs w:val="24"/>
          <w:u w:val="single"/>
        </w:rPr>
        <w:t>日</w:t>
      </w:r>
      <w:r>
        <w:rPr>
          <w:rStyle w:val="77"/>
          <w:rFonts w:hint="eastAsia" w:ascii="宋体" w:hAnsi="宋体" w:cs="宋体"/>
          <w:snapToGrid/>
          <w:color w:val="auto"/>
          <w:kern w:val="2"/>
          <w:sz w:val="24"/>
          <w:szCs w:val="24"/>
          <w:u w:val="single"/>
          <w:lang w:val="en-US" w:eastAsia="zh-CN"/>
        </w:rPr>
        <w:t>9</w:t>
      </w:r>
      <w:r>
        <w:rPr>
          <w:rStyle w:val="77"/>
          <w:rFonts w:hint="eastAsia" w:ascii="宋体" w:hAnsi="宋体" w:eastAsia="宋体" w:cs="宋体"/>
          <w:snapToGrid/>
          <w:color w:val="auto"/>
          <w:kern w:val="2"/>
          <w:sz w:val="24"/>
          <w:szCs w:val="24"/>
          <w:u w:val="single"/>
        </w:rPr>
        <w:t>点</w:t>
      </w:r>
      <w:r>
        <w:rPr>
          <w:rStyle w:val="77"/>
          <w:rFonts w:hint="eastAsia" w:ascii="宋体" w:hAnsi="宋体" w:cs="宋体"/>
          <w:snapToGrid/>
          <w:color w:val="auto"/>
          <w:kern w:val="2"/>
          <w:sz w:val="24"/>
          <w:szCs w:val="24"/>
          <w:u w:val="single"/>
          <w:lang w:val="en-US" w:eastAsia="zh-CN"/>
        </w:rPr>
        <w:t>30</w:t>
      </w:r>
      <w:r>
        <w:rPr>
          <w:rStyle w:val="77"/>
          <w:rFonts w:hint="eastAsia" w:ascii="宋体" w:hAnsi="宋体" w:eastAsia="宋体" w:cs="宋体"/>
          <w:snapToGrid/>
          <w:color w:val="auto"/>
          <w:kern w:val="2"/>
          <w:sz w:val="24"/>
          <w:szCs w:val="24"/>
          <w:u w:val="single"/>
        </w:rPr>
        <w:t>分</w:t>
      </w:r>
      <w:r>
        <w:rPr>
          <w:rStyle w:val="77"/>
          <w:rFonts w:hint="eastAsia" w:ascii="宋体" w:hAnsi="宋体" w:eastAsia="宋体" w:cs="宋体"/>
          <w:bCs/>
          <w:snapToGrid/>
          <w:color w:val="auto"/>
          <w:kern w:val="2"/>
          <w:sz w:val="24"/>
          <w:szCs w:val="24"/>
          <w:u w:val="single"/>
        </w:rPr>
        <w:t>00秒</w:t>
      </w:r>
      <w:r>
        <w:rPr>
          <w:rStyle w:val="77"/>
          <w:rFonts w:ascii="宋体" w:hAnsi="宋体" w:eastAsia="宋体" w:cs="宋体"/>
          <w:bCs/>
          <w:snapToGrid/>
          <w:color w:val="auto"/>
          <w:kern w:val="2"/>
          <w:sz w:val="24"/>
          <w:szCs w:val="24"/>
          <w:u w:val="single"/>
        </w:rPr>
        <w:fldChar w:fldCharType="end"/>
      </w:r>
      <w:r>
        <w:rPr>
          <w:rFonts w:hint="eastAsia" w:ascii="宋体" w:hAnsi="宋体" w:cs="宋体"/>
          <w:bCs/>
          <w:color w:val="auto"/>
          <w:sz w:val="24"/>
        </w:rPr>
        <w:t>（北京时间）前</w:t>
      </w:r>
      <w:r>
        <w:rPr>
          <w:rFonts w:hint="eastAsia" w:ascii="宋体" w:hAnsi="宋体" w:cs="宋体"/>
          <w:color w:val="auto"/>
          <w:sz w:val="24"/>
        </w:rPr>
        <w:t>递交（上传）投标文件。</w:t>
      </w:r>
    </w:p>
    <w:p>
      <w:pPr>
        <w:spacing w:line="360" w:lineRule="auto"/>
        <w:rPr>
          <w:rFonts w:ascii="宋体" w:hAnsi="宋体" w:cs="宋体"/>
          <w:b/>
          <w:color w:val="auto"/>
          <w:sz w:val="24"/>
        </w:rPr>
      </w:pPr>
      <w:r>
        <w:rPr>
          <w:rFonts w:hint="eastAsia" w:ascii="宋体" w:hAnsi="宋体" w:cs="宋体"/>
          <w:b/>
          <w:color w:val="auto"/>
          <w:sz w:val="24"/>
        </w:rPr>
        <w:t xml:space="preserve">一、项目基本情况                                            </w:t>
      </w:r>
    </w:p>
    <w:p>
      <w:pPr>
        <w:snapToGrid w:val="0"/>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项目编号：</w:t>
      </w:r>
      <w:r>
        <w:rPr>
          <w:rFonts w:hint="eastAsia" w:ascii="宋体" w:hAnsi="宋体" w:cs="宋体"/>
          <w:color w:val="auto"/>
          <w:sz w:val="24"/>
          <w:lang w:eastAsia="zh-CN"/>
        </w:rPr>
        <w:t>ZJJAZF[2024]38号</w:t>
      </w:r>
    </w:p>
    <w:p>
      <w:pPr>
        <w:snapToGrid w:val="0"/>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w:t>
      </w:r>
      <w:r>
        <w:rPr>
          <w:rFonts w:hint="eastAsia" w:ascii="宋体" w:hAnsi="宋体" w:cs="宋体"/>
          <w:b/>
          <w:color w:val="auto"/>
          <w:sz w:val="24"/>
        </w:rPr>
        <w:t xml:space="preserve"> 项目名称：</w:t>
      </w:r>
      <w:r>
        <w:rPr>
          <w:rFonts w:hint="eastAsia" w:ascii="宋体" w:hAnsi="宋体" w:cs="宋体"/>
          <w:color w:val="auto"/>
          <w:sz w:val="24"/>
          <w:lang w:eastAsia="zh-CN"/>
        </w:rPr>
        <w:t>富文乡石头埠淳岸（杭州千岛湖）麦芽威士忌酒厂污水管道、泵站及电气安装项目</w:t>
      </w:r>
    </w:p>
    <w:p>
      <w:pPr>
        <w:snapToGrid w:val="0"/>
        <w:spacing w:line="360" w:lineRule="auto"/>
        <w:rPr>
          <w:rFonts w:ascii="宋体" w:hAnsi="宋体" w:cs="宋体"/>
          <w:color w:val="auto"/>
          <w:sz w:val="24"/>
        </w:rPr>
      </w:pPr>
      <w:r>
        <w:rPr>
          <w:rFonts w:hint="eastAsia" w:ascii="宋体" w:hAnsi="宋体" w:cs="宋体"/>
          <w:color w:val="auto"/>
          <w:sz w:val="24"/>
        </w:rPr>
        <w:t xml:space="preserve">   </w:t>
      </w:r>
      <w:r>
        <w:rPr>
          <w:rFonts w:hint="eastAsia" w:ascii="宋体" w:hAnsi="宋体" w:cs="宋体"/>
          <w:b/>
          <w:color w:val="auto"/>
          <w:sz w:val="24"/>
        </w:rPr>
        <w:t xml:space="preserve"> 预算金额（元）：</w:t>
      </w:r>
      <w:r>
        <w:rPr>
          <w:rFonts w:hint="eastAsia" w:ascii="宋体" w:hAnsi="宋体" w:cs="宋体"/>
          <w:b/>
          <w:color w:val="auto"/>
          <w:sz w:val="24"/>
          <w:lang w:eastAsia="zh-CN"/>
        </w:rPr>
        <w:t>6804385.43</w:t>
      </w:r>
      <w:r>
        <w:rPr>
          <w:rFonts w:ascii="宋体" w:hAnsi="宋体" w:cs="宋体"/>
          <w:color w:val="auto"/>
          <w:sz w:val="24"/>
        </w:rPr>
        <w:t xml:space="preserve"> </w:t>
      </w:r>
    </w:p>
    <w:p>
      <w:pPr>
        <w:snapToGrid w:val="0"/>
        <w:spacing w:line="360" w:lineRule="auto"/>
        <w:ind w:firstLine="480"/>
        <w:rPr>
          <w:rFonts w:hint="eastAsia" w:ascii="宋体" w:hAnsi="宋体" w:eastAsia="宋体" w:cs="宋体"/>
          <w:color w:val="auto"/>
          <w:sz w:val="24"/>
          <w:lang w:eastAsia="zh-CN"/>
        </w:rPr>
      </w:pPr>
      <w:r>
        <w:rPr>
          <w:rFonts w:hint="eastAsia" w:ascii="宋体" w:hAnsi="宋体" w:cs="宋体"/>
          <w:b/>
          <w:color w:val="auto"/>
          <w:sz w:val="24"/>
        </w:rPr>
        <w:t>最高限价（元）：</w:t>
      </w:r>
      <w:r>
        <w:rPr>
          <w:rFonts w:hint="eastAsia" w:ascii="宋体" w:hAnsi="宋体" w:cs="宋体"/>
          <w:b/>
          <w:color w:val="auto"/>
          <w:sz w:val="24"/>
          <w:lang w:eastAsia="zh-CN"/>
        </w:rPr>
        <w:t>6804385.43</w:t>
      </w:r>
    </w:p>
    <w:p>
      <w:pPr>
        <w:pStyle w:val="3"/>
        <w:snapToGrid/>
        <w:spacing w:line="360" w:lineRule="auto"/>
        <w:ind w:firstLine="480"/>
        <w:rPr>
          <w:rFonts w:hAnsi="宋体" w:cs="宋体"/>
          <w:bCs/>
          <w:snapToGrid/>
          <w:color w:val="auto"/>
          <w:kern w:val="2"/>
          <w:sz w:val="24"/>
          <w:szCs w:val="24"/>
        </w:rPr>
      </w:pPr>
      <w:r>
        <w:rPr>
          <w:rFonts w:hint="eastAsia" w:hAnsi="宋体" w:cs="宋体"/>
          <w:b/>
          <w:color w:val="auto"/>
          <w:sz w:val="24"/>
        </w:rPr>
        <w:t>采购需求：</w:t>
      </w:r>
      <w:r>
        <w:rPr>
          <w:rFonts w:hint="eastAsia" w:asciiTheme="minorEastAsia" w:hAnsiTheme="minorEastAsia" w:eastAsiaTheme="minorEastAsia"/>
          <w:color w:val="auto"/>
          <w:sz w:val="24"/>
          <w:lang w:eastAsia="zh-CN"/>
        </w:rPr>
        <w:t>富文乡石头埠淳岸（杭州千岛湖）麦芽威士忌酒厂污水管道、泵站及电气安装项目</w:t>
      </w:r>
      <w:r>
        <w:rPr>
          <w:rFonts w:hint="eastAsia" w:hAnsi="宋体" w:cs="宋体"/>
          <w:bCs/>
          <w:snapToGrid/>
          <w:color w:val="auto"/>
          <w:kern w:val="2"/>
          <w:sz w:val="24"/>
          <w:szCs w:val="24"/>
        </w:rPr>
        <w:t>主要内容：污水管道、泵站及电气</w:t>
      </w:r>
      <w:r>
        <w:rPr>
          <w:rFonts w:hint="eastAsia" w:hAnsi="宋体" w:cs="宋体"/>
          <w:bCs/>
          <w:snapToGrid/>
          <w:color w:val="auto"/>
          <w:kern w:val="2"/>
          <w:sz w:val="24"/>
          <w:szCs w:val="24"/>
          <w:lang w:val="en-US" w:eastAsia="zh-CN"/>
        </w:rPr>
        <w:t>等设备采购（含安装）等</w:t>
      </w:r>
      <w:r>
        <w:rPr>
          <w:rFonts w:hint="eastAsia" w:hAnsi="宋体" w:cs="宋体"/>
          <w:bCs/>
          <w:snapToGrid/>
          <w:color w:val="auto"/>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0"/>
        <w:snapToGrid w:val="0"/>
        <w:spacing w:before="0"/>
        <w:ind w:firstLine="489"/>
        <w:outlineLvl w:val="2"/>
        <w:rPr>
          <w:rFonts w:hint="default" w:ascii="宋体" w:hAnsi="宋体" w:eastAsia="宋体" w:cs="宋体"/>
          <w:bCs/>
          <w:color w:val="auto"/>
          <w:lang w:val="en-US" w:eastAsia="zh-CN"/>
        </w:rPr>
      </w:pPr>
      <w:r>
        <w:rPr>
          <w:rFonts w:hint="eastAsia" w:ascii="宋体" w:hAnsi="宋体" w:cs="宋体"/>
          <w:b/>
          <w:color w:val="auto"/>
        </w:rPr>
        <w:t>合同履约期限：</w:t>
      </w:r>
      <w:r>
        <w:rPr>
          <w:rFonts w:hint="eastAsia" w:cs="宋体"/>
          <w:color w:val="auto"/>
          <w:sz w:val="24"/>
          <w:szCs w:val="24"/>
          <w:highlight w:val="none"/>
          <w:lang w:val="zh-CN"/>
        </w:rPr>
        <w:t>自签订合同之日起</w:t>
      </w:r>
      <w:r>
        <w:rPr>
          <w:rFonts w:hint="eastAsia"/>
          <w:color w:val="auto"/>
          <w:sz w:val="24"/>
          <w:szCs w:val="24"/>
          <w:highlight w:val="none"/>
          <w:lang w:val="en-US" w:eastAsia="zh-CN"/>
        </w:rPr>
        <w:t>90</w:t>
      </w:r>
      <w:r>
        <w:rPr>
          <w:rFonts w:hint="eastAsia" w:cs="宋体"/>
          <w:color w:val="auto"/>
          <w:sz w:val="24"/>
          <w:szCs w:val="24"/>
          <w:highlight w:val="none"/>
          <w:lang w:val="zh-CN"/>
        </w:rPr>
        <w:t>天内完成项目产品供货、安装调试、软硬件集成等所有服务。提供不少于</w:t>
      </w:r>
      <w:r>
        <w:rPr>
          <w:color w:val="auto"/>
          <w:sz w:val="24"/>
          <w:szCs w:val="24"/>
          <w:highlight w:val="none"/>
        </w:rPr>
        <w:t>2</w:t>
      </w:r>
      <w:r>
        <w:rPr>
          <w:rFonts w:hint="eastAsia" w:cs="宋体"/>
          <w:color w:val="auto"/>
          <w:sz w:val="24"/>
          <w:szCs w:val="24"/>
          <w:highlight w:val="none"/>
          <w:lang w:val="zh-CN"/>
        </w:rPr>
        <w:t>年免费质保期，质保期自验收合格次日起计算，质保期严格按照国家三包规定执行。</w:t>
      </w:r>
    </w:p>
    <w:p>
      <w:pPr>
        <w:pStyle w:val="3"/>
        <w:spacing w:line="360" w:lineRule="auto"/>
        <w:ind w:firstLine="480"/>
        <w:rPr>
          <w:rFonts w:hint="default" w:ascii="宋体" w:hAnsi="宋体" w:eastAsia="宋体" w:cs="宋体"/>
          <w:b w:val="0"/>
          <w:bCs/>
          <w:color w:val="auto"/>
          <w:sz w:val="24"/>
          <w:lang w:val="en-US" w:eastAsia="zh-CN"/>
        </w:rPr>
      </w:pPr>
      <w:r>
        <w:rPr>
          <w:rFonts w:hint="eastAsia" w:hAnsi="宋体" w:cs="宋体"/>
          <w:b/>
          <w:color w:val="auto"/>
          <w:sz w:val="24"/>
        </w:rPr>
        <w:t>本项目接受联合体投标：</w:t>
      </w:r>
      <w:sdt>
        <w:sdtPr>
          <w:rPr>
            <w:rFonts w:hAnsi="宋体" w:cs="宋体"/>
            <w:color w:val="auto"/>
            <w:kern w:val="0"/>
            <w:sz w:val="24"/>
          </w:rPr>
          <w:id w:val="-441836950"/>
          <w14:checkbox>
            <w14:checked w14:val="1"/>
            <w14:checkedState w14:val="00FE" w14:font="Wingdings"/>
            <w14:uncheckedState w14:val="2610" w14:font="MS Gothic"/>
          </w14:checkbox>
        </w:sdtPr>
        <w:sdtEndPr>
          <w:rPr>
            <w:rFonts w:hAnsi="宋体" w:cs="宋体"/>
            <w:color w:val="auto"/>
            <w:kern w:val="0"/>
            <w:sz w:val="24"/>
          </w:rPr>
        </w:sdtEndPr>
        <w:sdtContent>
          <w:r>
            <w:rPr>
              <w:rFonts w:ascii="Wingdings" w:hAnsi="Wingdings" w:eastAsia="宋体" w:cs="宋体"/>
              <w:snapToGrid w:val="0"/>
              <w:color w:val="auto"/>
              <w:kern w:val="0"/>
              <w:sz w:val="24"/>
              <w:szCs w:val="20"/>
              <w:lang w:val="en-US" w:eastAsia="zh-CN" w:bidi="ar-SA"/>
            </w:rPr>
            <w:t>þ</w:t>
          </w:r>
        </w:sdtContent>
      </w:sdt>
      <w:r>
        <w:rPr>
          <w:rFonts w:hint="eastAsia" w:hAnsi="宋体" w:cs="宋体"/>
          <w:b/>
          <w:color w:val="auto"/>
          <w:sz w:val="24"/>
        </w:rPr>
        <w:t>是；</w:t>
      </w:r>
      <w:sdt>
        <w:sdtPr>
          <w:rPr>
            <w:rFonts w:hAnsi="宋体" w:cs="宋体"/>
            <w:color w:val="auto"/>
            <w:kern w:val="0"/>
            <w:sz w:val="24"/>
          </w:rPr>
          <w:id w:val="-1591624199"/>
          <w14:checkbox>
            <w14:checked w14:val="0"/>
            <w14:checkedState w14:val="00FE" w14:font="Wingdings"/>
            <w14:uncheckedState w14:val="2610" w14:font="MS Gothic"/>
          </w14:checkbox>
        </w:sdtPr>
        <w:sdtEndPr>
          <w:rPr>
            <w:rFonts w:hAnsi="宋体" w:cs="宋体"/>
            <w:color w:val="auto"/>
            <w:kern w:val="0"/>
            <w:sz w:val="24"/>
          </w:rPr>
        </w:sdtEndPr>
        <w:sdtContent>
          <w:r>
            <w:rPr>
              <w:rFonts w:ascii="MS Gothic" w:hAnsi="MS Gothic" w:eastAsia="宋体" w:cs="Segoe UI Symbol"/>
              <w:snapToGrid w:val="0"/>
              <w:color w:val="auto"/>
              <w:kern w:val="0"/>
              <w:sz w:val="24"/>
              <w:szCs w:val="20"/>
              <w:lang w:val="en-US" w:eastAsia="zh-CN" w:bidi="ar-SA"/>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szCs w:val="24"/>
              <w:lang w:val="en-US" w:eastAsia="zh-CN" w:bidi="ar-SA"/>
            </w:rPr>
            <w:t>☐</w:t>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333685401"/>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服务全部由符合政策要求的中小企业承接，提供中小企业声明函；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214102535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服务全部由符合政策要求的小微企业承接，提供中小企业声明函；</w:t>
      </w:r>
    </w:p>
    <w:p>
      <w:pPr>
        <w:rPr>
          <w:rFonts w:ascii="宋体" w:hAnsi="宋体" w:cs="宋体"/>
          <w:color w:val="auto"/>
        </w:rPr>
      </w:pP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ascii="宋体" w:hAnsi="宋体" w:cs="宋体"/>
          <w:color w:val="auto"/>
          <w:sz w:val="24"/>
        </w:rPr>
        <w:t>4</w:t>
      </w:r>
      <w:r>
        <w:rPr>
          <w:rFonts w:hint="eastAsia" w:ascii="宋体" w:hAnsi="宋体" w:cs="宋体"/>
          <w:color w:val="auto"/>
          <w:sz w:val="24"/>
        </w:rPr>
        <w:t>.本项目的特定资格要求：</w:t>
      </w:r>
    </w:p>
    <w:p>
      <w:pPr>
        <w:snapToGrid w:val="0"/>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50898254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sz w:val="24"/>
        </w:rPr>
        <w:t>无</w:t>
      </w:r>
    </w:p>
    <w:p>
      <w:pPr>
        <w:snapToGrid w:val="0"/>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607112291"/>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sz w:val="24"/>
        </w:rPr>
        <w:t>有特定资格要求：</w:t>
      </w:r>
      <w:r>
        <w:rPr>
          <w:rFonts w:hint="eastAsia" w:ascii="宋体" w:hAnsi="宋体" w:cs="宋体"/>
          <w:b/>
          <w:bCs/>
          <w:color w:val="auto"/>
          <w:sz w:val="24"/>
          <w:u w:val="single"/>
        </w:rPr>
        <w:t>承担本项目施工工作的投标单位具有有效的机电工程施工总承包三级及以上资质及有效的安全生产许可证</w:t>
      </w:r>
      <w:r>
        <w:rPr>
          <w:rFonts w:hint="eastAsia" w:ascii="宋体" w:hAnsi="宋体" w:cs="宋体"/>
          <w:color w:val="auto"/>
          <w:sz w:val="24"/>
        </w:rPr>
        <w:t>，该特定条件的法律法规依据：</w:t>
      </w:r>
      <w:r>
        <w:rPr>
          <w:rFonts w:hint="eastAsia" w:ascii="宋体" w:hAnsi="宋体" w:cs="宋体"/>
          <w:b/>
          <w:bCs/>
          <w:color w:val="auto"/>
          <w:sz w:val="24"/>
          <w:u w:val="single"/>
          <w:lang w:val="en-US" w:eastAsia="zh-CN"/>
        </w:rPr>
        <w:t>机电工程施工总承包资质标准</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lang w:eastAsia="zh-CN"/>
        </w:rPr>
        <w:t>2024</w:t>
      </w:r>
      <w:r>
        <w:rPr>
          <w:rFonts w:hint="eastAsia" w:ascii="宋体" w:hAnsi="宋体" w:cs="宋体"/>
          <w:color w:val="auto"/>
          <w:sz w:val="24"/>
          <w:u w:val="single"/>
        </w:rPr>
        <w:t>年</w:t>
      </w:r>
      <w:r>
        <w:rPr>
          <w:rFonts w:hint="eastAsia" w:ascii="宋体" w:hAnsi="宋体" w:cs="宋体"/>
          <w:color w:val="auto"/>
          <w:sz w:val="24"/>
          <w:u w:val="single"/>
          <w:lang w:val="en-US" w:eastAsia="zh-CN"/>
        </w:rPr>
        <w:t>1</w:t>
      </w:r>
      <w:r>
        <w:rPr>
          <w:rFonts w:hint="eastAsia" w:ascii="宋体" w:hAnsi="宋体" w:cs="宋体"/>
          <w:color w:val="auto"/>
          <w:sz w:val="24"/>
          <w:u w:val="single"/>
        </w:rPr>
        <w:t>月</w:t>
      </w:r>
      <w:r>
        <w:rPr>
          <w:rFonts w:hint="eastAsia" w:ascii="宋体" w:hAnsi="宋体" w:cs="宋体"/>
          <w:color w:val="auto"/>
          <w:sz w:val="24"/>
          <w:u w:val="single"/>
          <w:lang w:val="en-US" w:eastAsia="zh-CN"/>
        </w:rPr>
        <w:t xml:space="preserve"> 18</w:t>
      </w:r>
      <w:r>
        <w:rPr>
          <w:rFonts w:hint="eastAsia" w:ascii="宋体" w:hAnsi="宋体" w:cs="宋体"/>
          <w:color w:val="auto"/>
          <w:sz w:val="24"/>
          <w:u w:val="single"/>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w:t>
      </w:r>
      <w:r>
        <w:rPr>
          <w:rStyle w:val="77"/>
          <w:rFonts w:hint="eastAsia" w:ascii="宋体" w:hAnsi="宋体" w:cs="宋体"/>
          <w:snapToGrid/>
          <w:color w:val="auto"/>
          <w:kern w:val="2"/>
          <w:sz w:val="24"/>
          <w:szCs w:val="24"/>
          <w:u w:val="single"/>
          <w:lang w:eastAsia="zh-CN"/>
        </w:rPr>
        <w:t>2024</w:t>
      </w:r>
      <w:r>
        <w:rPr>
          <w:rStyle w:val="77"/>
          <w:rFonts w:hint="eastAsia" w:ascii="宋体" w:hAnsi="宋体" w:eastAsia="宋体" w:cs="宋体"/>
          <w:snapToGrid/>
          <w:color w:val="auto"/>
          <w:kern w:val="2"/>
          <w:sz w:val="24"/>
          <w:szCs w:val="24"/>
          <w:u w:val="single"/>
        </w:rPr>
        <w:t>年</w:t>
      </w:r>
      <w:r>
        <w:rPr>
          <w:rStyle w:val="77"/>
          <w:rFonts w:hint="eastAsia" w:ascii="宋体" w:hAnsi="宋体" w:cs="宋体"/>
          <w:snapToGrid/>
          <w:color w:val="auto"/>
          <w:kern w:val="2"/>
          <w:sz w:val="24"/>
          <w:szCs w:val="24"/>
          <w:u w:val="single"/>
          <w:lang w:val="en-US" w:eastAsia="zh-CN"/>
        </w:rPr>
        <w:t>1</w:t>
      </w:r>
      <w:r>
        <w:rPr>
          <w:rStyle w:val="77"/>
          <w:rFonts w:hint="eastAsia" w:ascii="宋体" w:hAnsi="宋体" w:eastAsia="宋体" w:cs="宋体"/>
          <w:snapToGrid/>
          <w:color w:val="auto"/>
          <w:kern w:val="2"/>
          <w:sz w:val="24"/>
          <w:szCs w:val="24"/>
          <w:u w:val="single"/>
        </w:rPr>
        <w:t>月</w:t>
      </w:r>
      <w:r>
        <w:rPr>
          <w:rStyle w:val="77"/>
          <w:rFonts w:hint="eastAsia" w:ascii="宋体" w:hAnsi="宋体" w:cs="宋体"/>
          <w:snapToGrid/>
          <w:color w:val="auto"/>
          <w:kern w:val="2"/>
          <w:sz w:val="24"/>
          <w:szCs w:val="24"/>
          <w:u w:val="single"/>
          <w:lang w:val="en-US" w:eastAsia="zh-CN"/>
        </w:rPr>
        <w:t xml:space="preserve"> 18 </w:t>
      </w:r>
      <w:r>
        <w:rPr>
          <w:rStyle w:val="77"/>
          <w:rFonts w:hint="eastAsia" w:ascii="宋体" w:hAnsi="宋体" w:eastAsia="宋体" w:cs="宋体"/>
          <w:snapToGrid/>
          <w:color w:val="auto"/>
          <w:kern w:val="2"/>
          <w:sz w:val="24"/>
          <w:szCs w:val="24"/>
          <w:u w:val="single"/>
        </w:rPr>
        <w:t>日</w:t>
      </w:r>
      <w:r>
        <w:rPr>
          <w:rStyle w:val="77"/>
          <w:rFonts w:hint="eastAsia" w:ascii="宋体" w:hAnsi="宋体" w:cs="宋体"/>
          <w:snapToGrid/>
          <w:color w:val="auto"/>
          <w:kern w:val="2"/>
          <w:sz w:val="24"/>
          <w:szCs w:val="24"/>
          <w:u w:val="single"/>
          <w:lang w:val="en-US" w:eastAsia="zh-CN"/>
        </w:rPr>
        <w:t>9</w:t>
      </w:r>
      <w:r>
        <w:rPr>
          <w:rStyle w:val="77"/>
          <w:rFonts w:hint="eastAsia" w:ascii="宋体" w:hAnsi="宋体" w:eastAsia="宋体" w:cs="宋体"/>
          <w:snapToGrid/>
          <w:color w:val="auto"/>
          <w:kern w:val="2"/>
          <w:sz w:val="24"/>
          <w:szCs w:val="24"/>
          <w:u w:val="single"/>
        </w:rPr>
        <w:t>点</w:t>
      </w:r>
      <w:r>
        <w:rPr>
          <w:rStyle w:val="77"/>
          <w:rFonts w:hint="eastAsia" w:ascii="宋体" w:hAnsi="宋体" w:cs="宋体"/>
          <w:snapToGrid/>
          <w:color w:val="auto"/>
          <w:kern w:val="2"/>
          <w:sz w:val="24"/>
          <w:szCs w:val="24"/>
          <w:u w:val="single"/>
          <w:lang w:val="en-US" w:eastAsia="zh-CN"/>
        </w:rPr>
        <w:t>30</w:t>
      </w:r>
      <w:r>
        <w:rPr>
          <w:rStyle w:val="77"/>
          <w:rFonts w:hint="eastAsia" w:ascii="宋体" w:hAnsi="宋体" w:eastAsia="宋体" w:cs="宋体"/>
          <w:snapToGrid/>
          <w:color w:val="auto"/>
          <w:kern w:val="2"/>
          <w:sz w:val="24"/>
          <w:szCs w:val="24"/>
          <w:u w:val="single"/>
        </w:rPr>
        <w:t>分</w:t>
      </w:r>
      <w:r>
        <w:rPr>
          <w:rStyle w:val="77"/>
          <w:rFonts w:hint="eastAsia" w:ascii="宋体" w:hAnsi="宋体" w:eastAsia="宋体" w:cs="宋体"/>
          <w:bCs/>
          <w:snapToGrid/>
          <w:color w:val="auto"/>
          <w:kern w:val="2"/>
          <w:sz w:val="24"/>
          <w:szCs w:val="24"/>
          <w:u w:val="single"/>
        </w:rPr>
        <w:t>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Style w:val="77"/>
          <w:rFonts w:hint="eastAsia" w:ascii="宋体" w:hAnsi="宋体" w:cs="宋体"/>
          <w:snapToGrid/>
          <w:color w:val="auto"/>
          <w:kern w:val="2"/>
          <w:sz w:val="24"/>
          <w:szCs w:val="24"/>
          <w:u w:val="single"/>
          <w:lang w:eastAsia="zh-CN"/>
        </w:rPr>
        <w:t>2024</w:t>
      </w:r>
      <w:r>
        <w:rPr>
          <w:rStyle w:val="77"/>
          <w:rFonts w:hint="eastAsia" w:ascii="宋体" w:hAnsi="宋体" w:eastAsia="宋体" w:cs="宋体"/>
          <w:snapToGrid/>
          <w:color w:val="auto"/>
          <w:kern w:val="2"/>
          <w:sz w:val="24"/>
          <w:szCs w:val="24"/>
          <w:u w:val="single"/>
        </w:rPr>
        <w:t>年</w:t>
      </w:r>
      <w:r>
        <w:rPr>
          <w:rStyle w:val="77"/>
          <w:rFonts w:hint="eastAsia" w:ascii="宋体" w:hAnsi="宋体" w:cs="宋体"/>
          <w:snapToGrid/>
          <w:color w:val="auto"/>
          <w:kern w:val="2"/>
          <w:sz w:val="24"/>
          <w:szCs w:val="24"/>
          <w:u w:val="single"/>
          <w:lang w:val="en-US" w:eastAsia="zh-CN"/>
        </w:rPr>
        <w:t>1</w:t>
      </w:r>
      <w:r>
        <w:rPr>
          <w:rStyle w:val="77"/>
          <w:rFonts w:hint="eastAsia" w:ascii="宋体" w:hAnsi="宋体" w:eastAsia="宋体" w:cs="宋体"/>
          <w:snapToGrid/>
          <w:color w:val="auto"/>
          <w:kern w:val="2"/>
          <w:sz w:val="24"/>
          <w:szCs w:val="24"/>
          <w:u w:val="single"/>
        </w:rPr>
        <w:t>月</w:t>
      </w:r>
      <w:r>
        <w:rPr>
          <w:rStyle w:val="77"/>
          <w:rFonts w:hint="eastAsia" w:ascii="宋体" w:hAnsi="宋体" w:cs="宋体"/>
          <w:snapToGrid/>
          <w:color w:val="auto"/>
          <w:kern w:val="2"/>
          <w:sz w:val="24"/>
          <w:szCs w:val="24"/>
          <w:u w:val="single"/>
          <w:lang w:val="en-US" w:eastAsia="zh-CN"/>
        </w:rPr>
        <w:t xml:space="preserve"> 18 </w:t>
      </w:r>
      <w:r>
        <w:rPr>
          <w:rStyle w:val="77"/>
          <w:rFonts w:hint="eastAsia" w:ascii="宋体" w:hAnsi="宋体" w:eastAsia="宋体" w:cs="宋体"/>
          <w:snapToGrid/>
          <w:color w:val="auto"/>
          <w:kern w:val="2"/>
          <w:sz w:val="24"/>
          <w:szCs w:val="24"/>
          <w:u w:val="single"/>
        </w:rPr>
        <w:t>日</w:t>
      </w:r>
      <w:r>
        <w:rPr>
          <w:rStyle w:val="77"/>
          <w:rFonts w:hint="eastAsia" w:ascii="宋体" w:hAnsi="宋体" w:cs="宋体"/>
          <w:snapToGrid/>
          <w:color w:val="auto"/>
          <w:kern w:val="2"/>
          <w:sz w:val="24"/>
          <w:szCs w:val="24"/>
          <w:u w:val="single"/>
          <w:lang w:val="en-US" w:eastAsia="zh-CN"/>
        </w:rPr>
        <w:t>9</w:t>
      </w:r>
      <w:r>
        <w:rPr>
          <w:rStyle w:val="77"/>
          <w:rFonts w:hint="eastAsia" w:ascii="宋体" w:hAnsi="宋体" w:eastAsia="宋体" w:cs="宋体"/>
          <w:snapToGrid/>
          <w:color w:val="auto"/>
          <w:kern w:val="2"/>
          <w:sz w:val="24"/>
          <w:szCs w:val="24"/>
          <w:u w:val="single"/>
        </w:rPr>
        <w:t>点</w:t>
      </w:r>
      <w:r>
        <w:rPr>
          <w:rStyle w:val="77"/>
          <w:rFonts w:hint="eastAsia" w:ascii="宋体" w:hAnsi="宋体" w:cs="宋体"/>
          <w:snapToGrid/>
          <w:color w:val="auto"/>
          <w:kern w:val="2"/>
          <w:sz w:val="24"/>
          <w:szCs w:val="24"/>
          <w:u w:val="single"/>
          <w:lang w:val="en-US" w:eastAsia="zh-CN"/>
        </w:rPr>
        <w:t>30</w:t>
      </w:r>
      <w:r>
        <w:rPr>
          <w:rStyle w:val="77"/>
          <w:rFonts w:hint="eastAsia" w:ascii="宋体" w:hAnsi="宋体" w:eastAsia="宋体" w:cs="宋体"/>
          <w:snapToGrid/>
          <w:color w:val="auto"/>
          <w:kern w:val="2"/>
          <w:sz w:val="24"/>
          <w:szCs w:val="24"/>
          <w:u w:val="single"/>
        </w:rPr>
        <w:t>分</w:t>
      </w:r>
      <w:r>
        <w:rPr>
          <w:rStyle w:val="77"/>
          <w:rFonts w:hint="eastAsia" w:ascii="宋体" w:hAnsi="宋体" w:eastAsia="宋体" w:cs="宋体"/>
          <w:bCs/>
          <w:snapToGrid/>
          <w:color w:val="auto"/>
          <w:kern w:val="2"/>
          <w:sz w:val="24"/>
          <w:szCs w:val="24"/>
          <w:u w:val="single"/>
        </w:rPr>
        <w:t>00秒</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w:t>
      </w:r>
      <w:r>
        <w:rPr>
          <w:rFonts w:hint="eastAsia" w:ascii="宋体" w:hAnsi="宋体" w:cs="宋体"/>
          <w:color w:val="auto"/>
          <w:sz w:val="24"/>
          <w:lang w:eastAsia="zh-CN"/>
        </w:rPr>
        <w:t>，</w:t>
      </w:r>
      <w:r>
        <w:rPr>
          <w:rFonts w:hint="eastAsia" w:ascii="宋体" w:hAnsi="宋体" w:cs="宋体"/>
          <w:color w:val="auto"/>
          <w:sz w:val="24"/>
          <w:lang w:val="en-US" w:eastAsia="zh-CN"/>
        </w:rPr>
        <w:t>不缴纳投标保证金</w:t>
      </w:r>
      <w:r>
        <w:rPr>
          <w:rFonts w:hint="eastAsia" w:ascii="宋体" w:hAnsi="宋体" w:cs="宋体"/>
          <w:color w:val="auto"/>
          <w:sz w:val="24"/>
        </w:rPr>
        <w:t>；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val="en-US" w:eastAsia="zh-CN"/>
        </w:rPr>
        <w:t>淳安县富文乡人民政府</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val="en-US" w:eastAsia="zh-CN"/>
        </w:rPr>
        <w:t>淳安县富文乡富文村</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项目联系人（询问）：徐赫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项目联系方式（询问）：18868129356</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质疑联系人：姚炳娥</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质疑联系方式：13588337121</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名    称：</w:t>
      </w:r>
      <w:r>
        <w:rPr>
          <w:rFonts w:hint="eastAsia" w:ascii="宋体" w:hAnsi="宋体" w:cs="宋体"/>
          <w:color w:val="auto"/>
          <w:sz w:val="24"/>
          <w:lang w:eastAsia="zh-CN"/>
        </w:rPr>
        <w:t>浙江建安工程管理有限公司</w:t>
      </w:r>
    </w:p>
    <w:p>
      <w:pPr>
        <w:spacing w:line="360" w:lineRule="auto"/>
        <w:ind w:firstLine="480"/>
        <w:rPr>
          <w:rFonts w:ascii="宋体" w:hAnsi="宋体" w:cs="宋体"/>
          <w:color w:val="auto"/>
          <w:sz w:val="24"/>
        </w:rPr>
      </w:pPr>
      <w:r>
        <w:rPr>
          <w:rFonts w:hint="eastAsia" w:ascii="宋体" w:hAnsi="宋体" w:cs="宋体"/>
          <w:color w:val="auto"/>
          <w:sz w:val="24"/>
        </w:rPr>
        <w:t>地    址：浙江省淳安县千岛湖镇青春路2号3楼。</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 xml:space="preserve">传    真： </w:t>
      </w:r>
      <w:r>
        <w:rPr>
          <w:rFonts w:hint="eastAsia" w:ascii="宋体" w:hAnsi="宋体" w:cs="宋体"/>
          <w:color w:val="auto"/>
          <w:sz w:val="24"/>
          <w:lang w:eastAsia="zh-CN"/>
        </w:rPr>
        <w:t>0571-65066887</w:t>
      </w:r>
    </w:p>
    <w:p>
      <w:pPr>
        <w:spacing w:line="360" w:lineRule="auto"/>
        <w:ind w:firstLine="480"/>
        <w:rPr>
          <w:rFonts w:hint="eastAsia" w:ascii="宋体" w:hAnsi="宋体" w:eastAsia="宋体" w:cs="宋体"/>
          <w:color w:val="auto"/>
          <w:sz w:val="24"/>
          <w:lang w:val="en-US" w:eastAsia="zh-CN"/>
        </w:rPr>
      </w:pPr>
      <w:r>
        <w:rPr>
          <w:rFonts w:hint="eastAsia" w:ascii="宋体" w:hAnsi="宋体" w:cs="宋体"/>
          <w:color w:val="auto"/>
          <w:sz w:val="24"/>
        </w:rPr>
        <w:t xml:space="preserve">项目联系人（询问）： </w:t>
      </w:r>
      <w:r>
        <w:rPr>
          <w:rFonts w:hint="eastAsia" w:ascii="宋体" w:hAnsi="宋体" w:cs="宋体"/>
          <w:color w:val="auto"/>
          <w:sz w:val="24"/>
          <w:lang w:val="en-US" w:eastAsia="zh-CN"/>
        </w:rPr>
        <w:t>吴宝财</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项目联系方式（询问）：</w:t>
      </w:r>
      <w:r>
        <w:rPr>
          <w:rFonts w:hint="eastAsia" w:ascii="宋体" w:hAnsi="宋体" w:cs="宋体"/>
          <w:color w:val="auto"/>
          <w:sz w:val="24"/>
          <w:lang w:eastAsia="zh-CN"/>
        </w:rPr>
        <w:t>0571-65066887</w:t>
      </w:r>
    </w:p>
    <w:p>
      <w:pPr>
        <w:spacing w:line="360" w:lineRule="auto"/>
        <w:ind w:firstLine="480"/>
        <w:rPr>
          <w:rFonts w:hint="eastAsia" w:ascii="宋体" w:hAnsi="宋体" w:eastAsia="宋体" w:cs="宋体"/>
          <w:color w:val="auto"/>
          <w:sz w:val="24"/>
          <w:lang w:val="en-US" w:eastAsia="zh-CN"/>
        </w:rPr>
      </w:pPr>
      <w:r>
        <w:rPr>
          <w:rFonts w:hint="eastAsia" w:ascii="宋体" w:hAnsi="宋体" w:cs="宋体"/>
          <w:color w:val="auto"/>
          <w:sz w:val="24"/>
        </w:rPr>
        <w:t>质疑联系人：</w:t>
      </w:r>
      <w:r>
        <w:rPr>
          <w:rFonts w:hint="eastAsia" w:ascii="宋体" w:hAnsi="宋体" w:cs="宋体"/>
          <w:color w:val="auto"/>
          <w:sz w:val="24"/>
          <w:lang w:val="en-US" w:eastAsia="zh-CN"/>
        </w:rPr>
        <w:t>王兴</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质疑联系方式：</w:t>
      </w:r>
      <w:r>
        <w:rPr>
          <w:rFonts w:hint="eastAsia" w:ascii="宋体" w:hAnsi="宋体" w:cs="宋体"/>
          <w:color w:val="auto"/>
          <w:sz w:val="24"/>
          <w:lang w:eastAsia="zh-CN"/>
        </w:rPr>
        <w:t>0571-65066887</w:t>
      </w:r>
    </w:p>
    <w:p>
      <w:pPr>
        <w:spacing w:line="360" w:lineRule="auto"/>
        <w:rPr>
          <w:rFonts w:ascii="宋体" w:hAnsi="宋体" w:cs="宋体"/>
          <w:color w:val="auto"/>
          <w:sz w:val="24"/>
        </w:rPr>
      </w:pPr>
      <w:r>
        <w:rPr>
          <w:rFonts w:hint="eastAsia" w:ascii="宋体" w:hAnsi="宋体" w:cs="宋体"/>
          <w:color w:val="auto"/>
          <w:sz w:val="24"/>
        </w:rPr>
        <w:t xml:space="preserve">    3.</w:t>
      </w:r>
      <w:r>
        <w:rPr>
          <w:rFonts w:hint="eastAsia"/>
          <w:color w:val="auto"/>
        </w:rPr>
        <w:t xml:space="preserve"> </w:t>
      </w:r>
      <w:r>
        <w:rPr>
          <w:rFonts w:hint="eastAsia" w:ascii="宋体" w:hAnsi="宋体" w:cs="宋体"/>
          <w:color w:val="auto"/>
          <w:sz w:val="24"/>
        </w:rPr>
        <w:t xml:space="preserve">同级政府采购监督管理部门            </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名    称：淳安县财政局</w:t>
      </w:r>
      <w:r>
        <w:rPr>
          <w:rFonts w:hint="eastAsia" w:ascii="宋体" w:hAnsi="宋体" w:cs="宋体"/>
          <w:color w:val="auto"/>
          <w:sz w:val="24"/>
          <w:lang w:eastAsia="zh-CN"/>
        </w:rPr>
        <w:t>、</w:t>
      </w:r>
      <w:r>
        <w:rPr>
          <w:rFonts w:hint="eastAsia" w:ascii="宋体" w:hAnsi="宋体" w:cs="宋体"/>
          <w:color w:val="auto"/>
          <w:sz w:val="24"/>
          <w:lang w:val="en-US" w:eastAsia="zh-CN"/>
        </w:rPr>
        <w:t>浙江省政府采购行政裁决服务中心（杭州）</w:t>
      </w:r>
    </w:p>
    <w:p>
      <w:pPr>
        <w:spacing w:line="360" w:lineRule="auto"/>
        <w:rPr>
          <w:rFonts w:ascii="宋体" w:hAnsi="宋体" w:cs="宋体"/>
          <w:color w:val="auto"/>
          <w:sz w:val="24"/>
        </w:rPr>
      </w:pPr>
      <w:r>
        <w:rPr>
          <w:rFonts w:hint="eastAsia" w:ascii="宋体" w:hAnsi="宋体" w:cs="宋体"/>
          <w:color w:val="auto"/>
          <w:sz w:val="24"/>
        </w:rPr>
        <w:t xml:space="preserve">    地    址：</w:t>
      </w:r>
      <w:r>
        <w:rPr>
          <w:rFonts w:hint="eastAsia" w:ascii="宋体" w:hAnsi="宋体" w:cs="宋体"/>
          <w:color w:val="auto"/>
          <w:sz w:val="24"/>
          <w:lang w:val="en-US" w:eastAsia="zh-CN"/>
        </w:rPr>
        <w:t>杭州市上城区四季青街道新业路市民之家G03办公室（快递仅限ems或顺丰）</w:t>
      </w: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hint="default" w:ascii="宋体" w:hAnsi="宋体" w:eastAsia="宋体" w:cs="宋体"/>
          <w:color w:val="auto"/>
          <w:sz w:val="24"/>
          <w:lang w:val="en-US" w:eastAsia="zh-CN"/>
        </w:rPr>
      </w:pPr>
      <w:r>
        <w:rPr>
          <w:rFonts w:hint="eastAsia" w:ascii="宋体" w:hAnsi="宋体" w:cs="宋体"/>
          <w:color w:val="auto"/>
          <w:sz w:val="24"/>
        </w:rPr>
        <w:t xml:space="preserve">    联系人 ：</w:t>
      </w:r>
      <w:r>
        <w:rPr>
          <w:rFonts w:hint="eastAsia" w:ascii="宋体" w:hAnsi="宋体" w:cs="宋体"/>
          <w:color w:val="auto"/>
          <w:sz w:val="24"/>
          <w:lang w:val="en-US" w:eastAsia="zh-CN"/>
        </w:rPr>
        <w:t>朱女士、王女士</w:t>
      </w:r>
    </w:p>
    <w:p>
      <w:pPr>
        <w:spacing w:line="360" w:lineRule="auto"/>
        <w:ind w:firstLine="480" w:firstLineChars="200"/>
        <w:rPr>
          <w:rFonts w:hint="default" w:ascii="宋体" w:hAnsi="宋体" w:eastAsia="宋体" w:cs="宋体"/>
          <w:color w:val="auto"/>
          <w:sz w:val="24"/>
          <w:lang w:val="en-US" w:eastAsia="zh-CN"/>
        </w:rPr>
      </w:pPr>
      <w:r>
        <w:rPr>
          <w:rFonts w:hint="eastAsia" w:ascii="宋体" w:hAnsi="宋体" w:cs="宋体"/>
          <w:color w:val="auto"/>
          <w:sz w:val="24"/>
        </w:rPr>
        <w:t>监督投诉电话：0571-</w:t>
      </w:r>
      <w:r>
        <w:rPr>
          <w:rFonts w:hint="eastAsia" w:ascii="宋体" w:hAnsi="宋体" w:cs="宋体"/>
          <w:color w:val="auto"/>
          <w:sz w:val="24"/>
          <w:szCs w:val="24"/>
          <w:lang w:val="en-US" w:eastAsia="zh-CN"/>
        </w:rPr>
        <w:t>85252453</w:t>
      </w:r>
    </w:p>
    <w:p>
      <w:pPr>
        <w:spacing w:line="360" w:lineRule="auto"/>
        <w:ind w:firstLine="48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shd w:val="clear" w:color="auto" w:fill="FFFFFF"/>
        </w:rPr>
        <w:t>95763</w:t>
      </w:r>
      <w:r>
        <w:rPr>
          <w:rFonts w:hint="eastAsia" w:ascii="宋体" w:hAnsi="宋体" w:cs="宋体"/>
          <w:color w:val="auto"/>
          <w:sz w:val="24"/>
        </w:rPr>
        <w:t>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widowControl/>
        <w:adjustRightInd/>
        <w:jc w:val="left"/>
        <w:rPr>
          <w:rFonts w:ascii="宋体" w:hAnsi="宋体" w:cs="宋体"/>
          <w:b/>
          <w:color w:val="auto"/>
          <w:sz w:val="36"/>
          <w:szCs w:val="20"/>
        </w:rPr>
      </w:pPr>
      <w:r>
        <w:rPr>
          <w:rFonts w:ascii="宋体" w:hAnsi="宋体" w:cs="宋体"/>
          <w:b/>
          <w:color w:val="auto"/>
          <w:sz w:val="36"/>
          <w:szCs w:val="20"/>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3"/>
        <w:tblW w:w="904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事项</w:t>
            </w:r>
          </w:p>
        </w:tc>
        <w:tc>
          <w:tcPr>
            <w:tcW w:w="657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项目属性</w:t>
            </w:r>
          </w:p>
        </w:tc>
        <w:tc>
          <w:tcPr>
            <w:tcW w:w="657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sz w:val="24"/>
              </w:rPr>
            </w:pPr>
            <w:r>
              <w:rPr>
                <w:rFonts w:hint="eastAsia" w:ascii="宋体" w:hAnsi="宋体" w:cs="宋体"/>
                <w:color w:val="auto"/>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57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kern w:val="0"/>
                <w:sz w:val="24"/>
              </w:rPr>
            </w:pPr>
            <w:r>
              <w:rPr>
                <w:rFonts w:hint="eastAsia" w:ascii="宋体" w:hAnsi="宋体" w:cs="宋体"/>
                <w:color w:val="auto"/>
                <w:kern w:val="0"/>
                <w:sz w:val="24"/>
              </w:rPr>
              <w:t>（1）标的：</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富文乡石头埠淳岸（杭州千岛湖）麦芽威士忌酒厂污水管道、泵站及电气安装项目</w:t>
            </w:r>
            <w:r>
              <w:rPr>
                <w:rFonts w:hint="eastAsia" w:ascii="宋体" w:hAnsi="宋体" w:cs="宋体"/>
                <w:color w:val="auto"/>
                <w:kern w:val="0"/>
                <w:sz w:val="24"/>
                <w:u w:val="single"/>
              </w:rPr>
              <w:t xml:space="preserve"> </w:t>
            </w:r>
            <w:r>
              <w:rPr>
                <w:rFonts w:hint="eastAsia" w:ascii="宋体" w:hAnsi="宋体" w:cs="宋体"/>
                <w:color w:val="auto"/>
                <w:kern w:val="0"/>
                <w:sz w:val="24"/>
              </w:rPr>
              <w:t>，属于</w:t>
            </w:r>
            <w:r>
              <w:rPr>
                <w:rFonts w:hint="eastAsia" w:ascii="宋体" w:hAnsi="宋体" w:cs="宋体"/>
                <w:color w:val="auto"/>
                <w:kern w:val="0"/>
                <w:sz w:val="24"/>
                <w:u w:val="single"/>
              </w:rPr>
              <w:t xml:space="preserve"> </w:t>
            </w:r>
            <w:r>
              <w:rPr>
                <w:rFonts w:hint="eastAsia" w:ascii="宋体" w:hAnsi="宋体" w:cs="宋体"/>
                <w:color w:val="auto"/>
                <w:kern w:val="0"/>
                <w:sz w:val="24"/>
                <w:u w:val="single"/>
                <w:lang w:eastAsia="zh-CN"/>
              </w:rPr>
              <w:t>建筑业</w:t>
            </w:r>
            <w:r>
              <w:rPr>
                <w:rFonts w:hint="eastAsia" w:ascii="宋体" w:hAnsi="宋体" w:cs="宋体"/>
                <w:color w:val="auto"/>
                <w:kern w:val="0"/>
                <w:sz w:val="24"/>
                <w:u w:val="single"/>
              </w:rPr>
              <w:t xml:space="preserve"> </w:t>
            </w:r>
            <w:r>
              <w:rPr>
                <w:rFonts w:hint="eastAsia" w:ascii="宋体" w:hAnsi="宋体" w:cs="宋体"/>
                <w:color w:val="auto"/>
                <w:kern w:val="0"/>
                <w:sz w:val="24"/>
              </w:rPr>
              <w:t>行业；</w:t>
            </w:r>
          </w:p>
          <w:p>
            <w:pPr>
              <w:pStyle w:val="2"/>
              <w:pageBreakBefore w:val="0"/>
              <w:widowControl w:val="0"/>
              <w:kinsoku/>
              <w:wordWrap/>
              <w:overflowPunct/>
              <w:topLinePunct w:val="0"/>
              <w:autoSpaceDE/>
              <w:autoSpaceDN/>
              <w:bidi w:val="0"/>
              <w:snapToGrid w:val="0"/>
              <w:spacing w:line="240" w:lineRule="auto"/>
              <w:textAlignment w:val="auto"/>
              <w:rPr>
                <w:rFonts w:ascii="宋体" w:hAnsi="宋体" w:eastAsia="宋体" w:cs="宋体"/>
                <w:color w:val="auto"/>
                <w:lang w:val="en-US"/>
              </w:rPr>
            </w:pPr>
            <w:r>
              <w:rPr>
                <w:rFonts w:hint="eastAsia" w:ascii="宋体" w:hAnsi="宋体" w:eastAsia="宋体" w:cs="宋体"/>
                <w:color w:val="auto"/>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是否允许采购进口产品</w:t>
            </w:r>
          </w:p>
        </w:tc>
        <w:tc>
          <w:tcPr>
            <w:tcW w:w="657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采购进口产品。优先采购向我国企业转让技术、与我国企业签订消化吸收再创新方案的供应商的进口产品，详见</w:t>
            </w:r>
            <w:r>
              <w:rPr>
                <w:rFonts w:hint="eastAsia" w:ascii="宋体" w:hAnsi="宋体" w:cs="宋体"/>
                <w:color w:val="auto"/>
                <w:kern w:val="0"/>
                <w:sz w:val="24"/>
                <w:u w:val="single"/>
              </w:rPr>
              <w:t>评分标准</w:t>
            </w:r>
            <w:r>
              <w:rPr>
                <w:rFonts w:hint="eastAsia" w:ascii="宋体" w:hAnsi="宋体" w:cs="宋体"/>
                <w:color w:val="auto"/>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分包</w:t>
            </w:r>
          </w:p>
        </w:tc>
        <w:tc>
          <w:tcPr>
            <w:tcW w:w="657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sz w:val="24"/>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运输</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sz w:val="24"/>
              </w:rPr>
            </w:pP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开标前答疑会或现场考察</w:t>
            </w:r>
          </w:p>
        </w:tc>
        <w:tc>
          <w:tcPr>
            <w:tcW w:w="657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不组织。</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样品提供</w:t>
            </w:r>
          </w:p>
        </w:tc>
        <w:tc>
          <w:tcPr>
            <w:tcW w:w="657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不要求提供。</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B要求提供（未提供样品或提供样品不满足采购需求实质性条件的供应商，投标无效）：</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pageBreakBefore w:val="0"/>
              <w:widowControl w:val="0"/>
              <w:kinsoku/>
              <w:wordWrap/>
              <w:overflowPunct/>
              <w:topLinePunct w:val="0"/>
              <w:autoSpaceDE/>
              <w:autoSpaceDN/>
              <w:bidi w:val="0"/>
              <w:snapToGrid w:val="0"/>
              <w:spacing w:line="240" w:lineRule="auto"/>
              <w:textAlignment w:val="auto"/>
              <w:rPr>
                <w:rFonts w:ascii="宋体" w:hAnsi="宋体" w:cs="宋体"/>
                <w:snapToGrid w:val="0"/>
                <w:color w:val="auto"/>
                <w:kern w:val="28"/>
                <w:sz w:val="24"/>
              </w:rPr>
            </w:pPr>
            <w:r>
              <w:rPr>
                <w:rFonts w:hint="eastAsia" w:ascii="宋体" w:hAnsi="宋体" w:cs="宋体"/>
                <w:color w:val="auto"/>
                <w:kern w:val="0"/>
                <w:sz w:val="24"/>
              </w:rPr>
              <w:t>（3）样品的评审方法以及评审标准</w:t>
            </w:r>
            <w:r>
              <w:rPr>
                <w:rFonts w:hint="eastAsia" w:ascii="宋体" w:hAnsi="宋体" w:cs="宋体"/>
                <w:snapToGrid w:val="0"/>
                <w:color w:val="auto"/>
                <w:kern w:val="28"/>
                <w:sz w:val="24"/>
              </w:rPr>
              <w:t>：</w:t>
            </w:r>
          </w:p>
          <w:p>
            <w:pPr>
              <w:pageBreakBefore w:val="0"/>
              <w:widowControl w:val="0"/>
              <w:kinsoku/>
              <w:wordWrap/>
              <w:overflowPunct/>
              <w:topLinePunct w:val="0"/>
              <w:autoSpaceDE/>
              <w:autoSpaceDN/>
              <w:bidi w:val="0"/>
              <w:snapToGrid w:val="0"/>
              <w:spacing w:line="240" w:lineRule="auto"/>
              <w:ind w:firstLine="240" w:firstLineChars="100"/>
              <w:textAlignment w:val="auto"/>
              <w:rPr>
                <w:rFonts w:ascii="宋体" w:hAnsi="宋体" w:cs="宋体"/>
                <w:color w:val="auto"/>
                <w:sz w:val="24"/>
              </w:rPr>
            </w:pPr>
            <w:sdt>
              <w:sdtPr>
                <w:rPr>
                  <w:rFonts w:hint="eastAsia" w:ascii="宋体" w:hAnsi="宋体" w:cs="宋体"/>
                  <w:color w:val="auto"/>
                  <w:kern w:val="0"/>
                  <w:sz w:val="24"/>
                </w:rPr>
                <w:id w:val="-1350092240"/>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样品分未超过价格分的50%；</w:t>
            </w:r>
          </w:p>
          <w:p>
            <w:pPr>
              <w:pageBreakBefore w:val="0"/>
              <w:widowControl w:val="0"/>
              <w:kinsoku/>
              <w:wordWrap/>
              <w:overflowPunct/>
              <w:topLinePunct w:val="0"/>
              <w:autoSpaceDE/>
              <w:autoSpaceDN/>
              <w:bidi w:val="0"/>
              <w:snapToGrid w:val="0"/>
              <w:spacing w:line="240" w:lineRule="auto"/>
              <w:ind w:firstLine="240" w:firstLineChars="100"/>
              <w:textAlignment w:val="auto"/>
              <w:rPr>
                <w:rFonts w:ascii="宋体" w:hAnsi="宋体" w:cs="宋体"/>
                <w:color w:val="auto"/>
                <w:kern w:val="0"/>
                <w:sz w:val="24"/>
              </w:rPr>
            </w:pPr>
            <w:sdt>
              <w:sdtPr>
                <w:rPr>
                  <w:rFonts w:hint="eastAsia" w:ascii="宋体" w:hAnsi="宋体" w:cs="宋体"/>
                  <w:color w:val="auto"/>
                  <w:kern w:val="0"/>
                  <w:sz w:val="24"/>
                </w:rPr>
                <w:id w:val="-148554041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样品分超过价格分的50%，理由</w:t>
            </w:r>
            <w:r>
              <w:rPr>
                <w:rFonts w:hint="eastAsia" w:ascii="宋体" w:hAnsi="宋体" w:cs="宋体"/>
                <w:color w:val="auto"/>
                <w:sz w:val="24"/>
                <w:u w:val="single"/>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pageBreakBefore w:val="0"/>
              <w:widowControl w:val="0"/>
              <w:kinsoku/>
              <w:wordWrap/>
              <w:overflowPunct/>
              <w:topLinePunct w:val="0"/>
              <w:autoSpaceDE/>
              <w:autoSpaceDN/>
              <w:bidi w:val="0"/>
              <w:snapToGrid w:val="0"/>
              <w:spacing w:line="240" w:lineRule="auto"/>
              <w:ind w:firstLine="240" w:firstLineChars="100"/>
              <w:textAlignment w:val="auto"/>
              <w:rPr>
                <w:rFonts w:ascii="宋体" w:hAnsi="宋体" w:cs="宋体"/>
                <w:color w:val="auto"/>
                <w:kern w:val="0"/>
                <w:sz w:val="24"/>
              </w:rPr>
            </w:pPr>
            <w:r>
              <w:rPr>
                <w:rFonts w:hint="eastAsia" w:ascii="宋体" w:hAnsi="宋体" w:cs="宋体"/>
                <w:snapToGrid w:val="0"/>
                <w:color w:val="auto"/>
                <w:kern w:val="28"/>
                <w:sz w:val="24"/>
              </w:rPr>
              <w:t>详见招标文件第四部分</w:t>
            </w:r>
            <w:r>
              <w:rPr>
                <w:rFonts w:hint="eastAsia" w:ascii="宋体" w:hAnsi="宋体" w:cs="宋体"/>
                <w:color w:val="auto"/>
                <w:sz w:val="24"/>
                <w:u w:val="single"/>
              </w:rPr>
              <w:t>评标办法</w:t>
            </w:r>
            <w:r>
              <w:rPr>
                <w:rFonts w:hint="eastAsia" w:ascii="宋体" w:hAnsi="宋体" w:cs="宋体"/>
                <w:color w:val="auto"/>
                <w:kern w:val="0"/>
                <w:sz w:val="24"/>
              </w:rPr>
              <w:t xml:space="preserve">。 </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sz w:val="24"/>
              </w:rPr>
            </w:pPr>
            <w:r>
              <w:rPr>
                <w:rFonts w:hint="eastAsia" w:ascii="宋体" w:hAnsi="宋体" w:cs="宋体"/>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pageBreakBefore w:val="0"/>
              <w:widowControl w:val="0"/>
              <w:kinsoku/>
              <w:wordWrap/>
              <w:overflowPunct/>
              <w:topLinePunct w:val="0"/>
              <w:autoSpaceDE/>
              <w:autoSpaceDN/>
              <w:bidi w:val="0"/>
              <w:snapToGrid w:val="0"/>
              <w:spacing w:line="240" w:lineRule="auto"/>
              <w:textAlignment w:val="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Cs/>
                <w:color w:val="auto"/>
                <w:sz w:val="24"/>
              </w:rPr>
            </w:pPr>
            <w:r>
              <w:rPr>
                <w:rFonts w:hint="eastAsia" w:ascii="宋体" w:hAnsi="宋体" w:cs="宋体"/>
                <w:b/>
                <w:color w:val="auto"/>
                <w:sz w:val="24"/>
              </w:rPr>
              <w:t>方案讲解演示</w:t>
            </w:r>
          </w:p>
        </w:tc>
        <w:tc>
          <w:tcPr>
            <w:tcW w:w="657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eastAsia="MS Gothic" w:cs="宋体"/>
                    <w:color w:val="auto"/>
                    <w:kern w:val="0"/>
                    <w:sz w:val="24"/>
                  </w:rPr>
                  <w:t></w:t>
                </w:r>
              </w:sdtContent>
            </w:sdt>
            <w:r>
              <w:rPr>
                <w:rFonts w:hint="eastAsia" w:ascii="宋体" w:hAnsi="宋体" w:cs="宋体"/>
                <w:color w:val="auto"/>
                <w:kern w:val="0"/>
                <w:sz w:val="24"/>
              </w:rPr>
              <w:t>A</w:t>
            </w:r>
            <w:r>
              <w:rPr>
                <w:rFonts w:hint="eastAsia" w:ascii="宋体" w:hAnsi="宋体" w:cs="宋体"/>
                <w:color w:val="auto"/>
                <w:sz w:val="24"/>
              </w:rPr>
              <w:t>不组织。</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kern w:val="0"/>
                <w:sz w:val="24"/>
              </w:rPr>
            </w:pPr>
            <w:r>
              <w:rPr>
                <w:rFonts w:hint="eastAsia" w:ascii="宋体" w:hAnsi="宋体" w:cs="宋体"/>
                <w:color w:val="auto"/>
                <w:kern w:val="0"/>
                <w:sz w:val="24"/>
              </w:rPr>
              <w:t>（2）方案讲解演示可选择以下其中一种方式：</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kern w:val="0"/>
                <w:sz w:val="24"/>
              </w:rPr>
            </w:pPr>
            <w:r>
              <w:rPr>
                <w:rFonts w:hint="eastAsia" w:ascii="宋体" w:hAnsi="宋体" w:cs="宋体"/>
                <w:color w:val="auto"/>
                <w:kern w:val="0"/>
                <w:sz w:val="24"/>
              </w:rPr>
              <w:t>方式一：政采云平台在线讲解演示。政采云平台在线讲解需投标人根据政采云平台操作要求做好准备工作，提前完善软硬件配置环境。</w:t>
            </w:r>
          </w:p>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kern w:val="0"/>
                <w:sz w:val="24"/>
              </w:rPr>
            </w:pPr>
            <w:r>
              <w:rPr>
                <w:rFonts w:hint="eastAsia" w:ascii="宋体" w:hAnsi="宋体" w:cs="宋体"/>
                <w:color w:val="auto"/>
                <w:kern w:val="0"/>
                <w:sz w:val="24"/>
              </w:rPr>
              <w:t>方式二：交易中心现场讲解演示。现场讲解地点为</w:t>
            </w:r>
            <w:r>
              <w:rPr>
                <w:rFonts w:hint="eastAsia" w:ascii="宋体" w:hAnsi="宋体" w:cs="宋体"/>
                <w:color w:val="auto"/>
                <w:sz w:val="24"/>
                <w:u w:val="single"/>
                <w:lang w:eastAsia="zh-CN"/>
              </w:rPr>
              <w:t>浙江建安工程管理有限公司</w:t>
            </w:r>
            <w:r>
              <w:rPr>
                <w:rFonts w:hint="eastAsia" w:ascii="宋体" w:hAnsi="宋体" w:cs="宋体"/>
                <w:color w:val="auto"/>
                <w:sz w:val="24"/>
                <w:u w:val="single"/>
                <w:lang w:val="en-US" w:eastAsia="zh-CN"/>
              </w:rPr>
              <w:t>3</w:t>
            </w:r>
            <w:r>
              <w:rPr>
                <w:rFonts w:hint="eastAsia" w:ascii="宋体" w:hAnsi="宋体" w:cs="宋体"/>
                <w:color w:val="auto"/>
                <w:sz w:val="24"/>
                <w:u w:val="single"/>
              </w:rPr>
              <w:t>楼答疑室（讲标室）</w:t>
            </w:r>
            <w:r>
              <w:rPr>
                <w:rFonts w:hint="eastAsia" w:ascii="宋体" w:hAnsi="宋体" w:cs="宋体"/>
                <w:color w:val="auto"/>
                <w:kern w:val="0"/>
                <w:sz w:val="24"/>
              </w:rPr>
              <w:t>，讲解演示所用电脑等设备由投标人自备。现场讲解演示人员进场时提供讲解人员名单（加盖公章或授权代表签名）及身份证明，否则不得讲解演示。</w:t>
            </w:r>
          </w:p>
          <w:p>
            <w:pPr>
              <w:pageBreakBefore w:val="0"/>
              <w:widowControl w:val="0"/>
              <w:kinsoku/>
              <w:wordWrap/>
              <w:overflowPunct/>
              <w:topLinePunct w:val="0"/>
              <w:autoSpaceDE/>
              <w:autoSpaceDN/>
              <w:bidi w:val="0"/>
              <w:snapToGrid w:val="0"/>
              <w:spacing w:line="240" w:lineRule="auto"/>
              <w:textAlignment w:val="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vMerge w:val="restart"/>
            <w:tcBorders>
              <w:top w:val="single" w:color="auto" w:sz="4" w:space="0"/>
              <w:left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投标人应当提供的资格、资信证明文件</w:t>
            </w:r>
          </w:p>
        </w:tc>
        <w:tc>
          <w:tcPr>
            <w:tcW w:w="6577" w:type="dxa"/>
            <w:tcBorders>
              <w:top w:val="single" w:color="000000" w:sz="8" w:space="0"/>
              <w:left w:val="single" w:color="000000" w:sz="2" w:space="0"/>
              <w:bottom w:val="single" w:color="auto" w:sz="4"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sz w:val="24"/>
              </w:rPr>
            </w:pPr>
            <w:r>
              <w:rPr>
                <w:rFonts w:hint="eastAsia" w:ascii="宋体" w:hAnsi="宋体" w:cs="宋体"/>
                <w:color w:val="auto"/>
                <w:sz w:val="24"/>
              </w:rPr>
              <w:t>（1）资格证明文件：见招标文件第二部分11.1。</w:t>
            </w:r>
          </w:p>
          <w:p>
            <w:pPr>
              <w:pageBreakBefore w:val="0"/>
              <w:widowControl w:val="0"/>
              <w:kinsoku/>
              <w:wordWrap/>
              <w:overflowPunct/>
              <w:topLinePunct w:val="0"/>
              <w:autoSpaceDE/>
              <w:autoSpaceDN/>
              <w:bidi w:val="0"/>
              <w:snapToGrid w:val="0"/>
              <w:spacing w:line="240" w:lineRule="auto"/>
              <w:textAlignment w:val="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vMerge w:val="continue"/>
            <w:tcBorders>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p>
        </w:tc>
        <w:tc>
          <w:tcPr>
            <w:tcW w:w="6577" w:type="dxa"/>
            <w:tcBorders>
              <w:top w:val="single" w:color="auto" w:sz="4"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节能产品、环境标志产品</w:t>
            </w:r>
          </w:p>
        </w:tc>
        <w:tc>
          <w:tcPr>
            <w:tcW w:w="657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textAlignment w:val="auto"/>
              <w:rPr>
                <w:rFonts w:ascii="宋体" w:hAnsi="宋体" w:cs="宋体"/>
                <w:color w:val="auto"/>
              </w:rPr>
            </w:pPr>
            <w:r>
              <w:rPr>
                <w:rFonts w:hint="eastAsia" w:ascii="宋体" w:hAnsi="宋体" w:cs="宋体"/>
                <w:color w:val="auto"/>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报价要求</w:t>
            </w:r>
          </w:p>
        </w:tc>
        <w:tc>
          <w:tcPr>
            <w:tcW w:w="6577" w:type="dxa"/>
            <w:tcBorders>
              <w:top w:val="single" w:color="000000" w:sz="8" w:space="0"/>
              <w:left w:val="single" w:color="000000" w:sz="2" w:space="0"/>
              <w:bottom w:val="single" w:color="000000" w:sz="8"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left"/>
              <w:textAlignment w:val="auto"/>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投标文件中价格全部采用人民币报价。招标文件未列明，而投标人认为必需的费用也需列入报价。</w:t>
            </w:r>
            <w:r>
              <w:rPr>
                <w:rFonts w:hint="eastAsia" w:ascii="宋体" w:hAnsi="宋体" w:cs="宋体"/>
                <w:b/>
                <w:color w:val="auto"/>
                <w:kern w:val="0"/>
                <w:sz w:val="24"/>
                <w:lang w:val="zh-CN"/>
              </w:rPr>
              <w:t>提醒：验收时检测费用由采购人承担，不包含在投标总价中。</w:t>
            </w:r>
          </w:p>
          <w:p>
            <w:pPr>
              <w:pageBreakBefore w:val="0"/>
              <w:widowControl w:val="0"/>
              <w:kinsoku/>
              <w:wordWrap/>
              <w:overflowPunct/>
              <w:topLinePunct w:val="0"/>
              <w:autoSpaceDE/>
              <w:autoSpaceDN/>
              <w:bidi w:val="0"/>
              <w:snapToGrid w:val="0"/>
              <w:spacing w:line="240" w:lineRule="auto"/>
              <w:jc w:val="left"/>
              <w:textAlignment w:val="auto"/>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pageBreakBefore w:val="0"/>
              <w:widowControl w:val="0"/>
              <w:kinsoku/>
              <w:wordWrap/>
              <w:overflowPunct/>
              <w:topLinePunct w:val="0"/>
              <w:autoSpaceDE/>
              <w:autoSpaceDN/>
              <w:bidi w:val="0"/>
              <w:snapToGrid w:val="0"/>
              <w:spacing w:line="240" w:lineRule="auto"/>
              <w:ind w:firstLine="241" w:firstLineChars="100"/>
              <w:jc w:val="left"/>
              <w:textAlignment w:val="auto"/>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pageBreakBefore w:val="0"/>
              <w:widowControl w:val="0"/>
              <w:kinsoku/>
              <w:wordWrap/>
              <w:overflowPunct/>
              <w:topLinePunct w:val="0"/>
              <w:autoSpaceDE/>
              <w:autoSpaceDN/>
              <w:bidi w:val="0"/>
              <w:snapToGrid w:val="0"/>
              <w:spacing w:line="240" w:lineRule="auto"/>
              <w:ind w:firstLine="241" w:firstLineChars="100"/>
              <w:jc w:val="left"/>
              <w:textAlignment w:val="auto"/>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pageBreakBefore w:val="0"/>
              <w:widowControl w:val="0"/>
              <w:kinsoku/>
              <w:wordWrap/>
              <w:overflowPunct/>
              <w:topLinePunct w:val="0"/>
              <w:autoSpaceDE/>
              <w:autoSpaceDN/>
              <w:bidi w:val="0"/>
              <w:snapToGrid w:val="0"/>
              <w:spacing w:line="240" w:lineRule="auto"/>
              <w:ind w:firstLine="241" w:firstLineChars="100"/>
              <w:textAlignment w:val="auto"/>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pageBreakBefore w:val="0"/>
              <w:widowControl w:val="0"/>
              <w:kinsoku/>
              <w:wordWrap/>
              <w:overflowPunct/>
              <w:topLinePunct w:val="0"/>
              <w:autoSpaceDE/>
              <w:autoSpaceDN/>
              <w:bidi w:val="0"/>
              <w:snapToGrid w:val="0"/>
              <w:spacing w:line="240" w:lineRule="auto"/>
              <w:ind w:firstLine="241" w:firstLineChars="100"/>
              <w:textAlignment w:val="auto"/>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000000" w:sz="8" w:space="0"/>
              <w:right w:val="single" w:color="000000" w:sz="2"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中小企业信用融资</w:t>
            </w:r>
          </w:p>
        </w:tc>
        <w:tc>
          <w:tcPr>
            <w:tcW w:w="6577" w:type="dxa"/>
            <w:tcBorders>
              <w:top w:val="single" w:color="000000" w:sz="8" w:space="0"/>
              <w:left w:val="single" w:color="000000" w:sz="2"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ind w:firstLine="480" w:firstLineChars="200"/>
              <w:textAlignment w:val="auto"/>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auto" w:sz="4" w:space="0"/>
              <w:right w:val="single" w:color="000000" w:sz="8"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577" w:type="dxa"/>
            <w:tcBorders>
              <w:top w:val="single" w:color="000000" w:sz="8" w:space="0"/>
              <w:left w:val="single" w:color="000000" w:sz="2" w:space="0"/>
              <w:bottom w:val="single" w:color="auto" w:sz="4" w:space="0"/>
              <w:right w:val="single" w:color="000000" w:sz="8" w:space="0"/>
            </w:tcBorders>
            <w:vAlign w:val="center"/>
          </w:tcPr>
          <w:p>
            <w:pPr>
              <w:pStyle w:val="33"/>
              <w:pageBreakBefore w:val="0"/>
              <w:widowControl w:val="0"/>
              <w:kinsoku/>
              <w:wordWrap/>
              <w:overflowPunct/>
              <w:topLinePunct w:val="0"/>
              <w:autoSpaceDE/>
              <w:autoSpaceDN/>
              <w:bidi w:val="0"/>
              <w:snapToGrid w:val="0"/>
              <w:spacing w:line="240" w:lineRule="auto"/>
              <w:textAlignment w:val="auto"/>
              <w:rPr>
                <w:rFonts w:hAnsi="宋体" w:cs="宋体"/>
                <w:color w:val="auto"/>
                <w:kern w:val="28"/>
                <w:sz w:val="24"/>
              </w:rPr>
            </w:pPr>
            <w:r>
              <w:rPr>
                <w:rFonts w:hint="eastAsia" w:hAnsi="宋体" w:cs="宋体"/>
                <w:color w:val="auto"/>
                <w:kern w:val="28"/>
                <w:sz w:val="24"/>
                <w:szCs w:val="24"/>
              </w:rPr>
              <w:t>备份投标文件送达地点：按政采云平台项目采购-电子招投标操作指南制作备份投标文件（后缀名为.bfbs），在投标截止时间前以电子邮件形式递交至(</w:t>
            </w:r>
            <w:r>
              <w:rPr>
                <w:color w:val="auto"/>
              </w:rPr>
              <w:fldChar w:fldCharType="begin"/>
            </w:r>
            <w:r>
              <w:rPr>
                <w:color w:val="auto"/>
              </w:rPr>
              <w:instrText xml:space="preserve"> HYPERLINK "mailto:2990430955@qq.com" </w:instrText>
            </w:r>
            <w:r>
              <w:rPr>
                <w:color w:val="auto"/>
              </w:rPr>
              <w:fldChar w:fldCharType="separate"/>
            </w:r>
            <w:r>
              <w:rPr>
                <w:rFonts w:hint="eastAsia" w:hAnsi="宋体" w:cs="宋体"/>
                <w:color w:val="auto"/>
                <w:kern w:val="28"/>
                <w:sz w:val="24"/>
                <w:szCs w:val="24"/>
              </w:rPr>
              <w:t>1057680823@qq.com</w:t>
            </w:r>
            <w:r>
              <w:rPr>
                <w:rFonts w:hint="eastAsia" w:hAnsi="宋体" w:cs="宋体"/>
                <w:color w:val="auto"/>
                <w:kern w:val="28"/>
                <w:sz w:val="24"/>
                <w:szCs w:val="24"/>
              </w:rPr>
              <w:fldChar w:fldCharType="end"/>
            </w:r>
            <w:r>
              <w:rPr>
                <w:rFonts w:hint="eastAsia" w:hAnsi="宋体" w:cs="宋体"/>
                <w:color w:val="auto"/>
                <w:kern w:val="28"/>
                <w:sz w:val="24"/>
                <w:szCs w:val="24"/>
              </w:rPr>
              <w:t>)；备份投标文件签收人员联系电话：</w:t>
            </w:r>
            <w:r>
              <w:rPr>
                <w:rFonts w:hint="eastAsia" w:hAnsi="宋体" w:cs="宋体"/>
                <w:color w:val="auto"/>
                <w:kern w:val="28"/>
                <w:sz w:val="24"/>
                <w:szCs w:val="24"/>
                <w:u w:val="single"/>
                <w:lang w:eastAsia="zh-CN"/>
              </w:rPr>
              <w:t>0571-65066887</w:t>
            </w:r>
            <w:r>
              <w:rPr>
                <w:rFonts w:hint="eastAsia" w:hAnsi="宋体" w:cs="宋体"/>
                <w:color w:val="auto"/>
                <w:sz w:val="24"/>
                <w:szCs w:val="24"/>
              </w:rPr>
              <w:t>。</w:t>
            </w:r>
            <w:r>
              <w:rPr>
                <w:rFonts w:hint="eastAsia" w:hAnsi="宋体" w:cs="宋体"/>
                <w:b/>
                <w:color w:val="auto"/>
                <w:sz w:val="24"/>
                <w:szCs w:val="24"/>
              </w:rPr>
              <w:t>采购人、采购代理机构不强制或变相强制投标人提交备份投标文件。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5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textAlignment w:val="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p>
        </w:tc>
        <w:tc>
          <w:tcPr>
            <w:tcW w:w="65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textAlignment w:val="auto"/>
              <w:rPr>
                <w:rFonts w:ascii="宋体" w:hAnsi="宋体" w:cs="宋体"/>
                <w:b w:val="0"/>
                <w:bCs w:val="0"/>
                <w:snapToGrid w:val="0"/>
                <w:color w:val="auto"/>
                <w:kern w:val="28"/>
                <w:sz w:val="24"/>
              </w:rPr>
            </w:pPr>
            <w:sdt>
              <w:sdtPr>
                <w:rPr>
                  <w:rFonts w:hint="eastAsia" w:cs="Arial" w:asciiTheme="minorEastAsia" w:hAnsiTheme="minorEastAsia" w:eastAsiaTheme="minorEastAsia"/>
                  <w:b w:val="0"/>
                  <w:bCs w:val="0"/>
                  <w:color w:val="auto"/>
                  <w:kern w:val="0"/>
                  <w:sz w:val="24"/>
                </w:rPr>
                <w:id w:val="-1816336663"/>
                <w14:checkbox>
                  <w14:checked w14:val="1"/>
                  <w14:checkedState w14:val="00FE" w14:font="Wingdings"/>
                  <w14:uncheckedState w14:val="2610" w14:font="MS Gothic"/>
                </w14:checkbox>
              </w:sdtPr>
              <w:sdtEndPr>
                <w:rPr>
                  <w:rFonts w:hint="eastAsia" w:cs="Arial" w:asciiTheme="minorEastAsia" w:hAnsiTheme="minorEastAsia" w:eastAsiaTheme="minorEastAsia"/>
                  <w:b w:val="0"/>
                  <w:bCs w:val="0"/>
                  <w:color w:val="auto"/>
                  <w:kern w:val="0"/>
                  <w:sz w:val="24"/>
                </w:rPr>
              </w:sdtEndPr>
              <w:sdtContent>
                <w:r>
                  <w:rPr>
                    <w:rFonts w:hint="eastAsia" w:ascii="Wingdings" w:hAnsi="Wingdings" w:eastAsia="MS Mincho" w:cs="MS Mincho"/>
                    <w:b w:val="0"/>
                    <w:bCs w:val="0"/>
                    <w:color w:val="auto"/>
                    <w:kern w:val="0"/>
                    <w:sz w:val="24"/>
                    <w:szCs w:val="24"/>
                    <w:lang w:val="en-US" w:eastAsia="zh-CN" w:bidi="ar-SA"/>
                  </w:rPr>
                  <w:t>þ</w:t>
                </w:r>
              </w:sdtContent>
            </w:sdt>
            <w:r>
              <w:rPr>
                <w:rFonts w:hint="eastAsia" w:ascii="宋体" w:hAnsi="宋体" w:cs="宋体"/>
                <w:b w:val="0"/>
                <w:bCs w:val="0"/>
                <w:snapToGrid w:val="0"/>
                <w:color w:val="auto"/>
                <w:kern w:val="28"/>
                <w:sz w:val="24"/>
              </w:rPr>
              <w:t>联合体投标的，联合体各方均需按招标文件第四部分评标标准要求提供资信证明文件，否则视为不符合相关要求。招标文件第四部分评分标准有其他规定的，从其规定。</w:t>
            </w:r>
          </w:p>
          <w:p>
            <w:pPr>
              <w:pageBreakBefore w:val="0"/>
              <w:widowControl w:val="0"/>
              <w:kinsoku/>
              <w:wordWrap/>
              <w:overflowPunct/>
              <w:topLinePunct w:val="0"/>
              <w:autoSpaceDE/>
              <w:autoSpaceDN/>
              <w:bidi w:val="0"/>
              <w:snapToGrid w:val="0"/>
              <w:spacing w:line="240" w:lineRule="auto"/>
              <w:textAlignment w:val="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232311894"/>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Gothic" w:hAnsi="MS Gothic" w:cs="Arial" w:eastAsiaTheme="minorEastAsia"/>
                    <w:color w:val="auto"/>
                    <w:kern w:val="0"/>
                    <w:sz w:val="24"/>
                    <w:szCs w:val="24"/>
                    <w:lang w:val="en-US" w:eastAsia="zh-CN" w:bidi="ar-SA"/>
                  </w:rPr>
                  <w:t>☐</w:t>
                </w:r>
              </w:sdtContent>
            </w:sdt>
            <w:r>
              <w:rPr>
                <w:rFonts w:hint="eastAsia" w:ascii="宋体" w:hAnsi="宋体" w:cs="宋体"/>
                <w:snapToGrid w:val="0"/>
                <w:color w:val="auto"/>
                <w:kern w:val="28"/>
                <w:sz w:val="24"/>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color w:val="auto"/>
                <w:sz w:val="24"/>
              </w:rPr>
            </w:pPr>
          </w:p>
        </w:tc>
        <w:tc>
          <w:tcPr>
            <w:tcW w:w="1843" w:type="dxa"/>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ascii="宋体" w:hAnsi="宋体" w:cs="宋体"/>
                <w:b/>
                <w:color w:val="auto"/>
                <w:sz w:val="24"/>
              </w:rPr>
            </w:pPr>
          </w:p>
        </w:tc>
        <w:tc>
          <w:tcPr>
            <w:tcW w:w="65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textAlignment w:val="auto"/>
              <w:rPr>
                <w:rFonts w:cs="Arial" w:asciiTheme="minorEastAsia" w:hAnsiTheme="minorEastAsia" w:eastAsiaTheme="minorEastAsia"/>
                <w:color w:val="auto"/>
                <w:kern w:val="0"/>
                <w:sz w:val="24"/>
              </w:rPr>
            </w:pPr>
            <w:r>
              <w:rPr>
                <w:rFonts w:hint="eastAsia" w:cs="Arial" w:asciiTheme="minorEastAsia" w:hAnsiTheme="minorEastAsia" w:eastAsiaTheme="minorEastAsia"/>
                <w:color w:val="auto"/>
                <w:kern w:val="0"/>
                <w:sz w:val="24"/>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hint="default" w:ascii="宋体" w:hAnsi="宋体" w:eastAsia="宋体" w:cs="宋体"/>
                <w:color w:val="auto"/>
                <w:sz w:val="24"/>
                <w:lang w:val="en-US" w:eastAsia="zh-CN"/>
              </w:rPr>
            </w:pPr>
            <w:r>
              <w:rPr>
                <w:rFonts w:hint="eastAsia" w:ascii="宋体" w:hAnsi="宋体" w:cs="宋体"/>
                <w:color w:val="auto"/>
                <w:sz w:val="24"/>
                <w:lang w:val="en-US" w:eastAsia="zh-CN"/>
              </w:rPr>
              <w:t>14</w:t>
            </w:r>
          </w:p>
        </w:tc>
        <w:tc>
          <w:tcPr>
            <w:tcW w:w="1843"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center"/>
              <w:textAlignment w:val="auto"/>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sz w:val="24"/>
                <w:highlight w:val="none"/>
              </w:rPr>
              <w:t>中标服务费费用</w:t>
            </w:r>
          </w:p>
        </w:tc>
        <w:tc>
          <w:tcPr>
            <w:tcW w:w="6577" w:type="dxa"/>
            <w:tcBorders>
              <w:top w:val="single" w:color="auto" w:sz="4" w:space="0"/>
              <w:left w:val="single" w:color="auto" w:sz="4" w:space="0"/>
              <w:bottom w:val="single" w:color="auto" w:sz="4" w:space="0"/>
              <w:right w:val="single" w:color="auto" w:sz="4" w:space="0"/>
            </w:tcBorders>
            <w:vAlign w:val="center"/>
          </w:tcPr>
          <w:p>
            <w:pPr>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中标服务费：</w:t>
            </w:r>
          </w:p>
          <w:p>
            <w:pPr>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w:t>
            </w:r>
            <w:r>
              <w:rPr>
                <w:rFonts w:hint="eastAsia" w:ascii="宋体" w:hAnsi="宋体" w:cs="宋体"/>
                <w:color w:val="auto"/>
                <w:sz w:val="24"/>
                <w:highlight w:val="none"/>
                <w:lang w:val="en-US" w:eastAsia="zh-CN"/>
              </w:rPr>
              <w:t>中标</w:t>
            </w:r>
            <w:r>
              <w:rPr>
                <w:rFonts w:hint="eastAsia" w:ascii="宋体" w:hAnsi="宋体" w:eastAsia="宋体" w:cs="宋体"/>
                <w:color w:val="auto"/>
                <w:sz w:val="24"/>
                <w:highlight w:val="none"/>
              </w:rPr>
              <w:t>服务费</w:t>
            </w:r>
            <w:r>
              <w:rPr>
                <w:rStyle w:val="963"/>
                <w:rFonts w:hint="eastAsia" w:ascii="宋体" w:hAnsi="宋体"/>
                <w:color w:val="auto"/>
                <w:sz w:val="24"/>
                <w:highlight w:val="none"/>
                <w:lang w:val="en-US" w:eastAsia="zh-CN"/>
              </w:rPr>
              <w:t>根据</w:t>
            </w:r>
            <w:r>
              <w:rPr>
                <w:rStyle w:val="963"/>
                <w:rFonts w:hint="eastAsia" w:ascii="宋体" w:hAnsi="宋体"/>
                <w:color w:val="auto"/>
                <w:sz w:val="24"/>
                <w:highlight w:val="none"/>
              </w:rPr>
              <w:t>国家发改委的计价格</w:t>
            </w:r>
            <w:r>
              <w:rPr>
                <w:rStyle w:val="963"/>
                <w:rFonts w:ascii="宋体" w:hAnsi="宋体"/>
                <w:color w:val="auto"/>
                <w:sz w:val="24"/>
                <w:highlight w:val="none"/>
              </w:rPr>
              <w:t>[2002]1980</w:t>
            </w:r>
            <w:r>
              <w:rPr>
                <w:rStyle w:val="963"/>
                <w:rFonts w:hint="eastAsia" w:ascii="宋体" w:hAnsi="宋体"/>
                <w:color w:val="auto"/>
                <w:sz w:val="24"/>
                <w:highlight w:val="none"/>
              </w:rPr>
              <w:t>号文及发改办价格</w:t>
            </w:r>
            <w:r>
              <w:rPr>
                <w:rStyle w:val="963"/>
                <w:rFonts w:ascii="宋体" w:hAnsi="宋体"/>
                <w:color w:val="auto"/>
                <w:sz w:val="24"/>
                <w:highlight w:val="none"/>
              </w:rPr>
              <w:t>[2003]857</w:t>
            </w:r>
            <w:r>
              <w:rPr>
                <w:rStyle w:val="963"/>
                <w:rFonts w:hint="eastAsia" w:ascii="宋体" w:hAnsi="宋体"/>
                <w:color w:val="auto"/>
                <w:sz w:val="24"/>
                <w:highlight w:val="none"/>
              </w:rPr>
              <w:t>号文件的规定向中标单位收取</w:t>
            </w:r>
            <w:r>
              <w:rPr>
                <w:rFonts w:hint="eastAsia" w:ascii="宋体" w:hAnsi="宋体" w:eastAsia="宋体" w:cs="宋体"/>
                <w:color w:val="auto"/>
                <w:sz w:val="24"/>
                <w:highlight w:val="none"/>
              </w:rPr>
              <w:t>，专家评审费按实际发生由采购单位支付。</w:t>
            </w:r>
          </w:p>
          <w:p>
            <w:pPr>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收款单位（户名）:浙江建安工程管理有限公司淳安第二分公司</w:t>
            </w:r>
          </w:p>
          <w:p>
            <w:pPr>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开户银行：中国农业银行淳安县支行</w:t>
            </w:r>
          </w:p>
          <w:p>
            <w:pPr>
              <w:pageBreakBefore w:val="0"/>
              <w:widowControl w:val="0"/>
              <w:kinsoku/>
              <w:wordWrap/>
              <w:overflowPunct/>
              <w:topLinePunct w:val="0"/>
              <w:autoSpaceDE/>
              <w:autoSpaceDN/>
              <w:bidi w:val="0"/>
              <w:snapToGrid w:val="0"/>
              <w:spacing w:line="240" w:lineRule="auto"/>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bCs/>
                <w:color w:val="auto"/>
                <w:sz w:val="24"/>
                <w:highlight w:val="none"/>
              </w:rPr>
              <w:t>银行账号：19075201040054300</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1" w:name="第三部分"/>
      <w:bookmarkStart w:id="12" w:name="_Toc164416483"/>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“采购机构”系指招标公告中载明的本项目的采购机构。</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2.6“电子交易平台”是指本项目政府采购活动所依托的政府采购云平台（https://www.zcygov.cn/）。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rPr>
        <w:t>20</w:t>
      </w:r>
      <w:r>
        <w:rPr>
          <w:rFonts w:hint="eastAsia" w:ascii="宋体" w:hAnsi="宋体" w:cs="宋体"/>
          <w:color w:val="auto"/>
          <w:sz w:val="24"/>
        </w:rPr>
        <w:t>%的扣除（</w:t>
      </w:r>
      <w:r>
        <w:rPr>
          <w:rFonts w:hint="eastAsia" w:ascii="宋体" w:hAnsi="宋体" w:cs="宋体"/>
          <w:snapToGrid w:val="0"/>
          <w:color w:val="auto"/>
          <w:kern w:val="28"/>
          <w:sz w:val="24"/>
        </w:rPr>
        <w:t>招标文件第四部分</w:t>
      </w:r>
      <w:r>
        <w:rPr>
          <w:rFonts w:hint="eastAsia" w:ascii="宋体" w:hAnsi="宋体" w:cs="宋体"/>
          <w:color w:val="auto"/>
          <w:sz w:val="24"/>
          <w:u w:val="single"/>
        </w:rPr>
        <w:t>评标办分法明确具体的扣除比例，未明确的，</w:t>
      </w:r>
      <w:r>
        <w:rPr>
          <w:rFonts w:hint="eastAsia" w:ascii="宋体" w:hAnsi="宋体" w:cs="宋体"/>
          <w:color w:val="auto"/>
          <w:sz w:val="24"/>
        </w:rPr>
        <w:t>给予</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w:t>
      </w:r>
      <w:r>
        <w:rPr>
          <w:rFonts w:hint="eastAsia" w:ascii="宋体" w:hAnsi="宋体" w:cs="宋体"/>
          <w:snapToGrid w:val="0"/>
          <w:color w:val="auto"/>
          <w:kern w:val="28"/>
          <w:sz w:val="24"/>
        </w:rPr>
        <w:t>招标文件第四部分</w:t>
      </w:r>
      <w:r>
        <w:rPr>
          <w:rFonts w:hint="eastAsia" w:ascii="宋体" w:hAnsi="宋体" w:cs="宋体"/>
          <w:color w:val="auto"/>
          <w:sz w:val="24"/>
          <w:u w:val="single"/>
        </w:rPr>
        <w:t>评标办分法明确具体的扣除比例，未明确的，</w:t>
      </w:r>
      <w:r>
        <w:rPr>
          <w:rFonts w:hint="eastAsia" w:ascii="宋体" w:hAnsi="宋体" w:cs="宋体"/>
          <w:color w:val="auto"/>
          <w:sz w:val="24"/>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240" w:firstLineChars="100"/>
        <w:rPr>
          <w:rFonts w:ascii="宋体" w:hAnsi="宋体" w:cs="宋体"/>
          <w:b/>
          <w:color w:val="auto"/>
          <w:sz w:val="24"/>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ascii="宋体" w:hAnsi="宋体" w:cs="宋体"/>
          <w:b/>
          <w:color w:val="auto"/>
          <w:sz w:val="24"/>
        </w:rPr>
        <w:t>4. 询问、质疑、投诉</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3"/>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3"/>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3"/>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3"/>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3"/>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7"/>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7"/>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7"/>
        <w:shd w:val="clear" w:color="auto" w:fill="FFFFFF"/>
        <w:snapToGrid w:val="0"/>
        <w:spacing w:after="240" w:afterAutospacing="0" w:line="360" w:lineRule="auto"/>
        <w:ind w:firstLine="400"/>
        <w:contextualSpacing/>
        <w:rPr>
          <w:color w:val="auto"/>
        </w:rPr>
      </w:pPr>
      <w:r>
        <w:rPr>
          <w:rFonts w:hint="eastAsia"/>
          <w:color w:val="auto"/>
        </w:rPr>
        <w:t>4.4.1质疑供应商对采购人、采购机构的答复不满意或者采购人、采购机构未在规定的时间内作出答复的，可以在答复期满后十五个工作日内向同级政府采购监督管理部门提出投诉。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7"/>
        <w:shd w:val="clear" w:color="auto" w:fill="FFFFFF"/>
        <w:snapToGrid w:val="0"/>
        <w:spacing w:after="240" w:afterAutospacing="0" w:line="360" w:lineRule="auto"/>
        <w:ind w:firstLine="400"/>
        <w:contextualSpacing/>
        <w:rPr>
          <w:color w:val="auto"/>
        </w:rPr>
      </w:pPr>
      <w:r>
        <w:rPr>
          <w:rFonts w:hint="eastAsia"/>
          <w:color w:val="auto"/>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color w:val="auto"/>
        </w:rPr>
      </w:pPr>
      <w:r>
        <w:rPr>
          <w:rFonts w:hint="eastAsia"/>
          <w:color w:val="auto"/>
        </w:rPr>
        <w:t>4.4.5投诉书范本及制作说明详见附件3。</w:t>
      </w:r>
    </w:p>
    <w:p>
      <w:pPr>
        <w:pStyle w:val="130"/>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3"/>
        <w:spacing w:line="360" w:lineRule="auto"/>
        <w:rPr>
          <w:rFonts w:hAnsi="宋体" w:cs="宋体"/>
          <w:b/>
          <w:color w:val="auto"/>
          <w:sz w:val="24"/>
          <w:szCs w:val="24"/>
        </w:rPr>
      </w:pPr>
      <w:r>
        <w:rPr>
          <w:rFonts w:hint="eastAsia" w:hAnsi="宋体" w:cs="宋体"/>
          <w:b/>
          <w:color w:val="auto"/>
          <w:sz w:val="24"/>
          <w:szCs w:val="24"/>
        </w:rPr>
        <w:t>5．招标文件的构成</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3"/>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3"/>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30"/>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6.1已获取招标文件的潜在投标人，若有问题需要澄清，应于投标截止时间前，以书面形式向采购机构提出。</w:t>
      </w:r>
    </w:p>
    <w:p>
      <w:pPr>
        <w:pStyle w:val="130"/>
        <w:snapToGrid w:val="0"/>
        <w:spacing w:before="0"/>
        <w:ind w:firstLine="480"/>
        <w:rPr>
          <w:rFonts w:ascii="宋体" w:hAnsi="宋体" w:cs="宋体"/>
          <w:color w:val="auto"/>
        </w:rPr>
      </w:pPr>
      <w:r>
        <w:rPr>
          <w:rFonts w:hint="eastAsia" w:ascii="宋体" w:hAnsi="宋体" w:cs="宋体"/>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3"/>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3"/>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hAnsi="宋体" w:cs="宋体"/>
          <w:b/>
          <w:color w:val="auto"/>
          <w:szCs w:val="24"/>
        </w:rPr>
      </w:pPr>
      <w:r>
        <w:rPr>
          <w:rFonts w:hint="eastAsia" w:hAnsi="宋体" w:cs="宋体"/>
          <w:b/>
          <w:color w:val="auto"/>
          <w:kern w:val="28"/>
          <w:sz w:val="24"/>
          <w:szCs w:val="24"/>
        </w:rPr>
        <w:t>9.投标保证金</w:t>
      </w:r>
    </w:p>
    <w:p>
      <w:pPr>
        <w:pStyle w:val="3"/>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3"/>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r>
        <w:rPr>
          <w:rFonts w:hint="eastAsia" w:ascii="宋体" w:hAnsi="宋体" w:cs="宋体"/>
          <w:snapToGrid w:val="0"/>
          <w:color w:val="auto"/>
          <w:kern w:val="28"/>
          <w:sz w:val="24"/>
          <w:szCs w:val="20"/>
        </w:rPr>
        <w:t>联合协议（如果有)；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hint="eastAsia" w:ascii="宋体" w:hAnsi="宋体" w:cs="宋体"/>
          <w:color w:val="auto"/>
          <w:sz w:val="24"/>
        </w:rPr>
      </w:pPr>
      <w:r>
        <w:rPr>
          <w:rFonts w:hint="eastAsia" w:ascii="宋体" w:hAnsi="宋体" w:cs="宋体"/>
          <w:color w:val="auto"/>
          <w:sz w:val="24"/>
        </w:rPr>
        <w:t>11.3.1开标一览表（报价表）；</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30"/>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30"/>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30"/>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30"/>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auto"/>
          <w:szCs w:val="24"/>
        </w:rPr>
      </w:pPr>
      <w:r>
        <w:rPr>
          <w:rFonts w:hint="eastAsia" w:ascii="宋体" w:hAnsi="宋体" w:cs="宋体"/>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hAnsi="宋体" w:cs="宋体"/>
          <w:b/>
          <w:color w:val="auto"/>
          <w:sz w:val="24"/>
          <w:szCs w:val="24"/>
        </w:rPr>
      </w:pPr>
      <w:r>
        <w:rPr>
          <w:rFonts w:hint="eastAsia" w:hAnsi="宋体" w:cs="宋体"/>
          <w:b/>
          <w:color w:val="auto"/>
          <w:sz w:val="24"/>
          <w:szCs w:val="24"/>
        </w:rPr>
        <w:t>15.备份投标文件</w:t>
      </w:r>
    </w:p>
    <w:p>
      <w:pPr>
        <w:pStyle w:val="33"/>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但采购人、采购机构不强制或变相强制投标人提交备份投标文件。</w:t>
      </w:r>
    </w:p>
    <w:p>
      <w:pPr>
        <w:pStyle w:val="33"/>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hAnsi="宋体" w:cs="宋体"/>
          <w:color w:val="auto"/>
          <w:sz w:val="24"/>
          <w:szCs w:val="24"/>
        </w:rPr>
      </w:pPr>
      <w:r>
        <w:rPr>
          <w:rFonts w:hint="eastAsia" w:hAnsi="宋体" w:cs="宋体"/>
          <w:color w:val="auto"/>
          <w:sz w:val="24"/>
          <w:szCs w:val="24"/>
        </w:rPr>
        <w:t>15.4</w:t>
      </w:r>
      <w:r>
        <w:rPr>
          <w:rFonts w:hint="eastAsia" w:hAnsi="宋体" w:cs="宋体"/>
          <w:color w:val="auto"/>
          <w:sz w:val="24"/>
          <w:szCs w:val="24"/>
          <w:lang w:val="en-US" w:eastAsia="zh-CN"/>
        </w:rPr>
        <w:t>以邮件方式提交</w:t>
      </w:r>
      <w:r>
        <w:rPr>
          <w:rFonts w:hint="eastAsia" w:hAnsi="宋体" w:cs="宋体"/>
          <w:color w:val="auto"/>
          <w:sz w:val="24"/>
          <w:szCs w:val="24"/>
        </w:rPr>
        <w:t>备份投标文件的，在投标截止时间前以电子邮件形式递交至(1057680823@qq.com)；备份投标文件签收人员联系电话：</w:t>
      </w:r>
      <w:r>
        <w:rPr>
          <w:rFonts w:hint="eastAsia" w:hAnsi="宋体" w:cs="宋体"/>
          <w:color w:val="auto"/>
          <w:sz w:val="24"/>
          <w:szCs w:val="24"/>
          <w:lang w:eastAsia="zh-CN"/>
        </w:rPr>
        <w:t>0571-65066887</w:t>
      </w:r>
      <w:r>
        <w:rPr>
          <w:rFonts w:hint="eastAsia" w:hAnsi="宋体" w:cs="宋体"/>
          <w:color w:val="auto"/>
          <w:sz w:val="24"/>
          <w:szCs w:val="24"/>
        </w:rPr>
        <w:t>。采购人、采购代理机构不强制或变相强制投标人提交备份投标文件。</w:t>
      </w:r>
    </w:p>
    <w:p>
      <w:pPr>
        <w:pStyle w:val="33"/>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4"/>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szCs w:val="21"/>
        </w:rPr>
        <w:t>4.2规定</w:t>
      </w:r>
      <w:r>
        <w:rPr>
          <w:rFonts w:hint="eastAsia" w:cs="宋体"/>
          <w:color w:val="auto"/>
          <w:szCs w:val="21"/>
        </w:rPr>
        <w:t>的情形之一的，投标无效：</w:t>
      </w:r>
    </w:p>
    <w:p>
      <w:pPr>
        <w:pStyle w:val="130"/>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30"/>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30"/>
        <w:spacing w:before="0"/>
        <w:ind w:firstLine="480"/>
        <w:rPr>
          <w:rFonts w:ascii="宋体" w:hAnsi="宋体" w:cs="宋体"/>
          <w:color w:val="auto"/>
        </w:rPr>
      </w:pPr>
      <w:r>
        <w:rPr>
          <w:rFonts w:hint="eastAsia" w:ascii="宋体" w:hAnsi="宋体" w:cs="宋体"/>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480"/>
        <w:rPr>
          <w:rFonts w:ascii="宋体" w:hAnsi="宋体" w:cs="宋体"/>
          <w:color w:val="auto"/>
        </w:rPr>
      </w:pPr>
      <w:r>
        <w:rPr>
          <w:rFonts w:hint="eastAsia" w:ascii="宋体" w:hAnsi="宋体" w:cs="宋体"/>
          <w:color w:val="auto"/>
        </w:rPr>
        <w:t>17.4在投标截止时间起至投标有效期届满，供应商投标文件不可撤销。</w:t>
      </w:r>
    </w:p>
    <w:p>
      <w:pPr>
        <w:pStyle w:val="130"/>
        <w:spacing w:before="0"/>
        <w:ind w:firstLine="653"/>
        <w:rPr>
          <w:rFonts w:ascii="宋体" w:hAnsi="宋体" w:cs="宋体"/>
          <w:b/>
          <w:color w:val="auto"/>
          <w:sz w:val="32"/>
        </w:rPr>
      </w:pPr>
    </w:p>
    <w:p>
      <w:pPr>
        <w:pStyle w:val="130"/>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5"/>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5"/>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19.1开标后，采购人将依据法律法规和招标文件的规定，对投标人的资格进行审查。</w:t>
      </w:r>
    </w:p>
    <w:p>
      <w:pPr>
        <w:pStyle w:val="130"/>
        <w:spacing w:before="0"/>
        <w:ind w:firstLine="480"/>
        <w:rPr>
          <w:rFonts w:ascii="宋体" w:hAnsi="宋体" w:cs="宋体"/>
          <w:color w:val="auto"/>
        </w:rPr>
      </w:pPr>
      <w:r>
        <w:rPr>
          <w:rFonts w:hint="eastAsia" w:ascii="宋体" w:hAnsi="宋体" w:cs="宋体"/>
          <w:color w:val="auto"/>
          <w:kern w:val="0"/>
          <w:szCs w:val="24"/>
        </w:rPr>
        <w:t>19.2投标人未按照招标文件要求提供与</w:t>
      </w:r>
      <w:r>
        <w:rPr>
          <w:rFonts w:hint="eastAsia" w:ascii="宋体" w:hAnsi="宋体" w:cs="宋体"/>
          <w:color w:val="auto"/>
        </w:rPr>
        <w:t>资格条件相应的</w:t>
      </w:r>
      <w:r>
        <w:rPr>
          <w:rFonts w:hint="eastAsia" w:ascii="宋体" w:hAnsi="宋体" w:cs="宋体"/>
          <w:color w:val="auto"/>
          <w:kern w:val="0"/>
          <w:szCs w:val="24"/>
        </w:rPr>
        <w:t>有效资格证明材料的，视为</w:t>
      </w:r>
      <w:r>
        <w:rPr>
          <w:rFonts w:hint="eastAsia" w:ascii="宋体" w:hAnsi="宋体" w:cs="宋体"/>
          <w:color w:val="auto"/>
        </w:rPr>
        <w:t>投标人不具备招标文件中规定的资格要求，其投标无效。</w:t>
      </w:r>
    </w:p>
    <w:p>
      <w:pPr>
        <w:pStyle w:val="130"/>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rPr>
        <w:t>3对未通过资格审查的投标人，告知其未通过的原因。</w:t>
      </w:r>
    </w:p>
    <w:p>
      <w:pPr>
        <w:pStyle w:val="130"/>
        <w:spacing w:before="0"/>
        <w:ind w:firstLine="480"/>
        <w:rPr>
          <w:rFonts w:ascii="宋体" w:hAnsi="宋体" w:cs="宋体"/>
          <w:color w:val="auto"/>
        </w:rPr>
      </w:pPr>
      <w:r>
        <w:rPr>
          <w:rFonts w:hint="eastAsia" w:ascii="宋体" w:hAnsi="宋体" w:cs="宋体"/>
          <w:color w:val="auto"/>
          <w:kern w:val="0"/>
          <w:szCs w:val="24"/>
        </w:rPr>
        <w:t>19.</w:t>
      </w:r>
      <w:r>
        <w:rPr>
          <w:rFonts w:hint="eastAsia" w:ascii="宋体" w:hAnsi="宋体" w:cs="宋体"/>
          <w:color w:val="auto"/>
        </w:rPr>
        <w:t>4合格投标人不足3家的，不再评标。</w:t>
      </w:r>
    </w:p>
    <w:p>
      <w:pPr>
        <w:widowControl/>
        <w:spacing w:before="100" w:beforeAutospacing="1" w:after="240" w:line="360" w:lineRule="auto"/>
        <w:ind w:firstLine="241" w:firstLineChars="100"/>
        <w:jc w:val="left"/>
        <w:rPr>
          <w:rFonts w:ascii="宋体" w:hAnsi="宋体" w:cs="宋体"/>
          <w:b/>
          <w:color w:val="auto"/>
          <w:sz w:val="24"/>
        </w:rPr>
      </w:pPr>
      <w:r>
        <w:rPr>
          <w:rFonts w:hint="eastAsia" w:ascii="宋体" w:hAnsi="宋体" w:cs="宋体"/>
          <w:b/>
          <w:color w:val="auto"/>
          <w:sz w:val="24"/>
        </w:rPr>
        <w:t>20、信用信息查询</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20.1信用信息查询渠道及截止时间：采购机构将在资格审查时通过“信用中国”网站(www.creditchina.gov.cn)、中国政府采购网(www.ccgp.gov.cn)渠道查询投标人接受资格时的信用记录。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30"/>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3"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4"/>
        <w:spacing w:line="360" w:lineRule="auto"/>
        <w:ind w:left="487" w:hanging="479" w:hangingChars="199"/>
        <w:rPr>
          <w:rFonts w:cs="宋体"/>
          <w:b/>
          <w:color w:val="auto"/>
        </w:rPr>
      </w:pPr>
      <w:r>
        <w:rPr>
          <w:rFonts w:hint="eastAsia" w:cs="宋体"/>
          <w:b/>
          <w:color w:val="auto"/>
        </w:rPr>
        <w:t>22. 确定中标供应商</w:t>
      </w:r>
    </w:p>
    <w:p>
      <w:pPr>
        <w:pStyle w:val="130"/>
        <w:snapToGrid w:val="0"/>
        <w:spacing w:before="0"/>
        <w:ind w:firstLine="480"/>
        <w:rPr>
          <w:rFonts w:ascii="宋体" w:hAnsi="宋体" w:cs="宋体"/>
          <w:b/>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候选人撤销投标文件不能成为采购人不确认采购结果的正当理由。中标、成交通知书和中标、成交结果公告应当在规定时间内同时发出。</w:t>
      </w:r>
    </w:p>
    <w:p>
      <w:pPr>
        <w:pStyle w:val="130"/>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rPr>
        <w:t>资格审查情况、评审专家抽取规则、符合性审查情况、</w:t>
      </w:r>
      <w:bookmarkEnd w:id="14"/>
      <w:r>
        <w:rPr>
          <w:rFonts w:hint="eastAsia" w:ascii="宋体" w:hAnsi="宋体" w:cs="宋体"/>
          <w:color w:val="auto"/>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4"/>
        <w:spacing w:line="360" w:lineRule="auto"/>
        <w:ind w:left="487"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4"/>
        <w:spacing w:line="360" w:lineRule="auto"/>
        <w:ind w:left="487"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4"/>
        <w:spacing w:line="360" w:lineRule="auto"/>
        <w:ind w:left="487"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2"/>
        <w:ind w:left="0" w:firstLine="480" w:firstLineChars="200"/>
        <w:rPr>
          <w:rFonts w:ascii="宋体" w:hAnsi="宋体" w:eastAsia="宋体" w:cs="宋体"/>
          <w:color w:val="auto"/>
          <w:lang w:val="en-US"/>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rPr>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30"/>
        <w:snapToGrid w:val="0"/>
        <w:spacing w:before="0"/>
        <w:ind w:firstLine="0" w:firstLineChars="0"/>
        <w:rPr>
          <w:rFonts w:ascii="宋体" w:hAnsi="宋体" w:cs="宋体"/>
          <w:color w:val="auto"/>
        </w:rPr>
      </w:pPr>
      <w:r>
        <w:rPr>
          <w:rFonts w:hint="eastAsia" w:ascii="宋体" w:hAnsi="宋体" w:cs="宋体"/>
          <w:color w:val="auto"/>
        </w:rPr>
        <w:t>2</w:t>
      </w:r>
      <w:r>
        <w:rPr>
          <w:rFonts w:hint="eastAsia" w:ascii="宋体" w:hAnsi="宋体" w:cs="宋体"/>
          <w:b/>
          <w:color w:val="auto"/>
          <w:szCs w:val="24"/>
        </w:rPr>
        <w:t>7. 电子交易活动的中止。</w:t>
      </w:r>
      <w:r>
        <w:rPr>
          <w:rFonts w:hint="eastAsia" w:ascii="宋体" w:hAnsi="宋体" w:cs="宋体"/>
          <w:color w:val="auto"/>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宋体" w:hAnsi="宋体" w:cs="宋体"/>
          <w:color w:val="auto"/>
        </w:rPr>
      </w:pPr>
      <w:r>
        <w:rPr>
          <w:rFonts w:hint="eastAsia" w:ascii="宋体" w:hAnsi="宋体" w:cs="宋体"/>
          <w:color w:val="auto"/>
        </w:rPr>
        <w:t xml:space="preserve">27.1电子交易平台发生故障而无法登录访问的； </w:t>
      </w:r>
    </w:p>
    <w:p>
      <w:pPr>
        <w:pStyle w:val="130"/>
        <w:snapToGrid w:val="0"/>
        <w:spacing w:before="0"/>
        <w:ind w:firstLine="480"/>
        <w:rPr>
          <w:rFonts w:ascii="宋体" w:hAnsi="宋体" w:cs="宋体"/>
          <w:color w:val="auto"/>
        </w:rPr>
      </w:pPr>
      <w:r>
        <w:rPr>
          <w:rFonts w:hint="eastAsia" w:ascii="宋体" w:hAnsi="宋体" w:cs="宋体"/>
          <w:color w:val="auto"/>
        </w:rPr>
        <w:t>27.2电子交易平台应用或数据库出现错误，不能进行正常操作的；</w:t>
      </w:r>
    </w:p>
    <w:p>
      <w:pPr>
        <w:pStyle w:val="130"/>
        <w:snapToGrid w:val="0"/>
        <w:spacing w:before="0"/>
        <w:ind w:firstLine="480"/>
        <w:rPr>
          <w:rFonts w:ascii="宋体" w:hAnsi="宋体" w:cs="宋体"/>
          <w:color w:val="auto"/>
        </w:rPr>
      </w:pPr>
      <w:r>
        <w:rPr>
          <w:rFonts w:hint="eastAsia" w:ascii="宋体" w:hAnsi="宋体" w:cs="宋体"/>
          <w:color w:val="auto"/>
        </w:rPr>
        <w:t>27.3电子交易平台发现严重安全漏洞，有潜在泄密危险的；</w:t>
      </w:r>
    </w:p>
    <w:p>
      <w:pPr>
        <w:pStyle w:val="130"/>
        <w:snapToGrid w:val="0"/>
        <w:spacing w:before="0"/>
        <w:ind w:firstLine="480"/>
        <w:rPr>
          <w:rFonts w:ascii="宋体" w:hAnsi="宋体" w:cs="宋体"/>
          <w:color w:val="auto"/>
        </w:rPr>
      </w:pPr>
      <w:r>
        <w:rPr>
          <w:rFonts w:hint="eastAsia" w:ascii="宋体" w:hAnsi="宋体" w:cs="宋体"/>
          <w:color w:val="auto"/>
        </w:rPr>
        <w:t xml:space="preserve">27.4病毒发作导致不能进行正常操作的； </w:t>
      </w:r>
    </w:p>
    <w:p>
      <w:pPr>
        <w:pStyle w:val="130"/>
        <w:snapToGrid w:val="0"/>
        <w:spacing w:before="0"/>
        <w:ind w:firstLine="480"/>
        <w:rPr>
          <w:rFonts w:ascii="宋体" w:hAnsi="宋体" w:cs="宋体"/>
          <w:color w:val="auto"/>
        </w:rPr>
      </w:pPr>
      <w:r>
        <w:rPr>
          <w:rFonts w:hint="eastAsia" w:ascii="宋体" w:hAnsi="宋体" w:cs="宋体"/>
          <w:color w:val="auto"/>
        </w:rPr>
        <w:t>27.5其他无法保证电子交易的公平、公正和安全的情况。</w:t>
      </w:r>
    </w:p>
    <w:p>
      <w:pPr>
        <w:pStyle w:val="130"/>
        <w:snapToGrid w:val="0"/>
        <w:spacing w:before="0"/>
        <w:ind w:firstLine="0" w:firstLineChars="0"/>
        <w:rPr>
          <w:rFonts w:ascii="宋体" w:hAnsi="宋体" w:cs="宋体"/>
          <w:color w:val="auto"/>
        </w:rPr>
      </w:pPr>
      <w:r>
        <w:rPr>
          <w:rFonts w:hint="eastAsia" w:ascii="宋体" w:hAnsi="宋体" w:cs="宋体"/>
          <w:color w:val="auto"/>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4"/>
        <w:spacing w:line="360" w:lineRule="auto"/>
        <w:ind w:firstLine="0" w:firstLineChars="0"/>
        <w:rPr>
          <w:rFonts w:cs="宋体"/>
          <w:b/>
          <w:color w:val="auto"/>
        </w:rPr>
      </w:pPr>
      <w:r>
        <w:rPr>
          <w:rFonts w:hint="eastAsia" w:cs="宋体"/>
          <w:b/>
          <w:color w:val="auto"/>
        </w:rPr>
        <w:t>29.验收</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eastAsia" w:ascii="宋体" w:hAnsi="宋体" w:cs="宋体"/>
          <w:color w:val="auto"/>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eastAsia" w:ascii="宋体" w:hAnsi="宋体" w:cs="宋体"/>
          <w:color w:val="auto"/>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403820"/>
      <w:bookmarkEnd w:id="15"/>
      <w:bookmarkStart w:id="16" w:name="_Hlt74730295"/>
      <w:bookmarkEnd w:id="16"/>
      <w:bookmarkStart w:id="17" w:name="_Hlt75236101"/>
      <w:bookmarkEnd w:id="17"/>
      <w:bookmarkStart w:id="18" w:name="_Hlt75236290"/>
      <w:bookmarkEnd w:id="18"/>
      <w:bookmarkStart w:id="19" w:name="_Hlt68072998"/>
      <w:bookmarkEnd w:id="19"/>
      <w:bookmarkStart w:id="20" w:name="_Hlt68073093"/>
      <w:bookmarkEnd w:id="20"/>
      <w:bookmarkStart w:id="21" w:name="_Hlt74729768"/>
      <w:bookmarkEnd w:id="21"/>
      <w:bookmarkStart w:id="22" w:name="_Hlt68057669"/>
      <w:bookmarkEnd w:id="22"/>
      <w:bookmarkStart w:id="23" w:name="_Hlt68072990"/>
      <w:bookmarkEnd w:id="23"/>
      <w:bookmarkStart w:id="24" w:name="_Hlt74714665"/>
      <w:bookmarkEnd w:id="24"/>
      <w:bookmarkStart w:id="25" w:name="_Hlt75236011"/>
      <w:bookmarkEnd w:id="25"/>
      <w:bookmarkStart w:id="26" w:name="_Hlt74707468"/>
      <w:bookmarkEnd w:id="26"/>
    </w:p>
    <w:bookmarkEnd w:id="11"/>
    <w:bookmarkEnd w:id="12"/>
    <w:p>
      <w:pPr>
        <w:keepNext w:val="0"/>
        <w:keepLines w:val="0"/>
        <w:pageBreakBefore w:val="0"/>
        <w:widowControl w:val="0"/>
        <w:kinsoku/>
        <w:wordWrap/>
        <w:overflowPunct/>
        <w:topLinePunct w:val="0"/>
        <w:autoSpaceDE/>
        <w:autoSpaceDN/>
        <w:bidi w:val="0"/>
        <w:adjustRightInd w:val="0"/>
        <w:snapToGrid w:val="0"/>
        <w:spacing w:line="384" w:lineRule="auto"/>
        <w:jc w:val="center"/>
        <w:textAlignment w:val="auto"/>
        <w:outlineLvl w:val="0"/>
        <w:rPr>
          <w:rFonts w:ascii="宋体" w:hAnsi="宋体" w:cs="宋体"/>
          <w:b/>
          <w:color w:val="auto"/>
          <w:sz w:val="36"/>
          <w:szCs w:val="36"/>
        </w:rPr>
      </w:pPr>
      <w:bookmarkStart w:id="27" w:name="第四部分"/>
      <w:r>
        <w:rPr>
          <w:rFonts w:hint="eastAsia" w:ascii="宋体" w:hAnsi="宋体" w:cs="宋体"/>
          <w:b/>
          <w:color w:val="auto"/>
          <w:sz w:val="36"/>
          <w:szCs w:val="36"/>
        </w:rPr>
        <w:t>第三部分   采购需求</w:t>
      </w:r>
    </w:p>
    <w:p>
      <w:pPr>
        <w:widowControl/>
        <w:spacing w:line="336" w:lineRule="auto"/>
        <w:ind w:right="63"/>
        <w:rPr>
          <w:rFonts w:hint="eastAsia" w:ascii="宋体" w:hAnsi="宋体" w:eastAsia="宋体" w:cs="宋体"/>
          <w:b/>
          <w:bCs/>
          <w:color w:val="auto"/>
          <w:kern w:val="0"/>
          <w:sz w:val="28"/>
          <w:szCs w:val="28"/>
          <w:highlight w:val="none"/>
        </w:rPr>
      </w:pPr>
      <w:bookmarkStart w:id="28" w:name="_Toc8597"/>
      <w:r>
        <w:rPr>
          <w:rFonts w:hint="eastAsia" w:ascii="宋体" w:hAnsi="宋体" w:eastAsia="宋体" w:cs="宋体"/>
          <w:b/>
          <w:bCs/>
          <w:color w:val="auto"/>
          <w:kern w:val="0"/>
          <w:sz w:val="28"/>
          <w:szCs w:val="28"/>
          <w:highlight w:val="none"/>
        </w:rPr>
        <w:t>一、项目概况</w:t>
      </w:r>
      <w:bookmarkEnd w:id="28"/>
    </w:p>
    <w:p>
      <w:pPr>
        <w:tabs>
          <w:tab w:val="left" w:pos="0"/>
        </w:tabs>
        <w:spacing w:line="360" w:lineRule="auto"/>
        <w:ind w:firstLine="480"/>
        <w:rPr>
          <w:rFonts w:hint="eastAsia" w:ascii="宋体" w:hAnsi="宋体" w:eastAsia="宋体" w:cs="宋体"/>
          <w:color w:val="auto"/>
          <w:kern w:val="0"/>
          <w:sz w:val="24"/>
        </w:rPr>
      </w:pPr>
      <w:r>
        <w:rPr>
          <w:rFonts w:hint="eastAsia" w:ascii="宋体" w:hAnsi="宋体" w:eastAsia="宋体" w:cs="宋体"/>
          <w:color w:val="auto"/>
          <w:kern w:val="0"/>
          <w:sz w:val="24"/>
          <w:lang w:eastAsia="zh-CN"/>
        </w:rPr>
        <w:t>富文乡石头埠淳岸（杭州千岛湖）麦芽威士忌酒厂污水管道、泵站及电气安装项目，</w:t>
      </w:r>
      <w:r>
        <w:rPr>
          <w:rFonts w:hint="eastAsia" w:ascii="宋体" w:hAnsi="宋体" w:eastAsia="宋体" w:cs="宋体"/>
          <w:color w:val="auto"/>
          <w:kern w:val="0"/>
          <w:sz w:val="24"/>
          <w:lang w:val="en-US" w:eastAsia="zh-CN"/>
        </w:rPr>
        <w:t>本项目为</w:t>
      </w:r>
      <w:r>
        <w:rPr>
          <w:rFonts w:hint="eastAsia" w:ascii="宋体" w:hAnsi="宋体" w:eastAsia="宋体" w:cs="宋体"/>
          <w:color w:val="auto"/>
          <w:kern w:val="0"/>
          <w:sz w:val="24"/>
        </w:rPr>
        <w:t>交钥匙工程（包括设备采购、现场安装、调试及培训等），投标人须全面负责设备的技术、制造、采购、运输、保险、交货、质保期内的备品备件供应、专用工具、现场仓储和短驳费、现场预埋及安装、调试和试运行、最终验收、技术培训及相关技术服务，保证达到验收标准要求等全部责任。</w:t>
      </w:r>
    </w:p>
    <w:p>
      <w:pPr>
        <w:widowControl/>
        <w:spacing w:line="336" w:lineRule="auto"/>
        <w:ind w:right="63"/>
        <w:rPr>
          <w:color w:val="auto"/>
        </w:rPr>
      </w:pPr>
      <w:r>
        <w:rPr>
          <w:rFonts w:hint="eastAsia" w:ascii="宋体" w:hAnsi="宋体" w:eastAsia="宋体" w:cs="宋体"/>
          <w:b/>
          <w:bCs/>
          <w:color w:val="auto"/>
          <w:kern w:val="0"/>
          <w:sz w:val="28"/>
          <w:szCs w:val="28"/>
          <w:highlight w:val="none"/>
        </w:rPr>
        <w:t>二、采购清单</w:t>
      </w:r>
    </w:p>
    <w:tbl>
      <w:tblPr>
        <w:tblStyle w:val="63"/>
        <w:tblW w:w="9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24"/>
        <w:gridCol w:w="2604"/>
        <w:gridCol w:w="3693"/>
        <w:gridCol w:w="808"/>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序号</w:t>
            </w:r>
          </w:p>
        </w:tc>
        <w:tc>
          <w:tcPr>
            <w:tcW w:w="2604"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名称</w:t>
            </w:r>
          </w:p>
        </w:tc>
        <w:tc>
          <w:tcPr>
            <w:tcW w:w="3693"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项目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特征</w:t>
            </w:r>
          </w:p>
        </w:tc>
        <w:tc>
          <w:tcPr>
            <w:tcW w:w="808"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计量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单位</w:t>
            </w:r>
          </w:p>
        </w:tc>
        <w:tc>
          <w:tcPr>
            <w:tcW w:w="1269" w:type="dxa"/>
            <w:vMerge w:val="restart"/>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4" w:type="dxa"/>
            <w:vMerge w:val="continue"/>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vMerge w:val="continue"/>
            <w:shd w:val="clear" w:color="auto" w:fill="FFFFFF"/>
            <w:vAlign w:val="center"/>
          </w:tcPr>
          <w:p>
            <w:pPr>
              <w:jc w:val="center"/>
              <w:rPr>
                <w:rFonts w:hint="eastAsia" w:ascii="宋体" w:hAnsi="宋体" w:eastAsia="宋体" w:cs="宋体"/>
                <w:i w:val="0"/>
                <w:iCs w:val="0"/>
                <w:color w:val="auto"/>
                <w:sz w:val="24"/>
                <w:szCs w:val="24"/>
                <w:u w:val="none"/>
              </w:rPr>
            </w:pPr>
          </w:p>
        </w:tc>
        <w:tc>
          <w:tcPr>
            <w:tcW w:w="3693" w:type="dxa"/>
            <w:vMerge w:val="continue"/>
            <w:shd w:val="clear" w:color="auto" w:fill="FFFFFF"/>
            <w:vAlign w:val="center"/>
          </w:tcPr>
          <w:p>
            <w:pPr>
              <w:jc w:val="center"/>
              <w:rPr>
                <w:rFonts w:hint="eastAsia" w:ascii="宋体" w:hAnsi="宋体" w:eastAsia="宋体" w:cs="宋体"/>
                <w:i w:val="0"/>
                <w:iCs w:val="0"/>
                <w:color w:val="auto"/>
                <w:sz w:val="24"/>
                <w:szCs w:val="24"/>
                <w:u w:val="none"/>
              </w:rPr>
            </w:pPr>
          </w:p>
        </w:tc>
        <w:tc>
          <w:tcPr>
            <w:tcW w:w="808" w:type="dxa"/>
            <w:vMerge w:val="continue"/>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vMerge w:val="continue"/>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一体化泵站</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一体化泵站</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一体化泵站：Q=80m3/h，H=25m，P=11kw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含井筒、潜水泵、提篮格栅、提升链、管道、阀门、液位传感器、控制系统和通风系统、监控、电缆等部件组成</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无负压给水增压设备</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无负压给水增压设备</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型号：CD1，规格：Q=80m³/h，H=35m，三台泵，P=18.5kw，含水泵机组、控制柜、Φ600*1500隔膜式气压罐、阀门、传感器管路系统配套配件、监控、基础、管理房、电缆等</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套</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DE200管网-埋双管</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原水管（不含主材）</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3.1.压力试验、吹扫设计要求：管道消毒冲洗、试压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4.含砂垫层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5.含土方开挖</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3552.70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污水管</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4.含砂垫层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5.含土方开挖</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3552.70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DE200管网-埋双管护筒</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原水管（不含主材）</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3.1.压力试验、吹扫设计要求：管道消毒冲洗、试压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4.含砂垫层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5.含土方开挖</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6.含C25护管</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污水管</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4.含砂垫层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5.含土方开挖</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6.含C25护管</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DE200管网-绿化带埋单管</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污水管</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4.含砂垫层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5.含土方开挖</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DE200管网-水沟埋双管</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原水管（不含主材）</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3.1.压力试验、吹扫设计要求：管道消毒冲洗、试压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4.含砂垫层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5.含土方开挖</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污水管</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4.含砂垫层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5.含土方开挖</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拆除混凝土结构</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1.原排水沟拆除外运</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m3</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混凝土方沟</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1.C20混凝土排水沟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2.混凝土模板</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1947.60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DE200管网-水沟埋单管</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原水管（不含主材）</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3.1.压力试验、吹扫设计要求：管道消毒冲洗、试压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4.含砂垫层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5.含土方开挖</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13</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拆除混凝土结构</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1.原排水沟拆除外运</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m3</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混凝土方沟</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1.C20混凝土排水沟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2.混凝土模板</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DE200管网-隧道埋管</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原水管（不含主材）</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3.1.压力试验、吹扫设计要求：管道消毒冲洗、试压</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16</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污水管</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4.含砂垫层</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拆除混凝土结构</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1.原排水沟底板拆除外运</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m3</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18</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混凝土方沟</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1.C20水沟底板</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141.70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DE200管网-道路埋管</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19</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原水管（不含主材）</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3.1.压力试验、吹扫设计要求：管道消毒冲洗、试压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4.含砂垫层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5.含路面破除恢复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6.含土方开挖</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50"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20</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污水管</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4.含砂垫层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5.含路面破除恢复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6.含土方开挖</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173.70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DE200管网-挂桥</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21</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原水管（不含主材）</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3.1.压力试验、吹扫设计要求：管道消毒冲洗、试压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4.含管道支架</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22</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污水管</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1.材质、规格：De200PE管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2.连接形式：热熔连接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3.1.压力试验、吹扫设计要求：管道试压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4.含管道支架</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m</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阀门井</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23</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阀门井</w:t>
            </w:r>
          </w:p>
        </w:tc>
        <w:tc>
          <w:tcPr>
            <w:tcW w:w="3693" w:type="dxa"/>
            <w:shd w:val="clear" w:color="auto" w:fill="FFFFFF"/>
            <w:vAlign w:val="center"/>
          </w:tcPr>
          <w:p>
            <w:pPr>
              <w:keepNext w:val="0"/>
              <w:keepLines w:val="0"/>
              <w:widowControl/>
              <w:numPr>
                <w:ilvl w:val="0"/>
                <w:numId w:val="1"/>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阀门井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2.井盖</w:t>
            </w:r>
          </w:p>
          <w:p>
            <w:pPr>
              <w:keepNext w:val="0"/>
              <w:keepLines w:val="0"/>
              <w:widowControl/>
              <w:numPr>
                <w:ilvl w:val="0"/>
                <w:numId w:val="0"/>
              </w:numPr>
              <w:suppressLineNumbers w:val="0"/>
              <w:jc w:val="left"/>
              <w:textAlignment w:val="center"/>
              <w:rPr>
                <w:rFonts w:hint="eastAsia"/>
                <w:color w:val="auto"/>
              </w:rPr>
            </w:pPr>
            <w:r>
              <w:rPr>
                <w:rFonts w:hint="eastAsia" w:ascii="宋体" w:hAnsi="宋体" w:eastAsia="宋体" w:cs="宋体"/>
                <w:i w:val="0"/>
                <w:iCs w:val="0"/>
                <w:color w:val="auto"/>
                <w:kern w:val="0"/>
                <w:sz w:val="24"/>
                <w:szCs w:val="24"/>
                <w:u w:val="none"/>
                <w:lang w:val="en-US" w:eastAsia="zh-CN" w:bidi="ar"/>
              </w:rPr>
              <w:t>3.砖砌</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24</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焊接法兰阀门</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1.阀门类型：弹性暗杆座封阀门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2.规格、压力等级：De160</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25</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软接头（软管）</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1.名 称：伸缩接头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2.规 格：De160</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排气井</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26</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排气井</w:t>
            </w:r>
          </w:p>
        </w:tc>
        <w:tc>
          <w:tcPr>
            <w:tcW w:w="3693" w:type="dxa"/>
            <w:shd w:val="clear" w:color="auto" w:fill="FFFFFF"/>
            <w:vAlign w:val="center"/>
          </w:tcPr>
          <w:p>
            <w:pPr>
              <w:keepNext w:val="0"/>
              <w:keepLines w:val="0"/>
              <w:widowControl/>
              <w:numPr>
                <w:ilvl w:val="0"/>
                <w:numId w:val="2"/>
              </w:numPr>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排气井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2.井盖</w:t>
            </w:r>
          </w:p>
          <w:p>
            <w:pPr>
              <w:keepNext w:val="0"/>
              <w:keepLines w:val="0"/>
              <w:widowControl/>
              <w:numPr>
                <w:ilvl w:val="0"/>
                <w:numId w:val="0"/>
              </w:numPr>
              <w:suppressLineNumbers w:val="0"/>
              <w:jc w:val="left"/>
              <w:textAlignment w:val="center"/>
              <w:rPr>
                <w:rFonts w:hint="eastAsia"/>
                <w:color w:val="auto"/>
              </w:rPr>
            </w:pPr>
            <w:r>
              <w:rPr>
                <w:rFonts w:hint="eastAsia" w:ascii="宋体" w:hAnsi="宋体" w:eastAsia="宋体" w:cs="宋体"/>
                <w:i w:val="0"/>
                <w:iCs w:val="0"/>
                <w:color w:val="auto"/>
                <w:kern w:val="0"/>
                <w:sz w:val="24"/>
                <w:szCs w:val="24"/>
                <w:u w:val="none"/>
                <w:lang w:val="en-US" w:eastAsia="zh-CN" w:bidi="ar"/>
              </w:rPr>
              <w:t>3.砖砌</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27</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焊接法兰阀门</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1.阀门类型：复合式排气阀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2.规格、压力等级：De50</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28</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塑料管管件</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1.种类：排气三通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2.材质及规格：De160*50</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个</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流量计井</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29</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流量计井</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1.1500*1500流量计井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2.含土方开挖</w:t>
            </w:r>
          </w:p>
          <w:p>
            <w:pPr>
              <w:keepNext w:val="0"/>
              <w:keepLines w:val="0"/>
              <w:widowControl/>
              <w:suppressLineNumbers w:val="0"/>
              <w:jc w:val="left"/>
              <w:textAlignment w:val="center"/>
              <w:rPr>
                <w:rFonts w:hint="default"/>
                <w:color w:val="auto"/>
                <w:lang w:val="en-US"/>
              </w:rPr>
            </w:pPr>
            <w:r>
              <w:rPr>
                <w:rFonts w:hint="eastAsia" w:ascii="宋体" w:hAnsi="宋体" w:eastAsia="宋体" w:cs="宋体"/>
                <w:i w:val="0"/>
                <w:iCs w:val="0"/>
                <w:color w:val="auto"/>
                <w:kern w:val="0"/>
                <w:sz w:val="24"/>
                <w:szCs w:val="24"/>
                <w:u w:val="none"/>
                <w:lang w:val="en-US" w:eastAsia="zh-CN" w:bidi="ar"/>
              </w:rPr>
              <w:t>3.混凝土</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5"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传感器</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1.名 称：电磁流量计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2.规 格：DN200</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支</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0" w:hRule="atLeast"/>
          <w:jc w:val="center"/>
        </w:trPr>
        <w:tc>
          <w:tcPr>
            <w:tcW w:w="724"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消能井</w:t>
            </w:r>
          </w:p>
        </w:tc>
        <w:tc>
          <w:tcPr>
            <w:tcW w:w="3693" w:type="dxa"/>
            <w:shd w:val="clear" w:color="auto" w:fill="FFFFFF"/>
            <w:vAlign w:val="center"/>
          </w:tcPr>
          <w:p>
            <w:pPr>
              <w:jc w:val="left"/>
              <w:rPr>
                <w:rFonts w:hint="eastAsia" w:ascii="宋体" w:hAnsi="宋体" w:eastAsia="宋体" w:cs="宋体"/>
                <w:i w:val="0"/>
                <w:iCs w:val="0"/>
                <w:color w:val="auto"/>
                <w:sz w:val="24"/>
                <w:szCs w:val="24"/>
                <w:u w:val="none"/>
              </w:rPr>
            </w:pPr>
          </w:p>
        </w:tc>
        <w:tc>
          <w:tcPr>
            <w:tcW w:w="808" w:type="dxa"/>
            <w:shd w:val="clear" w:color="auto" w:fill="FFFFFF"/>
            <w:vAlign w:val="center"/>
          </w:tcPr>
          <w:p>
            <w:pPr>
              <w:jc w:val="center"/>
              <w:rPr>
                <w:rFonts w:hint="eastAsia" w:ascii="宋体" w:hAnsi="宋体" w:eastAsia="宋体" w:cs="宋体"/>
                <w:i w:val="0"/>
                <w:iCs w:val="0"/>
                <w:color w:val="auto"/>
                <w:sz w:val="24"/>
                <w:szCs w:val="24"/>
                <w:u w:val="none"/>
              </w:rPr>
            </w:pPr>
          </w:p>
        </w:tc>
        <w:tc>
          <w:tcPr>
            <w:tcW w:w="1269" w:type="dxa"/>
            <w:shd w:val="clear" w:color="auto" w:fill="FFFFFF"/>
            <w:vAlign w:val="center"/>
          </w:tcPr>
          <w:p>
            <w:pPr>
              <w:jc w:val="center"/>
              <w:rPr>
                <w:rFonts w:hint="eastAsia" w:ascii="宋体" w:hAnsi="宋体" w:eastAsia="宋体" w:cs="宋体"/>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724"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31</w:t>
            </w:r>
          </w:p>
        </w:tc>
        <w:tc>
          <w:tcPr>
            <w:tcW w:w="2604"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消能井</w:t>
            </w:r>
          </w:p>
        </w:tc>
        <w:tc>
          <w:tcPr>
            <w:tcW w:w="3693" w:type="dxa"/>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lang w:val="en-US" w:eastAsia="zh-CN"/>
              </w:rPr>
            </w:pPr>
            <w:r>
              <w:rPr>
                <w:rFonts w:hint="eastAsia" w:ascii="宋体" w:hAnsi="宋体" w:eastAsia="宋体" w:cs="宋体"/>
                <w:i w:val="0"/>
                <w:iCs w:val="0"/>
                <w:color w:val="auto"/>
                <w:sz w:val="24"/>
                <w:szCs w:val="24"/>
                <w:u w:val="none"/>
                <w:lang w:val="en-US" w:eastAsia="zh-CN"/>
              </w:rPr>
              <w:t>1.700消能井</w:t>
            </w:r>
            <w:r>
              <w:rPr>
                <w:rFonts w:hint="eastAsia" w:ascii="宋体" w:hAnsi="宋体" w:eastAsia="宋体" w:cs="宋体"/>
                <w:i w:val="0"/>
                <w:iCs w:val="0"/>
                <w:color w:val="auto"/>
                <w:sz w:val="24"/>
                <w:szCs w:val="24"/>
                <w:u w:val="none"/>
                <w:lang w:val="en-US" w:eastAsia="zh-CN"/>
              </w:rPr>
              <w:br w:type="textWrapping"/>
            </w:r>
            <w:r>
              <w:rPr>
                <w:rFonts w:hint="eastAsia" w:ascii="宋体" w:hAnsi="宋体" w:eastAsia="宋体" w:cs="宋体"/>
                <w:i w:val="0"/>
                <w:iCs w:val="0"/>
                <w:color w:val="auto"/>
                <w:sz w:val="24"/>
                <w:szCs w:val="24"/>
                <w:u w:val="none"/>
                <w:lang w:val="en-US" w:eastAsia="zh-CN"/>
              </w:rPr>
              <w:t>2.含土方开挖</w:t>
            </w:r>
          </w:p>
          <w:p>
            <w:pPr>
              <w:keepNext w:val="0"/>
              <w:keepLines w:val="0"/>
              <w:widowControl/>
              <w:suppressLineNumbers w:val="0"/>
              <w:jc w:val="left"/>
              <w:textAlignment w:val="center"/>
              <w:rPr>
                <w:rFonts w:hint="default"/>
                <w:color w:val="auto"/>
                <w:lang w:val="en-US"/>
              </w:rPr>
            </w:pPr>
            <w:r>
              <w:rPr>
                <w:rFonts w:hint="eastAsia" w:ascii="宋体" w:hAnsi="宋体" w:eastAsia="宋体" w:cs="宋体"/>
                <w:i w:val="0"/>
                <w:iCs w:val="0"/>
                <w:color w:val="auto"/>
                <w:sz w:val="24"/>
                <w:szCs w:val="24"/>
                <w:u w:val="none"/>
                <w:lang w:val="en-US" w:eastAsia="zh-CN"/>
              </w:rPr>
              <w:t>3.混凝土</w:t>
            </w:r>
          </w:p>
        </w:tc>
        <w:tc>
          <w:tcPr>
            <w:tcW w:w="808"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座</w:t>
            </w:r>
          </w:p>
        </w:tc>
        <w:tc>
          <w:tcPr>
            <w:tcW w:w="1269" w:type="dxa"/>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r>
    </w:tbl>
    <w:p>
      <w:pPr>
        <w:widowControl/>
        <w:spacing w:line="336" w:lineRule="auto"/>
        <w:ind w:right="63"/>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rPr>
        <w:t>三、主要设备技术标准性能与要求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（一）</w:t>
      </w:r>
      <w:r>
        <w:rPr>
          <w:rFonts w:hint="eastAsia" w:ascii="宋体" w:hAnsi="宋体" w:eastAsia="宋体" w:cs="宋体"/>
          <w:b/>
          <w:color w:val="auto"/>
          <w:sz w:val="28"/>
          <w:szCs w:val="28"/>
          <w:lang w:eastAsia="zh-CN"/>
        </w:rPr>
        <w:t>、</w:t>
      </w:r>
      <w:r>
        <w:rPr>
          <w:rFonts w:hint="eastAsia" w:ascii="宋体" w:hAnsi="宋体" w:eastAsia="宋体" w:cs="宋体"/>
          <w:b/>
          <w:color w:val="auto"/>
          <w:sz w:val="28"/>
          <w:szCs w:val="28"/>
        </w:rPr>
        <w:t>一体化泵站（含安装）技术要求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供应商需打包提供一体化泵站，泵站主体由井筒、潜水泵、</w:t>
      </w:r>
      <w:r>
        <w:rPr>
          <w:rFonts w:hint="eastAsia" w:ascii="宋体" w:hAnsi="宋体" w:eastAsia="宋体" w:cs="宋体"/>
          <w:i w:val="0"/>
          <w:iCs w:val="0"/>
          <w:color w:val="auto"/>
          <w:kern w:val="0"/>
          <w:sz w:val="24"/>
          <w:szCs w:val="24"/>
          <w:highlight w:val="none"/>
          <w:u w:val="none"/>
          <w:lang w:val="en-US" w:eastAsia="zh-CN" w:bidi="ar"/>
        </w:rPr>
        <w:t>粉碎格栅或</w:t>
      </w:r>
      <w:r>
        <w:rPr>
          <w:rFonts w:hint="eastAsia" w:ascii="宋体" w:hAnsi="宋体" w:eastAsia="宋体" w:cs="宋体"/>
          <w:color w:val="auto"/>
          <w:sz w:val="24"/>
          <w:szCs w:val="24"/>
          <w:highlight w:val="none"/>
          <w:lang w:eastAsia="zh-CN"/>
        </w:rPr>
        <w:t>提篮</w:t>
      </w:r>
      <w:r>
        <w:rPr>
          <w:rFonts w:hint="eastAsia" w:ascii="宋体" w:hAnsi="宋体" w:eastAsia="宋体" w:cs="宋体"/>
          <w:color w:val="auto"/>
          <w:sz w:val="24"/>
          <w:szCs w:val="24"/>
          <w:highlight w:val="none"/>
        </w:rPr>
        <w:t>格栅、提升链、管道、阀门、液位传感器、控制系统和通风系统等部件组成，在工厂内预先装配好，并提供运输、安装、调试和售后服务。</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GRP筒体</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装配完整的潜水污水泵（包括泵壳、叶轮、电机、机械密封、泵轴等）</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 自动耦合装置带底座和弯管</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 整套提升装置（导轨系统、支架和不锈钢提升链等）；</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 压力管道系统</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 阀门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 液位传感器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 </w:t>
      </w:r>
      <w:r>
        <w:rPr>
          <w:rFonts w:hint="eastAsia" w:ascii="宋体" w:hAnsi="宋体" w:eastAsia="宋体" w:cs="宋体"/>
          <w:i w:val="0"/>
          <w:iCs w:val="0"/>
          <w:color w:val="auto"/>
          <w:kern w:val="0"/>
          <w:sz w:val="24"/>
          <w:szCs w:val="24"/>
          <w:highlight w:val="none"/>
          <w:u w:val="none"/>
          <w:lang w:val="en-US" w:eastAsia="zh-CN" w:bidi="ar"/>
        </w:rPr>
        <w:t>粉碎格栅或</w:t>
      </w:r>
      <w:r>
        <w:rPr>
          <w:rFonts w:hint="eastAsia" w:ascii="宋体" w:hAnsi="宋体" w:eastAsia="宋体" w:cs="宋体"/>
          <w:color w:val="auto"/>
          <w:sz w:val="24"/>
          <w:szCs w:val="24"/>
          <w:highlight w:val="none"/>
          <w:lang w:eastAsia="zh-CN"/>
        </w:rPr>
        <w:t>提篮</w:t>
      </w:r>
      <w:r>
        <w:rPr>
          <w:rFonts w:hint="eastAsia" w:ascii="宋体" w:hAnsi="宋体" w:eastAsia="宋体" w:cs="宋体"/>
          <w:color w:val="auto"/>
          <w:sz w:val="24"/>
          <w:szCs w:val="24"/>
          <w:highlight w:val="none"/>
        </w:rPr>
        <w:t>格栅</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 就地控制柜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 通风管</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所有连接附件、安装用的所有紧固件(包括不锈钢化学地脚螺栓、螺母、垫圈等)；</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 运输</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 安装</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 调试</w:t>
      </w:r>
    </w:p>
    <w:p>
      <w:pPr>
        <w:pStyle w:val="33"/>
        <w:keepNext w:val="0"/>
        <w:keepLines w:val="0"/>
        <w:pageBreakBefore w:val="0"/>
        <w:widowControl w:val="0"/>
        <w:numPr>
          <w:ilvl w:val="0"/>
          <w:numId w:val="0"/>
        </w:numPr>
        <w:kinsoku/>
        <w:wordWrap/>
        <w:overflowPunct/>
        <w:topLinePunct w:val="0"/>
        <w:autoSpaceDE/>
        <w:autoSpaceDN/>
        <w:bidi w:val="0"/>
        <w:adjustRightInd/>
        <w:snapToGrid w:val="0"/>
        <w:spacing w:before="0" w:beforeLines="0" w:after="0" w:afterLines="0" w:line="360" w:lineRule="auto"/>
        <w:ind w:firstLine="480" w:firstLineChars="200"/>
        <w:textAlignment w:val="auto"/>
        <w:rPr>
          <w:rFonts w:hint="eastAsia" w:ascii="宋体" w:hAnsi="宋体" w:eastAsia="宋体" w:cs="宋体"/>
          <w:b/>
          <w:bCs/>
          <w:color w:val="auto"/>
          <w:sz w:val="24"/>
          <w:szCs w:val="24"/>
          <w:highlight w:val="none"/>
          <w:lang w:eastAsia="zh-CN"/>
        </w:rPr>
      </w:pPr>
      <w:r>
        <w:rPr>
          <w:rFonts w:hint="eastAsia" w:ascii="宋体" w:hAnsi="宋体" w:eastAsia="宋体" w:cs="宋体"/>
          <w:color w:val="auto"/>
          <w:sz w:val="24"/>
          <w:szCs w:val="24"/>
          <w:highlight w:val="none"/>
        </w:rPr>
        <w:t>（15） 售后服务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一体化成品泵站须为整体在工厂制造完成（含泵体、水泵、电气设备、自动化控制设备），现场提供的条件只是简易的开挖和提供380V电源，如现场无法提供整体产品将直接退货。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投标人应按照标书中提供的参数配置出完整的一体化成品泵站清单，包括但不限于上述清单中的供货范围。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工程主要设备内容</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供应商需打包提供一体化泵站，泵站主体由井筒、潜水泵、 </w:t>
      </w:r>
      <w:r>
        <w:rPr>
          <w:rFonts w:hint="eastAsia" w:ascii="宋体" w:hAnsi="宋体" w:eastAsia="宋体" w:cs="宋体"/>
          <w:i w:val="0"/>
          <w:iCs w:val="0"/>
          <w:color w:val="auto"/>
          <w:kern w:val="0"/>
          <w:sz w:val="24"/>
          <w:szCs w:val="24"/>
          <w:highlight w:val="none"/>
          <w:u w:val="none"/>
          <w:lang w:val="en-US" w:eastAsia="zh-CN" w:bidi="ar"/>
        </w:rPr>
        <w:t>粉碎格栅或</w:t>
      </w:r>
      <w:r>
        <w:rPr>
          <w:rFonts w:hint="eastAsia" w:ascii="宋体" w:hAnsi="宋体" w:eastAsia="宋体" w:cs="宋体"/>
          <w:color w:val="auto"/>
          <w:sz w:val="24"/>
          <w:szCs w:val="24"/>
          <w:highlight w:val="none"/>
          <w:lang w:eastAsia="zh-CN"/>
        </w:rPr>
        <w:t>提篮</w:t>
      </w:r>
      <w:r>
        <w:rPr>
          <w:rFonts w:hint="eastAsia" w:ascii="宋体" w:hAnsi="宋体" w:eastAsia="宋体" w:cs="宋体"/>
          <w:color w:val="auto"/>
          <w:sz w:val="24"/>
          <w:szCs w:val="24"/>
          <w:highlight w:val="none"/>
        </w:rPr>
        <w:t>格栅、提升链、管道、阀门、液位传感器、控制系统和通风系统等部件组成，在工厂内预先装配好，并提供运输、安装、调试和售后服务。</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投标文件提供资料不能少于如下内容：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一体化成品泵站产品彩色样本；</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详细的设计图纸 -- 一体化成品泵站平、剖面图等；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配套水泵电机的内部接线图及控制箱的控制系统图、接线图；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提供正确、详细的选型方案，承诺中标后提供设备制造厂家盖章确认的选型方案；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配套水泵的工况曲线、性能参数表和安装尺寸图；</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一体化成品泵站运行、操作、使用说明书和维修手册；</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一体化成品泵站详细的技术描述（如投标设备的技术创新、工艺新颖、技术成熟、质量可靠况）；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color="auto" w:fill="FFFFFF"/>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售后服务点：售后服务体系描述（包括服务承诺的服务情况、维修网点的完善程度，维修方式的速度以及能力、响应时间，保修期的长短及保修范围等情况，提供培训计划的情况）。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防滑顶盖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采用铝合金制成，加装防盗安全锁和防盗报警装置，当无关人员破坏性打开顶盖，立即进行声光报警和短信方式通知管理人员。为了便于轻松打开顶盖，需加装气压弹簧。</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泵站上盖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采用玻璃钢制成，带安全格栅、通风排气管和扶手。</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高强度GRP筒体</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高强度GRP筒体材料应由防腐蚀层、防渗透层、结构层和外保护层构成，外保护层必须加抗紫外线材料，防止裸露在太阳光下面老化，筒体以无碱玻璃纤维无捻粗纱及其制品为增强材料，热固性树脂为基体，采用计算机缠绕工艺制成的玻璃钢管，厚度均匀。巴氏硬度应达到40HBa及以上，抗压强度应达到120MPa及以上，环向拉伸强度150MPa，轴向拉伸强度60MPa。</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吊耳</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筒体外须安装2个预制吊耳，易于安装。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配套污水泵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泵站须配套性能优越的污水泵，在设计负荷范围内，无振动和气蚀现象，运行平稳。泵的所有旋转部件（包括电机）在制造时均须进行动、静平衡实验。泵运转噪音低于80dB(A)。</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潜污泵自耦安装，配备出水弯管、自耦底座和移动、自动就位时起连接作用的不锈钢导轨及提升链。水泵经过导轨引导能够在泵坑顶部和自耦底座之间自由滑动。</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自耦装置</w:t>
      </w:r>
      <w:r>
        <w:rPr>
          <w:rFonts w:hint="eastAsia" w:ascii="宋体" w:hAnsi="宋体" w:eastAsia="宋体" w:cs="宋体"/>
          <w:color w:val="auto"/>
          <w:sz w:val="24"/>
          <w:szCs w:val="24"/>
          <w:highlight w:val="none"/>
        </w:rPr>
        <w:t>：水泵与藕合底座的密封为金属面与金属面之间的硬连接的型式，不接受金属与金属之间的连接并由辅助橡胶圈密封金属面与金属面之间的硬连接的型式。</w:t>
      </w:r>
    </w:p>
    <w:p>
      <w:pPr>
        <w:keepNext w:val="0"/>
        <w:keepLines w:val="0"/>
        <w:pageBreakBefore w:val="0"/>
        <w:widowControl w:val="0"/>
        <w:tabs>
          <w:tab w:val="left" w:pos="1080"/>
        </w:tabs>
        <w:kinsoku/>
        <w:wordWrap/>
        <w:overflowPunct/>
        <w:topLinePunct w:val="0"/>
        <w:autoSpaceDE/>
        <w:autoSpaceDN/>
        <w:bidi w:val="0"/>
        <w:adjustRightIn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叶轮</w:t>
      </w:r>
      <w:r>
        <w:rPr>
          <w:rFonts w:hint="eastAsia" w:ascii="宋体" w:hAnsi="宋体" w:eastAsia="宋体" w:cs="宋体"/>
          <w:color w:val="auto"/>
          <w:sz w:val="24"/>
          <w:szCs w:val="24"/>
          <w:highlight w:val="none"/>
        </w:rPr>
        <w:t>：叶轮材质为灰口铸铁(ASTM A-48级35B)，导叶部分进行硬化处理。采用半开式多叶片、后扫式、无堵塞设计。当叶轮旋转时能够通过泵室（或插入环）上的释放凹槽对叶轮进行清洁，使叶片上不积累杂质，从而维持水泵能无堵塞运行。叶轮具有特定角度的完全后扫式导叶，能够处理固体、纤维、粘稠污泥和其它污水中的杂质。叶轮与涡壳的间隙可以通过一个调节螺栓进行调整。叶轮和轴通过一个经防腐处理的锁紧螺栓固定。</w:t>
      </w:r>
    </w:p>
    <w:p>
      <w:pPr>
        <w:keepNext w:val="0"/>
        <w:keepLines w:val="0"/>
        <w:pageBreakBefore w:val="0"/>
        <w:widowControl w:val="0"/>
        <w:tabs>
          <w:tab w:val="left" w:pos="1080"/>
        </w:tabs>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叶轮进口间隙调节系统</w:t>
      </w:r>
    </w:p>
    <w:p>
      <w:pPr>
        <w:keepNext w:val="0"/>
        <w:keepLines w:val="0"/>
        <w:pageBreakBefore w:val="0"/>
        <w:widowControl w:val="0"/>
        <w:tabs>
          <w:tab w:val="left" w:pos="1080"/>
        </w:tabs>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为保证可在现场快速方便的调整叶轮的间距，以迅速恢复水泵出厂效率，节约水泵维修保养的人力、时间和费用，水泵叶轮需具有间隙调节能力，即能够有效保证叶轮与蜗壳之间的密封性并维持较高的水力效率。</w:t>
      </w:r>
    </w:p>
    <w:p>
      <w:pPr>
        <w:keepNext w:val="0"/>
        <w:keepLines w:val="0"/>
        <w:pageBreakBefore w:val="0"/>
        <w:widowControl w:val="0"/>
        <w:kinsoku/>
        <w:wordWrap/>
        <w:overflowPunct/>
        <w:topLinePunct w:val="0"/>
        <w:autoSpaceDE/>
        <w:autoSpaceDN/>
        <w:bidi w:val="0"/>
        <w:adjustRightInd/>
        <w:snapToGrid w:val="0"/>
        <w:spacing w:line="360" w:lineRule="auto"/>
        <w:ind w:left="42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泵的潜水电机为三相鼠笼式感应电机。电机的防护等级为IEC IP68级，绝缘等级为H级，140</w:t>
      </w:r>
      <w:bookmarkStart w:id="29" w:name="OLE_LINK26"/>
      <w:bookmarkStart w:id="30" w:name="OLE_LINK25"/>
      <w:r>
        <w:rPr>
          <w:rFonts w:hint="eastAsia" w:ascii="宋体" w:hAnsi="宋体" w:eastAsia="宋体" w:cs="宋体"/>
          <w:color w:val="auto"/>
          <w:sz w:val="24"/>
          <w:szCs w:val="24"/>
          <w:highlight w:val="none"/>
        </w:rPr>
        <w:t>℃</w:t>
      </w:r>
      <w:bookmarkEnd w:id="29"/>
      <w:bookmarkEnd w:id="30"/>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轴：泵轴材质为高强度合金钢且受机械密封系统和睛橡胶O形圈的有效保护，不与泵送介质相接触/不锈钢（AISI 431）。泵轴设计具有足够的强度和刚度，以承受正常工作、启动、停机时可能出现的最大扭矩，确保泵运行平稳。</w:t>
      </w:r>
    </w:p>
    <w:p>
      <w:pPr>
        <w:keepNext w:val="0"/>
        <w:keepLines w:val="0"/>
        <w:pageBreakBefore w:val="0"/>
        <w:widowControl w:val="0"/>
        <w:kinsoku/>
        <w:wordWrap/>
        <w:overflowPunct/>
        <w:topLinePunct w:val="0"/>
        <w:autoSpaceDE/>
        <w:autoSpaceDN/>
        <w:bidi w:val="0"/>
        <w:adjustRightInd/>
        <w:snapToGrid w:val="0"/>
        <w:spacing w:line="360" w:lineRule="auto"/>
        <w:ind w:left="3" w:firstLine="422" w:firstLineChars="175"/>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机械密封</w:t>
      </w:r>
      <w:r>
        <w:rPr>
          <w:rFonts w:hint="eastAsia" w:ascii="宋体" w:hAnsi="宋体" w:eastAsia="宋体" w:cs="宋体"/>
          <w:color w:val="auto"/>
          <w:sz w:val="24"/>
          <w:szCs w:val="24"/>
          <w:highlight w:val="none"/>
        </w:rPr>
        <w:t>：每台潜污泵配备有弹匣式双道机械密封系统。机械密封设计为免维护型，全不锈钢外壳。机械密封材质为碳化钨/碳化钨，具有良好的机械强度和抵抗热冲击能力。</w:t>
      </w:r>
    </w:p>
    <w:p>
      <w:pPr>
        <w:keepNext w:val="0"/>
        <w:keepLines w:val="0"/>
        <w:pageBreakBefore w:val="0"/>
        <w:widowControl w:val="0"/>
        <w:kinsoku/>
        <w:wordWrap/>
        <w:overflowPunct/>
        <w:topLinePunct w:val="0"/>
        <w:autoSpaceDE/>
        <w:autoSpaceDN/>
        <w:bidi w:val="0"/>
        <w:adjustRightInd/>
        <w:snapToGrid w:val="0"/>
        <w:spacing w:line="360" w:lineRule="auto"/>
        <w:ind w:left="42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机械密封的设计使用寿命不低于25,000小时。</w:t>
      </w:r>
    </w:p>
    <w:p>
      <w:pPr>
        <w:keepNext w:val="0"/>
        <w:keepLines w:val="0"/>
        <w:pageBreakBefore w:val="0"/>
        <w:widowControl w:val="0"/>
        <w:kinsoku/>
        <w:wordWrap/>
        <w:overflowPunct/>
        <w:topLinePunct w:val="0"/>
        <w:autoSpaceDE/>
        <w:autoSpaceDN/>
        <w:bidi w:val="0"/>
        <w:adjustRightInd/>
        <w:snapToGrid w:val="0"/>
        <w:spacing w:line="360" w:lineRule="auto"/>
        <w:ind w:firstLine="422" w:firstLineChars="175"/>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电缆和电缆密封</w:t>
      </w:r>
      <w:r>
        <w:rPr>
          <w:rFonts w:hint="eastAsia" w:ascii="宋体" w:hAnsi="宋体" w:eastAsia="宋体" w:cs="宋体"/>
          <w:color w:val="auto"/>
          <w:sz w:val="24"/>
          <w:szCs w:val="24"/>
          <w:highlight w:val="none"/>
        </w:rPr>
        <w:t>：潜水电缆接入电机时采用插接及螺纹密封方式，可以非常方便地拆下。不接受任何二次密封。</w:t>
      </w:r>
    </w:p>
    <w:p>
      <w:pPr>
        <w:keepNext w:val="0"/>
        <w:keepLines w:val="0"/>
        <w:pageBreakBefore w:val="0"/>
        <w:widowControl w:val="0"/>
        <w:kinsoku/>
        <w:wordWrap/>
        <w:overflowPunct/>
        <w:topLinePunct w:val="0"/>
        <w:autoSpaceDE/>
        <w:autoSpaceDN/>
        <w:bidi w:val="0"/>
        <w:adjustRightInd/>
        <w:snapToGrid w:val="0"/>
        <w:spacing w:line="360" w:lineRule="auto"/>
        <w:ind w:left="423"/>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电机和电缆能在最大20米淹深下连续使用而不失去其防水性能。</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压力管路</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采用不锈钢304。所有管路在出厂前均须通过压力测试，以防泄漏。</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安装平板</w:t>
      </w:r>
    </w:p>
    <w:p>
      <w:pPr>
        <w:keepNext w:val="0"/>
        <w:keepLines w:val="0"/>
        <w:pageBreakBefore w:val="0"/>
        <w:widowControl w:val="0"/>
        <w:kinsoku/>
        <w:wordWrap/>
        <w:overflowPunct/>
        <w:topLinePunct w:val="0"/>
        <w:autoSpaceDE/>
        <w:autoSpaceDN/>
        <w:bidi w:val="0"/>
        <w:adjustRightInd/>
        <w:snapToGrid w:val="0"/>
        <w:spacing w:line="360" w:lineRule="auto"/>
        <w:ind w:firstLine="42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水泵耦合须安装在玻璃钢安装平板上。方便未来的管路、水泵因为入流增大时升级。</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液位传感器</w:t>
      </w:r>
    </w:p>
    <w:p>
      <w:pPr>
        <w:keepNext w:val="0"/>
        <w:keepLines w:val="0"/>
        <w:pageBreakBefore w:val="0"/>
        <w:widowControl w:val="0"/>
        <w:kinsoku/>
        <w:wordWrap/>
        <w:overflowPunct/>
        <w:topLinePunct w:val="0"/>
        <w:autoSpaceDE/>
        <w:autoSpaceDN/>
        <w:bidi w:val="0"/>
        <w:adjustRightInd/>
        <w:snapToGrid w:val="0"/>
        <w:spacing w:line="360" w:lineRule="auto"/>
        <w:ind w:firstLine="424" w:firstLineChars="17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采用压力传感器，配套专用监测继电器和远程通讯系统，实现泵站液位自动控制运行。</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提篮</w:t>
      </w:r>
      <w:r>
        <w:rPr>
          <w:rFonts w:hint="eastAsia" w:ascii="宋体" w:hAnsi="宋体" w:eastAsia="宋体" w:cs="宋体"/>
          <w:color w:val="auto"/>
          <w:sz w:val="24"/>
          <w:szCs w:val="24"/>
          <w:highlight w:val="none"/>
        </w:rPr>
        <w:t>格栅</w:t>
      </w:r>
    </w:p>
    <w:p>
      <w:pPr>
        <w:keepNext w:val="0"/>
        <w:keepLines w:val="0"/>
        <w:pageBreakBefore w:val="0"/>
        <w:widowControl w:val="0"/>
        <w:kinsoku/>
        <w:wordWrap/>
        <w:overflowPunct/>
        <w:topLinePunct w:val="0"/>
        <w:autoSpaceDE/>
        <w:autoSpaceDN/>
        <w:bidi w:val="0"/>
        <w:adjustRightInd/>
        <w:snapToGrid w:val="0"/>
        <w:spacing w:line="360" w:lineRule="auto"/>
        <w:ind w:firstLine="42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采用不锈钢制成，带导杆和提升链，可自动耦合在进水管路上，防止固体颗粒堵塞水泵和管路。</w:t>
      </w:r>
    </w:p>
    <w:p>
      <w:pPr>
        <w:pStyle w:val="62"/>
        <w:keepNext w:val="0"/>
        <w:keepLines w:val="0"/>
        <w:pageBreakBefore w:val="0"/>
        <w:widowControl w:val="0"/>
        <w:kinsoku/>
        <w:wordWrap/>
        <w:overflowPunct/>
        <w:topLinePunct w:val="0"/>
        <w:autoSpaceDE/>
        <w:autoSpaceDN/>
        <w:bidi w:val="0"/>
        <w:adjustRightInd/>
        <w:spacing w:after="0" w:line="360" w:lineRule="auto"/>
        <w:ind w:firstLine="240" w:firstLineChars="1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粉碎格栅</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过流刀片合金钢，带导杆和提升链，可自动耦合在进水管路上，防止固体颗粒堵塞水泵和管路。</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电气控制柜（须满足下面所有的控制要求）</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泵运行控制系统功能</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性能控制-能耗最佳化</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总线通讯</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运行向导</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泵的自动并联控制</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运行中泵之间的自动切换功能 (确保所有泵运行时间相同)</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手动操作运行 (对单泵测试)</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泵和系统的监视功能</w:t>
      </w:r>
      <w:r>
        <w:rPr>
          <w:rFonts w:hint="eastAsia" w:ascii="宋体" w:hAnsi="宋体" w:eastAsia="宋体" w:cs="宋体"/>
          <w:color w:val="auto"/>
          <w:sz w:val="24"/>
          <w:szCs w:val="24"/>
          <w:highlight w:val="none"/>
          <w:lang w:eastAsia="zh-CN"/>
        </w:rPr>
        <w:tab/>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──总线通讯</w:t>
      </w:r>
      <w:r>
        <w:rPr>
          <w:rFonts w:hint="eastAsia" w:ascii="宋体" w:hAnsi="宋体" w:eastAsia="宋体" w:cs="宋体"/>
          <w:color w:val="auto"/>
          <w:sz w:val="24"/>
          <w:szCs w:val="24"/>
          <w:highlight w:val="none"/>
          <w:lang w:eastAsia="zh-CN"/>
        </w:rPr>
        <w:tab/>
      </w:r>
      <w:r>
        <w:rPr>
          <w:rFonts w:hint="eastAsia" w:ascii="宋体" w:hAnsi="宋体" w:eastAsia="宋体" w:cs="宋体"/>
          <w:color w:val="auto"/>
          <w:sz w:val="24"/>
          <w:szCs w:val="24"/>
          <w:highlight w:val="none"/>
          <w:lang w:eastAsia="zh-CN"/>
        </w:rPr>
        <w:tab/>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泵和系统监视功能</w:t>
      </w:r>
      <w:r>
        <w:rPr>
          <w:rFonts w:hint="eastAsia" w:ascii="宋体" w:hAnsi="宋体" w:eastAsia="宋体" w:cs="宋体"/>
          <w:color w:val="auto"/>
          <w:sz w:val="24"/>
          <w:szCs w:val="24"/>
          <w:highlight w:val="none"/>
          <w:lang w:eastAsia="zh-CN"/>
        </w:rPr>
        <w:tab/>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──测量值的最大、最小限制；可实现系统失控时停机功能</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──进水流量体积估算</w:t>
      </w:r>
      <w:r>
        <w:rPr>
          <w:rFonts w:hint="eastAsia" w:ascii="宋体" w:hAnsi="宋体" w:eastAsia="宋体" w:cs="宋体"/>
          <w:color w:val="auto"/>
          <w:sz w:val="24"/>
          <w:szCs w:val="24"/>
          <w:highlight w:val="none"/>
          <w:lang w:eastAsia="zh-CN"/>
        </w:rPr>
        <w:tab/>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──出水流量体积估算</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──排空泡沫</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──测试运行</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显示、报警和信号功能：</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──320*240 1/4 VGA显示LCD显示屏，带背景光设计，使得操作不再考虑环境亮度的影响</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──系统结构图形直观显示，可从系统图中直接显示出各泵运行故障情况及泵站液位</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──可读出系统的液位值，计算流量、功率损耗等信息</w:t>
      </w:r>
      <w:r>
        <w:rPr>
          <w:rFonts w:hint="eastAsia" w:ascii="宋体" w:hAnsi="宋体" w:eastAsia="宋体" w:cs="宋体"/>
          <w:color w:val="auto"/>
          <w:sz w:val="24"/>
          <w:szCs w:val="24"/>
          <w:highlight w:val="none"/>
          <w:lang w:eastAsia="zh-CN"/>
        </w:rPr>
        <w:tab/>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──运行和故障信号自动转换接触器</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其他功能</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除以上主要功能外，电气控制系统还提供以下功能：</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A.电压，电流指示</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B.泵自动，手动运行切换</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C.系统运行故障报警</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D.紧急运行开关，功能如下：</w:t>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E.当控制柜发生故障时，通过紧急运行开关进行紧急运行。</w:t>
      </w:r>
      <w:r>
        <w:rPr>
          <w:rFonts w:hint="eastAsia" w:ascii="宋体" w:hAnsi="宋体" w:eastAsia="宋体" w:cs="宋体"/>
          <w:color w:val="auto"/>
          <w:sz w:val="24"/>
          <w:szCs w:val="24"/>
          <w:highlight w:val="none"/>
          <w:lang w:val="en-US" w:eastAsia="zh-CN"/>
        </w:rPr>
        <w:tab/>
      </w:r>
    </w:p>
    <w:p>
      <w:pPr>
        <w:keepNext w:val="0"/>
        <w:keepLines w:val="0"/>
        <w:pageBreakBefore w:val="0"/>
        <w:widowControl w:val="0"/>
        <w:tabs>
          <w:tab w:val="left" w:pos="963"/>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b/>
          <w:color w:val="auto"/>
          <w:sz w:val="28"/>
          <w:szCs w:val="28"/>
        </w:rPr>
      </w:pPr>
      <w:r>
        <w:rPr>
          <w:rFonts w:hint="eastAsia" w:ascii="宋体" w:hAnsi="宋体" w:eastAsia="宋体" w:cs="宋体"/>
          <w:color w:val="auto"/>
          <w:sz w:val="24"/>
          <w:szCs w:val="24"/>
          <w:highlight w:val="none"/>
          <w:lang w:val="en-US" w:eastAsia="zh-CN"/>
        </w:rPr>
        <w:t>F.在发货前，厂家成套增压设备已经过厂方测试，并按要求设置好，以备运行。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w:t>
      </w:r>
      <w:r>
        <w:rPr>
          <w:rFonts w:hint="eastAsia" w:ascii="宋体" w:hAnsi="宋体" w:eastAsia="宋体" w:cs="宋体"/>
          <w:b/>
          <w:color w:val="auto"/>
          <w:sz w:val="28"/>
          <w:szCs w:val="28"/>
          <w:lang w:val="en-US" w:eastAsia="zh-CN"/>
        </w:rPr>
        <w:t>二</w:t>
      </w:r>
      <w:r>
        <w:rPr>
          <w:rFonts w:hint="eastAsia" w:ascii="宋体" w:hAnsi="宋体" w:eastAsia="宋体" w:cs="宋体"/>
          <w:b/>
          <w:color w:val="auto"/>
          <w:sz w:val="28"/>
          <w:szCs w:val="28"/>
        </w:rPr>
        <w:t>）</w:t>
      </w:r>
      <w:r>
        <w:rPr>
          <w:rFonts w:hint="eastAsia" w:ascii="宋体" w:hAnsi="宋体" w:eastAsia="宋体" w:cs="宋体"/>
          <w:b/>
          <w:color w:val="auto"/>
          <w:sz w:val="28"/>
          <w:szCs w:val="28"/>
          <w:lang w:eastAsia="zh-CN"/>
        </w:rPr>
        <w:t>、</w:t>
      </w:r>
      <w:r>
        <w:rPr>
          <w:rFonts w:hint="eastAsia" w:ascii="宋体" w:hAnsi="宋体" w:eastAsia="宋体" w:cs="宋体"/>
          <w:b/>
          <w:color w:val="auto"/>
          <w:sz w:val="28"/>
          <w:szCs w:val="28"/>
        </w:rPr>
        <w:t>无负压给水增压设备（含安装）技术要求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1</w:t>
      </w:r>
      <w:r>
        <w:rPr>
          <w:rFonts w:hint="eastAsia" w:cs="宋体"/>
          <w:color w:val="auto"/>
          <w:sz w:val="24"/>
          <w:szCs w:val="24"/>
          <w:highlight w:val="none"/>
        </w:rPr>
        <w:t>、投标人应该提供易于更换配件的产品，即设备的易损件应该具有尽可能高的互换性和通用性，在当地市场可以方便的购买，以便降低设备的后期运营和维修成本。如电机，应该采用国家标准中最为常用的</w:t>
      </w:r>
      <w:r>
        <w:rPr>
          <w:color w:val="auto"/>
          <w:sz w:val="24"/>
          <w:szCs w:val="24"/>
          <w:highlight w:val="none"/>
        </w:rPr>
        <w:t>Y</w:t>
      </w:r>
      <w:r>
        <w:rPr>
          <w:rFonts w:hint="eastAsia" w:cs="宋体"/>
          <w:color w:val="auto"/>
          <w:sz w:val="24"/>
          <w:szCs w:val="24"/>
          <w:highlight w:val="none"/>
        </w:rPr>
        <w:t>系列电机，不提倡所谓的轴冷电机、水冷电机。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2</w:t>
      </w:r>
      <w:r>
        <w:rPr>
          <w:rFonts w:hint="eastAsia" w:cs="宋体"/>
          <w:color w:val="auto"/>
          <w:sz w:val="24"/>
          <w:szCs w:val="24"/>
          <w:highlight w:val="none"/>
        </w:rPr>
        <w:t>、必须采用全自动变量变压控制技术，须配缓冲系统，其缓冲系统中的稳流罐容积须满足系统要求，耐压不低于水泵的最高扬程，按压力容器的标准制造，防止市政管网的超压和水泵止回阀损坏引起稳流罐的破裂损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3</w:t>
      </w:r>
      <w:r>
        <w:rPr>
          <w:rFonts w:hint="eastAsia" w:cs="宋体"/>
          <w:color w:val="auto"/>
          <w:sz w:val="24"/>
          <w:szCs w:val="24"/>
          <w:highlight w:val="none"/>
        </w:rPr>
        <w:t>、水泵应具备自动排气功能，具有自动排出残余空气，有效解决运维人员现场排气问题</w:t>
      </w:r>
      <w:r>
        <w:rPr>
          <w:color w:val="auto"/>
          <w:sz w:val="24"/>
          <w:szCs w:val="24"/>
          <w:highlight w:val="none"/>
        </w:rPr>
        <w:t>;</w:t>
      </w:r>
      <w:r>
        <w:rPr>
          <w:rFonts w:hint="eastAsia" w:cs="宋体"/>
          <w:color w:val="auto"/>
          <w:sz w:val="24"/>
          <w:szCs w:val="24"/>
          <w:highlight w:val="none"/>
        </w:rPr>
        <w:t>并能实时监测水泵排气阀是否正常工作。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4</w:t>
      </w:r>
      <w:r>
        <w:rPr>
          <w:rFonts w:hint="eastAsia" w:cs="宋体"/>
          <w:color w:val="auto"/>
          <w:sz w:val="24"/>
          <w:szCs w:val="24"/>
          <w:highlight w:val="none"/>
        </w:rPr>
        <w:t>、设备应具备防雷击保护功能，电控柜应配置信号浪涌保护器保护设备免受雷电和线路中电涌的冲击。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5</w:t>
      </w:r>
      <w:r>
        <w:rPr>
          <w:rFonts w:hint="eastAsia" w:cs="宋体"/>
          <w:color w:val="auto"/>
          <w:sz w:val="24"/>
          <w:szCs w:val="24"/>
          <w:highlight w:val="none"/>
        </w:rPr>
        <w:t>、考虑到水泵进口即市政管网的压力波动，水泵应选用过载能力高的多级离心泵，在满足流量和扬程的情况下，应选用效率高、节能、环保的水泵，应考虑备用泵问题，设备配置的水泵须能互相备份，备用泵的功率应与最大一台工作泵相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6</w:t>
      </w:r>
      <w:r>
        <w:rPr>
          <w:rFonts w:hint="eastAsia" w:cs="宋体"/>
          <w:color w:val="auto"/>
          <w:sz w:val="24"/>
          <w:szCs w:val="24"/>
          <w:highlight w:val="none"/>
        </w:rPr>
        <w:t>、设备出口管路能保持恒压。设备自动运行，自动加减泵，无须专人值班。变频器依次控制每台泵，各泵循环变频运行，软起动，软停止，有效防止水锤现象，管路水流平稳，压力稳定。系统工作参数可人工现场设定。各泵互为备用，主泵故障时备泵自投。各泵具有定时交换功能，轮换运转，均衡使用时间，避免有的泵长期不用而锈死，有的泵始终运转而频繁更换其易损件。不用水时，设备具有休眠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7</w:t>
      </w:r>
      <w:r>
        <w:rPr>
          <w:rFonts w:hint="eastAsia" w:cs="宋体"/>
          <w:color w:val="auto"/>
          <w:sz w:val="24"/>
          <w:szCs w:val="24"/>
          <w:highlight w:val="none"/>
        </w:rPr>
        <w:t>、系统具有过流，过载，过压，缺相，接地等保护功能。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8</w:t>
      </w:r>
      <w:r>
        <w:rPr>
          <w:rFonts w:hint="eastAsia" w:cs="宋体"/>
          <w:color w:val="auto"/>
          <w:sz w:val="24"/>
          <w:szCs w:val="24"/>
          <w:highlight w:val="none"/>
        </w:rPr>
        <w:t>、供水系统必须有无线远程网络监控功能，要求必须能分别监控并显示供水系统中的各个关键点的工作压力、设定压力，自来水的进水压力，各台水泵的工作电流、频率等参数，并具有预警及报警处理功能。实现</w:t>
      </w:r>
      <w:r>
        <w:rPr>
          <w:color w:val="auto"/>
          <w:sz w:val="24"/>
          <w:szCs w:val="24"/>
          <w:highlight w:val="none"/>
        </w:rPr>
        <w:t>24</w:t>
      </w:r>
      <w:r>
        <w:rPr>
          <w:rFonts w:hint="eastAsia" w:cs="宋体"/>
          <w:color w:val="auto"/>
          <w:sz w:val="24"/>
          <w:szCs w:val="24"/>
          <w:highlight w:val="none"/>
        </w:rPr>
        <w:t>小时实时监测、记录水泵电流、出水压力、水泵工作状态、变频器的运行频率以及故障报警状态等技术参数，保证现场数据的准确率为</w:t>
      </w:r>
      <w:r>
        <w:rPr>
          <w:color w:val="auto"/>
          <w:sz w:val="24"/>
          <w:szCs w:val="24"/>
          <w:highlight w:val="none"/>
        </w:rPr>
        <w:t>100%</w:t>
      </w:r>
      <w:r>
        <w:rPr>
          <w:rFonts w:hint="eastAsia"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9</w:t>
      </w:r>
      <w:r>
        <w:rPr>
          <w:rFonts w:hint="eastAsia" w:cs="宋体"/>
          <w:color w:val="auto"/>
          <w:sz w:val="24"/>
          <w:szCs w:val="24"/>
          <w:highlight w:val="none"/>
        </w:rPr>
        <w:t>、无负压给水设备应具备水泵超压保护功能，防止压力超高破坏管道。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10</w:t>
      </w:r>
      <w:r>
        <w:rPr>
          <w:rFonts w:hint="eastAsia" w:cs="宋体"/>
          <w:color w:val="auto"/>
          <w:sz w:val="24"/>
          <w:szCs w:val="24"/>
          <w:highlight w:val="none"/>
        </w:rPr>
        <w:t>、无负压给水设备应具备多重防止水锤功能，防止突然停机产生的水锤破坏管道（应详细阐述每种水锤，包括二次水锤防护原理）。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sz w:val="24"/>
          <w:szCs w:val="24"/>
          <w:highlight w:val="none"/>
        </w:rPr>
      </w:pPr>
      <w:r>
        <w:rPr>
          <w:color w:val="auto"/>
          <w:sz w:val="24"/>
          <w:szCs w:val="24"/>
          <w:highlight w:val="none"/>
        </w:rPr>
        <w:t>11</w:t>
      </w:r>
      <w:r>
        <w:rPr>
          <w:rFonts w:hint="eastAsia" w:cs="宋体"/>
          <w:color w:val="auto"/>
          <w:sz w:val="24"/>
          <w:szCs w:val="24"/>
          <w:highlight w:val="none"/>
        </w:rPr>
        <w:t>、设备应具有真彩触摸屏界面，触摸屏具有设备运行的组态显示：</w:t>
      </w:r>
      <w:r>
        <w:rPr>
          <w:color w:val="auto"/>
          <w:sz w:val="24"/>
          <w:szCs w:val="24"/>
          <w:highlight w:val="none"/>
        </w:rPr>
        <w:t xml:space="preserve"> </w:t>
      </w:r>
      <w:r>
        <w:rPr>
          <w:rFonts w:hint="eastAsia" w:cs="宋体"/>
          <w:color w:val="auto"/>
          <w:sz w:val="24"/>
          <w:szCs w:val="24"/>
          <w:highlight w:val="none"/>
        </w:rPr>
        <w:t>市政管网的动态压力、</w:t>
      </w:r>
      <w:r>
        <w:rPr>
          <w:color w:val="auto"/>
          <w:sz w:val="24"/>
          <w:szCs w:val="24"/>
          <w:highlight w:val="none"/>
        </w:rPr>
        <w:t xml:space="preserve"> </w:t>
      </w:r>
      <w:r>
        <w:rPr>
          <w:rFonts w:hint="eastAsia" w:cs="宋体"/>
          <w:color w:val="auto"/>
          <w:sz w:val="24"/>
          <w:szCs w:val="24"/>
          <w:highlight w:val="none"/>
        </w:rPr>
        <w:t>出水口的动态压力、</w:t>
      </w:r>
      <w:r>
        <w:rPr>
          <w:color w:val="auto"/>
          <w:sz w:val="24"/>
          <w:szCs w:val="24"/>
          <w:highlight w:val="none"/>
        </w:rPr>
        <w:t xml:space="preserve"> </w:t>
      </w:r>
      <w:r>
        <w:rPr>
          <w:rFonts w:hint="eastAsia" w:cs="宋体"/>
          <w:color w:val="auto"/>
          <w:sz w:val="24"/>
          <w:szCs w:val="24"/>
          <w:highlight w:val="none"/>
        </w:rPr>
        <w:t>管网超压报警、故障记录、每台泵的运行时间记录、设备运行动态演示等等。设备参数的设定能完全在触摸屏上完成。</w:t>
      </w:r>
    </w:p>
    <w:p>
      <w:pPr>
        <w:spacing w:line="360" w:lineRule="auto"/>
        <w:rPr>
          <w:b/>
          <w:bCs/>
          <w:color w:val="auto"/>
          <w:sz w:val="24"/>
          <w:szCs w:val="24"/>
          <w:highlight w:val="none"/>
        </w:rPr>
      </w:pPr>
      <w:r>
        <w:rPr>
          <w:rFonts w:hint="eastAsia" w:cs="宋体"/>
          <w:b/>
          <w:bCs/>
          <w:color w:val="auto"/>
          <w:sz w:val="24"/>
          <w:szCs w:val="24"/>
          <w:highlight w:val="none"/>
        </w:rPr>
        <w:t>（以上所有内容需提供经</w:t>
      </w:r>
      <w:r>
        <w:rPr>
          <w:b/>
          <w:bCs/>
          <w:color w:val="auto"/>
          <w:sz w:val="24"/>
          <w:szCs w:val="24"/>
          <w:highlight w:val="none"/>
        </w:rPr>
        <w:t>CMA</w:t>
      </w:r>
      <w:r>
        <w:rPr>
          <w:rFonts w:hint="eastAsia" w:cs="宋体"/>
          <w:b/>
          <w:bCs/>
          <w:color w:val="auto"/>
          <w:sz w:val="24"/>
          <w:szCs w:val="24"/>
          <w:highlight w:val="none"/>
        </w:rPr>
        <w:t>或</w:t>
      </w:r>
      <w:r>
        <w:rPr>
          <w:b/>
          <w:bCs/>
          <w:color w:val="auto"/>
          <w:sz w:val="24"/>
          <w:szCs w:val="24"/>
          <w:highlight w:val="none"/>
        </w:rPr>
        <w:t>CNAS</w:t>
      </w:r>
      <w:r>
        <w:rPr>
          <w:rFonts w:hint="eastAsia" w:cs="宋体"/>
          <w:b/>
          <w:bCs/>
          <w:color w:val="auto"/>
          <w:sz w:val="24"/>
          <w:szCs w:val="24"/>
          <w:highlight w:val="none"/>
        </w:rPr>
        <w:t>认证的检测报告作为证明，检测报告颁发时间应在招标文件公布之前。）</w:t>
      </w:r>
    </w:p>
    <w:p>
      <w:pPr>
        <w:spacing w:line="360" w:lineRule="auto"/>
        <w:ind w:firstLine="480" w:firstLineChars="200"/>
        <w:rPr>
          <w:color w:val="auto"/>
          <w:sz w:val="24"/>
          <w:szCs w:val="24"/>
          <w:highlight w:val="none"/>
        </w:rPr>
      </w:pPr>
      <w:r>
        <w:rPr>
          <w:color w:val="auto"/>
          <w:sz w:val="24"/>
          <w:szCs w:val="24"/>
          <w:highlight w:val="none"/>
        </w:rPr>
        <w:t>12</w:t>
      </w:r>
      <w:r>
        <w:rPr>
          <w:rFonts w:hint="eastAsia" w:cs="宋体"/>
          <w:color w:val="auto"/>
          <w:sz w:val="24"/>
          <w:szCs w:val="24"/>
          <w:highlight w:val="none"/>
        </w:rPr>
        <w:t>、控制要求</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1</w:t>
      </w:r>
      <w:r>
        <w:rPr>
          <w:rFonts w:hint="eastAsia" w:cs="宋体"/>
          <w:color w:val="auto"/>
          <w:sz w:val="24"/>
          <w:szCs w:val="24"/>
          <w:highlight w:val="none"/>
        </w:rPr>
        <w:t>）控制方式：设备需有手动</w:t>
      </w:r>
      <w:r>
        <w:rPr>
          <w:color w:val="auto"/>
          <w:sz w:val="24"/>
          <w:szCs w:val="24"/>
          <w:highlight w:val="none"/>
        </w:rPr>
        <w:t>/</w:t>
      </w:r>
      <w:r>
        <w:rPr>
          <w:rFonts w:hint="eastAsia" w:cs="宋体"/>
          <w:color w:val="auto"/>
          <w:sz w:val="24"/>
          <w:szCs w:val="24"/>
          <w:highlight w:val="none"/>
        </w:rPr>
        <w:t>自动及远程操作控制功能。</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2</w:t>
      </w:r>
      <w:r>
        <w:rPr>
          <w:rFonts w:hint="eastAsia" w:cs="宋体"/>
          <w:color w:val="auto"/>
          <w:sz w:val="24"/>
          <w:szCs w:val="24"/>
          <w:highlight w:val="none"/>
        </w:rPr>
        <w:t>）设备必须有自动稳压给水功能，稳压给水时压力控制误差不得过</w:t>
      </w:r>
      <w:r>
        <w:rPr>
          <w:color w:val="auto"/>
          <w:sz w:val="24"/>
          <w:szCs w:val="24"/>
          <w:highlight w:val="none"/>
        </w:rPr>
        <w:t>0.01MP</w:t>
      </w:r>
      <w:r>
        <w:rPr>
          <w:rFonts w:hint="eastAsia" w:cs="宋体"/>
          <w:color w:val="auto"/>
          <w:sz w:val="24"/>
          <w:szCs w:val="24"/>
          <w:highlight w:val="none"/>
        </w:rPr>
        <w:t>，水泵应能自动交换运行，且切换设定的时间误差不应超过</w:t>
      </w:r>
      <w:r>
        <w:rPr>
          <w:color w:val="auto"/>
          <w:sz w:val="24"/>
          <w:szCs w:val="24"/>
          <w:highlight w:val="none"/>
        </w:rPr>
        <w:t>±30S</w:t>
      </w:r>
      <w:r>
        <w:rPr>
          <w:rFonts w:hint="eastAsia" w:cs="宋体"/>
          <w:color w:val="auto"/>
          <w:sz w:val="24"/>
          <w:szCs w:val="24"/>
          <w:highlight w:val="none"/>
        </w:rPr>
        <w:t>。</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3</w:t>
      </w:r>
      <w:r>
        <w:rPr>
          <w:rFonts w:hint="eastAsia" w:cs="宋体"/>
          <w:color w:val="auto"/>
          <w:sz w:val="24"/>
          <w:szCs w:val="24"/>
          <w:highlight w:val="none"/>
        </w:rPr>
        <w:t>）设备在额定供水流量及压力条件下，连续运转不少于</w:t>
      </w:r>
      <w:r>
        <w:rPr>
          <w:color w:val="auto"/>
          <w:sz w:val="24"/>
          <w:szCs w:val="24"/>
          <w:highlight w:val="none"/>
        </w:rPr>
        <w:t>12h</w:t>
      </w:r>
      <w:r>
        <w:rPr>
          <w:rFonts w:hint="eastAsia" w:cs="宋体"/>
          <w:color w:val="auto"/>
          <w:sz w:val="24"/>
          <w:szCs w:val="24"/>
          <w:highlight w:val="none"/>
        </w:rPr>
        <w:t>后，各部件不能影响正常运行的故障，且水泵运转无杂音和其他异常现象。</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4</w:t>
      </w:r>
      <w:r>
        <w:rPr>
          <w:rFonts w:hint="eastAsia" w:cs="宋体"/>
          <w:color w:val="auto"/>
          <w:sz w:val="24"/>
          <w:szCs w:val="24"/>
          <w:highlight w:val="none"/>
        </w:rPr>
        <w:t>）设备必须有过压、缺相、短路、过流等故障报警及自动保护功能，对可恢复的故障应能自动或手动消除，恢复正常运行。</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5</w:t>
      </w:r>
      <w:r>
        <w:rPr>
          <w:rFonts w:hint="eastAsia" w:cs="宋体"/>
          <w:color w:val="auto"/>
          <w:sz w:val="24"/>
          <w:szCs w:val="24"/>
          <w:highlight w:val="none"/>
        </w:rPr>
        <w:t>）设备需有故障报警和报警记忆功能，故障报警应及时准确。</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6</w:t>
      </w:r>
      <w:r>
        <w:rPr>
          <w:rFonts w:hint="eastAsia" w:cs="宋体"/>
          <w:color w:val="auto"/>
          <w:sz w:val="24"/>
          <w:szCs w:val="24"/>
          <w:highlight w:val="none"/>
        </w:rPr>
        <w:t>）设备要有抗干扰能力，对于管网瞬时压力波动，系统能进行识别，保证设备不频繁启动和停机。</w:t>
      </w:r>
    </w:p>
    <w:p>
      <w:pPr>
        <w:spacing w:line="360" w:lineRule="auto"/>
        <w:ind w:firstLine="480" w:firstLineChars="200"/>
        <w:rPr>
          <w:color w:val="auto"/>
          <w:sz w:val="24"/>
          <w:szCs w:val="24"/>
          <w:highlight w:val="none"/>
        </w:rPr>
      </w:pPr>
      <w:r>
        <w:rPr>
          <w:rFonts w:hint="eastAsia" w:cs="宋体"/>
          <w:color w:val="auto"/>
          <w:sz w:val="24"/>
          <w:szCs w:val="24"/>
          <w:highlight w:val="none"/>
        </w:rPr>
        <w:t>（</w:t>
      </w:r>
      <w:r>
        <w:rPr>
          <w:color w:val="auto"/>
          <w:sz w:val="24"/>
          <w:szCs w:val="24"/>
          <w:highlight w:val="none"/>
        </w:rPr>
        <w:t>7</w:t>
      </w:r>
      <w:r>
        <w:rPr>
          <w:rFonts w:hint="eastAsia" w:cs="宋体"/>
          <w:color w:val="auto"/>
          <w:sz w:val="24"/>
          <w:szCs w:val="24"/>
          <w:highlight w:val="none"/>
        </w:rPr>
        <w:t>）设备必须有在用水低峰期或夜间小流量时能自动切换为小流量停机保压的工作状态，即设备必须有小流量停机保压功能。当出水流量或压力满足时让水泵工作在最佳工况段。</w:t>
      </w:r>
    </w:p>
    <w:p>
      <w:pPr>
        <w:spacing w:line="360" w:lineRule="auto"/>
        <w:ind w:firstLine="480" w:firstLineChars="200"/>
        <w:rPr>
          <w:rFonts w:hint="eastAsia" w:ascii="宋体" w:hAnsi="宋体" w:eastAsia="宋体" w:cs="宋体"/>
          <w:b/>
          <w:color w:val="auto"/>
          <w:sz w:val="28"/>
          <w:szCs w:val="28"/>
        </w:rPr>
      </w:pPr>
      <w:r>
        <w:rPr>
          <w:rFonts w:hint="eastAsia" w:cs="宋体"/>
          <w:color w:val="auto"/>
          <w:sz w:val="24"/>
          <w:szCs w:val="24"/>
          <w:highlight w:val="none"/>
        </w:rPr>
        <w:t>（</w:t>
      </w:r>
      <w:r>
        <w:rPr>
          <w:color w:val="auto"/>
          <w:sz w:val="24"/>
          <w:szCs w:val="24"/>
          <w:highlight w:val="none"/>
        </w:rPr>
        <w:t>8</w:t>
      </w:r>
      <w:r>
        <w:rPr>
          <w:rFonts w:hint="eastAsia" w:cs="宋体"/>
          <w:color w:val="auto"/>
          <w:sz w:val="24"/>
          <w:szCs w:val="24"/>
          <w:highlight w:val="none"/>
        </w:rPr>
        <w:t>）设备的工作泵出现故障时，其他泵应能自动投入运行。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w:t>
      </w:r>
      <w:r>
        <w:rPr>
          <w:rFonts w:hint="eastAsia" w:ascii="宋体" w:hAnsi="宋体" w:eastAsia="宋体" w:cs="宋体"/>
          <w:b/>
          <w:color w:val="auto"/>
          <w:sz w:val="28"/>
          <w:szCs w:val="28"/>
          <w:lang w:val="en-US" w:eastAsia="zh-CN"/>
        </w:rPr>
        <w:t>三</w:t>
      </w:r>
      <w:r>
        <w:rPr>
          <w:rFonts w:hint="eastAsia" w:ascii="宋体" w:hAnsi="宋体" w:eastAsia="宋体" w:cs="宋体"/>
          <w:b/>
          <w:color w:val="auto"/>
          <w:sz w:val="28"/>
          <w:szCs w:val="28"/>
        </w:rPr>
        <w:t>）</w:t>
      </w:r>
      <w:r>
        <w:rPr>
          <w:rFonts w:hint="eastAsia" w:ascii="宋体" w:hAnsi="宋体" w:eastAsia="宋体" w:cs="宋体"/>
          <w:b/>
          <w:color w:val="auto"/>
          <w:sz w:val="28"/>
          <w:szCs w:val="28"/>
          <w:lang w:eastAsia="zh-CN"/>
        </w:rPr>
        <w:t>、</w:t>
      </w:r>
      <w:r>
        <w:rPr>
          <w:rFonts w:hint="eastAsia" w:ascii="宋体" w:hAnsi="宋体" w:eastAsia="宋体" w:cs="宋体"/>
          <w:b/>
          <w:color w:val="auto"/>
          <w:sz w:val="28"/>
          <w:szCs w:val="28"/>
        </w:rPr>
        <w:t>PE管</w:t>
      </w:r>
      <w:r>
        <w:rPr>
          <w:rFonts w:hint="eastAsia" w:ascii="宋体" w:hAnsi="宋体" w:eastAsia="宋体" w:cs="宋体"/>
          <w:b/>
          <w:color w:val="auto"/>
          <w:sz w:val="28"/>
          <w:szCs w:val="28"/>
          <w:lang w:val="en-US" w:eastAsia="zh-CN"/>
        </w:rPr>
        <w:t>安装</w:t>
      </w:r>
      <w:r>
        <w:rPr>
          <w:rFonts w:hint="eastAsia" w:ascii="宋体" w:hAnsi="宋体" w:eastAsia="宋体" w:cs="宋体"/>
          <w:b/>
          <w:color w:val="auto"/>
          <w:sz w:val="28"/>
          <w:szCs w:val="28"/>
        </w:rPr>
        <w:t>技术要求</w:t>
      </w:r>
    </w:p>
    <w:p>
      <w:pPr>
        <w:spacing w:line="360" w:lineRule="auto"/>
        <w:ind w:firstLine="480" w:firstLineChars="200"/>
        <w:rPr>
          <w:rFonts w:hint="eastAsia" w:cs="宋体"/>
          <w:color w:val="auto"/>
          <w:sz w:val="24"/>
          <w:szCs w:val="24"/>
          <w:highlight w:val="none"/>
        </w:rPr>
      </w:pPr>
      <w:r>
        <w:rPr>
          <w:rFonts w:hint="eastAsia" w:cs="宋体"/>
          <w:color w:val="auto"/>
          <w:sz w:val="24"/>
          <w:szCs w:val="24"/>
          <w:highlight w:val="none"/>
        </w:rPr>
        <w:t>1、乙方提供的管材及配件必须符合中华人民共和国国家及行业标准。</w:t>
      </w:r>
    </w:p>
    <w:p>
      <w:pPr>
        <w:spacing w:line="360" w:lineRule="auto"/>
        <w:ind w:firstLine="480" w:firstLineChars="200"/>
        <w:rPr>
          <w:rFonts w:hint="eastAsia" w:cs="宋体"/>
          <w:color w:val="auto"/>
          <w:sz w:val="24"/>
          <w:szCs w:val="24"/>
          <w:highlight w:val="none"/>
        </w:rPr>
      </w:pPr>
      <w:r>
        <w:rPr>
          <w:rFonts w:hint="eastAsia" w:cs="宋体"/>
          <w:color w:val="auto"/>
          <w:sz w:val="24"/>
          <w:szCs w:val="24"/>
          <w:highlight w:val="none"/>
        </w:rPr>
        <w:t>2、乙方提供的管材及配件必须是全新的。</w:t>
      </w:r>
    </w:p>
    <w:p>
      <w:pPr>
        <w:spacing w:line="360" w:lineRule="auto"/>
        <w:ind w:firstLine="480" w:firstLineChars="200"/>
        <w:rPr>
          <w:rFonts w:hint="eastAsia" w:cs="宋体"/>
          <w:color w:val="auto"/>
          <w:sz w:val="24"/>
          <w:szCs w:val="24"/>
          <w:highlight w:val="none"/>
        </w:rPr>
      </w:pPr>
      <w:r>
        <w:rPr>
          <w:rFonts w:hint="eastAsia" w:cs="宋体"/>
          <w:color w:val="auto"/>
          <w:sz w:val="24"/>
          <w:szCs w:val="24"/>
          <w:highlight w:val="none"/>
        </w:rPr>
        <w:t>3、仓库中管材及配件经检测合格并经甲方同意后再按规定期限运抵各工程所在村。在乙方提供的管材及配件的质量问题发生争议时，由使用单位送有资质的第三方进行质量鉴定。鉴定后若管材及配件符合质量标准的，鉴定费由甲方承担；不符合质量标准的，鉴定费由乙方承担。</w:t>
      </w:r>
    </w:p>
    <w:p>
      <w:pPr>
        <w:spacing w:line="360" w:lineRule="auto"/>
        <w:ind w:firstLine="480" w:firstLineChars="200"/>
        <w:rPr>
          <w:rFonts w:hint="eastAsia" w:cs="宋体"/>
          <w:color w:val="auto"/>
          <w:sz w:val="24"/>
          <w:szCs w:val="24"/>
          <w:highlight w:val="none"/>
        </w:rPr>
      </w:pPr>
      <w:r>
        <w:rPr>
          <w:rFonts w:hint="eastAsia" w:cs="宋体"/>
          <w:color w:val="auto"/>
          <w:sz w:val="24"/>
          <w:szCs w:val="24"/>
          <w:highlight w:val="none"/>
        </w:rPr>
        <w:t xml:space="preserve">4、范围：规定用聚乙烯树脂为主要原料的材料，经挤出成型的给水用聚乙烯管材（以下简称管材）的产品规格、技术要求、试验方法、检验规则、标志、包装、运输、贮存。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（四）、阀门、管路补偿接头及闸门结构及技术要求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4.1、</w:t>
      </w:r>
      <w:r>
        <w:rPr>
          <w:rFonts w:hint="eastAsia" w:ascii="宋体" w:hAnsi="宋体" w:eastAsia="宋体" w:cs="宋体"/>
          <w:color w:val="auto"/>
          <w:sz w:val="24"/>
          <w:szCs w:val="24"/>
        </w:rPr>
        <w:t>弹性座封闸阀结构及技术要求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（1）基本技术要求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弹性座封软密封闸阀，其主要由阀体、闸板、阀杆、阀盖、止推轴承、压盖等部件组成。</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主要技术参数</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型式：弹性座封软密封法兰式闸阀</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公称压力：1.0Mpa</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强度试验：1.5倍公称压力</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密封试验：1.1倍公称压力</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适用介质：水、污水、污泥、颗粒料浆及弱腐蚀性流体</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适用温度：0℃—65℃</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适用PH值：4—9</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介质流速：＜2.5～6m/s</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漏失率：0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闸阀的结构长度：GB12221—2005标准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（2）主要结构要求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1）阀体、阀盖、闸板</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①阀体、阀盖、闸板骨架的材质均为球墨铸铁QT450－10，符合GB12227-2005规定的技术条件。阀体、阀盖、闸板均进行热处理以消除内应力，商标及材质牌号铸在阀体上。</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②法兰的材质与阀体一致，均为球墨铸铁QT450－10，法兰与阀体铸为一体，法兰的连接尺寸按照GB/T17241.6-2008的有关规定执行。</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③阀体采用全流域直通式设计，即平底式阀座，不易堆积杂物，密封可靠。</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④阀体和阀盖采用精密铸造而成，直接保证了铸件精确的几何尺寸和密封面的表面质量，使密封面无需任何精加工即可保证密封性能。</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⑤阀体的最小壁厚保证在1.5倍的壳体试验下，所有的部件不发生变形。</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⑥以球墨铸铁为骨架的闸板，利用最新的硫化技术内外表面完全包覆三元乙丙烯橡胶EPDM，包胶贴合紧密、几何尺寸精确，密封弹性佳，彻底将闸板金属与流体隔离。</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2）阀杆、螺母</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①阀杆材质为不锈钢s304。</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②阀杆螺母的材质为铝青铜ZcuAL10Fe3。</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3）轴承</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采用止推轴承，材料采用铝青铜ZcuAL10Fe3。</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4）密封</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①阀体与阀盖的密封：采用丁晴橡胶（NBR）或三元乙丙烯EPDM密封圈密封。</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阀杆与阀盖的密封：采用3道“O”型丁晴橡胶NBR密封圈密封，密封紧密，磨擦阻力小。还可使阀门处于任何开度有压力且不断水的情况下，均可轻易更换两道“O”型密封圈，且阀杆有安全锁定功能，确保施工安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③阀体与闸板、阀体与阀盖、阀杆与阀盖的密封试验均符合</w:t>
      </w:r>
      <w:r>
        <w:rPr>
          <w:rFonts w:hint="eastAsia" w:ascii="宋体" w:hAnsi="宋体" w:eastAsia="宋体" w:cs="宋体"/>
          <w:color w:val="auto"/>
          <w:sz w:val="24"/>
          <w:szCs w:val="24"/>
          <w:lang w:val="en-US" w:eastAsia="zh-CN"/>
        </w:rPr>
        <w:t>国家标准</w:t>
      </w:r>
      <w:r>
        <w:rPr>
          <w:rFonts w:hint="eastAsia" w:ascii="宋体" w:hAnsi="宋体" w:eastAsia="宋体" w:cs="宋体"/>
          <w:color w:val="auto"/>
          <w:sz w:val="24"/>
          <w:szCs w:val="24"/>
        </w:rPr>
        <w:t>的规定。</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5）阀门传动机构</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手轮采用球墨铸铁QT450—10制造，手轮是可卸式的。手轮安装在阀门顶部，操作设计成水平方向运转，操作方向顺时针为关闭，逆时针为开启。手轮注明开启和关门方向。手轮的表面光滑、没有毛刺、凹坑、凸起等表面质量缺陷。</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②在额定压力下人工操作手轮开启或关闭的最大作用力小于20N.M。</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③所有传动机构的受力部件能经受2倍的额定力矩而无任何损伤。</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④所有室外阀门手轮必须尽量贴近地面以便于人员操作。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6）涂层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防腐前的阀体与阀盖内、外表面进行喷砂除锈，达到Sa2.5级，之后将铸件加热至175℃后才进行静电喷涂环氧树脂粉末工艺，最后烘干固化，内外烤漆，涂层厚度为：0.3—0.6mm之间。保证涂层厚度均匀、色泽均一，涂层表面保持光洁，无流痕。阀门外观颜色均采用蓝色。</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7）卫生指标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阀门所有零部件、密封件、防腐涂料均不采用可能对自来水造成污染的材料，阀门材料符合</w:t>
      </w:r>
      <w:r>
        <w:rPr>
          <w:rFonts w:hint="eastAsia" w:ascii="宋体" w:hAnsi="宋体" w:eastAsia="宋体" w:cs="宋体"/>
          <w:color w:val="auto"/>
          <w:sz w:val="24"/>
          <w:szCs w:val="24"/>
          <w:lang w:val="en-US" w:eastAsia="zh-CN"/>
        </w:rPr>
        <w:t>国家标准</w:t>
      </w:r>
      <w:r>
        <w:rPr>
          <w:rFonts w:hint="eastAsia" w:ascii="宋体" w:hAnsi="宋体" w:eastAsia="宋体" w:cs="宋体"/>
          <w:color w:val="auto"/>
          <w:sz w:val="24"/>
          <w:szCs w:val="24"/>
        </w:rPr>
        <w:t>要求。提供内外防腐材料的成分、物理化学性能检测报告，内防腐要提供国家卫生部颁发的可用于饮用水的证书。</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8）其它要求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①运至现场的密封圈没有任何损坏现象，并且在阀门安装、使用过程中没有松动，脱落、渗漏现象。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注：其余部件在无明确要求的情况下可由投标人根据设备的使用环境及自身的制作经验，合理确定设备其他部件的材质，并在投标文件中予以明确。</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bCs/>
          <w:color w:val="auto"/>
          <w:sz w:val="24"/>
          <w:szCs w:val="24"/>
        </w:rPr>
      </w:pPr>
      <w:r>
        <w:rPr>
          <w:rFonts w:hint="eastAsia" w:ascii="宋体" w:hAnsi="宋体" w:cs="宋体"/>
          <w:b/>
          <w:bCs/>
          <w:color w:val="auto"/>
          <w:sz w:val="24"/>
          <w:szCs w:val="24"/>
        </w:rPr>
        <w:t>管路补偿接头的结构及技术要求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 xml:space="preserve">    1</w:t>
      </w:r>
      <w:r>
        <w:rPr>
          <w:rFonts w:hint="eastAsia" w:ascii="宋体" w:hAnsi="宋体" w:cs="宋体"/>
          <w:color w:val="auto"/>
          <w:sz w:val="24"/>
          <w:szCs w:val="24"/>
          <w:lang w:eastAsia="zh-CN"/>
        </w:rPr>
        <w:t>、</w:t>
      </w:r>
      <w:r>
        <w:rPr>
          <w:rFonts w:hint="eastAsia" w:ascii="宋体" w:hAnsi="宋体" w:cs="宋体"/>
          <w:color w:val="auto"/>
          <w:sz w:val="24"/>
          <w:szCs w:val="24"/>
        </w:rPr>
        <w:t>基本技术要求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 xml:space="preserve">    本工程采购的补偿接头型式有双法兰松套限位伸缩接头和双法兰松套传力接头两种，其主要有本体（套盘）、密封圈、压盘、限位伸缩管/短管法兰、螺栓螺母等部件组成。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 xml:space="preserve">   （1）符合GB/T12465-2007等现行有关标准的要求。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 xml:space="preserve">   （2）产品制造公差应符合国家标准，相同部件具有互换性，外观无缺陷。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 xml:space="preserve">   （3）补偿接头内、外表面宜采用环氧树脂粉末静电喷涂，涂层固化后应不溶解于水，不影响水质。内表面涂层厚度不小于0.25mm，外表面涂层厚度不小于0.15mm。涂层表面应光滑、均匀，无杂物混入、针孔、漏喷等缺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 xml:space="preserve">   （4）出厂应经密封测试等检测，附检测报告。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 xml:space="preserve">   （5）铭牌与标志：铭牌应为印压式，刻在金属板上，并将其固定在产品醒目位置。铭牌上应有产品名称、型号、规格、公称压力及制造厂家名称等。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 xml:space="preserve">   2</w:t>
      </w:r>
      <w:r>
        <w:rPr>
          <w:rFonts w:hint="eastAsia" w:ascii="宋体" w:hAnsi="宋体" w:cs="宋体"/>
          <w:color w:val="auto"/>
          <w:sz w:val="24"/>
          <w:szCs w:val="24"/>
          <w:lang w:eastAsia="zh-CN"/>
        </w:rPr>
        <w:t>、</w:t>
      </w:r>
      <w:r>
        <w:rPr>
          <w:rFonts w:hint="eastAsia" w:ascii="宋体" w:hAnsi="宋体" w:cs="宋体"/>
          <w:color w:val="auto"/>
          <w:sz w:val="24"/>
          <w:szCs w:val="24"/>
        </w:rPr>
        <w:t>主要技术参数</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3841"/>
        <w:gridCol w:w="3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序号</w:t>
            </w:r>
          </w:p>
        </w:tc>
        <w:tc>
          <w:tcPr>
            <w:tcW w:w="76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1</w:t>
            </w:r>
          </w:p>
        </w:tc>
        <w:tc>
          <w:tcPr>
            <w:tcW w:w="38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公称压力</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1.0MPa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2</w:t>
            </w:r>
          </w:p>
        </w:tc>
        <w:tc>
          <w:tcPr>
            <w:tcW w:w="38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壳体试验压力</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1.5倍公称压力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3</w:t>
            </w:r>
          </w:p>
        </w:tc>
        <w:tc>
          <w:tcPr>
            <w:tcW w:w="38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密封试验压力</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1.25倍公称压力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4</w:t>
            </w:r>
          </w:p>
        </w:tc>
        <w:tc>
          <w:tcPr>
            <w:tcW w:w="38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适用介质</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水、污水、空气等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5</w:t>
            </w:r>
          </w:p>
        </w:tc>
        <w:tc>
          <w:tcPr>
            <w:tcW w:w="3841"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适用温度</w:t>
            </w:r>
          </w:p>
        </w:tc>
        <w:tc>
          <w:tcPr>
            <w:tcW w:w="380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-15℃—80℃</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主要零部件材质</w:t>
      </w:r>
    </w:p>
    <w:tbl>
      <w:tblPr>
        <w:tblStyle w:val="6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3833"/>
        <w:gridCol w:w="3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序号</w:t>
            </w:r>
          </w:p>
        </w:tc>
        <w:tc>
          <w:tcPr>
            <w:tcW w:w="7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主要零部件材质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1</w:t>
            </w:r>
          </w:p>
        </w:tc>
        <w:tc>
          <w:tcPr>
            <w:tcW w:w="38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本体（套盘）</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球墨铸铁QT450-10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2</w:t>
            </w:r>
          </w:p>
        </w:tc>
        <w:tc>
          <w:tcPr>
            <w:tcW w:w="38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密封圈</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丁腈橡胶NBR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3</w:t>
            </w:r>
          </w:p>
        </w:tc>
        <w:tc>
          <w:tcPr>
            <w:tcW w:w="38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压盘</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球墨铸铁QT450-10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4</w:t>
            </w:r>
          </w:p>
        </w:tc>
        <w:tc>
          <w:tcPr>
            <w:tcW w:w="38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限位伸缩管/短管法兰</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球墨铸铁QT450-10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5</w:t>
            </w:r>
          </w:p>
        </w:tc>
        <w:tc>
          <w:tcPr>
            <w:tcW w:w="38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螺栓</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碳钢45#镀锌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6</w:t>
            </w:r>
          </w:p>
        </w:tc>
        <w:tc>
          <w:tcPr>
            <w:tcW w:w="38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螺母</w:t>
            </w:r>
          </w:p>
        </w:tc>
        <w:tc>
          <w:tcPr>
            <w:tcW w:w="37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碳钢Q235A镀锌</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 xml:space="preserve">    注：其余部件在无明确要求的情况下可由投标人根据设备的使用环境及自身的制作经验，合理确定设备其他部件的材质，并在投标文件中予以明确。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4</w:t>
      </w:r>
      <w:r>
        <w:rPr>
          <w:rFonts w:hint="eastAsia" w:ascii="宋体" w:hAnsi="宋体" w:cs="宋体"/>
          <w:color w:val="auto"/>
          <w:sz w:val="24"/>
          <w:szCs w:val="24"/>
          <w:lang w:eastAsia="zh-CN"/>
        </w:rPr>
        <w:t>、</w:t>
      </w:r>
      <w:r>
        <w:rPr>
          <w:rFonts w:hint="eastAsia" w:ascii="宋体" w:hAnsi="宋体" w:cs="宋体"/>
          <w:color w:val="auto"/>
          <w:sz w:val="24"/>
          <w:szCs w:val="24"/>
        </w:rPr>
        <w:t>允许伸缩量/调节量要求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A</w:t>
      </w:r>
      <w:r>
        <w:rPr>
          <w:rFonts w:hint="eastAsia" w:ascii="宋体" w:hAnsi="宋体" w:cs="宋体"/>
          <w:color w:val="auto"/>
          <w:sz w:val="24"/>
          <w:szCs w:val="24"/>
          <w:lang w:eastAsia="zh-CN"/>
        </w:rPr>
        <w:t>、</w:t>
      </w:r>
      <w:r>
        <w:rPr>
          <w:rFonts w:hint="eastAsia" w:ascii="宋体" w:hAnsi="宋体" w:cs="宋体"/>
          <w:color w:val="auto"/>
          <w:sz w:val="24"/>
          <w:szCs w:val="24"/>
        </w:rPr>
        <w:t>限位伸缩接头</w:t>
      </w:r>
    </w:p>
    <w:tbl>
      <w:tblPr>
        <w:tblStyle w:val="6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4046"/>
        <w:gridCol w:w="4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序号</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公称尺寸DN（mm）</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允许伸缩量（mm）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1</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50～250</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2</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300～700</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3</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800～2400</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4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4</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2600～3000</w:t>
            </w:r>
          </w:p>
        </w:tc>
        <w:tc>
          <w:tcPr>
            <w:tcW w:w="404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140</w:t>
            </w:r>
          </w:p>
        </w:tc>
      </w:tr>
    </w:tbl>
    <w:p>
      <w:pPr>
        <w:spacing w:line="440" w:lineRule="atLeast"/>
        <w:rPr>
          <w:rFonts w:hint="eastAsia" w:ascii="宋体" w:hAnsi="宋体" w:cs="宋体"/>
          <w:color w:val="auto"/>
          <w:sz w:val="24"/>
          <w:szCs w:val="24"/>
        </w:rPr>
      </w:pPr>
      <w:r>
        <w:rPr>
          <w:rFonts w:hint="eastAsia" w:ascii="宋体" w:hAnsi="宋体" w:cs="宋体"/>
          <w:color w:val="auto"/>
          <w:sz w:val="24"/>
          <w:szCs w:val="24"/>
        </w:rPr>
        <w:t>B</w:t>
      </w:r>
      <w:r>
        <w:rPr>
          <w:rFonts w:hint="eastAsia" w:ascii="宋体" w:hAnsi="宋体" w:cs="宋体"/>
          <w:color w:val="auto"/>
          <w:sz w:val="24"/>
          <w:szCs w:val="24"/>
          <w:lang w:eastAsia="zh-CN"/>
        </w:rPr>
        <w:t>、</w:t>
      </w:r>
      <w:r>
        <w:rPr>
          <w:rFonts w:hint="eastAsia" w:ascii="宋体" w:hAnsi="宋体" w:cs="宋体"/>
          <w:color w:val="auto"/>
          <w:sz w:val="24"/>
          <w:szCs w:val="24"/>
        </w:rPr>
        <w:t>传力接头</w:t>
      </w:r>
    </w:p>
    <w:tbl>
      <w:tblPr>
        <w:tblStyle w:val="63"/>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4023"/>
        <w:gridCol w:w="4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序号</w:t>
            </w:r>
          </w:p>
        </w:tc>
        <w:tc>
          <w:tcPr>
            <w:tcW w:w="4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公称尺寸DN（mm）</w:t>
            </w:r>
          </w:p>
        </w:tc>
        <w:tc>
          <w:tcPr>
            <w:tcW w:w="40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允许调节量（mm）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1</w:t>
            </w:r>
          </w:p>
        </w:tc>
        <w:tc>
          <w:tcPr>
            <w:tcW w:w="4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50～250</w:t>
            </w:r>
          </w:p>
        </w:tc>
        <w:tc>
          <w:tcPr>
            <w:tcW w:w="40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2</w:t>
            </w:r>
          </w:p>
        </w:tc>
        <w:tc>
          <w:tcPr>
            <w:tcW w:w="4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300～700</w:t>
            </w:r>
          </w:p>
        </w:tc>
        <w:tc>
          <w:tcPr>
            <w:tcW w:w="40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3</w:t>
            </w:r>
          </w:p>
        </w:tc>
        <w:tc>
          <w:tcPr>
            <w:tcW w:w="4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800～2400</w:t>
            </w:r>
          </w:p>
        </w:tc>
        <w:tc>
          <w:tcPr>
            <w:tcW w:w="40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3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4</w:t>
            </w:r>
          </w:p>
        </w:tc>
        <w:tc>
          <w:tcPr>
            <w:tcW w:w="402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2600～3000</w:t>
            </w:r>
          </w:p>
        </w:tc>
        <w:tc>
          <w:tcPr>
            <w:tcW w:w="402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80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5、试验要求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 xml:space="preserve">    A</w:t>
      </w:r>
      <w:r>
        <w:rPr>
          <w:rFonts w:hint="eastAsia" w:ascii="宋体" w:hAnsi="宋体" w:cs="宋体"/>
          <w:color w:val="auto"/>
          <w:sz w:val="24"/>
          <w:szCs w:val="24"/>
          <w:lang w:eastAsia="zh-CN"/>
        </w:rPr>
        <w:t>、</w:t>
      </w:r>
      <w:r>
        <w:rPr>
          <w:rFonts w:hint="eastAsia" w:ascii="宋体" w:hAnsi="宋体" w:cs="宋体"/>
          <w:color w:val="auto"/>
          <w:sz w:val="24"/>
          <w:szCs w:val="24"/>
        </w:rPr>
        <w:t>补偿接头出厂前在厂内进行强度试验，试验压力为公称压力的1.5倍，保压5分钟，以无渗漏和无结构损伤为合格。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 xml:space="preserve">    B</w:t>
      </w:r>
      <w:r>
        <w:rPr>
          <w:rFonts w:hint="eastAsia" w:ascii="宋体" w:hAnsi="宋体" w:cs="宋体"/>
          <w:color w:val="auto"/>
          <w:sz w:val="24"/>
          <w:szCs w:val="24"/>
          <w:lang w:eastAsia="zh-CN"/>
        </w:rPr>
        <w:t>、</w:t>
      </w:r>
      <w:r>
        <w:rPr>
          <w:rFonts w:hint="eastAsia" w:ascii="宋体" w:hAnsi="宋体" w:cs="宋体"/>
          <w:color w:val="auto"/>
          <w:sz w:val="24"/>
          <w:szCs w:val="24"/>
        </w:rPr>
        <w:t>补偿接头出厂前在厂内进行密封性能试验，试验压力为公称压力的1.25倍，保压5分钟，以无渗漏和无结构损伤为合格。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橡胶接头的结构及技术要求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rPr>
      </w:pPr>
      <w:r>
        <w:rPr>
          <w:rFonts w:hint="eastAsia" w:ascii="宋体" w:hAnsi="宋体" w:cs="宋体"/>
          <w:color w:val="auto"/>
          <w:sz w:val="24"/>
          <w:szCs w:val="24"/>
        </w:rPr>
        <w:t xml:space="preserve">     本工程采购的橡胶接头型式为可曲挠单球体橡胶接头，其主要由外胶层、内胶层、织物增强层、钢丝圈、金属法兰等部件组成。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rPr>
      </w:pPr>
      <w:r>
        <w:rPr>
          <w:rFonts w:hint="eastAsia" w:ascii="宋体" w:hAnsi="宋体" w:cs="宋体"/>
          <w:color w:val="auto"/>
          <w:sz w:val="24"/>
          <w:szCs w:val="24"/>
        </w:rPr>
        <w:t>主要技术参数</w:t>
      </w:r>
    </w:p>
    <w:tbl>
      <w:tblPr>
        <w:tblStyle w:val="63"/>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3825"/>
        <w:gridCol w:w="3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序号</w:t>
            </w:r>
          </w:p>
        </w:tc>
        <w:tc>
          <w:tcPr>
            <w:tcW w:w="761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1</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公称压力</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1.0MPa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2</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爆破压力</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2.0倍公称压力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3</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真空度</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53.3KPa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4</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适用介质</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水、污水、空气等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9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5</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适用温度</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-15℃—115℃</w:t>
            </w:r>
          </w:p>
        </w:tc>
      </w:tr>
    </w:tbl>
    <w:p>
      <w:pPr>
        <w:spacing w:line="440" w:lineRule="atLeast"/>
        <w:ind w:firstLine="480" w:firstLineChars="200"/>
        <w:rPr>
          <w:rFonts w:hint="eastAsia" w:ascii="宋体" w:hAnsi="宋体" w:cs="宋体"/>
          <w:color w:val="auto"/>
          <w:sz w:val="24"/>
          <w:szCs w:val="24"/>
        </w:rPr>
      </w:pPr>
      <w:r>
        <w:rPr>
          <w:rFonts w:hint="eastAsia" w:ascii="宋体" w:hAnsi="宋体" w:cs="宋体"/>
          <w:color w:val="auto"/>
          <w:sz w:val="24"/>
          <w:szCs w:val="24"/>
        </w:rPr>
        <w:t>主要零部件材质</w:t>
      </w:r>
    </w:p>
    <w:tbl>
      <w:tblPr>
        <w:tblStyle w:val="63"/>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825"/>
        <w:gridCol w:w="3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序号</w:t>
            </w:r>
          </w:p>
        </w:tc>
        <w:tc>
          <w:tcPr>
            <w:tcW w:w="761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主要零部件材质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1</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金属法兰</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碳钢Q235A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2</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内、外胶层</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丁苯氯丁橡胶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3</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织物增强层</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聚酯帘布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1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s="宋体"/>
                <w:color w:val="auto"/>
                <w:sz w:val="24"/>
                <w:szCs w:val="24"/>
              </w:rPr>
            </w:pPr>
            <w:r>
              <w:rPr>
                <w:rFonts w:hint="eastAsia" w:ascii="宋体" w:hAnsi="宋体" w:cs="宋体"/>
                <w:color w:val="auto"/>
                <w:sz w:val="24"/>
                <w:szCs w:val="24"/>
              </w:rPr>
              <w:t>4</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钢丝圈（金属环）</w:t>
            </w:r>
          </w:p>
        </w:tc>
        <w:tc>
          <w:tcPr>
            <w:tcW w:w="378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color w:val="auto"/>
                <w:sz w:val="24"/>
                <w:szCs w:val="24"/>
              </w:rPr>
            </w:pPr>
            <w:r>
              <w:rPr>
                <w:rFonts w:hint="eastAsia" w:ascii="宋体" w:hAnsi="宋体" w:cs="宋体"/>
                <w:color w:val="auto"/>
                <w:sz w:val="24"/>
                <w:szCs w:val="24"/>
              </w:rPr>
              <w:t>碳钢Q235A</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color w:val="auto"/>
          <w:sz w:val="28"/>
          <w:szCs w:val="28"/>
          <w:lang w:val="en-US" w:eastAsia="zh-CN"/>
        </w:rPr>
      </w:pPr>
      <w:r>
        <w:rPr>
          <w:rFonts w:hint="eastAsia" w:ascii="宋体" w:hAnsi="宋体" w:eastAsia="宋体" w:cs="宋体"/>
          <w:b/>
          <w:color w:val="auto"/>
          <w:sz w:val="28"/>
          <w:szCs w:val="28"/>
          <w:lang w:val="en-US" w:eastAsia="zh-CN"/>
        </w:rPr>
        <w:t>（五）、电气设备技术规范</w:t>
      </w:r>
      <w:bookmarkStart w:id="31" w:name="_Toc341799693"/>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电气概述</w:t>
      </w:r>
      <w:bookmarkEnd w:id="31"/>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bookmarkStart w:id="32" w:name="_Toc341799694"/>
      <w:r>
        <w:rPr>
          <w:rFonts w:hint="eastAsia" w:ascii="宋体" w:hAnsi="宋体" w:eastAsia="宋体" w:cs="宋体"/>
          <w:color w:val="auto"/>
          <w:sz w:val="24"/>
          <w:szCs w:val="24"/>
        </w:rPr>
        <w:t>1.1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系统描述</w:t>
      </w:r>
      <w:bookmarkEnd w:id="32"/>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负荷等级为二级负荷，设计采用0.4KV电源供电，电源引自总变电所内低压柜备用回路。配电方式采用反射式和树干式相结合，</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本工程采用高供高计，在10KV电源进线测设置专用计量柜及计量仪表。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本工程用电负荷全部为380/220V低压设备。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在总变电所上设集中自动补偿电容器组，低压侧功率因数补偿后达到0.9以上，本工程处理系统不单独设补偿系统。</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bookmarkStart w:id="33" w:name="_Toc341799695"/>
      <w:r>
        <w:rPr>
          <w:rFonts w:hint="eastAsia" w:ascii="宋体" w:hAnsi="宋体" w:eastAsia="宋体" w:cs="宋体"/>
          <w:color w:val="auto"/>
          <w:sz w:val="24"/>
          <w:szCs w:val="24"/>
        </w:rPr>
        <w:t>1.2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电气控制</w:t>
      </w:r>
      <w:bookmarkEnd w:id="33"/>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处理系统控制采用现场自动和现场手动及远程控制三种控制方式，手动采用就地开停，现场设有就地按扭箱，按扭箱随工艺设备厂家配套供货，自动为PLC控制及远程中控控制，转换开关安装于现场按扭箱上。</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bookmarkStart w:id="34" w:name="_Toc341799696"/>
      <w:r>
        <w:rPr>
          <w:rFonts w:hint="eastAsia" w:ascii="宋体" w:hAnsi="宋体" w:eastAsia="宋体" w:cs="宋体"/>
          <w:color w:val="auto"/>
          <w:sz w:val="24"/>
          <w:szCs w:val="24"/>
        </w:rPr>
        <w:t>1.3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防雷接地</w:t>
      </w:r>
      <w:bookmarkEnd w:id="34"/>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建筑物防雷工程是一个系统工程，应根据建筑物的重要性、使用性质、发生雷电事故的可能性和后果因地制宜的采取防雷措施。本工程防雷均按三类建筑物设防。</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防直击雷：沿建筑物屋角、屋脊、屋檐和檐角等易受雷击的部位敷设热镀锌避雷网带进行保护。</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防感应雷：建筑物内的设备、管道、轨道、构架等主要金属物，应就近接至防直击雷接地系统或电气设备的保护接地装置上。</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防雷电波侵入：电缆入户端应将电缆金属外皮、金属管道接地。变配电站高、低压配电母线均装设防雷装置。同时对于计算机、仪表等贵重电子设备采用电源电涌保护器及信号、数据电涌保护器进行双重保护，防止线路和设备过流和过电压，避损坏设备。</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TN-S接地系统</w:t>
      </w:r>
    </w:p>
    <w:p>
      <w:pPr>
        <w:keepNext w:val="0"/>
        <w:keepLines w:val="0"/>
        <w:pageBreakBefore w:val="0"/>
        <w:widowControl w:val="0"/>
        <w:kinsoku/>
        <w:wordWrap/>
        <w:overflowPunct/>
        <w:topLinePunct w:val="0"/>
        <w:autoSpaceDE/>
        <w:autoSpaceDN/>
        <w:bidi w:val="0"/>
        <w:adjustRightInd/>
        <w:spacing w:line="36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本工程0.4/0.23kV低压配电系统采用TN-S接地系统。整个系统的中性线（N）与保护线（PE）分开设置，电力系统有一点直接接地，受电设备的外露导电部份通过保护线与接地点连接。 </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共用接地体系统：防直击雷接地和防雷电感应，电器设备等接地共用同一接地装置，并与埋地金属管道相连。其接地电阻≤1Ω。</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对于手握式电气设备、插座、热水器、电热淋浴器、落地空调设备等设置漏电保护开关，以进一步提高安全性。</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bookmarkStart w:id="35" w:name="_Toc341799700"/>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低压电气设备</w:t>
      </w:r>
      <w:bookmarkEnd w:id="35"/>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本部分包括低压配电柜（箱）、控制箱、就地按钮箱等低压电气设备。</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互感器、指示灯、按钮、控制开关、表计、端子、熔断器等元件选型应统一。</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bookmarkStart w:id="36" w:name="_Toc341799701"/>
      <w:r>
        <w:rPr>
          <w:rFonts w:hint="eastAsia" w:ascii="宋体" w:hAnsi="宋体" w:eastAsia="宋体" w:cs="宋体"/>
          <w:color w:val="auto"/>
          <w:sz w:val="24"/>
          <w:szCs w:val="24"/>
        </w:rPr>
        <w:t>3.1</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低压配电柜（箱）</w:t>
      </w:r>
      <w:bookmarkEnd w:id="36"/>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设备主要组成部分及供货范围（不限于此）：</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配电柜AP1</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配电箱AA1、AA2、 AA3</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采用全304不锈钢金属外壳。落地安装。</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防护等级为IP4X。</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频率：50Hz,</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电压：≤1kV</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中性点：接地</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短路电流：30kA.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bookmarkStart w:id="37" w:name="_Toc341799702"/>
      <w:r>
        <w:rPr>
          <w:rFonts w:hint="eastAsia" w:ascii="宋体" w:hAnsi="宋体" w:eastAsia="宋体" w:cs="宋体"/>
          <w:color w:val="auto"/>
          <w:sz w:val="24"/>
          <w:szCs w:val="24"/>
        </w:rPr>
        <w:t>3.2</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就地按钮箱、控制箱</w:t>
      </w:r>
      <w:bookmarkEnd w:id="37"/>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设备主要组成部分及供货范围（不限于此）：</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就地按钮箱、控制箱</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就地按钮箱：</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外壳：IP65  不锈钢304</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抗腐蚀性，酸保护：10%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碱保护强度：10%.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控制箱：</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外壳：室外   IP65   不锈钢304</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抗腐蚀性，酸保护：10%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碱保护强度：10%.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就地按钮箱由不锈钢材质制成，外壳防护等级IP65以上。控制箱由不锈钢板制成，外壳防护等级见技术要求。箱体应具有良好的热稳定性和抗冲击性，绝缘强度高。测量表计，信号灯和控制按钮安装在前面板上。电源端子和控制端子应安装在控制箱内，有30%的备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防火和阻燃性能要好。箱内安装板采用高防腐蚀镀锌板(不生锈)。电缆由底部的进线孔进入(孔尺寸可变化)。门上带有锁孔和转销。</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bookmarkStart w:id="38" w:name="_Toc341799703"/>
      <w:r>
        <w:rPr>
          <w:rFonts w:hint="eastAsia" w:ascii="宋体" w:hAnsi="宋体" w:eastAsia="宋体" w:cs="宋体"/>
          <w:color w:val="auto"/>
          <w:sz w:val="24"/>
          <w:szCs w:val="24"/>
        </w:rPr>
        <w:t>3.3</w:t>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元件</w:t>
      </w:r>
      <w:bookmarkEnd w:id="38"/>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框架式断路器(I≥1250A)</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空气断路器的操作机构应为弹簧储能型的，可以通过手动或电动方式储能。在正常工作条件下，必须使用按钮手动来打开和闭合断路器，当发生故障时，可采用三段式电流保护，即瞬时跳闸(电流速断)、短延时过电流、长延时过电流。电流和时间整定值可以按照要求在现场连续调整。断路器具有隔离功能，零飞弧和其它，例如：闭合/分断。故障状态显示，弹簧储能/弹簧释放状态指示。具有三个位置：运行、试验和切断。</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在抽屉处于隔离条件下，每一个空气断路器应允许更换、试验和维修。</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空气断路器的短路切断能力(Ics=100%Icu)不能小于：</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≤1600A</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50kA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≥2000 </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70kA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800A～1900A</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机械寿命</w:t>
      </w:r>
      <w:r>
        <w:rPr>
          <w:rFonts w:hint="eastAsia" w:ascii="宋体" w:hAnsi="宋体" w:eastAsia="宋体" w:cs="宋体"/>
          <w:color w:val="auto"/>
          <w:sz w:val="24"/>
          <w:szCs w:val="24"/>
        </w:rPr>
        <w:tab/>
      </w:r>
      <w:r>
        <w:rPr>
          <w:rFonts w:hint="eastAsia" w:ascii="宋体" w:hAnsi="宋体" w:eastAsia="宋体" w:cs="宋体"/>
          <w:color w:val="auto"/>
          <w:sz w:val="24"/>
          <w:szCs w:val="24"/>
        </w:rPr>
        <w:t>≥20000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电气寿命</w:t>
      </w:r>
      <w:r>
        <w:rPr>
          <w:rFonts w:hint="eastAsia" w:ascii="宋体" w:hAnsi="宋体" w:eastAsia="宋体" w:cs="宋体"/>
          <w:color w:val="auto"/>
          <w:sz w:val="24"/>
          <w:szCs w:val="24"/>
        </w:rPr>
        <w:tab/>
      </w:r>
      <w:r>
        <w:rPr>
          <w:rFonts w:hint="eastAsia" w:ascii="宋体" w:hAnsi="宋体" w:eastAsia="宋体" w:cs="宋体"/>
          <w:color w:val="auto"/>
          <w:sz w:val="24"/>
          <w:szCs w:val="24"/>
        </w:rPr>
        <w:t>≥10000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2000A～2500A</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机械寿命</w:t>
      </w:r>
      <w:r>
        <w:rPr>
          <w:rFonts w:hint="eastAsia" w:ascii="宋体" w:hAnsi="宋体" w:eastAsia="宋体" w:cs="宋体"/>
          <w:color w:val="auto"/>
          <w:sz w:val="24"/>
          <w:szCs w:val="24"/>
        </w:rPr>
        <w:tab/>
      </w:r>
      <w:r>
        <w:rPr>
          <w:rFonts w:hint="eastAsia" w:ascii="宋体" w:hAnsi="宋体" w:eastAsia="宋体" w:cs="宋体"/>
          <w:color w:val="auto"/>
          <w:sz w:val="24"/>
          <w:szCs w:val="24"/>
        </w:rPr>
        <w:t>≥20000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电气寿命</w:t>
      </w:r>
      <w:r>
        <w:rPr>
          <w:rFonts w:hint="eastAsia" w:ascii="宋体" w:hAnsi="宋体" w:eastAsia="宋体" w:cs="宋体"/>
          <w:color w:val="auto"/>
          <w:sz w:val="24"/>
          <w:szCs w:val="24"/>
        </w:rPr>
        <w:tab/>
      </w:r>
      <w:r>
        <w:rPr>
          <w:rFonts w:hint="eastAsia" w:ascii="宋体" w:hAnsi="宋体" w:eastAsia="宋体" w:cs="宋体"/>
          <w:color w:val="auto"/>
          <w:sz w:val="24"/>
          <w:szCs w:val="24"/>
        </w:rPr>
        <w:t>≥8000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断路器应具有通讯功能，可将信号送至PLC系统。信号为电流、功率、功率因数(COS.φ)和相序。</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塑壳式断路器(I&lt;800A)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断路器应包括塑料外壳、操作机构、触头系统、灭弧系统和过电流脱扣器等。塑料外壳材料应采用高阻燃、高强度的塑料。具有长延时过载保护特性。短路保护通过具有快速转换性能的电磁机构来实现。断路器具有隔离功能和零飞弧。具有超过15倍IN时的完全选择性。在短路电流达到30倍时可在5ms内脱扣。塑壳式开关具有连续定量和可调整的复合热过负荷和短路脱扣器。断路器的极限和使用短路分断能力(Ics=100%Icu)不小于：</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&lt;100A</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50kA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100A～250A</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50kA</w:t>
      </w:r>
      <w:r>
        <w:rPr>
          <w:rFonts w:hint="eastAsia" w:ascii="宋体" w:hAnsi="宋体" w:eastAsia="宋体" w:cs="宋体"/>
          <w:color w:val="auto"/>
          <w:sz w:val="24"/>
          <w:szCs w:val="24"/>
        </w:rPr>
        <w:tab/>
      </w:r>
      <w:r>
        <w:rPr>
          <w:rFonts w:hint="eastAsia" w:ascii="宋体" w:hAnsi="宋体" w:eastAsia="宋体" w:cs="宋体"/>
          <w:color w:val="auto"/>
          <w:sz w:val="24"/>
          <w:szCs w:val="24"/>
        </w:rPr>
        <w:tab/>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250A～800A</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 xml:space="preserve">  45kA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机械寿命和电气寿命不小于：</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&lt;250A</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10×103次</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400A～800A</w:t>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4×103次</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微型断路器</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&lt;63A</w:t>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10KA</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隔离开关和熔断开关</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利用弹簧进行手动分断和闭合操作，使用同一个单元实现开合位置的连锁。</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满足设定的额定电流值和控制柜的总额定值。</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熔断单元可以从熔断开关处快速移出和安装。</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接触器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接触器的主接点应为三极或四极，具有若干辅助接点(上部或侧面)。配有机械连锁。故障率要小于10-8次。机械寿命：10×106次，电气寿命：低于135KW为1.2×106,闭合电压：0.8～1.1Un，释放电压：0.4～0.6Un。适合电压波动剧烈长距离控制回路中。</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具有电磁系统，触头系统，灭弧外壳，辅助接点、旋转轴等。主触头和辅助触头应是双断点型。具有高抗熔焊性和耐电磨损性能。带灭弧外壳。电磁系统应具有抗冲击装置以减少当铁芯闭合时的冲击能量，增加产品的机械和电气寿命，降低电磁系统的工作噪声。</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带有热继电器的磁力启动器，以防止发生过负载。热继电器为三相双金属滑片型。具有连续定量调整用于过载和断相保护，带温度补偿和自由脱扣式的复位按钮。热继电器启动之后，复位按钮要有两种功能和显示：手动、自动。具有三种安装方式：独立、快速和插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表计</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当电气设备在正常工作条件下，控制柜上的电气表计和互感器的测量范围应保证表计显示在刻度盘范围。按照设计进行配置。当产生短路和过负载时表计不能损坏。仪表精度不低于2.5级。</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电压表具有七个位置开关，分别为：相~相、相~地、切断等。电流表具有位置选择开关。</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电流互感器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精度2.5的电流表可使用1.0级互感器。当电气测量仪表和继电器保护装置共用电流互感器时，测量仪表应连接到一个二次绕组，继电器连接到另外一个二次绕组上。如果互感器变化过大不能满足继电器保护装置的要求时，应使用其它互感器。</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指示灯</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无论室内和室外，在就地按钮箱、就地控制箱、MCC控制柜上应采用LED指示。防护等级IP65。使用环境温度：-25℃～+60℃、使用寿命：60,000～100,000小时。指示灯带有变压器，可直接连接到AC220V上。结构为卡装型，抗振动性能好，可密集安装。</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控制(转换)开关</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控制开关的寿命大于10×105，抗冲击，连接点的故障率要小于10-5，可用于AC或DC回路中。按照设计要求制定接点组合结构型式。控制开关在位置确认以后应锁上。并将铭盘标在不同位置。</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联锁</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提供一把联锁用的钥匙。在两个进线柜和母联柜之间要有联锁。当母联闭合时，只允许一路进线闭合。</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按钮</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防护等级：</w:t>
      </w:r>
      <w:r>
        <w:rPr>
          <w:rFonts w:hint="eastAsia" w:ascii="宋体" w:hAnsi="宋体" w:eastAsia="宋体" w:cs="宋体"/>
          <w:color w:val="auto"/>
          <w:sz w:val="24"/>
          <w:szCs w:val="24"/>
        </w:rPr>
        <w:tab/>
      </w:r>
      <w:r>
        <w:rPr>
          <w:rFonts w:hint="eastAsia" w:ascii="宋体" w:hAnsi="宋体" w:eastAsia="宋体" w:cs="宋体"/>
          <w:color w:val="auto"/>
          <w:sz w:val="24"/>
          <w:szCs w:val="24"/>
        </w:rPr>
        <w:t>IP65</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寿命：106</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环境温度：-25℃～+60℃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使用电源：AC220V</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故障率：少于10-7</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灯的结构是卡装模块型的，抗振动性能好，外线美观，可密集安装。</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tab/>
      </w:r>
      <w:r>
        <w:rPr>
          <w:rFonts w:hint="eastAsia" w:ascii="宋体" w:hAnsi="宋体" w:eastAsia="宋体" w:cs="宋体"/>
          <w:color w:val="auto"/>
          <w:sz w:val="24"/>
          <w:szCs w:val="24"/>
        </w:rPr>
        <w:t>必须具有保护切断功能。</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软启动器</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采用电子马达软启动器。在起动和停车过程期间可允许恒定加减速，不需用测速机，即使当电机负载变化时也是如此。软启动器由控制模块，电源组件，本机和接口单元。马达的起动参数存储在PLC或PC中。当同样的软启动器的参数需修改时，所小于的参数可方便快捷的传输设置。软启动器需由计算机系统监控。</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软起动时间是可调的。具有限制起动电压、电流，依据不同负载实现不同的混合平滑起动。电流、电压、倾角、时间等参数可被多设定和多调整。</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软启动器要满足IEC947－4－2标准，抗震性能满足IEC－68－2－6，NFC2076和BV1</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工作温度0～+40℃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工作电压380V-15%……415+10%</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起动电流倍数:5In。</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总起动谐波≤5%，运行时≤2%。</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电机的标称电流可以在启动器额定电流的0.5~1.3倍之间调整</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起动电压调节范围:(10-60)%总电压.</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综合热保护,缺相保护和相位不平衡保护,由输出继电器指示.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软启动器支持总线通讯</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低压变频器</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技术要求如下：</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电源电压:</w:t>
      </w:r>
      <w:r>
        <w:rPr>
          <w:rFonts w:hint="eastAsia" w:ascii="宋体" w:hAnsi="宋体" w:eastAsia="宋体" w:cs="宋体"/>
          <w:color w:val="auto"/>
          <w:sz w:val="24"/>
          <w:szCs w:val="24"/>
        </w:rPr>
        <w:tab/>
      </w:r>
      <w:r>
        <w:rPr>
          <w:rFonts w:hint="eastAsia" w:ascii="宋体" w:hAnsi="宋体" w:eastAsia="宋体" w:cs="宋体"/>
          <w:color w:val="auto"/>
          <w:sz w:val="24"/>
          <w:szCs w:val="24"/>
        </w:rPr>
        <w:t>AC380V-10%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电机功率:</w:t>
      </w:r>
      <w:r>
        <w:rPr>
          <w:rFonts w:hint="eastAsia" w:ascii="宋体" w:hAnsi="宋体" w:eastAsia="宋体" w:cs="宋体"/>
          <w:color w:val="auto"/>
          <w:sz w:val="24"/>
          <w:szCs w:val="24"/>
        </w:rPr>
        <w:tab/>
      </w:r>
      <w:r>
        <w:rPr>
          <w:rFonts w:hint="eastAsia" w:ascii="宋体" w:hAnsi="宋体" w:eastAsia="宋体" w:cs="宋体"/>
          <w:color w:val="auto"/>
          <w:sz w:val="24"/>
          <w:szCs w:val="24"/>
        </w:rPr>
        <w:t>按要求</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保护:</w:t>
      </w:r>
      <w:r>
        <w:rPr>
          <w:rFonts w:hint="eastAsia" w:ascii="宋体" w:hAnsi="宋体" w:eastAsia="宋体" w:cs="宋体"/>
          <w:color w:val="auto"/>
          <w:sz w:val="24"/>
          <w:szCs w:val="24"/>
        </w:rPr>
        <w:tab/>
      </w:r>
      <w:r>
        <w:rPr>
          <w:rFonts w:hint="eastAsia" w:ascii="宋体" w:hAnsi="宋体" w:eastAsia="宋体" w:cs="宋体"/>
          <w:color w:val="auto"/>
          <w:sz w:val="24"/>
          <w:szCs w:val="24"/>
        </w:rPr>
        <w:t>过电压</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低电压</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过流</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电流</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缺相</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接地故障</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调节范围:</w:t>
      </w:r>
      <w:r>
        <w:rPr>
          <w:rFonts w:hint="eastAsia" w:ascii="宋体" w:hAnsi="宋体" w:eastAsia="宋体" w:cs="宋体"/>
          <w:color w:val="auto"/>
          <w:sz w:val="24"/>
          <w:szCs w:val="24"/>
        </w:rPr>
        <w:tab/>
      </w:r>
      <w:r>
        <w:rPr>
          <w:rFonts w:hint="eastAsia" w:ascii="宋体" w:hAnsi="宋体" w:eastAsia="宋体" w:cs="宋体"/>
          <w:color w:val="auto"/>
          <w:sz w:val="24"/>
          <w:szCs w:val="24"/>
        </w:rPr>
        <w:t>1……100</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瞬时过扭矩:200%额定电气扭矩，2S</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170%电机额定扭矩，60S</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控制:键盘手动操作PLC</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在接地按钮箱操作，采用调节电阻（由制造厂提供）</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变频器信号类型:</w:t>
      </w:r>
      <w:r>
        <w:rPr>
          <w:rFonts w:hint="eastAsia" w:ascii="宋体" w:hAnsi="宋体" w:eastAsia="宋体" w:cs="宋体"/>
          <w:color w:val="auto"/>
          <w:sz w:val="24"/>
          <w:szCs w:val="24"/>
        </w:rPr>
        <w:tab/>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4～20mAPLC速度调节信号</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启停无源接点信号</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可选择的无源输出信号</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PLC无源启停电气信号</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外部手动0～10KΩ电位器旋转调节信号</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变频器输出：4～20mA频率&lt;=&gt;0～50Hzfor2个无源接点和1个总故障输出.。</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当电机与变频器的连接电缆长度大于100米时，应提供输出放大器。</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使用编程单元显示运行参数，采用RS485与全厂PLC系统通讯。</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EMC传导及辐射干扰:符合EN55022B.。</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工作温度:-5℃～+40℃，(5-95)%相对湿度无冷凝水。</w:t>
      </w:r>
    </w:p>
    <w:p>
      <w:pPr>
        <w:widowControl/>
        <w:spacing w:line="336" w:lineRule="auto"/>
        <w:ind w:right="63"/>
        <w:rPr>
          <w:rFonts w:hint="eastAsia" w:ascii="宋体" w:hAnsi="宋体" w:eastAsia="宋体" w:cs="宋体"/>
          <w:b/>
          <w:bCs/>
          <w:color w:val="auto"/>
          <w:kern w:val="0"/>
          <w:sz w:val="28"/>
          <w:szCs w:val="28"/>
          <w:highlight w:val="none"/>
        </w:rPr>
      </w:pPr>
      <w:r>
        <w:rPr>
          <w:rFonts w:hint="eastAsia" w:ascii="宋体" w:hAnsi="宋体" w:eastAsia="宋体" w:cs="宋体"/>
          <w:b/>
          <w:bCs/>
          <w:color w:val="auto"/>
          <w:kern w:val="0"/>
          <w:sz w:val="28"/>
          <w:szCs w:val="28"/>
          <w:highlight w:val="none"/>
          <w:lang w:val="en-US" w:eastAsia="zh-CN"/>
        </w:rPr>
        <w:t>四、商务</w:t>
      </w:r>
      <w:r>
        <w:rPr>
          <w:rFonts w:hint="eastAsia" w:ascii="宋体" w:hAnsi="宋体" w:eastAsia="宋体" w:cs="宋体"/>
          <w:b/>
          <w:bCs/>
          <w:color w:val="auto"/>
          <w:kern w:val="0"/>
          <w:sz w:val="28"/>
          <w:szCs w:val="28"/>
          <w:highlight w:val="none"/>
        </w:rPr>
        <w:t>要求</w:t>
      </w:r>
    </w:p>
    <w:p>
      <w:pPr>
        <w:pStyle w:val="2"/>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一</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项目工期要求</w:t>
      </w:r>
    </w:p>
    <w:p>
      <w:pPr>
        <w:spacing w:line="360" w:lineRule="auto"/>
        <w:ind w:firstLine="480" w:firstLineChars="200"/>
        <w:rPr>
          <w:color w:val="auto"/>
          <w:sz w:val="24"/>
          <w:szCs w:val="24"/>
          <w:highlight w:val="none"/>
          <w:lang w:val="zh-CN"/>
        </w:rPr>
      </w:pPr>
      <w:r>
        <w:rPr>
          <w:color w:val="auto"/>
          <w:sz w:val="24"/>
          <w:szCs w:val="24"/>
          <w:highlight w:val="none"/>
          <w:lang w:val="zh-CN"/>
        </w:rPr>
        <w:t>1</w:t>
      </w:r>
      <w:r>
        <w:rPr>
          <w:rFonts w:hint="eastAsia"/>
          <w:color w:val="auto"/>
          <w:sz w:val="24"/>
          <w:szCs w:val="24"/>
          <w:highlight w:val="none"/>
          <w:lang w:val="zh-CN"/>
        </w:rPr>
        <w:t>、</w:t>
      </w:r>
      <w:r>
        <w:rPr>
          <w:rFonts w:hint="eastAsia" w:cs="宋体"/>
          <w:color w:val="auto"/>
          <w:sz w:val="24"/>
          <w:szCs w:val="24"/>
          <w:highlight w:val="none"/>
          <w:lang w:val="zh-CN"/>
        </w:rPr>
        <w:t>自签订合同之日起</w:t>
      </w:r>
      <w:r>
        <w:rPr>
          <w:rFonts w:hint="eastAsia"/>
          <w:color w:val="auto"/>
          <w:sz w:val="24"/>
          <w:szCs w:val="24"/>
          <w:highlight w:val="none"/>
          <w:lang w:val="en-US" w:eastAsia="zh-CN"/>
        </w:rPr>
        <w:t>90</w:t>
      </w:r>
      <w:r>
        <w:rPr>
          <w:rFonts w:hint="eastAsia" w:cs="宋体"/>
          <w:color w:val="auto"/>
          <w:sz w:val="24"/>
          <w:szCs w:val="24"/>
          <w:highlight w:val="none"/>
          <w:lang w:val="zh-CN"/>
        </w:rPr>
        <w:t>天内完成项目产品供货、安装调试、软硬件集成等所有服务。</w:t>
      </w:r>
    </w:p>
    <w:p>
      <w:pPr>
        <w:spacing w:line="360" w:lineRule="auto"/>
        <w:ind w:firstLine="480" w:firstLineChars="200"/>
        <w:rPr>
          <w:color w:val="auto"/>
          <w:sz w:val="24"/>
          <w:szCs w:val="24"/>
          <w:highlight w:val="none"/>
          <w:lang w:val="zh-CN"/>
        </w:rPr>
      </w:pPr>
      <w:r>
        <w:rPr>
          <w:color w:val="auto"/>
          <w:sz w:val="24"/>
          <w:szCs w:val="24"/>
          <w:highlight w:val="none"/>
          <w:lang w:val="zh-CN"/>
        </w:rPr>
        <w:t>2</w:t>
      </w:r>
      <w:r>
        <w:rPr>
          <w:rFonts w:hint="eastAsia"/>
          <w:color w:val="auto"/>
          <w:sz w:val="24"/>
          <w:szCs w:val="24"/>
          <w:highlight w:val="none"/>
          <w:lang w:val="zh-CN"/>
        </w:rPr>
        <w:t>、</w:t>
      </w:r>
      <w:r>
        <w:rPr>
          <w:rFonts w:hint="eastAsia" w:cs="宋体"/>
          <w:color w:val="auto"/>
          <w:sz w:val="24"/>
          <w:szCs w:val="24"/>
          <w:highlight w:val="none"/>
          <w:lang w:val="zh-CN"/>
        </w:rPr>
        <w:t>如在规定时间内无法完工，将处于每逾期一天，按合同总价的</w:t>
      </w:r>
      <w:r>
        <w:rPr>
          <w:color w:val="auto"/>
          <w:sz w:val="24"/>
          <w:szCs w:val="24"/>
          <w:highlight w:val="none"/>
          <w:lang w:val="zh-CN"/>
        </w:rPr>
        <w:t>1</w:t>
      </w:r>
      <w:r>
        <w:rPr>
          <w:color w:val="auto"/>
          <w:sz w:val="24"/>
          <w:szCs w:val="24"/>
          <w:highlight w:val="none"/>
        </w:rPr>
        <w:t>‰</w:t>
      </w:r>
      <w:r>
        <w:rPr>
          <w:rFonts w:hint="eastAsia" w:cs="宋体"/>
          <w:color w:val="auto"/>
          <w:sz w:val="24"/>
          <w:szCs w:val="24"/>
          <w:highlight w:val="none"/>
          <w:lang w:val="zh-CN"/>
        </w:rPr>
        <w:t>罚款。逾期的违约赔偿最高限度为合同总价的</w:t>
      </w:r>
      <w:r>
        <w:rPr>
          <w:color w:val="auto"/>
          <w:sz w:val="24"/>
          <w:szCs w:val="24"/>
          <w:highlight w:val="none"/>
        </w:rPr>
        <w:t>1</w:t>
      </w:r>
      <w:r>
        <w:rPr>
          <w:color w:val="auto"/>
          <w:sz w:val="24"/>
          <w:szCs w:val="24"/>
          <w:highlight w:val="none"/>
          <w:lang w:val="zh-CN"/>
        </w:rPr>
        <w:t>%</w:t>
      </w:r>
      <w:r>
        <w:rPr>
          <w:rFonts w:hint="eastAsia" w:cs="宋体"/>
          <w:color w:val="auto"/>
          <w:sz w:val="24"/>
          <w:szCs w:val="24"/>
          <w:highlight w:val="none"/>
          <w:lang w:val="zh-CN"/>
        </w:rPr>
        <w:t>，如违约金达到最高限额时中标人仍不能完工，采购人可终止合同。</w:t>
      </w:r>
    </w:p>
    <w:p>
      <w:pPr>
        <w:pStyle w:val="2"/>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二</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付款方式</w:t>
      </w:r>
    </w:p>
    <w:p>
      <w:pPr>
        <w:spacing w:line="360" w:lineRule="auto"/>
        <w:ind w:firstLine="354"/>
        <w:rPr>
          <w:color w:val="auto"/>
          <w:sz w:val="24"/>
          <w:szCs w:val="24"/>
          <w:highlight w:val="none"/>
          <w:lang w:val="zh-CN"/>
        </w:rPr>
      </w:pPr>
      <w:r>
        <w:rPr>
          <w:rFonts w:hint="eastAsia" w:cs="宋体"/>
          <w:color w:val="auto"/>
          <w:sz w:val="24"/>
          <w:szCs w:val="24"/>
          <w:highlight w:val="none"/>
          <w:lang w:val="zh-CN"/>
        </w:rPr>
        <w:t>采购单位根据合同、投标文件等资料进行验收。</w:t>
      </w:r>
    </w:p>
    <w:p>
      <w:pPr>
        <w:spacing w:line="360" w:lineRule="auto"/>
        <w:ind w:firstLine="354"/>
        <w:rPr>
          <w:color w:val="auto"/>
          <w:sz w:val="24"/>
          <w:szCs w:val="24"/>
          <w:highlight w:val="none"/>
          <w:lang w:val="zh-CN"/>
        </w:rPr>
      </w:pPr>
      <w:r>
        <w:rPr>
          <w:rFonts w:hint="eastAsia" w:cs="宋体"/>
          <w:color w:val="auto"/>
          <w:sz w:val="24"/>
          <w:szCs w:val="24"/>
          <w:highlight w:val="none"/>
          <w:lang w:val="zh-CN"/>
        </w:rPr>
        <w:t>合同签订生效后，采购单位支付</w:t>
      </w:r>
      <w:r>
        <w:rPr>
          <w:rFonts w:hint="eastAsia" w:cs="宋体"/>
          <w:color w:val="auto"/>
          <w:sz w:val="24"/>
          <w:szCs w:val="24"/>
          <w:highlight w:val="none"/>
          <w:lang w:val="en-US" w:eastAsia="zh-CN"/>
        </w:rPr>
        <w:t>合同价的</w:t>
      </w:r>
      <w:r>
        <w:rPr>
          <w:rFonts w:hint="eastAsia"/>
          <w:color w:val="auto"/>
          <w:sz w:val="24"/>
          <w:szCs w:val="24"/>
          <w:highlight w:val="none"/>
          <w:lang w:val="en-US" w:eastAsia="zh-CN"/>
        </w:rPr>
        <w:t>5</w:t>
      </w:r>
      <w:r>
        <w:rPr>
          <w:color w:val="auto"/>
          <w:sz w:val="24"/>
          <w:szCs w:val="24"/>
          <w:highlight w:val="none"/>
        </w:rPr>
        <w:t>0%</w:t>
      </w:r>
      <w:r>
        <w:rPr>
          <w:rFonts w:hint="eastAsia" w:cs="宋体"/>
          <w:color w:val="auto"/>
          <w:sz w:val="24"/>
          <w:szCs w:val="24"/>
          <w:highlight w:val="none"/>
        </w:rPr>
        <w:t>预付款；</w:t>
      </w:r>
      <w:r>
        <w:rPr>
          <w:rFonts w:hint="eastAsia" w:cs="宋体"/>
          <w:color w:val="auto"/>
          <w:sz w:val="24"/>
          <w:szCs w:val="24"/>
          <w:highlight w:val="none"/>
          <w:lang w:eastAsia="zh-CN"/>
        </w:rPr>
        <w:t>设备到货</w:t>
      </w:r>
      <w:r>
        <w:rPr>
          <w:rFonts w:hint="eastAsia" w:cs="宋体"/>
          <w:color w:val="auto"/>
          <w:sz w:val="24"/>
          <w:szCs w:val="24"/>
          <w:highlight w:val="none"/>
          <w:lang w:val="en-US" w:eastAsia="zh-CN"/>
        </w:rPr>
        <w:t>经验收合格后</w:t>
      </w:r>
      <w:r>
        <w:rPr>
          <w:rFonts w:hint="eastAsia" w:cs="宋体"/>
          <w:color w:val="auto"/>
          <w:sz w:val="24"/>
          <w:szCs w:val="24"/>
          <w:highlight w:val="none"/>
          <w:lang w:eastAsia="zh-CN"/>
        </w:rPr>
        <w:t>付款到</w:t>
      </w:r>
      <w:r>
        <w:rPr>
          <w:rFonts w:hint="eastAsia" w:cs="宋体"/>
          <w:color w:val="auto"/>
          <w:sz w:val="24"/>
          <w:szCs w:val="24"/>
          <w:highlight w:val="none"/>
          <w:lang w:val="en-US" w:eastAsia="zh-CN"/>
        </w:rPr>
        <w:t>合同价的75%；</w:t>
      </w:r>
      <w:r>
        <w:rPr>
          <w:rFonts w:hint="eastAsia" w:cs="宋体"/>
          <w:color w:val="auto"/>
          <w:sz w:val="24"/>
          <w:szCs w:val="24"/>
          <w:highlight w:val="none"/>
          <w:lang w:val="zh-CN"/>
        </w:rPr>
        <w:t>本项目验收合格后，由采购单位向中标供应商支付至合同价的</w:t>
      </w:r>
      <w:r>
        <w:rPr>
          <w:rFonts w:hint="eastAsia"/>
          <w:color w:val="auto"/>
          <w:sz w:val="24"/>
          <w:szCs w:val="24"/>
          <w:highlight w:val="none"/>
          <w:lang w:val="en-US" w:eastAsia="zh-CN"/>
        </w:rPr>
        <w:t>95%</w:t>
      </w:r>
      <w:r>
        <w:rPr>
          <w:rFonts w:hint="eastAsia" w:cs="宋体"/>
          <w:color w:val="auto"/>
          <w:sz w:val="24"/>
          <w:szCs w:val="24"/>
          <w:highlight w:val="none"/>
          <w:lang w:val="zh-CN"/>
        </w:rPr>
        <w:t>项目款，</w:t>
      </w:r>
      <w:r>
        <w:rPr>
          <w:rFonts w:hint="eastAsia" w:cs="宋体"/>
          <w:color w:val="auto"/>
          <w:sz w:val="24"/>
          <w:szCs w:val="24"/>
          <w:highlight w:val="none"/>
          <w:lang w:val="en-US" w:eastAsia="zh-CN"/>
        </w:rPr>
        <w:t>余款5%作为质量保证金待质保期满后，无质量问题无息支付</w:t>
      </w:r>
      <w:r>
        <w:rPr>
          <w:rFonts w:hint="eastAsia" w:cs="宋体"/>
          <w:color w:val="auto"/>
          <w:sz w:val="24"/>
          <w:szCs w:val="24"/>
          <w:highlight w:val="none"/>
          <w:lang w:val="zh-CN"/>
        </w:rPr>
        <w:t>。结算时，供应商应将结款申请</w:t>
      </w:r>
      <w:r>
        <w:rPr>
          <w:color w:val="auto"/>
          <w:sz w:val="24"/>
          <w:szCs w:val="24"/>
          <w:highlight w:val="none"/>
          <w:lang w:val="zh-CN"/>
        </w:rPr>
        <w:t>1</w:t>
      </w:r>
      <w:r>
        <w:rPr>
          <w:rFonts w:hint="eastAsia" w:cs="宋体"/>
          <w:color w:val="auto"/>
          <w:sz w:val="24"/>
          <w:szCs w:val="24"/>
          <w:highlight w:val="none"/>
          <w:lang w:val="zh-CN"/>
        </w:rPr>
        <w:t>份、发票原件（全额开具）及复印件</w:t>
      </w:r>
      <w:r>
        <w:rPr>
          <w:color w:val="auto"/>
          <w:sz w:val="24"/>
          <w:szCs w:val="24"/>
          <w:highlight w:val="none"/>
          <w:lang w:val="zh-CN"/>
        </w:rPr>
        <w:t>1</w:t>
      </w:r>
      <w:r>
        <w:rPr>
          <w:rFonts w:hint="eastAsia" w:cs="宋体"/>
          <w:color w:val="auto"/>
          <w:sz w:val="24"/>
          <w:szCs w:val="24"/>
          <w:highlight w:val="none"/>
          <w:lang w:val="zh-CN"/>
        </w:rPr>
        <w:t>份、合同复印件</w:t>
      </w:r>
      <w:r>
        <w:rPr>
          <w:color w:val="auto"/>
          <w:sz w:val="24"/>
          <w:szCs w:val="24"/>
          <w:highlight w:val="none"/>
          <w:lang w:val="zh-CN"/>
        </w:rPr>
        <w:t>1</w:t>
      </w:r>
      <w:r>
        <w:rPr>
          <w:rFonts w:hint="eastAsia" w:cs="宋体"/>
          <w:color w:val="auto"/>
          <w:sz w:val="24"/>
          <w:szCs w:val="24"/>
          <w:highlight w:val="none"/>
          <w:lang w:val="zh-CN"/>
        </w:rPr>
        <w:t>份和经采购单位验收确认的验收报告提交采购单位。</w:t>
      </w:r>
    </w:p>
    <w:p>
      <w:pPr>
        <w:pStyle w:val="2"/>
        <w:rPr>
          <w:rFonts w:ascii="Times New Roman" w:hAnsi="Times New Roman" w:eastAsia="宋体" w:cs="Times New Roman"/>
          <w:color w:val="auto"/>
          <w:sz w:val="24"/>
          <w:szCs w:val="24"/>
          <w:highlight w:val="none"/>
        </w:rPr>
      </w:pP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lang w:val="en-US" w:eastAsia="zh-CN"/>
        </w:rPr>
        <w:t>三</w:t>
      </w:r>
      <w:r>
        <w:rPr>
          <w:rFonts w:hint="eastAsia" w:ascii="Times New Roman" w:hAnsi="Times New Roman" w:eastAsia="宋体" w:cs="宋体"/>
          <w:color w:val="auto"/>
          <w:sz w:val="24"/>
          <w:szCs w:val="24"/>
          <w:highlight w:val="none"/>
          <w:lang w:eastAsia="zh-CN"/>
        </w:rPr>
        <w:t>）</w:t>
      </w:r>
      <w:r>
        <w:rPr>
          <w:rFonts w:hint="eastAsia" w:ascii="Times New Roman" w:hAnsi="Times New Roman" w:eastAsia="宋体" w:cs="宋体"/>
          <w:color w:val="auto"/>
          <w:sz w:val="24"/>
          <w:szCs w:val="24"/>
          <w:highlight w:val="none"/>
        </w:rPr>
        <w:t>验收方式</w:t>
      </w:r>
    </w:p>
    <w:p>
      <w:pPr>
        <w:spacing w:line="360" w:lineRule="auto"/>
        <w:ind w:firstLine="354"/>
        <w:rPr>
          <w:color w:val="auto"/>
          <w:sz w:val="24"/>
          <w:szCs w:val="24"/>
          <w:highlight w:val="none"/>
          <w:lang w:val="zh-CN"/>
        </w:rPr>
      </w:pPr>
      <w:r>
        <w:rPr>
          <w:rFonts w:hint="eastAsia" w:cs="宋体"/>
          <w:color w:val="auto"/>
          <w:sz w:val="24"/>
          <w:szCs w:val="24"/>
          <w:highlight w:val="none"/>
          <w:lang w:val="zh-CN"/>
        </w:rPr>
        <w:t>本项目工程建设完毕后，乙方应移交设备使用说明书等资料，并对甲方设备操作人员进行现场培训。甲方在工程建设完毕后</w:t>
      </w:r>
      <w:r>
        <w:rPr>
          <w:color w:val="auto"/>
          <w:sz w:val="24"/>
          <w:szCs w:val="24"/>
          <w:highlight w:val="none"/>
          <w:lang w:val="zh-CN"/>
        </w:rPr>
        <w:t>20</w:t>
      </w:r>
      <w:r>
        <w:rPr>
          <w:rFonts w:hint="eastAsia" w:cs="宋体"/>
          <w:color w:val="auto"/>
          <w:sz w:val="24"/>
          <w:szCs w:val="24"/>
          <w:highlight w:val="none"/>
          <w:lang w:val="zh-CN"/>
        </w:rPr>
        <w:t>日内组织项目验收，</w:t>
      </w:r>
      <w:r>
        <w:rPr>
          <w:color w:val="auto"/>
          <w:sz w:val="24"/>
          <w:szCs w:val="24"/>
          <w:highlight w:val="none"/>
          <w:lang w:val="zh-CN"/>
        </w:rPr>
        <w:t>30</w:t>
      </w:r>
      <w:r>
        <w:rPr>
          <w:rFonts w:hint="eastAsia" w:cs="宋体"/>
          <w:color w:val="auto"/>
          <w:sz w:val="24"/>
          <w:szCs w:val="24"/>
          <w:highlight w:val="none"/>
          <w:lang w:val="zh-CN"/>
        </w:rPr>
        <w:t>日内未组织项目验收的，视同项目验收合格。设备保修期</w:t>
      </w:r>
      <w:r>
        <w:rPr>
          <w:rFonts w:hint="eastAsia" w:cs="宋体"/>
          <w:color w:val="auto"/>
          <w:sz w:val="24"/>
          <w:szCs w:val="24"/>
          <w:highlight w:val="none"/>
          <w:lang w:val="en-US" w:eastAsia="zh-CN"/>
        </w:rPr>
        <w:t>2</w:t>
      </w:r>
      <w:r>
        <w:rPr>
          <w:rFonts w:hint="eastAsia" w:cs="宋体"/>
          <w:color w:val="auto"/>
          <w:sz w:val="24"/>
          <w:szCs w:val="24"/>
          <w:highlight w:val="none"/>
          <w:lang w:val="zh-CN"/>
        </w:rPr>
        <w:t>年，自验收合格之日开始。</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1、验收内容：产品质量、数量；供货、安装、调试情况；培训情况等其他工作内容。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2、验收依据：图纸、招标文件、投标文件、厂家货物技术标准说明及国家有关的质量标准规定，均为验收依据。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验收时应提交的资料：到货核验单（需采购人经办人及审核人签字、投标人签字并盖章）、并按招标技术要求提供相应证明材料如：产品合格证原件、产品说明书、质量保证书（或保修卡）原件、采购需求中要求的检测报告复印件、产品生产日期凭证、三包凭证、产品拍照图片等各种文档资料。</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4、验收时供应商必须派代表参加。</w:t>
      </w:r>
    </w:p>
    <w:p>
      <w:pPr>
        <w:pStyle w:val="2"/>
        <w:rPr>
          <w:rFonts w:hint="default" w:ascii="Times New Roman" w:hAnsi="Times New Roman" w:eastAsia="宋体" w:cs="宋体"/>
          <w:b/>
          <w:bCs/>
          <w:color w:val="auto"/>
          <w:sz w:val="24"/>
          <w:szCs w:val="24"/>
          <w:highlight w:val="none"/>
          <w:lang w:val="en-US" w:eastAsia="zh-CN"/>
        </w:rPr>
      </w:pPr>
      <w:r>
        <w:rPr>
          <w:rFonts w:hint="eastAsia" w:ascii="Times New Roman" w:hAnsi="Times New Roman" w:eastAsia="宋体" w:cs="宋体"/>
          <w:b/>
          <w:bCs/>
          <w:color w:val="auto"/>
          <w:sz w:val="24"/>
          <w:szCs w:val="24"/>
          <w:highlight w:val="none"/>
          <w:lang w:val="en-US" w:eastAsia="zh-CN"/>
        </w:rPr>
        <w:t>（四）质保期及售后服务保障要求：</w:t>
      </w:r>
    </w:p>
    <w:p>
      <w:pPr>
        <w:spacing w:line="360" w:lineRule="auto"/>
        <w:ind w:firstLine="354"/>
        <w:rPr>
          <w:rFonts w:hint="eastAsia" w:ascii="Times New Roman" w:hAnsi="Times New Roman" w:cs="宋体"/>
          <w:color w:val="auto"/>
          <w:sz w:val="24"/>
          <w:szCs w:val="24"/>
          <w:highlight w:val="none"/>
          <w:lang w:val="zh-CN"/>
        </w:rPr>
      </w:pPr>
      <w:r>
        <w:rPr>
          <w:rFonts w:hint="eastAsia" w:ascii="Times New Roman" w:hAnsi="Times New Roman" w:cs="宋体"/>
          <w:color w:val="auto"/>
          <w:sz w:val="24"/>
          <w:szCs w:val="24"/>
          <w:highlight w:val="none"/>
          <w:lang w:val="zh-CN"/>
        </w:rPr>
        <w:t>1</w:t>
      </w:r>
      <w:r>
        <w:rPr>
          <w:rFonts w:hint="eastAsia" w:ascii="Times New Roman" w:hAnsi="Times New Roman" w:cs="宋体"/>
          <w:color w:val="auto"/>
          <w:sz w:val="24"/>
          <w:szCs w:val="24"/>
          <w:highlight w:val="none"/>
          <w:lang w:val="zh-CN" w:eastAsia="zh-CN"/>
        </w:rPr>
        <w:t>、</w:t>
      </w:r>
      <w:r>
        <w:rPr>
          <w:rFonts w:hint="eastAsia" w:ascii="Times New Roman" w:hAnsi="Times New Roman" w:cs="宋体"/>
          <w:color w:val="auto"/>
          <w:sz w:val="24"/>
          <w:szCs w:val="24"/>
          <w:highlight w:val="none"/>
          <w:lang w:val="zh-CN"/>
        </w:rPr>
        <w:t>投标产品提供不少于2年免费质保期，质保期自验收合格次日起计算，质保期严格按照国家三包规定执行。</w:t>
      </w:r>
    </w:p>
    <w:p>
      <w:pPr>
        <w:spacing w:line="360" w:lineRule="auto"/>
        <w:ind w:firstLine="354"/>
        <w:rPr>
          <w:rFonts w:hint="eastAsia" w:ascii="Times New Roman" w:hAnsi="Times New Roman" w:cs="宋体"/>
          <w:color w:val="auto"/>
          <w:sz w:val="24"/>
          <w:szCs w:val="24"/>
          <w:highlight w:val="none"/>
          <w:lang w:val="zh-CN"/>
        </w:rPr>
      </w:pPr>
      <w:r>
        <w:rPr>
          <w:rFonts w:hint="eastAsia" w:ascii="Times New Roman" w:hAnsi="Times New Roman" w:cs="宋体"/>
          <w:color w:val="auto"/>
          <w:sz w:val="24"/>
          <w:szCs w:val="24"/>
          <w:highlight w:val="none"/>
          <w:lang w:val="zh-CN"/>
        </w:rPr>
        <w:t>2、乙方对产品实行终身维修，保修期内如发生不会使用情况、电脑问题及网络故障，乙方免费提供电话或者网络服务及上门服务，在甲方提出问题后乙方需在24小时内响应。</w:t>
      </w:r>
    </w:p>
    <w:p>
      <w:pPr>
        <w:spacing w:line="360" w:lineRule="auto"/>
        <w:ind w:firstLine="354"/>
        <w:rPr>
          <w:rFonts w:hint="eastAsia" w:ascii="Times New Roman" w:hAnsi="Times New Roman" w:cs="宋体"/>
          <w:color w:val="auto"/>
          <w:sz w:val="24"/>
          <w:szCs w:val="24"/>
          <w:highlight w:val="none"/>
          <w:lang w:val="zh-CN"/>
        </w:rPr>
      </w:pPr>
      <w:r>
        <w:rPr>
          <w:rFonts w:hint="eastAsia" w:ascii="Times New Roman" w:hAnsi="Times New Roman" w:cs="宋体"/>
          <w:color w:val="auto"/>
          <w:sz w:val="24"/>
          <w:szCs w:val="24"/>
          <w:highlight w:val="none"/>
          <w:lang w:val="zh-CN"/>
        </w:rPr>
        <w:t>3、保修期内由于火灾、水灾、地震等不可抗力原因及甲方人为破坏因素造成的损坏，乙方负责免费维修，设备材料成本费由甲方承担。</w:t>
      </w:r>
    </w:p>
    <w:p>
      <w:pPr>
        <w:spacing w:line="360" w:lineRule="auto"/>
        <w:ind w:firstLine="354"/>
        <w:rPr>
          <w:rFonts w:hint="eastAsia" w:ascii="Times New Roman" w:hAnsi="Times New Roman" w:cs="宋体"/>
          <w:color w:val="auto"/>
          <w:sz w:val="24"/>
          <w:szCs w:val="24"/>
          <w:highlight w:val="none"/>
          <w:lang w:val="zh-CN"/>
        </w:rPr>
      </w:pPr>
      <w:r>
        <w:rPr>
          <w:rFonts w:hint="eastAsia" w:ascii="Times New Roman" w:hAnsi="Times New Roman" w:cs="宋体"/>
          <w:color w:val="auto"/>
          <w:sz w:val="24"/>
          <w:szCs w:val="24"/>
          <w:highlight w:val="none"/>
          <w:lang w:val="zh-CN"/>
        </w:rPr>
        <w:t>4、保修期后，乙方接到甲方维修通知后，派人到甲方现场维修或简单问题远程技术指导。设备维修、更换，乙方酌情收取材料费和服务费，收费标准另行约定。</w:t>
      </w:r>
    </w:p>
    <w:p>
      <w:pPr>
        <w:spacing w:line="360" w:lineRule="auto"/>
        <w:ind w:firstLine="354"/>
        <w:rPr>
          <w:rFonts w:hint="eastAsia" w:ascii="Times New Roman" w:hAnsi="Times New Roman" w:cs="宋体"/>
          <w:color w:val="auto"/>
          <w:sz w:val="24"/>
          <w:szCs w:val="24"/>
          <w:highlight w:val="none"/>
          <w:lang w:val="zh-CN"/>
        </w:rPr>
      </w:pPr>
      <w:r>
        <w:rPr>
          <w:rFonts w:hint="eastAsia" w:ascii="Times New Roman" w:hAnsi="Times New Roman" w:cs="宋体"/>
          <w:color w:val="auto"/>
          <w:sz w:val="24"/>
          <w:szCs w:val="24"/>
          <w:highlight w:val="none"/>
          <w:lang w:val="zh-CN"/>
        </w:rPr>
        <w:t>5、投标方必须提供5*8小时的技术支持服务。</w:t>
      </w:r>
      <w:r>
        <w:rPr>
          <w:rFonts w:hint="eastAsia" w:ascii="Times New Roman" w:hAnsi="Times New Roman" w:cs="宋体"/>
          <w:color w:val="auto"/>
          <w:sz w:val="24"/>
          <w:szCs w:val="24"/>
          <w:highlight w:val="none"/>
          <w:lang w:val="zh-CN"/>
        </w:rPr>
        <w:tab/>
      </w:r>
    </w:p>
    <w:p>
      <w:pPr>
        <w:spacing w:line="360" w:lineRule="auto"/>
        <w:ind w:firstLine="354"/>
        <w:rPr>
          <w:rFonts w:hint="eastAsia" w:ascii="Times New Roman" w:hAnsi="Times New Roman" w:cs="宋体"/>
          <w:color w:val="auto"/>
          <w:sz w:val="24"/>
          <w:szCs w:val="24"/>
          <w:highlight w:val="none"/>
          <w:lang w:val="zh-CN"/>
        </w:rPr>
      </w:pPr>
      <w:r>
        <w:rPr>
          <w:rFonts w:hint="eastAsia" w:ascii="Times New Roman" w:hAnsi="Times New Roman" w:cs="宋体"/>
          <w:color w:val="auto"/>
          <w:sz w:val="24"/>
          <w:szCs w:val="24"/>
          <w:highlight w:val="none"/>
          <w:lang w:val="zh-CN"/>
        </w:rPr>
        <w:t>6、重大活动期间投标方必须在12小时内对用户所提出的维修要求赶赴现场。</w:t>
      </w:r>
    </w:p>
    <w:p>
      <w:pPr>
        <w:spacing w:line="360" w:lineRule="auto"/>
        <w:jc w:val="center"/>
        <w:outlineLvl w:val="0"/>
        <w:rPr>
          <w:rFonts w:hint="eastAsia" w:ascii="宋体" w:hAnsi="宋体" w:cs="宋体"/>
          <w:b/>
          <w:color w:val="auto"/>
          <w:sz w:val="36"/>
          <w:szCs w:val="36"/>
        </w:rPr>
      </w:pPr>
    </w:p>
    <w:p>
      <w:pPr>
        <w:spacing w:line="360" w:lineRule="auto"/>
        <w:jc w:val="center"/>
        <w:outlineLvl w:val="0"/>
        <w:rPr>
          <w:rFonts w:hint="eastAsia" w:ascii="宋体" w:hAnsi="宋体" w:cs="宋体"/>
          <w:b/>
          <w:color w:val="auto"/>
          <w:sz w:val="36"/>
          <w:szCs w:val="36"/>
        </w:rPr>
      </w:pPr>
    </w:p>
    <w:p>
      <w:pPr>
        <w:spacing w:line="360" w:lineRule="auto"/>
        <w:jc w:val="center"/>
        <w:outlineLvl w:val="0"/>
        <w:rPr>
          <w:rFonts w:hint="eastAsia" w:ascii="宋体" w:hAnsi="宋体" w:cs="宋体"/>
          <w:b/>
          <w:color w:val="auto"/>
          <w:sz w:val="36"/>
          <w:szCs w:val="36"/>
        </w:rPr>
      </w:pPr>
    </w:p>
    <w:p>
      <w:pPr>
        <w:spacing w:line="360" w:lineRule="auto"/>
        <w:jc w:val="center"/>
        <w:outlineLvl w:val="0"/>
        <w:rPr>
          <w:rFonts w:hint="eastAsia" w:ascii="宋体" w:hAnsi="宋体" w:cs="宋体"/>
          <w:b/>
          <w:color w:val="auto"/>
          <w:sz w:val="36"/>
          <w:szCs w:val="36"/>
        </w:rPr>
      </w:pPr>
    </w:p>
    <w:p>
      <w:pPr>
        <w:spacing w:line="360" w:lineRule="auto"/>
        <w:jc w:val="center"/>
        <w:outlineLvl w:val="0"/>
        <w:rPr>
          <w:rFonts w:hint="eastAsia" w:ascii="宋体" w:hAnsi="宋体" w:cs="宋体"/>
          <w:b/>
          <w:color w:val="auto"/>
          <w:sz w:val="36"/>
          <w:szCs w:val="36"/>
        </w:rPr>
      </w:pPr>
    </w:p>
    <w:p>
      <w:pPr>
        <w:pStyle w:val="2"/>
        <w:rPr>
          <w:rFonts w:hint="eastAsia" w:ascii="宋体" w:hAnsi="宋体" w:cs="宋体"/>
          <w:b/>
          <w:color w:val="auto"/>
          <w:sz w:val="36"/>
          <w:szCs w:val="36"/>
        </w:rPr>
      </w:pPr>
    </w:p>
    <w:p>
      <w:pPr>
        <w:pStyle w:val="3"/>
        <w:rPr>
          <w:rFonts w:hint="eastAsia" w:ascii="宋体" w:hAnsi="宋体" w:cs="宋体"/>
          <w:b/>
          <w:color w:val="auto"/>
          <w:sz w:val="36"/>
          <w:szCs w:val="36"/>
        </w:rPr>
      </w:pPr>
    </w:p>
    <w:p>
      <w:pPr>
        <w:pStyle w:val="4"/>
        <w:rPr>
          <w:rFonts w:hint="eastAsia" w:ascii="宋体" w:hAnsi="宋体" w:cs="宋体"/>
          <w:b/>
          <w:color w:val="auto"/>
          <w:sz w:val="36"/>
          <w:szCs w:val="36"/>
        </w:rPr>
      </w:pPr>
    </w:p>
    <w:p>
      <w:pPr>
        <w:pStyle w:val="5"/>
        <w:rPr>
          <w:rFonts w:hint="eastAsia" w:ascii="宋体" w:hAnsi="宋体" w:cs="宋体"/>
          <w:b/>
          <w:color w:val="auto"/>
          <w:sz w:val="36"/>
          <w:szCs w:val="36"/>
        </w:rPr>
      </w:pPr>
    </w:p>
    <w:p>
      <w:pPr>
        <w:pStyle w:val="5"/>
        <w:rPr>
          <w:rFonts w:hint="eastAsia" w:ascii="宋体" w:hAnsi="宋体" w:cs="宋体"/>
          <w:b/>
          <w:color w:val="auto"/>
          <w:sz w:val="36"/>
          <w:szCs w:val="36"/>
        </w:rPr>
      </w:pPr>
    </w:p>
    <w:p>
      <w:pPr>
        <w:pStyle w:val="5"/>
        <w:rPr>
          <w:rFonts w:hint="eastAsia" w:ascii="宋体" w:hAnsi="宋体" w:cs="宋体"/>
          <w:b/>
          <w:color w:val="auto"/>
          <w:sz w:val="36"/>
          <w:szCs w:val="36"/>
        </w:rPr>
      </w:pPr>
    </w:p>
    <w:p>
      <w:pPr>
        <w:pStyle w:val="5"/>
        <w:rPr>
          <w:rFonts w:hint="eastAsia" w:ascii="宋体" w:hAnsi="宋体" w:cs="宋体"/>
          <w:b/>
          <w:color w:val="auto"/>
          <w:sz w:val="36"/>
          <w:szCs w:val="36"/>
        </w:rPr>
      </w:pPr>
    </w:p>
    <w:p>
      <w:pPr>
        <w:spacing w:line="360" w:lineRule="auto"/>
        <w:jc w:val="center"/>
        <w:outlineLvl w:val="0"/>
        <w:rPr>
          <w:rFonts w:hint="eastAsia" w:ascii="宋体" w:hAnsi="宋体" w:cs="宋体"/>
          <w:b/>
          <w:color w:val="auto"/>
          <w:sz w:val="36"/>
          <w:szCs w:val="36"/>
        </w:rPr>
      </w:pPr>
    </w:p>
    <w:p>
      <w:pPr>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 xml:space="preserve">第四部分   </w:t>
      </w:r>
      <w:bookmarkStart w:id="39" w:name="_Toc184308095"/>
      <w:bookmarkEnd w:id="39"/>
      <w:bookmarkStart w:id="40" w:name="_Toc184313280"/>
      <w:bookmarkEnd w:id="40"/>
      <w:bookmarkStart w:id="41" w:name="_Toc184310309"/>
      <w:bookmarkEnd w:id="41"/>
      <w:bookmarkStart w:id="42" w:name="_Toc184314423"/>
      <w:bookmarkEnd w:id="42"/>
      <w:bookmarkStart w:id="43" w:name="_Toc184312105"/>
      <w:bookmarkEnd w:id="43"/>
      <w:bookmarkStart w:id="44" w:name="_Toc184313302"/>
      <w:bookmarkEnd w:id="44"/>
      <w:bookmarkStart w:id="45" w:name="_Toc184314454"/>
      <w:bookmarkEnd w:id="45"/>
      <w:bookmarkStart w:id="46" w:name="_Toc184312125"/>
      <w:bookmarkEnd w:id="46"/>
      <w:bookmarkStart w:id="47" w:name="_Toc184313238"/>
      <w:bookmarkEnd w:id="47"/>
      <w:bookmarkStart w:id="48" w:name="_Toc184312104"/>
      <w:bookmarkEnd w:id="48"/>
      <w:bookmarkStart w:id="49" w:name="_Toc184308066"/>
      <w:bookmarkEnd w:id="49"/>
      <w:bookmarkStart w:id="50" w:name="_Toc184314413"/>
      <w:bookmarkEnd w:id="50"/>
      <w:bookmarkStart w:id="51" w:name="_Toc184314442"/>
      <w:bookmarkEnd w:id="51"/>
      <w:bookmarkStart w:id="52" w:name="_Toc184313303"/>
      <w:bookmarkEnd w:id="52"/>
      <w:bookmarkStart w:id="53" w:name="_Toc184310272"/>
      <w:bookmarkEnd w:id="53"/>
      <w:bookmarkStart w:id="54" w:name="_Toc184314430"/>
      <w:bookmarkEnd w:id="54"/>
      <w:bookmarkStart w:id="55" w:name="_Toc184313301"/>
      <w:bookmarkEnd w:id="55"/>
      <w:bookmarkStart w:id="56" w:name="_Toc184312075"/>
      <w:bookmarkEnd w:id="56"/>
      <w:bookmarkStart w:id="57" w:name="_Toc184313246"/>
      <w:bookmarkEnd w:id="57"/>
      <w:bookmarkStart w:id="58" w:name="_Toc184310302"/>
      <w:bookmarkEnd w:id="58"/>
      <w:bookmarkStart w:id="59" w:name="_Toc184312095"/>
      <w:bookmarkEnd w:id="59"/>
      <w:bookmarkStart w:id="60" w:name="_Toc184312132"/>
      <w:bookmarkEnd w:id="60"/>
      <w:bookmarkStart w:id="61" w:name="_Toc184313285"/>
      <w:bookmarkEnd w:id="61"/>
      <w:bookmarkStart w:id="62" w:name="_Toc184308040"/>
      <w:bookmarkEnd w:id="62"/>
      <w:bookmarkStart w:id="63" w:name="_Toc184310328"/>
      <w:bookmarkEnd w:id="63"/>
      <w:bookmarkStart w:id="64" w:name="_Toc184313263"/>
      <w:bookmarkEnd w:id="64"/>
      <w:bookmarkStart w:id="65" w:name="_Toc184312115"/>
      <w:bookmarkEnd w:id="65"/>
      <w:bookmarkStart w:id="66" w:name="_Toc184313260"/>
      <w:bookmarkEnd w:id="66"/>
      <w:bookmarkStart w:id="67" w:name="_Toc184312072"/>
      <w:bookmarkEnd w:id="67"/>
      <w:bookmarkStart w:id="68" w:name="_Toc184308082"/>
      <w:bookmarkEnd w:id="68"/>
      <w:bookmarkStart w:id="69" w:name="_Toc184312116"/>
      <w:bookmarkEnd w:id="69"/>
      <w:bookmarkStart w:id="70" w:name="_Toc184308076"/>
      <w:bookmarkEnd w:id="70"/>
      <w:bookmarkStart w:id="71" w:name="_Toc184310313"/>
      <w:bookmarkEnd w:id="71"/>
      <w:bookmarkStart w:id="72" w:name="_Toc184312130"/>
      <w:bookmarkEnd w:id="72"/>
      <w:bookmarkStart w:id="73" w:name="_Toc184312135"/>
      <w:bookmarkEnd w:id="73"/>
      <w:bookmarkStart w:id="74" w:name="_Toc184308068"/>
      <w:bookmarkEnd w:id="74"/>
      <w:bookmarkStart w:id="75" w:name="_Toc184313281"/>
      <w:bookmarkEnd w:id="75"/>
      <w:bookmarkStart w:id="76" w:name="_Toc184313261"/>
      <w:bookmarkEnd w:id="76"/>
      <w:bookmarkStart w:id="77" w:name="_Toc184310308"/>
      <w:bookmarkEnd w:id="77"/>
      <w:bookmarkStart w:id="78" w:name="_Toc184312098"/>
      <w:bookmarkEnd w:id="78"/>
      <w:bookmarkStart w:id="79" w:name="_Toc184314460"/>
      <w:bookmarkEnd w:id="79"/>
      <w:bookmarkStart w:id="80" w:name="_Toc184308081"/>
      <w:bookmarkEnd w:id="80"/>
      <w:bookmarkStart w:id="81" w:name="_Toc184312112"/>
      <w:bookmarkEnd w:id="81"/>
      <w:bookmarkStart w:id="82" w:name="_Toc184310334"/>
      <w:bookmarkEnd w:id="82"/>
      <w:bookmarkStart w:id="83" w:name="_Toc184314411"/>
      <w:bookmarkEnd w:id="83"/>
      <w:bookmarkStart w:id="84" w:name="_Toc184310283"/>
      <w:bookmarkEnd w:id="84"/>
      <w:bookmarkStart w:id="85" w:name="_Toc184312079"/>
      <w:bookmarkEnd w:id="85"/>
      <w:bookmarkStart w:id="86" w:name="_Toc184313257"/>
      <w:bookmarkEnd w:id="86"/>
      <w:bookmarkStart w:id="87" w:name="_Toc184314443"/>
      <w:bookmarkEnd w:id="87"/>
      <w:bookmarkStart w:id="88" w:name="_Toc184308103"/>
      <w:bookmarkEnd w:id="88"/>
      <w:bookmarkStart w:id="89" w:name="_Toc184312089"/>
      <w:bookmarkEnd w:id="89"/>
      <w:bookmarkStart w:id="90" w:name="_Toc184308078"/>
      <w:bookmarkEnd w:id="90"/>
      <w:bookmarkStart w:id="91" w:name="_Toc184312128"/>
      <w:bookmarkEnd w:id="91"/>
      <w:bookmarkStart w:id="92" w:name="_Toc184314470"/>
      <w:bookmarkEnd w:id="92"/>
      <w:bookmarkStart w:id="93" w:name="_Toc184312102"/>
      <w:bookmarkEnd w:id="93"/>
      <w:bookmarkStart w:id="94" w:name="_Toc184308063"/>
      <w:bookmarkEnd w:id="94"/>
      <w:bookmarkStart w:id="95" w:name="_Toc184312093"/>
      <w:bookmarkEnd w:id="95"/>
      <w:bookmarkStart w:id="96" w:name="_Toc184308100"/>
      <w:bookmarkEnd w:id="96"/>
      <w:bookmarkStart w:id="97" w:name="_Toc184310331"/>
      <w:bookmarkEnd w:id="97"/>
      <w:bookmarkStart w:id="98" w:name="_Toc184313266"/>
      <w:bookmarkEnd w:id="98"/>
      <w:bookmarkStart w:id="99" w:name="_Toc184313248"/>
      <w:bookmarkEnd w:id="99"/>
      <w:bookmarkStart w:id="100" w:name="_Toc184312071"/>
      <w:bookmarkEnd w:id="100"/>
      <w:bookmarkStart w:id="101" w:name="_Toc184308044"/>
      <w:bookmarkEnd w:id="101"/>
      <w:bookmarkStart w:id="102" w:name="_Toc184313288"/>
      <w:bookmarkEnd w:id="102"/>
      <w:bookmarkStart w:id="103" w:name="_Toc184308073"/>
      <w:bookmarkEnd w:id="103"/>
      <w:bookmarkStart w:id="104" w:name="_Toc184312073"/>
      <w:bookmarkEnd w:id="104"/>
      <w:bookmarkStart w:id="105" w:name="_Toc184308091"/>
      <w:bookmarkEnd w:id="105"/>
      <w:bookmarkStart w:id="106" w:name="_Toc184310273"/>
      <w:bookmarkEnd w:id="106"/>
      <w:bookmarkStart w:id="107" w:name="_Toc184312076"/>
      <w:bookmarkEnd w:id="107"/>
      <w:bookmarkStart w:id="108" w:name="_Toc184312129"/>
      <w:bookmarkEnd w:id="108"/>
      <w:bookmarkStart w:id="109" w:name="_Toc184310322"/>
      <w:bookmarkEnd w:id="109"/>
      <w:bookmarkStart w:id="110" w:name="_Toc184310301"/>
      <w:bookmarkEnd w:id="110"/>
      <w:bookmarkStart w:id="111" w:name="_Toc184314425"/>
      <w:bookmarkEnd w:id="111"/>
      <w:bookmarkStart w:id="112" w:name="_Toc184308086"/>
      <w:bookmarkEnd w:id="112"/>
      <w:bookmarkStart w:id="113" w:name="_Toc184314478"/>
      <w:bookmarkEnd w:id="113"/>
      <w:bookmarkStart w:id="114" w:name="_Toc184312124"/>
      <w:bookmarkEnd w:id="114"/>
      <w:bookmarkStart w:id="115" w:name="_Toc184313249"/>
      <w:bookmarkEnd w:id="115"/>
      <w:bookmarkStart w:id="116" w:name="_Toc184314456"/>
      <w:bookmarkEnd w:id="116"/>
      <w:bookmarkStart w:id="117" w:name="_Toc184308042"/>
      <w:bookmarkEnd w:id="117"/>
      <w:bookmarkStart w:id="118" w:name="_Toc184313259"/>
      <w:bookmarkEnd w:id="118"/>
      <w:bookmarkStart w:id="119" w:name="_Toc184310293"/>
      <w:bookmarkEnd w:id="119"/>
      <w:bookmarkStart w:id="120" w:name="_Toc184308053"/>
      <w:bookmarkEnd w:id="120"/>
      <w:bookmarkStart w:id="121" w:name="_Toc184313256"/>
      <w:bookmarkEnd w:id="121"/>
      <w:bookmarkStart w:id="122" w:name="_Toc184313262"/>
      <w:bookmarkEnd w:id="122"/>
      <w:bookmarkStart w:id="123" w:name="_Toc184308045"/>
      <w:bookmarkEnd w:id="123"/>
      <w:bookmarkStart w:id="124" w:name="_Toc184310326"/>
      <w:bookmarkEnd w:id="124"/>
      <w:bookmarkStart w:id="125" w:name="_Toc184308094"/>
      <w:bookmarkEnd w:id="125"/>
      <w:bookmarkStart w:id="126" w:name="_Toc184312120"/>
      <w:bookmarkEnd w:id="126"/>
      <w:bookmarkStart w:id="127" w:name="_Toc184312083"/>
      <w:bookmarkEnd w:id="127"/>
      <w:bookmarkStart w:id="128" w:name="_Toc184310292"/>
      <w:bookmarkEnd w:id="128"/>
      <w:bookmarkStart w:id="129" w:name="_Toc184310291"/>
      <w:bookmarkEnd w:id="129"/>
      <w:bookmarkStart w:id="130" w:name="_Toc184312111"/>
      <w:bookmarkEnd w:id="130"/>
      <w:bookmarkStart w:id="131" w:name="_Toc184308079"/>
      <w:bookmarkEnd w:id="131"/>
      <w:bookmarkStart w:id="132" w:name="_Toc184308043"/>
      <w:bookmarkEnd w:id="132"/>
      <w:bookmarkStart w:id="133" w:name="_Toc184312101"/>
      <w:bookmarkEnd w:id="133"/>
      <w:bookmarkStart w:id="134" w:name="_Toc184313268"/>
      <w:bookmarkEnd w:id="134"/>
      <w:bookmarkStart w:id="135" w:name="_Toc184312107"/>
      <w:bookmarkEnd w:id="135"/>
      <w:bookmarkStart w:id="136" w:name="_Toc184314453"/>
      <w:bookmarkEnd w:id="136"/>
      <w:bookmarkStart w:id="137" w:name="_Toc184312122"/>
      <w:bookmarkEnd w:id="137"/>
      <w:bookmarkStart w:id="138" w:name="_Toc184314458"/>
      <w:bookmarkEnd w:id="138"/>
      <w:bookmarkStart w:id="139" w:name="_Toc184313247"/>
      <w:bookmarkEnd w:id="139"/>
      <w:bookmarkStart w:id="140" w:name="_Toc184313289"/>
      <w:bookmarkEnd w:id="140"/>
      <w:bookmarkStart w:id="141" w:name="_Toc184312090"/>
      <w:bookmarkEnd w:id="141"/>
      <w:bookmarkStart w:id="142" w:name="_Toc184314421"/>
      <w:bookmarkEnd w:id="142"/>
      <w:bookmarkStart w:id="143" w:name="_Toc184313283"/>
      <w:bookmarkEnd w:id="143"/>
      <w:bookmarkStart w:id="144" w:name="_Toc184312127"/>
      <w:bookmarkEnd w:id="144"/>
      <w:bookmarkStart w:id="145" w:name="_Toc184314419"/>
      <w:bookmarkEnd w:id="145"/>
      <w:bookmarkStart w:id="146" w:name="_Toc184308060"/>
      <w:bookmarkEnd w:id="146"/>
      <w:bookmarkStart w:id="147" w:name="_Toc184308069"/>
      <w:bookmarkEnd w:id="147"/>
      <w:bookmarkStart w:id="148" w:name="_Toc184310341"/>
      <w:bookmarkEnd w:id="148"/>
      <w:bookmarkStart w:id="149" w:name="_Toc184313290"/>
      <w:bookmarkEnd w:id="149"/>
      <w:bookmarkStart w:id="150" w:name="_Toc184308084"/>
      <w:bookmarkEnd w:id="150"/>
      <w:bookmarkStart w:id="151" w:name="_Toc184314449"/>
      <w:bookmarkEnd w:id="151"/>
      <w:bookmarkStart w:id="152" w:name="_Toc184310338"/>
      <w:bookmarkEnd w:id="152"/>
      <w:bookmarkStart w:id="153" w:name="_Toc184313272"/>
      <w:bookmarkEnd w:id="153"/>
      <w:bookmarkStart w:id="154" w:name="_Toc184313250"/>
      <w:bookmarkEnd w:id="154"/>
      <w:bookmarkStart w:id="155" w:name="_Toc184308089"/>
      <w:bookmarkEnd w:id="155"/>
      <w:bookmarkStart w:id="156" w:name="_Toc184308037"/>
      <w:bookmarkEnd w:id="156"/>
      <w:bookmarkStart w:id="157" w:name="_Toc184313275"/>
      <w:bookmarkEnd w:id="157"/>
      <w:bookmarkStart w:id="158" w:name="_Toc184313242"/>
      <w:bookmarkEnd w:id="158"/>
      <w:bookmarkStart w:id="159" w:name="_Toc184314427"/>
      <w:bookmarkEnd w:id="159"/>
      <w:bookmarkStart w:id="160" w:name="_Toc184310275"/>
      <w:bookmarkEnd w:id="160"/>
      <w:bookmarkStart w:id="161" w:name="_Toc184314448"/>
      <w:bookmarkEnd w:id="161"/>
      <w:bookmarkStart w:id="162" w:name="_Toc184312131"/>
      <w:bookmarkEnd w:id="162"/>
      <w:bookmarkStart w:id="163" w:name="_Toc184312109"/>
      <w:bookmarkEnd w:id="163"/>
      <w:bookmarkStart w:id="164" w:name="_Toc184312077"/>
      <w:bookmarkEnd w:id="164"/>
      <w:bookmarkStart w:id="165" w:name="_Toc184310335"/>
      <w:bookmarkEnd w:id="165"/>
      <w:bookmarkStart w:id="166" w:name="_Toc184310274"/>
      <w:bookmarkEnd w:id="166"/>
      <w:bookmarkStart w:id="167" w:name="_Toc184314450"/>
      <w:bookmarkEnd w:id="167"/>
      <w:bookmarkStart w:id="168" w:name="_Toc184310337"/>
      <w:bookmarkEnd w:id="168"/>
      <w:bookmarkStart w:id="169" w:name="_Toc184312086"/>
      <w:bookmarkEnd w:id="169"/>
      <w:bookmarkStart w:id="170" w:name="_Toc184313239"/>
      <w:bookmarkEnd w:id="170"/>
      <w:bookmarkStart w:id="171" w:name="_Toc184313276"/>
      <w:bookmarkEnd w:id="171"/>
      <w:bookmarkStart w:id="172" w:name="_Toc184314410"/>
      <w:bookmarkEnd w:id="172"/>
      <w:bookmarkStart w:id="173" w:name="_Toc184314477"/>
      <w:bookmarkEnd w:id="173"/>
      <w:bookmarkStart w:id="174" w:name="_Toc184310282"/>
      <w:bookmarkEnd w:id="174"/>
      <w:bookmarkStart w:id="175" w:name="_Toc184310304"/>
      <w:bookmarkEnd w:id="175"/>
      <w:bookmarkStart w:id="176" w:name="_Toc184312133"/>
      <w:bookmarkEnd w:id="176"/>
      <w:bookmarkStart w:id="177" w:name="_Toc184310299"/>
      <w:bookmarkEnd w:id="177"/>
      <w:bookmarkStart w:id="178" w:name="_Toc184314414"/>
      <w:bookmarkEnd w:id="178"/>
      <w:bookmarkStart w:id="179" w:name="_Toc184312139"/>
      <w:bookmarkEnd w:id="179"/>
      <w:bookmarkStart w:id="180" w:name="_Toc184313293"/>
      <w:bookmarkEnd w:id="180"/>
      <w:bookmarkStart w:id="181" w:name="_Toc184313284"/>
      <w:bookmarkEnd w:id="181"/>
      <w:bookmarkStart w:id="182" w:name="_Toc184314439"/>
      <w:bookmarkEnd w:id="182"/>
      <w:bookmarkStart w:id="183" w:name="_Toc184313282"/>
      <w:bookmarkEnd w:id="183"/>
      <w:bookmarkStart w:id="184" w:name="_Toc184314412"/>
      <w:bookmarkEnd w:id="184"/>
      <w:bookmarkStart w:id="185" w:name="_Toc184308102"/>
      <w:bookmarkEnd w:id="185"/>
      <w:bookmarkStart w:id="186" w:name="_Toc184310310"/>
      <w:bookmarkEnd w:id="186"/>
      <w:bookmarkStart w:id="187" w:name="_Toc184310336"/>
      <w:bookmarkEnd w:id="187"/>
      <w:bookmarkStart w:id="188" w:name="_Toc184313278"/>
      <w:bookmarkEnd w:id="188"/>
      <w:bookmarkStart w:id="189" w:name="_Toc184310317"/>
      <w:bookmarkEnd w:id="189"/>
      <w:bookmarkStart w:id="190" w:name="_Toc184310344"/>
      <w:bookmarkEnd w:id="190"/>
      <w:bookmarkStart w:id="191" w:name="_Toc184313306"/>
      <w:bookmarkEnd w:id="191"/>
      <w:bookmarkStart w:id="192" w:name="_Toc184310290"/>
      <w:bookmarkEnd w:id="192"/>
      <w:bookmarkStart w:id="193" w:name="_Toc184310327"/>
      <w:bookmarkEnd w:id="193"/>
      <w:bookmarkStart w:id="194" w:name="_Toc184314459"/>
      <w:bookmarkEnd w:id="194"/>
      <w:bookmarkStart w:id="195" w:name="_Toc184313287"/>
      <w:bookmarkEnd w:id="195"/>
      <w:bookmarkStart w:id="196" w:name="_Toc184308088"/>
      <w:bookmarkEnd w:id="196"/>
      <w:bookmarkStart w:id="197" w:name="_Toc184308049"/>
      <w:bookmarkEnd w:id="197"/>
      <w:bookmarkStart w:id="198" w:name="_Toc184312074"/>
      <w:bookmarkEnd w:id="198"/>
      <w:bookmarkStart w:id="199" w:name="_Toc184313273"/>
      <w:bookmarkEnd w:id="199"/>
      <w:bookmarkStart w:id="200" w:name="_Toc184312108"/>
      <w:bookmarkEnd w:id="200"/>
      <w:bookmarkStart w:id="201" w:name="_Toc184314469"/>
      <w:bookmarkEnd w:id="201"/>
      <w:bookmarkStart w:id="202" w:name="_Toc184310330"/>
      <w:bookmarkEnd w:id="202"/>
      <w:bookmarkStart w:id="203" w:name="_Toc184308048"/>
      <w:bookmarkEnd w:id="203"/>
      <w:bookmarkStart w:id="204" w:name="_Toc184313292"/>
      <w:bookmarkEnd w:id="204"/>
      <w:bookmarkStart w:id="205" w:name="_Toc184310294"/>
      <w:bookmarkEnd w:id="205"/>
      <w:bookmarkStart w:id="206" w:name="_Toc184310289"/>
      <w:bookmarkEnd w:id="206"/>
      <w:bookmarkStart w:id="207" w:name="_Toc184314463"/>
      <w:bookmarkEnd w:id="207"/>
      <w:bookmarkStart w:id="208" w:name="_Toc184308093"/>
      <w:bookmarkEnd w:id="208"/>
      <w:bookmarkStart w:id="209" w:name="_Toc184314465"/>
      <w:bookmarkEnd w:id="209"/>
      <w:bookmarkStart w:id="210" w:name="_Toc184310315"/>
      <w:bookmarkEnd w:id="210"/>
      <w:bookmarkStart w:id="211" w:name="_Toc184308062"/>
      <w:bookmarkEnd w:id="211"/>
      <w:bookmarkStart w:id="212" w:name="_Toc184314472"/>
      <w:bookmarkEnd w:id="212"/>
      <w:bookmarkStart w:id="213" w:name="_Toc184313307"/>
      <w:bookmarkEnd w:id="213"/>
      <w:bookmarkStart w:id="214" w:name="_Toc184310312"/>
      <w:bookmarkEnd w:id="214"/>
      <w:bookmarkStart w:id="215" w:name="_Toc184310339"/>
      <w:bookmarkEnd w:id="215"/>
      <w:bookmarkStart w:id="216" w:name="_Toc184308065"/>
      <w:bookmarkEnd w:id="216"/>
      <w:bookmarkStart w:id="217" w:name="_Toc184308055"/>
      <w:bookmarkEnd w:id="217"/>
      <w:bookmarkStart w:id="218" w:name="_Toc184314444"/>
      <w:bookmarkEnd w:id="218"/>
      <w:bookmarkStart w:id="219" w:name="_Toc184313309"/>
      <w:bookmarkEnd w:id="219"/>
      <w:bookmarkStart w:id="220" w:name="_Toc184310316"/>
      <w:bookmarkEnd w:id="220"/>
      <w:bookmarkStart w:id="221" w:name="_Toc184313300"/>
      <w:bookmarkEnd w:id="221"/>
      <w:bookmarkStart w:id="222" w:name="_Toc184312103"/>
      <w:bookmarkEnd w:id="222"/>
      <w:bookmarkStart w:id="223" w:name="_Toc184308038"/>
      <w:bookmarkEnd w:id="223"/>
      <w:bookmarkStart w:id="224" w:name="_Toc184312068"/>
      <w:bookmarkEnd w:id="224"/>
      <w:bookmarkStart w:id="225" w:name="_Toc184308074"/>
      <w:bookmarkEnd w:id="225"/>
      <w:bookmarkStart w:id="226" w:name="_Toc184308064"/>
      <w:bookmarkEnd w:id="226"/>
      <w:bookmarkStart w:id="227" w:name="_Toc184308098"/>
      <w:bookmarkEnd w:id="227"/>
      <w:bookmarkStart w:id="228" w:name="_Toc184308041"/>
      <w:bookmarkEnd w:id="228"/>
      <w:bookmarkStart w:id="229" w:name="_Toc184312113"/>
      <w:bookmarkEnd w:id="229"/>
      <w:bookmarkStart w:id="230" w:name="_Toc184314434"/>
      <w:bookmarkEnd w:id="230"/>
      <w:bookmarkStart w:id="231" w:name="_Toc184308067"/>
      <w:bookmarkEnd w:id="231"/>
      <w:bookmarkStart w:id="232" w:name="_Toc184314428"/>
      <w:bookmarkEnd w:id="232"/>
      <w:bookmarkStart w:id="233" w:name="_Toc184312082"/>
      <w:bookmarkEnd w:id="233"/>
      <w:bookmarkStart w:id="234" w:name="_Toc184312067"/>
      <w:bookmarkEnd w:id="234"/>
      <w:bookmarkStart w:id="235" w:name="_Toc184308101"/>
      <w:bookmarkEnd w:id="235"/>
      <w:bookmarkStart w:id="236" w:name="_Toc184310281"/>
      <w:bookmarkEnd w:id="236"/>
      <w:bookmarkStart w:id="237" w:name="_Toc184313286"/>
      <w:bookmarkEnd w:id="237"/>
      <w:bookmarkStart w:id="238" w:name="_Toc184314416"/>
      <w:bookmarkEnd w:id="238"/>
      <w:bookmarkStart w:id="239" w:name="_Toc184313310"/>
      <w:bookmarkEnd w:id="239"/>
      <w:bookmarkStart w:id="240" w:name="_Toc184308071"/>
      <w:bookmarkEnd w:id="240"/>
      <w:bookmarkStart w:id="241" w:name="_Toc184314467"/>
      <w:bookmarkEnd w:id="241"/>
      <w:bookmarkStart w:id="242" w:name="_Toc184308105"/>
      <w:bookmarkEnd w:id="242"/>
      <w:bookmarkStart w:id="243" w:name="_Toc184310286"/>
      <w:bookmarkEnd w:id="243"/>
      <w:bookmarkStart w:id="244" w:name="_Toc184314480"/>
      <w:bookmarkEnd w:id="244"/>
      <w:bookmarkStart w:id="245" w:name="_Toc184310280"/>
      <w:bookmarkEnd w:id="245"/>
      <w:bookmarkStart w:id="246" w:name="_Toc184310300"/>
      <w:bookmarkEnd w:id="246"/>
      <w:bookmarkStart w:id="247" w:name="_Toc184314457"/>
      <w:bookmarkEnd w:id="247"/>
      <w:bookmarkStart w:id="248" w:name="_Toc184312121"/>
      <w:bookmarkEnd w:id="248"/>
      <w:bookmarkStart w:id="249" w:name="_Toc184310305"/>
      <w:bookmarkEnd w:id="249"/>
      <w:bookmarkStart w:id="250" w:name="_Toc184314482"/>
      <w:bookmarkEnd w:id="250"/>
      <w:bookmarkStart w:id="251" w:name="_Toc184312087"/>
      <w:bookmarkEnd w:id="251"/>
      <w:bookmarkStart w:id="252" w:name="_Toc184312078"/>
      <w:bookmarkEnd w:id="252"/>
      <w:bookmarkStart w:id="253" w:name="_Toc184312138"/>
      <w:bookmarkEnd w:id="253"/>
      <w:bookmarkStart w:id="254" w:name="_Toc184310314"/>
      <w:bookmarkEnd w:id="254"/>
      <w:bookmarkStart w:id="255" w:name="_Toc184310321"/>
      <w:bookmarkEnd w:id="255"/>
      <w:bookmarkStart w:id="256" w:name="_Toc184310296"/>
      <w:bookmarkEnd w:id="256"/>
      <w:bookmarkStart w:id="257" w:name="_Toc184313271"/>
      <w:bookmarkEnd w:id="257"/>
      <w:bookmarkStart w:id="258" w:name="_Toc184314438"/>
      <w:bookmarkEnd w:id="258"/>
      <w:bookmarkStart w:id="259" w:name="_Toc184312119"/>
      <w:bookmarkEnd w:id="259"/>
      <w:bookmarkStart w:id="260" w:name="_Toc184312106"/>
      <w:bookmarkEnd w:id="260"/>
      <w:bookmarkStart w:id="261" w:name="_Toc184314417"/>
      <w:bookmarkEnd w:id="261"/>
      <w:bookmarkStart w:id="262" w:name="_Toc184312084"/>
      <w:bookmarkEnd w:id="262"/>
      <w:bookmarkStart w:id="263" w:name="_Toc184308059"/>
      <w:bookmarkEnd w:id="263"/>
      <w:bookmarkStart w:id="264" w:name="_Toc184313254"/>
      <w:bookmarkEnd w:id="264"/>
      <w:bookmarkStart w:id="265" w:name="_Toc184314447"/>
      <w:bookmarkEnd w:id="265"/>
      <w:bookmarkStart w:id="266" w:name="_Toc184314433"/>
      <w:bookmarkEnd w:id="266"/>
      <w:bookmarkStart w:id="267" w:name="_Toc184312080"/>
      <w:bookmarkEnd w:id="267"/>
      <w:bookmarkStart w:id="268" w:name="_Toc184313298"/>
      <w:bookmarkEnd w:id="268"/>
      <w:bookmarkStart w:id="269" w:name="_Toc184312100"/>
      <w:bookmarkEnd w:id="269"/>
      <w:bookmarkStart w:id="270" w:name="_Toc184310343"/>
      <w:bookmarkEnd w:id="270"/>
      <w:bookmarkStart w:id="271" w:name="_Toc184312094"/>
      <w:bookmarkEnd w:id="271"/>
      <w:bookmarkStart w:id="272" w:name="_Toc184314479"/>
      <w:bookmarkEnd w:id="272"/>
      <w:bookmarkStart w:id="273" w:name="_Toc184312117"/>
      <w:bookmarkEnd w:id="273"/>
      <w:bookmarkStart w:id="274" w:name="_Toc184308106"/>
      <w:bookmarkEnd w:id="274"/>
      <w:bookmarkStart w:id="275" w:name="_Toc184313295"/>
      <w:bookmarkEnd w:id="275"/>
      <w:bookmarkStart w:id="276" w:name="_Toc184312126"/>
      <w:bookmarkEnd w:id="276"/>
      <w:bookmarkStart w:id="277" w:name="_Toc184308087"/>
      <w:bookmarkEnd w:id="277"/>
      <w:bookmarkStart w:id="278" w:name="_Toc184313267"/>
      <w:bookmarkEnd w:id="278"/>
      <w:bookmarkStart w:id="279" w:name="_Toc184312092"/>
      <w:bookmarkEnd w:id="279"/>
      <w:bookmarkStart w:id="280" w:name="_Toc184313270"/>
      <w:bookmarkEnd w:id="280"/>
      <w:bookmarkStart w:id="281" w:name="_Toc184308096"/>
      <w:bookmarkEnd w:id="281"/>
      <w:bookmarkStart w:id="282" w:name="_Toc184308080"/>
      <w:bookmarkEnd w:id="282"/>
      <w:bookmarkStart w:id="283" w:name="_Toc184308057"/>
      <w:bookmarkEnd w:id="283"/>
      <w:bookmarkStart w:id="284" w:name="_Toc184312088"/>
      <w:bookmarkEnd w:id="284"/>
      <w:bookmarkStart w:id="285" w:name="_Toc184308083"/>
      <w:bookmarkEnd w:id="285"/>
      <w:bookmarkStart w:id="286" w:name="_Toc184308075"/>
      <w:bookmarkEnd w:id="286"/>
      <w:bookmarkStart w:id="287" w:name="_Toc184310277"/>
      <w:bookmarkEnd w:id="287"/>
      <w:bookmarkStart w:id="288" w:name="_Toc184310325"/>
      <w:bookmarkEnd w:id="288"/>
      <w:bookmarkStart w:id="289" w:name="_Toc184314475"/>
      <w:bookmarkEnd w:id="289"/>
      <w:bookmarkStart w:id="290" w:name="_Toc184308090"/>
      <w:bookmarkEnd w:id="290"/>
      <w:bookmarkStart w:id="291" w:name="_Toc184310303"/>
      <w:bookmarkEnd w:id="291"/>
      <w:bookmarkStart w:id="292" w:name="_Toc184310276"/>
      <w:bookmarkEnd w:id="292"/>
      <w:bookmarkStart w:id="293" w:name="_Toc184312097"/>
      <w:bookmarkEnd w:id="293"/>
      <w:bookmarkStart w:id="294" w:name="_Toc184310297"/>
      <w:bookmarkEnd w:id="294"/>
      <w:bookmarkStart w:id="295" w:name="_Toc184308036"/>
      <w:bookmarkEnd w:id="295"/>
      <w:bookmarkStart w:id="296" w:name="_Toc184312070"/>
      <w:bookmarkEnd w:id="296"/>
      <w:bookmarkStart w:id="297" w:name="_Toc184310295"/>
      <w:bookmarkEnd w:id="297"/>
      <w:bookmarkStart w:id="298" w:name="_Toc184313243"/>
      <w:bookmarkEnd w:id="298"/>
      <w:bookmarkStart w:id="299" w:name="_Toc184308061"/>
      <w:bookmarkEnd w:id="299"/>
      <w:bookmarkStart w:id="300" w:name="_Toc184308070"/>
      <w:bookmarkEnd w:id="300"/>
      <w:bookmarkStart w:id="301" w:name="_Toc184310329"/>
      <w:bookmarkEnd w:id="301"/>
      <w:bookmarkStart w:id="302" w:name="_Toc184312085"/>
      <w:bookmarkEnd w:id="302"/>
      <w:bookmarkStart w:id="303" w:name="_Toc184312096"/>
      <w:bookmarkEnd w:id="303"/>
      <w:bookmarkStart w:id="304" w:name="_Toc184314474"/>
      <w:bookmarkEnd w:id="304"/>
      <w:bookmarkStart w:id="305" w:name="_Toc184310319"/>
      <w:bookmarkEnd w:id="305"/>
      <w:bookmarkStart w:id="306" w:name="_Toc184313299"/>
      <w:bookmarkEnd w:id="306"/>
      <w:bookmarkStart w:id="307" w:name="_Toc184313274"/>
      <w:bookmarkEnd w:id="307"/>
      <w:bookmarkStart w:id="308" w:name="_Toc184314462"/>
      <w:bookmarkEnd w:id="308"/>
      <w:bookmarkStart w:id="309" w:name="_Toc184308072"/>
      <w:bookmarkEnd w:id="309"/>
      <w:bookmarkStart w:id="310" w:name="_Toc184308107"/>
      <w:bookmarkEnd w:id="310"/>
      <w:bookmarkStart w:id="311" w:name="_Toc184313244"/>
      <w:bookmarkEnd w:id="311"/>
      <w:bookmarkStart w:id="312" w:name="_Toc184314468"/>
      <w:bookmarkEnd w:id="312"/>
      <w:bookmarkStart w:id="313" w:name="_Toc184308046"/>
      <w:bookmarkEnd w:id="313"/>
      <w:bookmarkStart w:id="314" w:name="_Toc184314464"/>
      <w:bookmarkEnd w:id="314"/>
      <w:bookmarkStart w:id="315" w:name="_Toc184313253"/>
      <w:bookmarkEnd w:id="315"/>
      <w:bookmarkStart w:id="316" w:name="_Toc184310323"/>
      <w:bookmarkEnd w:id="316"/>
      <w:bookmarkStart w:id="317" w:name="_Toc184314476"/>
      <w:bookmarkEnd w:id="317"/>
      <w:bookmarkStart w:id="318" w:name="_Toc184313252"/>
      <w:bookmarkEnd w:id="318"/>
      <w:bookmarkStart w:id="319" w:name="_Toc184313240"/>
      <w:bookmarkEnd w:id="319"/>
      <w:bookmarkStart w:id="320" w:name="_Toc184310284"/>
      <w:bookmarkEnd w:id="320"/>
      <w:bookmarkStart w:id="321" w:name="_Toc184313241"/>
      <w:bookmarkEnd w:id="321"/>
      <w:bookmarkStart w:id="322" w:name="_Toc184314473"/>
      <w:bookmarkEnd w:id="322"/>
      <w:bookmarkStart w:id="323" w:name="_Toc184310342"/>
      <w:bookmarkEnd w:id="323"/>
      <w:bookmarkStart w:id="324" w:name="_Toc184308097"/>
      <w:bookmarkEnd w:id="324"/>
      <w:bookmarkStart w:id="325" w:name="_Toc184314420"/>
      <w:bookmarkEnd w:id="325"/>
      <w:bookmarkStart w:id="326" w:name="_Toc184308058"/>
      <w:bookmarkEnd w:id="326"/>
      <w:bookmarkStart w:id="327" w:name="_Toc184308085"/>
      <w:bookmarkEnd w:id="327"/>
      <w:bookmarkStart w:id="328" w:name="_Toc184308050"/>
      <w:bookmarkEnd w:id="328"/>
      <w:bookmarkStart w:id="329" w:name="_Toc184314431"/>
      <w:bookmarkEnd w:id="329"/>
      <w:bookmarkStart w:id="330" w:name="_Toc184310333"/>
      <w:bookmarkEnd w:id="330"/>
      <w:bookmarkStart w:id="331" w:name="_Toc184313277"/>
      <w:bookmarkEnd w:id="331"/>
      <w:bookmarkStart w:id="332" w:name="_Toc184312134"/>
      <w:bookmarkEnd w:id="332"/>
      <w:bookmarkStart w:id="333" w:name="_Toc184310278"/>
      <w:bookmarkEnd w:id="333"/>
      <w:bookmarkStart w:id="334" w:name="_Toc184313304"/>
      <w:bookmarkEnd w:id="334"/>
      <w:bookmarkStart w:id="335" w:name="_Toc184312118"/>
      <w:bookmarkEnd w:id="335"/>
      <w:bookmarkStart w:id="336" w:name="_Toc184308077"/>
      <w:bookmarkEnd w:id="336"/>
      <w:bookmarkStart w:id="337" w:name="_Toc184312099"/>
      <w:bookmarkEnd w:id="337"/>
      <w:bookmarkStart w:id="338" w:name="_Toc184314437"/>
      <w:bookmarkEnd w:id="338"/>
      <w:bookmarkStart w:id="339" w:name="_Toc184310306"/>
      <w:bookmarkEnd w:id="339"/>
      <w:bookmarkStart w:id="340" w:name="_Toc184313245"/>
      <w:bookmarkEnd w:id="340"/>
      <w:bookmarkStart w:id="341" w:name="_Toc184310340"/>
      <w:bookmarkEnd w:id="341"/>
      <w:bookmarkStart w:id="342" w:name="_Toc184312091"/>
      <w:bookmarkEnd w:id="342"/>
      <w:bookmarkStart w:id="343" w:name="_Toc184313269"/>
      <w:bookmarkEnd w:id="343"/>
      <w:bookmarkStart w:id="344" w:name="_Toc184314455"/>
      <w:bookmarkEnd w:id="344"/>
      <w:bookmarkStart w:id="345" w:name="_Toc184314446"/>
      <w:bookmarkEnd w:id="345"/>
      <w:bookmarkStart w:id="346" w:name="_Toc184314466"/>
      <w:bookmarkEnd w:id="346"/>
      <w:bookmarkStart w:id="347" w:name="_Toc184314429"/>
      <w:bookmarkEnd w:id="347"/>
      <w:bookmarkStart w:id="348" w:name="_Toc184310332"/>
      <w:bookmarkEnd w:id="348"/>
      <w:bookmarkStart w:id="349" w:name="_Toc184313255"/>
      <w:bookmarkEnd w:id="349"/>
      <w:bookmarkStart w:id="350" w:name="_Toc184313251"/>
      <w:bookmarkEnd w:id="350"/>
      <w:bookmarkStart w:id="351" w:name="_Toc184314415"/>
      <w:bookmarkEnd w:id="351"/>
      <w:bookmarkStart w:id="352" w:name="_Toc184313308"/>
      <w:bookmarkEnd w:id="352"/>
      <w:bookmarkStart w:id="353" w:name="_Toc184308108"/>
      <w:bookmarkEnd w:id="353"/>
      <w:bookmarkStart w:id="354" w:name="_Toc184312110"/>
      <w:bookmarkEnd w:id="354"/>
      <w:bookmarkStart w:id="355" w:name="_Toc184314424"/>
      <w:bookmarkEnd w:id="355"/>
      <w:bookmarkStart w:id="356" w:name="_Toc184310320"/>
      <w:bookmarkEnd w:id="356"/>
      <w:bookmarkStart w:id="357" w:name="_Toc184313264"/>
      <w:bookmarkEnd w:id="357"/>
      <w:bookmarkStart w:id="358" w:name="_Toc184310298"/>
      <w:bookmarkEnd w:id="358"/>
      <w:bookmarkStart w:id="359" w:name="_Toc184314432"/>
      <w:bookmarkEnd w:id="359"/>
      <w:bookmarkStart w:id="360" w:name="_Toc184308054"/>
      <w:bookmarkEnd w:id="360"/>
      <w:bookmarkStart w:id="361" w:name="_Toc184312137"/>
      <w:bookmarkEnd w:id="361"/>
      <w:bookmarkStart w:id="362" w:name="_Toc184308051"/>
      <w:bookmarkEnd w:id="362"/>
      <w:bookmarkStart w:id="363" w:name="_Toc184308052"/>
      <w:bookmarkEnd w:id="363"/>
      <w:bookmarkStart w:id="364" w:name="_Toc184313265"/>
      <w:bookmarkEnd w:id="364"/>
      <w:bookmarkStart w:id="365" w:name="_Toc184313291"/>
      <w:bookmarkEnd w:id="365"/>
      <w:bookmarkStart w:id="366" w:name="_Toc184312123"/>
      <w:bookmarkEnd w:id="366"/>
      <w:bookmarkStart w:id="367" w:name="_Toc184310285"/>
      <w:bookmarkEnd w:id="367"/>
      <w:bookmarkStart w:id="368" w:name="_Toc184308099"/>
      <w:bookmarkEnd w:id="368"/>
      <w:bookmarkStart w:id="369" w:name="_Toc184310279"/>
      <w:bookmarkEnd w:id="369"/>
      <w:bookmarkStart w:id="370" w:name="_Toc184314436"/>
      <w:bookmarkEnd w:id="370"/>
      <w:bookmarkStart w:id="371" w:name="_Toc184313297"/>
      <w:bookmarkEnd w:id="371"/>
      <w:bookmarkStart w:id="372" w:name="_Toc184308039"/>
      <w:bookmarkEnd w:id="372"/>
      <w:bookmarkStart w:id="373" w:name="_Toc184314426"/>
      <w:bookmarkEnd w:id="373"/>
      <w:bookmarkStart w:id="374" w:name="_Toc184314451"/>
      <w:bookmarkEnd w:id="374"/>
      <w:bookmarkStart w:id="375" w:name="_Toc184312069"/>
      <w:bookmarkEnd w:id="375"/>
      <w:bookmarkStart w:id="376" w:name="_Toc184314441"/>
      <w:bookmarkEnd w:id="376"/>
      <w:bookmarkStart w:id="377" w:name="_Toc184310287"/>
      <w:bookmarkEnd w:id="377"/>
      <w:bookmarkStart w:id="378" w:name="_Toc184314435"/>
      <w:bookmarkEnd w:id="378"/>
      <w:bookmarkStart w:id="379" w:name="_Toc184314440"/>
      <w:bookmarkEnd w:id="379"/>
      <w:bookmarkStart w:id="380" w:name="_Toc184313294"/>
      <w:bookmarkEnd w:id="380"/>
      <w:bookmarkStart w:id="381" w:name="_Toc184313296"/>
      <w:bookmarkEnd w:id="381"/>
      <w:bookmarkStart w:id="382" w:name="_Toc184314471"/>
      <w:bookmarkEnd w:id="382"/>
      <w:bookmarkStart w:id="383" w:name="_Toc184308104"/>
      <w:bookmarkEnd w:id="383"/>
      <w:bookmarkStart w:id="384" w:name="_Toc184310288"/>
      <w:bookmarkEnd w:id="384"/>
      <w:bookmarkStart w:id="385" w:name="_Toc184314452"/>
      <w:bookmarkEnd w:id="385"/>
      <w:bookmarkStart w:id="386" w:name="_Toc184312114"/>
      <w:bookmarkEnd w:id="386"/>
      <w:bookmarkStart w:id="387" w:name="_Toc184314461"/>
      <w:bookmarkEnd w:id="387"/>
      <w:bookmarkStart w:id="388" w:name="_Toc184313305"/>
      <w:bookmarkEnd w:id="388"/>
      <w:bookmarkStart w:id="389" w:name="_Toc184314445"/>
      <w:bookmarkEnd w:id="389"/>
      <w:bookmarkStart w:id="390" w:name="_Toc184314481"/>
      <w:bookmarkEnd w:id="390"/>
      <w:bookmarkStart w:id="391" w:name="_Toc184308047"/>
      <w:bookmarkEnd w:id="391"/>
      <w:bookmarkStart w:id="392" w:name="_Toc184310318"/>
      <w:bookmarkEnd w:id="392"/>
      <w:bookmarkStart w:id="393" w:name="_Toc184310311"/>
      <w:bookmarkEnd w:id="393"/>
      <w:bookmarkStart w:id="394" w:name="_Toc184308056"/>
      <w:bookmarkEnd w:id="394"/>
      <w:bookmarkStart w:id="395" w:name="_Toc184313258"/>
      <w:bookmarkEnd w:id="395"/>
      <w:bookmarkStart w:id="396" w:name="_Toc184314418"/>
      <w:bookmarkEnd w:id="396"/>
      <w:bookmarkStart w:id="397" w:name="_Toc184314422"/>
      <w:bookmarkEnd w:id="397"/>
      <w:bookmarkStart w:id="398" w:name="_Toc184312081"/>
      <w:bookmarkEnd w:id="398"/>
      <w:bookmarkStart w:id="399" w:name="_Toc184308092"/>
      <w:bookmarkEnd w:id="399"/>
      <w:bookmarkStart w:id="400" w:name="_Toc184310324"/>
      <w:bookmarkEnd w:id="400"/>
      <w:bookmarkStart w:id="401" w:name="_Toc184312136"/>
      <w:bookmarkEnd w:id="401"/>
      <w:bookmarkStart w:id="402" w:name="_Toc184310307"/>
      <w:bookmarkEnd w:id="402"/>
      <w:bookmarkStart w:id="403" w:name="_Toc184313279"/>
      <w:bookmarkEnd w:id="403"/>
      <w:r>
        <w:rPr>
          <w:rFonts w:hint="eastAsia" w:ascii="宋体" w:hAnsi="宋体" w:cs="宋体"/>
          <w:b/>
          <w:color w:val="auto"/>
          <w:sz w:val="36"/>
          <w:szCs w:val="36"/>
        </w:rPr>
        <w:t>评标办法</w:t>
      </w:r>
    </w:p>
    <w:p>
      <w:pPr>
        <w:snapToGrid w:val="0"/>
        <w:spacing w:line="360" w:lineRule="auto"/>
        <w:jc w:val="center"/>
        <w:rPr>
          <w:rFonts w:ascii="宋体" w:hAnsi="宋体" w:cs="宋体"/>
          <w:b/>
          <w:color w:val="auto"/>
          <w:sz w:val="32"/>
          <w:szCs w:val="20"/>
        </w:rPr>
      </w:pPr>
      <w:r>
        <w:rPr>
          <w:rFonts w:hint="eastAsia" w:ascii="宋体" w:hAnsi="宋体" w:cs="宋体"/>
          <w:b/>
          <w:color w:val="auto"/>
          <w:sz w:val="32"/>
          <w:szCs w:val="20"/>
        </w:rPr>
        <w:t>评标办法前附表</w:t>
      </w:r>
    </w:p>
    <w:tbl>
      <w:tblPr>
        <w:tblStyle w:val="64"/>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4620"/>
        <w:gridCol w:w="750"/>
        <w:gridCol w:w="99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序号</w:t>
            </w:r>
          </w:p>
        </w:tc>
        <w:tc>
          <w:tcPr>
            <w:tcW w:w="4620"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评标标准</w:t>
            </w:r>
          </w:p>
        </w:tc>
        <w:tc>
          <w:tcPr>
            <w:tcW w:w="750"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权重</w:t>
            </w:r>
          </w:p>
        </w:tc>
        <w:tc>
          <w:tcPr>
            <w:tcW w:w="990" w:type="dxa"/>
            <w:vAlign w:val="center"/>
          </w:tcPr>
          <w:p>
            <w:pPr>
              <w:snapToGrid w:val="0"/>
              <w:spacing w:line="360" w:lineRule="auto"/>
              <w:jc w:val="center"/>
              <w:rPr>
                <w:rFonts w:ascii="宋体" w:hAnsi="宋体" w:cs="宋体"/>
                <w:bCs/>
                <w:color w:val="auto"/>
                <w:sz w:val="24"/>
              </w:rPr>
            </w:pPr>
            <w:r>
              <w:rPr>
                <w:rFonts w:hint="eastAsia" w:ascii="宋体" w:hAnsi="宋体" w:cs="宋体"/>
                <w:bCs/>
                <w:color w:val="auto"/>
                <w:sz w:val="24"/>
              </w:rPr>
              <w:t>主观分/客观分属性</w:t>
            </w:r>
          </w:p>
        </w:tc>
        <w:tc>
          <w:tcPr>
            <w:tcW w:w="1590" w:type="dxa"/>
          </w:tcPr>
          <w:p>
            <w:pPr>
              <w:snapToGrid w:val="0"/>
              <w:spacing w:line="360" w:lineRule="auto"/>
              <w:jc w:val="center"/>
              <w:rPr>
                <w:rFonts w:ascii="宋体" w:hAnsi="宋体" w:cs="宋体"/>
                <w:color w:val="auto"/>
                <w:sz w:val="24"/>
              </w:rPr>
            </w:pPr>
            <w:r>
              <w:rPr>
                <w:rFonts w:hint="eastAsia" w:ascii="宋体" w:hAnsi="宋体" w:cs="宋体"/>
                <w:bCs/>
                <w:color w:val="auto"/>
                <w:sz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性能和技术指标要求：符合招标需求指标参数得</w:t>
            </w:r>
            <w:r>
              <w:rPr>
                <w:rFonts w:hint="eastAsia" w:ascii="宋体" w:hAnsi="宋体" w:cs="宋体"/>
                <w:color w:val="auto"/>
                <w:sz w:val="24"/>
                <w:highlight w:val="none"/>
                <w:lang w:val="en-US" w:eastAsia="zh-CN"/>
              </w:rPr>
              <w:t>16</w:t>
            </w:r>
            <w:r>
              <w:rPr>
                <w:rFonts w:hint="eastAsia" w:ascii="宋体" w:hAnsi="宋体" w:eastAsia="宋体" w:cs="宋体"/>
                <w:color w:val="auto"/>
                <w:sz w:val="24"/>
                <w:highlight w:val="none"/>
                <w:lang w:val="zh-CN" w:eastAsia="zh-CN"/>
              </w:rPr>
              <w:t>分。性能指标、功能及技术参数属负偏离或缺漏项的每项扣</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zh-CN" w:eastAsia="zh-CN"/>
              </w:rPr>
              <w:t>分</w:t>
            </w:r>
            <w:r>
              <w:rPr>
                <w:rFonts w:hint="eastAsia" w:ascii="宋体" w:hAnsi="宋体" w:cs="宋体"/>
                <w:color w:val="auto"/>
                <w:sz w:val="24"/>
                <w:highlight w:val="none"/>
                <w:lang w:val="zh-CN" w:eastAsia="zh-CN"/>
              </w:rPr>
              <w:t>，</w:t>
            </w:r>
            <w:r>
              <w:rPr>
                <w:rFonts w:hint="eastAsia" w:ascii="宋体" w:hAnsi="宋体" w:eastAsia="宋体" w:cs="宋体"/>
                <w:color w:val="auto"/>
                <w:sz w:val="24"/>
                <w:highlight w:val="none"/>
                <w:lang w:val="zh-CN" w:eastAsia="zh-CN"/>
              </w:rPr>
              <w:t>扣完为止。提供投标产品的彩页说明书等</w:t>
            </w:r>
            <w:r>
              <w:rPr>
                <w:rFonts w:hint="eastAsia" w:ascii="宋体" w:hAnsi="宋体" w:eastAsia="宋体" w:cs="宋体"/>
                <w:color w:val="auto"/>
                <w:sz w:val="24"/>
                <w:highlight w:val="none"/>
                <w:lang w:val="en-US" w:eastAsia="zh-CN"/>
              </w:rPr>
              <w:t>相关要求</w:t>
            </w:r>
            <w:r>
              <w:rPr>
                <w:rFonts w:hint="eastAsia" w:ascii="宋体" w:hAnsi="宋体" w:eastAsia="宋体" w:cs="宋体"/>
                <w:color w:val="auto"/>
                <w:sz w:val="24"/>
                <w:highlight w:val="none"/>
                <w:lang w:val="zh-CN" w:eastAsia="zh-CN"/>
              </w:rPr>
              <w:t>证明</w:t>
            </w:r>
            <w:r>
              <w:rPr>
                <w:rFonts w:hint="eastAsia" w:ascii="宋体" w:hAnsi="宋体" w:eastAsia="宋体" w:cs="宋体"/>
                <w:color w:val="auto"/>
                <w:sz w:val="24"/>
                <w:highlight w:val="none"/>
                <w:lang w:val="en-US" w:eastAsia="zh-CN"/>
              </w:rPr>
              <w:t>的</w:t>
            </w:r>
            <w:r>
              <w:rPr>
                <w:rFonts w:hint="eastAsia" w:ascii="宋体" w:hAnsi="宋体" w:eastAsia="宋体" w:cs="宋体"/>
                <w:color w:val="auto"/>
                <w:sz w:val="24"/>
                <w:highlight w:val="none"/>
                <w:lang w:val="zh-CN" w:eastAsia="zh-CN"/>
              </w:rPr>
              <w:t>材料。（</w:t>
            </w: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16</w:t>
            </w:r>
            <w:r>
              <w:rPr>
                <w:rFonts w:hint="eastAsia" w:ascii="宋体" w:hAnsi="宋体" w:eastAsia="宋体" w:cs="宋体"/>
                <w:color w:val="auto"/>
                <w:sz w:val="24"/>
                <w:highlight w:val="none"/>
                <w:lang w:val="en-US" w:eastAsia="zh-CN"/>
              </w:rPr>
              <w:t>分</w:t>
            </w:r>
            <w:r>
              <w:rPr>
                <w:rFonts w:hint="eastAsia" w:ascii="宋体" w:hAnsi="宋体" w:eastAsia="宋体" w:cs="宋体"/>
                <w:color w:val="auto"/>
                <w:sz w:val="24"/>
                <w:highlight w:val="none"/>
                <w:lang w:val="zh-CN" w:eastAsia="zh-CN"/>
              </w:rPr>
              <w:t>）</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16</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客观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zh-CN" w:eastAsia="zh-CN"/>
              </w:rPr>
              <w:t>性能和技术指标要求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sz w:val="24"/>
                <w:highlight w:val="none"/>
                <w:lang w:val="en-US" w:eastAsia="zh-CN"/>
              </w:rPr>
            </w:pPr>
          </w:p>
        </w:tc>
        <w:tc>
          <w:tcPr>
            <w:tcW w:w="4620" w:type="dxa"/>
            <w:vAlign w:val="center"/>
          </w:tcPr>
          <w:p>
            <w:pP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商务要求响应情况。</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sz w:val="24"/>
                <w:highlight w:val="none"/>
                <w:lang w:val="zh-CN" w:eastAsia="zh-CN"/>
              </w:rPr>
            </w:pPr>
            <w:r>
              <w:rPr>
                <w:rFonts w:hint="eastAsia" w:ascii="宋体" w:hAnsi="宋体" w:eastAsia="宋体" w:cs="宋体"/>
                <w:color w:val="auto"/>
                <w:kern w:val="0"/>
                <w:sz w:val="24"/>
                <w:szCs w:val="24"/>
                <w:highlight w:val="none"/>
                <w:lang w:val="en-US" w:eastAsia="zh-CN" w:bidi="ar"/>
              </w:rPr>
              <w:t>投标人对采购需求中“四、商务要求”内容的响应情况进行打分，完全响应或承诺高于要求的得6分；若出现负偏离，负偏离1项扣2分，扣完为止。</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6</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客观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商务要求响应情况</w:t>
            </w:r>
          </w:p>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sz w:val="24"/>
                <w:highlight w:val="no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2</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对项目需求的理解：投标人对本项目的熟悉程度以及关键技术难点、解决方案及相应的监控措施等进行打分。</w:t>
            </w:r>
            <w:r>
              <w:rPr>
                <w:rFonts w:hint="eastAsia" w:ascii="宋体" w:hAnsi="宋体" w:eastAsia="宋体" w:cs="宋体"/>
                <w:color w:val="auto"/>
                <w:sz w:val="24"/>
                <w:highlight w:val="none"/>
              </w:rPr>
              <w:t>（符合</w:t>
            </w:r>
            <w:r>
              <w:rPr>
                <w:rFonts w:hint="eastAsia" w:ascii="宋体" w:hAnsi="宋体" w:cs="宋体"/>
                <w:color w:val="auto"/>
                <w:sz w:val="24"/>
                <w:highlight w:val="none"/>
                <w:lang w:eastAsia="zh-CN"/>
              </w:rPr>
              <w:t>采购需求</w:t>
            </w:r>
            <w:r>
              <w:rPr>
                <w:rFonts w:hint="eastAsia" w:ascii="宋体" w:hAnsi="宋体" w:eastAsia="宋体" w:cs="宋体"/>
                <w:color w:val="auto"/>
                <w:sz w:val="24"/>
                <w:highlight w:val="none"/>
              </w:rPr>
              <w:t>得</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分，</w:t>
            </w:r>
            <w:r>
              <w:rPr>
                <w:rFonts w:hint="eastAsia" w:ascii="宋体" w:hAnsi="宋体" w:cs="宋体"/>
                <w:bCs/>
                <w:color w:val="auto"/>
                <w:sz w:val="24"/>
                <w:highlight w:val="none"/>
                <w:lang w:val="en-US" w:eastAsia="zh-CN"/>
              </w:rPr>
              <w:t>部分符合得3分，</w:t>
            </w:r>
            <w:r>
              <w:rPr>
                <w:rFonts w:hint="eastAsia" w:ascii="宋体" w:hAnsi="宋体" w:eastAsia="宋体" w:cs="宋体"/>
                <w:color w:val="auto"/>
                <w:sz w:val="24"/>
                <w:highlight w:val="none"/>
              </w:rPr>
              <w:t>不符合不得分）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5</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主观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对项目需求的理解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3</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项目实施方案</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eastAsia="zh-CN"/>
              </w:rPr>
              <w:t>根据投标人项目实施方案（项目工期、项目实施进度安排等）的完整性、合理性、先进性等内容打分。</w:t>
            </w:r>
            <w:r>
              <w:rPr>
                <w:rFonts w:hint="eastAsia" w:ascii="宋体" w:hAnsi="宋体" w:eastAsia="宋体" w:cs="宋体"/>
                <w:color w:val="auto"/>
                <w:sz w:val="24"/>
                <w:highlight w:val="none"/>
              </w:rPr>
              <w:t>（符合</w:t>
            </w:r>
            <w:r>
              <w:rPr>
                <w:rFonts w:hint="eastAsia" w:ascii="宋体" w:hAnsi="宋体" w:cs="宋体"/>
                <w:color w:val="auto"/>
                <w:sz w:val="24"/>
                <w:highlight w:val="none"/>
                <w:lang w:eastAsia="zh-CN"/>
              </w:rPr>
              <w:t>采购需求</w:t>
            </w:r>
            <w:r>
              <w:rPr>
                <w:rFonts w:hint="eastAsia" w:ascii="宋体" w:hAnsi="宋体" w:eastAsia="宋体" w:cs="宋体"/>
                <w:color w:val="auto"/>
                <w:sz w:val="24"/>
                <w:highlight w:val="none"/>
              </w:rPr>
              <w:t>得</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分，</w:t>
            </w:r>
            <w:r>
              <w:rPr>
                <w:rFonts w:hint="eastAsia" w:ascii="宋体" w:hAnsi="宋体" w:cs="宋体"/>
                <w:bCs/>
                <w:color w:val="auto"/>
                <w:sz w:val="24"/>
                <w:highlight w:val="none"/>
                <w:lang w:val="en-US" w:eastAsia="zh-CN"/>
              </w:rPr>
              <w:t>部分符合得3分，</w:t>
            </w:r>
            <w:r>
              <w:rPr>
                <w:rFonts w:hint="eastAsia" w:ascii="宋体" w:hAnsi="宋体" w:eastAsia="宋体" w:cs="宋体"/>
                <w:color w:val="auto"/>
                <w:sz w:val="24"/>
                <w:highlight w:val="none"/>
              </w:rPr>
              <w:t>不符合不得分）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5</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主观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4</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供货、安装及调试方案</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eastAsia="zh-CN"/>
              </w:rPr>
              <w:t>根据投标人的供货、安装及调试的方案进行打分。（0-</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zh-CN" w:eastAsia="zh-CN"/>
              </w:rPr>
              <w:t>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3</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主观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供货、安装及调试方案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5</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验收的方案和措施</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eastAsia="zh-CN"/>
              </w:rPr>
              <w:t>根据投标人的验收的项目方案措施进行打分。（0-</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zh-CN" w:eastAsia="zh-CN"/>
              </w:rPr>
              <w:t>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cs="宋体"/>
                <w:color w:val="auto"/>
                <w:sz w:val="24"/>
                <w:highlight w:val="none"/>
                <w:lang w:val="en-US" w:eastAsia="zh-CN"/>
              </w:rPr>
              <w:t>3</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en-US" w:eastAsia="zh-CN"/>
              </w:rPr>
              <w:t>主观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验收的方案和措施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6</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质量</w:t>
            </w:r>
            <w:r>
              <w:rPr>
                <w:rFonts w:hint="eastAsia" w:ascii="宋体" w:hAnsi="宋体" w:eastAsia="宋体" w:cs="宋体"/>
                <w:color w:val="auto"/>
                <w:sz w:val="24"/>
                <w:highlight w:val="none"/>
                <w:lang w:val="en-US" w:eastAsia="zh-CN"/>
              </w:rPr>
              <w:t>保证</w:t>
            </w:r>
            <w:r>
              <w:rPr>
                <w:rFonts w:hint="eastAsia" w:ascii="宋体" w:hAnsi="宋体" w:eastAsia="宋体" w:cs="宋体"/>
                <w:color w:val="auto"/>
                <w:sz w:val="24"/>
                <w:highlight w:val="none"/>
                <w:lang w:val="zh-CN" w:eastAsia="zh-CN"/>
              </w:rPr>
              <w:t>措施：根据投标人项目组织机构健全情况进行打分（0-</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zh-CN" w:eastAsia="zh-CN"/>
              </w:rPr>
              <w:t>分）；根据投标人建设质量目标、质量保障措施完善情况进行打分（0-</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zh-CN" w:eastAsia="zh-CN"/>
              </w:rPr>
              <w:t>分）</w:t>
            </w:r>
            <w:r>
              <w:rPr>
                <w:rFonts w:hint="eastAsia" w:ascii="宋体" w:hAnsi="宋体" w:eastAsia="宋体" w:cs="宋体"/>
                <w:color w:val="auto"/>
                <w:sz w:val="24"/>
                <w:highlight w:val="none"/>
                <w:lang w:val="en-US" w:eastAsia="zh-CN"/>
              </w:rPr>
              <w:t>。（0-</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en-US" w:eastAsia="zh-CN"/>
              </w:rPr>
              <w:t>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4</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主观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质量</w:t>
            </w:r>
            <w:r>
              <w:rPr>
                <w:rFonts w:hint="eastAsia" w:ascii="宋体" w:hAnsi="宋体" w:cs="宋体"/>
                <w:color w:val="auto"/>
                <w:sz w:val="24"/>
                <w:highlight w:val="none"/>
                <w:lang w:val="en-US" w:eastAsia="zh-CN"/>
              </w:rPr>
              <w:t>保证</w:t>
            </w:r>
            <w:r>
              <w:rPr>
                <w:rFonts w:hint="eastAsia" w:ascii="宋体" w:hAnsi="宋体" w:eastAsia="宋体" w:cs="宋体"/>
                <w:color w:val="auto"/>
                <w:sz w:val="24"/>
                <w:highlight w:val="none"/>
                <w:lang w:val="zh-CN" w:eastAsia="zh-CN"/>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7</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en-US" w:eastAsia="zh-CN"/>
              </w:rPr>
              <w:t>投标人获得县级及以上政府部门颁布质量奖的得2分；</w:t>
            </w:r>
            <w:r>
              <w:rPr>
                <w:rFonts w:hint="eastAsia" w:ascii="宋体" w:hAnsi="宋体" w:eastAsia="宋体" w:cs="宋体"/>
                <w:color w:val="auto"/>
                <w:sz w:val="24"/>
                <w:highlight w:val="none"/>
                <w:lang w:val="zh-CN" w:eastAsia="zh-CN"/>
              </w:rPr>
              <w:t>各类协会除外</w:t>
            </w:r>
            <w:r>
              <w:rPr>
                <w:rFonts w:hint="eastAsia" w:ascii="宋体" w:hAnsi="宋体" w:eastAsia="宋体" w:cs="宋体"/>
                <w:color w:val="auto"/>
                <w:sz w:val="24"/>
                <w:highlight w:val="none"/>
                <w:lang w:val="en-US" w:eastAsia="zh-CN"/>
              </w:rPr>
              <w:t>（需提供红头文件或证书复印件并加盖公章，否则不得分）（0-2分）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2</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客观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质量保障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8</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考核及培训计划</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eastAsia="zh-CN"/>
              </w:rPr>
              <w:t>对投标人提供的监测运行工作内容、投标人内部自我考核细则、培训计划等方面进行打分。（0-</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val="zh-CN" w:eastAsia="zh-CN"/>
              </w:rPr>
              <w:t>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2</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主观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考核及培训计划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9</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zh-CN" w:eastAsia="zh-CN"/>
              </w:rPr>
              <w:t>售后服务</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eastAsia="zh-CN"/>
              </w:rPr>
              <w:t>投标方提供的售后服务方案、维护人员和机构等情况；</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根据售后服务承诺的可行性、完整性以及服务承诺落实的保障措施、技术支持和维护能力情况等打分。（0-2分）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2</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主观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售后服务</w:t>
            </w:r>
            <w:r>
              <w:rPr>
                <w:rFonts w:hint="eastAsia" w:ascii="宋体" w:hAnsi="宋体" w:eastAsia="宋体" w:cs="宋体"/>
                <w:color w:val="auto"/>
                <w:sz w:val="24"/>
                <w:highlight w:val="none"/>
                <w:lang w:val="en-US"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10</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服务认证</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eastAsia="zh-CN"/>
              </w:rPr>
              <w:t>投标人</w:t>
            </w:r>
            <w:r>
              <w:rPr>
                <w:rFonts w:hint="eastAsia" w:ascii="宋体" w:hAnsi="宋体" w:eastAsia="宋体" w:cs="宋体"/>
                <w:color w:val="auto"/>
                <w:sz w:val="24"/>
                <w:highlight w:val="none"/>
                <w:lang w:val="en-US" w:eastAsia="zh-CN"/>
              </w:rPr>
              <w:t>具</w:t>
            </w:r>
            <w:r>
              <w:rPr>
                <w:rFonts w:hint="eastAsia" w:ascii="宋体" w:hAnsi="宋体" w:eastAsia="宋体" w:cs="宋体"/>
                <w:color w:val="auto"/>
                <w:sz w:val="24"/>
                <w:highlight w:val="none"/>
                <w:lang w:val="zh-CN" w:eastAsia="zh-CN"/>
              </w:rPr>
              <w:t>有有效期内的售后服务认证证书（GB/T27922-2011）具有机电工程售后服务五星级的得2分，四星级</w:t>
            </w:r>
            <w:r>
              <w:rPr>
                <w:rFonts w:hint="eastAsia" w:ascii="宋体" w:hAnsi="宋体" w:eastAsia="宋体" w:cs="宋体"/>
                <w:color w:val="auto"/>
                <w:sz w:val="24"/>
                <w:highlight w:val="none"/>
                <w:lang w:val="en-US" w:eastAsia="zh-CN"/>
              </w:rPr>
              <w:t>的得1分，</w:t>
            </w:r>
            <w:r>
              <w:rPr>
                <w:rFonts w:hint="eastAsia" w:ascii="宋体" w:hAnsi="宋体" w:eastAsia="宋体" w:cs="宋体"/>
                <w:color w:val="auto"/>
                <w:sz w:val="24"/>
                <w:highlight w:val="none"/>
                <w:lang w:val="zh-CN" w:eastAsia="zh-CN"/>
              </w:rPr>
              <w:t>三星级的得</w:t>
            </w:r>
            <w:r>
              <w:rPr>
                <w:rFonts w:hint="eastAsia" w:ascii="宋体" w:hAnsi="宋体" w:eastAsia="宋体" w:cs="宋体"/>
                <w:color w:val="auto"/>
                <w:sz w:val="24"/>
                <w:highlight w:val="none"/>
                <w:lang w:val="en-US" w:eastAsia="zh-CN"/>
              </w:rPr>
              <w:t>0.5</w:t>
            </w:r>
            <w:r>
              <w:rPr>
                <w:rFonts w:hint="eastAsia" w:ascii="宋体" w:hAnsi="宋体" w:eastAsia="宋体" w:cs="宋体"/>
                <w:color w:val="auto"/>
                <w:sz w:val="24"/>
                <w:highlight w:val="none"/>
                <w:lang w:val="zh-CN" w:eastAsia="zh-CN"/>
              </w:rPr>
              <w:t>分；</w:t>
            </w:r>
            <w:r>
              <w:rPr>
                <w:rFonts w:hint="eastAsia" w:ascii="宋体" w:hAnsi="宋体" w:eastAsia="宋体" w:cs="宋体"/>
                <w:color w:val="auto"/>
                <w:sz w:val="24"/>
                <w:highlight w:val="none"/>
                <w:lang w:val="en-US" w:eastAsia="zh-CN"/>
              </w:rPr>
              <w:t>（需提供证书复印件并加盖公章，否则不得分）</w:t>
            </w:r>
            <w:r>
              <w:rPr>
                <w:rFonts w:hint="eastAsia" w:ascii="宋体" w:hAnsi="宋体" w:eastAsia="宋体" w:cs="宋体"/>
                <w:color w:val="auto"/>
                <w:sz w:val="24"/>
                <w:highlight w:val="none"/>
                <w:lang w:val="zh-CN" w:eastAsia="zh-CN"/>
              </w:rPr>
              <w:t>（0-2分）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2</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客观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服务认证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11</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科技创新能力</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eastAsia="zh-CN"/>
              </w:rPr>
              <w:t>投标人具有省级科技型中小企业的得2分；没有的不得分。各类协会除外（需提供红头文件或证书复印件并加盖投标人公章，否则不得分）（0-2分）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2</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客观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科技创新能力</w:t>
            </w:r>
            <w:r>
              <w:rPr>
                <w:rFonts w:hint="eastAsia" w:ascii="宋体" w:hAnsi="宋体" w:cs="宋体"/>
                <w:color w:val="auto"/>
                <w:kern w:val="0"/>
                <w:sz w:val="24"/>
                <w:highlight w:val="none"/>
                <w:lang w:eastAsia="zh-CN"/>
              </w:rPr>
              <w:t>（</w:t>
            </w:r>
            <w:r>
              <w:rPr>
                <w:rFonts w:hint="eastAsia" w:ascii="宋体" w:hAnsi="宋体" w:cs="宋体"/>
                <w:snapToGrid w:val="0"/>
                <w:color w:val="auto"/>
                <w:kern w:val="28"/>
                <w:sz w:val="24"/>
                <w:highlight w:val="none"/>
              </w:rPr>
              <w:t>资信证明</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12</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TW"/>
              </w:rPr>
              <w:t>项目负责人</w:t>
            </w:r>
            <w:r>
              <w:rPr>
                <w:rFonts w:hint="eastAsia" w:ascii="宋体" w:hAnsi="宋体" w:eastAsia="宋体" w:cs="宋体"/>
                <w:color w:val="auto"/>
                <w:sz w:val="24"/>
                <w:highlight w:val="none"/>
                <w:lang w:val="zh-CN" w:eastAsia="zh-CN"/>
              </w:rPr>
              <w:t>：机电工程建造师一级的得</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zh-CN" w:eastAsia="zh-CN"/>
              </w:rPr>
              <w:t>分；机电工程建造师二级的得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zh-CN" w:eastAsia="zh-CN"/>
              </w:rPr>
              <w:t>分；没有的不得分。（提供相关专业证书复印件和近三个月的社保证明，缺一不得分）（0-</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lang w:val="zh-CN" w:eastAsia="zh-CN"/>
              </w:rPr>
              <w:t>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4</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客观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TW"/>
              </w:rPr>
              <w:t>项目负责人</w:t>
            </w:r>
            <w:r>
              <w:rPr>
                <w:rFonts w:hint="eastAsia" w:ascii="宋体" w:hAnsi="宋体" w:cs="宋体"/>
                <w:color w:val="auto"/>
                <w:kern w:val="0"/>
                <w:sz w:val="24"/>
                <w:highlight w:val="none"/>
                <w:lang w:eastAsia="zh-CN"/>
              </w:rPr>
              <w:t>（</w:t>
            </w:r>
            <w:r>
              <w:rPr>
                <w:rFonts w:hint="eastAsia" w:ascii="宋体" w:hAnsi="宋体" w:cs="宋体"/>
                <w:snapToGrid w:val="0"/>
                <w:color w:val="auto"/>
                <w:kern w:val="28"/>
                <w:sz w:val="24"/>
                <w:highlight w:val="none"/>
              </w:rPr>
              <w:t>资信证明</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13</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项目技术负责人：具有</w:t>
            </w:r>
            <w:r>
              <w:rPr>
                <w:rFonts w:hint="eastAsia" w:ascii="宋体" w:hAnsi="宋体" w:eastAsia="宋体" w:cs="宋体"/>
                <w:color w:val="auto"/>
                <w:sz w:val="24"/>
                <w:highlight w:val="none"/>
                <w:lang w:val="en-US" w:eastAsia="zh-CN"/>
              </w:rPr>
              <w:t>注册环保</w:t>
            </w:r>
            <w:r>
              <w:rPr>
                <w:rFonts w:hint="eastAsia" w:ascii="宋体" w:hAnsi="宋体" w:eastAsia="宋体" w:cs="宋体"/>
                <w:color w:val="auto"/>
                <w:sz w:val="24"/>
                <w:highlight w:val="none"/>
                <w:lang w:val="zh-CN" w:eastAsia="zh-CN"/>
              </w:rPr>
              <w:t>工程师职称的得2分，没有的不得分。（提供证书复印件加盖单位公章和近三个月社保证明，</w:t>
            </w:r>
            <w:r>
              <w:rPr>
                <w:rFonts w:hint="eastAsia" w:ascii="宋体" w:hAnsi="宋体" w:eastAsia="宋体" w:cs="宋体"/>
                <w:color w:val="auto"/>
                <w:sz w:val="24"/>
                <w:highlight w:val="none"/>
                <w:lang w:val="en-US" w:eastAsia="zh-CN"/>
              </w:rPr>
              <w:t>缺一不得分</w:t>
            </w:r>
            <w:r>
              <w:rPr>
                <w:rFonts w:hint="eastAsia" w:ascii="宋体" w:hAnsi="宋体" w:eastAsia="宋体" w:cs="宋体"/>
                <w:color w:val="auto"/>
                <w:sz w:val="24"/>
                <w:highlight w:val="none"/>
                <w:lang w:val="zh-CN" w:eastAsia="zh-CN"/>
              </w:rPr>
              <w:t>）（0-2分）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2</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客观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技术负责人</w:t>
            </w:r>
            <w:r>
              <w:rPr>
                <w:rFonts w:hint="eastAsia" w:ascii="宋体" w:hAnsi="宋体" w:cs="宋体"/>
                <w:color w:val="auto"/>
                <w:kern w:val="0"/>
                <w:sz w:val="24"/>
                <w:highlight w:val="none"/>
                <w:lang w:eastAsia="zh-CN"/>
              </w:rPr>
              <w:t>（</w:t>
            </w:r>
            <w:r>
              <w:rPr>
                <w:rFonts w:hint="eastAsia" w:ascii="宋体" w:hAnsi="宋体" w:cs="宋体"/>
                <w:snapToGrid w:val="0"/>
                <w:color w:val="auto"/>
                <w:kern w:val="28"/>
                <w:sz w:val="24"/>
                <w:highlight w:val="none"/>
              </w:rPr>
              <w:t>资信证明</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14</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zh-CN" w:eastAsia="zh-CN"/>
              </w:rPr>
              <w:t>项目</w:t>
            </w:r>
            <w:r>
              <w:rPr>
                <w:rFonts w:hint="eastAsia" w:ascii="宋体" w:hAnsi="宋体" w:eastAsia="宋体" w:cs="宋体"/>
                <w:color w:val="auto"/>
                <w:sz w:val="24"/>
                <w:highlight w:val="none"/>
                <w:lang w:val="en-US" w:eastAsia="zh-CN"/>
              </w:rPr>
              <w:t>团队</w:t>
            </w:r>
            <w:r>
              <w:rPr>
                <w:rFonts w:hint="eastAsia" w:ascii="宋体" w:hAnsi="宋体" w:eastAsia="宋体" w:cs="宋体"/>
                <w:color w:val="auto"/>
                <w:sz w:val="24"/>
                <w:highlight w:val="none"/>
                <w:lang w:val="zh-CN" w:eastAsia="zh-CN"/>
              </w:rPr>
              <w:t>技术人员（项目负责人</w:t>
            </w:r>
            <w:r>
              <w:rPr>
                <w:rFonts w:hint="eastAsia" w:ascii="宋体" w:hAnsi="宋体" w:eastAsia="宋体" w:cs="宋体"/>
                <w:color w:val="auto"/>
                <w:sz w:val="24"/>
                <w:highlight w:val="none"/>
                <w:lang w:val="en-US" w:eastAsia="zh-CN"/>
              </w:rPr>
              <w:t>及技术负责人</w:t>
            </w:r>
            <w:r>
              <w:rPr>
                <w:rFonts w:hint="eastAsia" w:ascii="宋体" w:hAnsi="宋体" w:eastAsia="宋体" w:cs="宋体"/>
                <w:color w:val="auto"/>
                <w:sz w:val="24"/>
                <w:highlight w:val="none"/>
                <w:lang w:val="zh-CN" w:eastAsia="zh-CN"/>
              </w:rPr>
              <w:t>除外）：</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1、具有自动监控（污废水）运行工的得1分；</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2、具有注册电气工程师（供配电）的得1分；</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lang w:val="zh-CN" w:eastAsia="zh-CN"/>
              </w:rPr>
              <w:t>具有</w:t>
            </w:r>
            <w:r>
              <w:rPr>
                <w:rFonts w:hint="eastAsia" w:ascii="宋体" w:hAnsi="宋体" w:eastAsia="宋体" w:cs="宋体"/>
                <w:color w:val="auto"/>
                <w:sz w:val="24"/>
                <w:highlight w:val="none"/>
                <w:lang w:val="en-US" w:eastAsia="zh-CN"/>
              </w:rPr>
              <w:t>机电专业高级工程师</w:t>
            </w:r>
            <w:r>
              <w:rPr>
                <w:rFonts w:hint="eastAsia" w:ascii="宋体" w:hAnsi="宋体" w:eastAsia="宋体" w:cs="宋体"/>
                <w:color w:val="auto"/>
                <w:sz w:val="24"/>
                <w:highlight w:val="none"/>
                <w:lang w:val="zh-CN" w:eastAsia="zh-CN"/>
              </w:rPr>
              <w:t>职称的得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val="zh-CN" w:eastAsia="zh-CN"/>
              </w:rPr>
              <w:t xml:space="preserve">分； </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sz w:val="24"/>
                <w:highlight w:val="none"/>
                <w:lang w:val="zh-CN" w:eastAsia="zh-CN"/>
              </w:rPr>
            </w:pP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lang w:val="zh-CN" w:eastAsia="zh-CN"/>
              </w:rPr>
              <w:t>具有</w:t>
            </w:r>
            <w:r>
              <w:rPr>
                <w:rFonts w:hint="eastAsia" w:ascii="宋体" w:hAnsi="宋体" w:eastAsia="宋体" w:cs="宋体"/>
                <w:color w:val="auto"/>
                <w:sz w:val="24"/>
                <w:highlight w:val="none"/>
                <w:lang w:val="en-US" w:eastAsia="zh-CN"/>
              </w:rPr>
              <w:t>给排水专业高级工程师</w:t>
            </w:r>
            <w:r>
              <w:rPr>
                <w:rFonts w:hint="eastAsia" w:ascii="宋体" w:hAnsi="宋体" w:eastAsia="宋体" w:cs="宋体"/>
                <w:color w:val="auto"/>
                <w:sz w:val="24"/>
                <w:highlight w:val="none"/>
                <w:lang w:val="zh-CN" w:eastAsia="zh-CN"/>
              </w:rPr>
              <w:t>职称的得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val="zh-CN" w:eastAsia="zh-CN"/>
              </w:rPr>
              <w:t>分；</w:t>
            </w:r>
          </w:p>
          <w:p>
            <w:pPr>
              <w:keepNext w:val="0"/>
              <w:keepLines w:val="0"/>
              <w:pageBreakBefore w:val="0"/>
              <w:kinsoku/>
              <w:wordWrap/>
              <w:overflowPunct/>
              <w:topLinePunct w:val="0"/>
              <w:autoSpaceDE/>
              <w:autoSpaceDN/>
              <w:bidi w:val="0"/>
              <w:spacing w:line="240" w:lineRule="auto"/>
              <w:jc w:val="left"/>
              <w:rPr>
                <w:rFonts w:hint="eastAsia"/>
                <w:color w:val="auto"/>
                <w:lang w:val="zh-CN" w:eastAsia="zh-CN"/>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lang w:val="zh-CN" w:eastAsia="zh-CN"/>
              </w:rPr>
              <w:t>具有</w:t>
            </w:r>
            <w:r>
              <w:rPr>
                <w:rFonts w:hint="eastAsia" w:ascii="宋体" w:hAnsi="宋体" w:eastAsia="宋体" w:cs="宋体"/>
                <w:color w:val="auto"/>
                <w:sz w:val="24"/>
                <w:highlight w:val="none"/>
                <w:lang w:val="en-US" w:eastAsia="zh-CN"/>
              </w:rPr>
              <w:t>电气类专业工程师</w:t>
            </w:r>
            <w:r>
              <w:rPr>
                <w:rFonts w:hint="eastAsia" w:ascii="宋体" w:hAnsi="宋体" w:eastAsia="宋体" w:cs="宋体"/>
                <w:color w:val="auto"/>
                <w:sz w:val="24"/>
                <w:highlight w:val="none"/>
                <w:lang w:val="zh-CN" w:eastAsia="zh-CN"/>
              </w:rPr>
              <w:t>职称的得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val="zh-CN" w:eastAsia="zh-CN"/>
              </w:rPr>
              <w:t>分；</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sz w:val="24"/>
                <w:highlight w:val="none"/>
                <w:lang w:val="zh-CN" w:eastAsia="zh-CN"/>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eastAsia="zh-CN"/>
              </w:rPr>
              <w:t>具有市政排水管道检测与评估应用工程师证</w:t>
            </w:r>
            <w:r>
              <w:rPr>
                <w:rFonts w:hint="eastAsia" w:ascii="宋体" w:hAnsi="宋体" w:eastAsia="宋体" w:cs="宋体"/>
                <w:color w:val="auto"/>
                <w:sz w:val="24"/>
                <w:highlight w:val="none"/>
                <w:lang w:val="en-US" w:eastAsia="zh-CN"/>
              </w:rPr>
              <w:t>的得1</w:t>
            </w:r>
            <w:r>
              <w:rPr>
                <w:rFonts w:hint="eastAsia" w:ascii="宋体" w:hAnsi="宋体" w:eastAsia="宋体" w:cs="宋体"/>
                <w:color w:val="auto"/>
                <w:sz w:val="24"/>
                <w:highlight w:val="none"/>
                <w:lang w:val="zh-CN" w:eastAsia="zh-CN"/>
              </w:rPr>
              <w:t>分；</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w:t>
            </w:r>
            <w:r>
              <w:rPr>
                <w:rFonts w:hint="eastAsia" w:ascii="宋体" w:hAnsi="宋体" w:eastAsia="宋体" w:cs="宋体"/>
                <w:color w:val="auto"/>
                <w:sz w:val="24"/>
                <w:highlight w:val="none"/>
                <w:lang w:val="en-US" w:eastAsia="zh-CN"/>
              </w:rPr>
              <w:t>提供证书复印件和近三个月社保证明</w:t>
            </w:r>
            <w:r>
              <w:rPr>
                <w:rFonts w:hint="eastAsia" w:ascii="宋体" w:hAnsi="宋体" w:eastAsia="宋体" w:cs="宋体"/>
                <w:color w:val="auto"/>
                <w:sz w:val="24"/>
                <w:highlight w:val="none"/>
                <w:lang w:val="zh-CN" w:eastAsia="zh-CN"/>
              </w:rPr>
              <w:t>，一人一证，多种证书不累计得分）（0-</w:t>
            </w: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lang w:val="zh-CN" w:eastAsia="zh-CN"/>
              </w:rPr>
              <w:t>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6</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客观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项目</w:t>
            </w:r>
            <w:r>
              <w:rPr>
                <w:rFonts w:hint="eastAsia" w:ascii="宋体" w:hAnsi="宋体" w:eastAsia="宋体" w:cs="宋体"/>
                <w:color w:val="auto"/>
                <w:sz w:val="24"/>
                <w:highlight w:val="none"/>
                <w:lang w:val="en-US" w:eastAsia="zh-CN"/>
              </w:rPr>
              <w:t>团队技术</w:t>
            </w:r>
            <w:r>
              <w:rPr>
                <w:rFonts w:hint="eastAsia" w:ascii="宋体" w:hAnsi="宋体" w:eastAsia="宋体" w:cs="宋体"/>
                <w:color w:val="auto"/>
                <w:sz w:val="24"/>
                <w:highlight w:val="none"/>
                <w:lang w:val="zh-CN" w:eastAsia="zh-CN"/>
              </w:rPr>
              <w:t>人员</w:t>
            </w:r>
            <w:r>
              <w:rPr>
                <w:rFonts w:hint="eastAsia" w:ascii="宋体" w:hAnsi="宋体" w:cs="宋体"/>
                <w:color w:val="auto"/>
                <w:kern w:val="0"/>
                <w:sz w:val="24"/>
                <w:highlight w:val="none"/>
                <w:lang w:eastAsia="zh-CN"/>
              </w:rPr>
              <w:t>（</w:t>
            </w:r>
            <w:r>
              <w:rPr>
                <w:rFonts w:hint="eastAsia" w:ascii="宋体" w:hAnsi="宋体" w:cs="宋体"/>
                <w:snapToGrid w:val="0"/>
                <w:color w:val="auto"/>
                <w:kern w:val="28"/>
                <w:sz w:val="24"/>
                <w:highlight w:val="none"/>
              </w:rPr>
              <w:t>资信证明</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15</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en-US" w:eastAsia="zh-CN"/>
              </w:rPr>
              <w:t>近距离</w:t>
            </w:r>
            <w:r>
              <w:rPr>
                <w:rFonts w:hint="eastAsia" w:ascii="宋体" w:hAnsi="宋体" w:eastAsia="宋体" w:cs="宋体"/>
                <w:color w:val="auto"/>
                <w:sz w:val="24"/>
                <w:highlight w:val="none"/>
                <w:lang w:val="zh-CN" w:eastAsia="zh-CN"/>
              </w:rPr>
              <w:t>服务能力</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eastAsia="zh-CN"/>
              </w:rPr>
              <w:t>对投标人中标后实施本项目能够及时高效服务的综合能力（投标人的远近服务优势、服务能力）进行打分。（0-2分）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2</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en-US" w:eastAsia="zh-CN"/>
              </w:rPr>
              <w:t>主观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本地化服务能力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16</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合理化建议</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eastAsia="zh-CN"/>
              </w:rPr>
              <w:t>根据投标人针对本项目的合理化建议进行打分。（0-2分）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2</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en-US" w:eastAsia="zh-CN"/>
              </w:rPr>
              <w:t>主观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17</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zh-CN" w:eastAsia="zh-CN"/>
              </w:rPr>
              <w:t>企业综合实力</w:t>
            </w: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lang w:val="zh-CN" w:eastAsia="zh-CN"/>
              </w:rPr>
              <w:t>根据投标人综合实力（包括企业安全质量生产等方面）进行打分0-2分。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2</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en-US" w:eastAsia="zh-CN"/>
              </w:rPr>
              <w:t>主观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en-US" w:eastAsia="zh-CN"/>
              </w:rPr>
              <w:t>企业综合实力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18</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Times New Roman"/>
                <w:bCs/>
                <w:color w:val="auto"/>
                <w:sz w:val="24"/>
                <w:lang w:val="en-US" w:eastAsia="zh-CN"/>
              </w:rPr>
            </w:pPr>
            <w:r>
              <w:rPr>
                <w:rFonts w:hint="eastAsia" w:ascii="宋体" w:hAnsi="宋体" w:eastAsia="宋体" w:cs="Times New Roman"/>
                <w:bCs/>
                <w:color w:val="auto"/>
                <w:sz w:val="24"/>
                <w:lang w:eastAsia="zh-CN"/>
              </w:rPr>
              <w:t>投标人</w:t>
            </w:r>
            <w:r>
              <w:rPr>
                <w:rFonts w:hint="eastAsia" w:ascii="宋体" w:hAnsi="宋体" w:eastAsia="宋体" w:cs="Times New Roman"/>
                <w:bCs/>
                <w:color w:val="auto"/>
                <w:sz w:val="24"/>
                <w:lang w:val="en-US" w:eastAsia="zh-CN"/>
              </w:rPr>
              <w:t>具有</w:t>
            </w:r>
            <w:r>
              <w:rPr>
                <w:rFonts w:hint="eastAsia" w:ascii="宋体" w:hAnsi="宋体" w:eastAsia="宋体" w:cs="Times New Roman"/>
                <w:bCs/>
                <w:color w:val="auto"/>
                <w:sz w:val="24"/>
                <w:lang w:eastAsia="zh-CN"/>
              </w:rPr>
              <w:t>企业诚信管理体系认证得</w:t>
            </w:r>
            <w:r>
              <w:rPr>
                <w:rFonts w:hint="eastAsia" w:ascii="宋体" w:hAnsi="宋体" w:eastAsia="宋体" w:cs="Times New Roman"/>
                <w:bCs/>
                <w:color w:val="auto"/>
                <w:sz w:val="24"/>
                <w:lang w:val="en-US" w:eastAsia="zh-CN"/>
              </w:rPr>
              <w:t>1分。</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Times New Roman"/>
                <w:bCs/>
                <w:color w:val="auto"/>
                <w:sz w:val="24"/>
                <w:lang w:val="en-US" w:eastAsia="zh-CN"/>
              </w:rPr>
            </w:pPr>
            <w:r>
              <w:rPr>
                <w:rFonts w:hint="eastAsia" w:ascii="宋体" w:hAnsi="宋体" w:eastAsia="宋体" w:cs="Times New Roman"/>
                <w:bCs/>
                <w:color w:val="auto"/>
                <w:sz w:val="24"/>
                <w:lang w:eastAsia="zh-CN"/>
              </w:rPr>
              <w:t>投标人</w:t>
            </w:r>
            <w:r>
              <w:rPr>
                <w:rFonts w:hint="eastAsia" w:ascii="宋体" w:hAnsi="宋体" w:eastAsia="宋体" w:cs="Times New Roman"/>
                <w:bCs/>
                <w:color w:val="auto"/>
                <w:sz w:val="24"/>
                <w:lang w:val="en-US" w:eastAsia="zh-CN"/>
              </w:rPr>
              <w:t>具有能源管理体系认证</w:t>
            </w:r>
            <w:r>
              <w:rPr>
                <w:rFonts w:hint="eastAsia" w:ascii="宋体" w:hAnsi="宋体" w:eastAsia="宋体" w:cs="Times New Roman"/>
                <w:bCs/>
                <w:color w:val="auto"/>
                <w:sz w:val="24"/>
                <w:lang w:eastAsia="zh-CN"/>
              </w:rPr>
              <w:t>得</w:t>
            </w:r>
            <w:r>
              <w:rPr>
                <w:rFonts w:hint="eastAsia" w:ascii="宋体" w:hAnsi="宋体" w:eastAsia="宋体" w:cs="Times New Roman"/>
                <w:bCs/>
                <w:color w:val="auto"/>
                <w:sz w:val="24"/>
                <w:lang w:val="en-US" w:eastAsia="zh-CN"/>
              </w:rPr>
              <w:t>1分。</w:t>
            </w:r>
          </w:p>
          <w:p>
            <w:pPr>
              <w:keepNext w:val="0"/>
              <w:keepLines w:val="0"/>
              <w:pageBreakBefore w:val="0"/>
              <w:kinsoku/>
              <w:wordWrap/>
              <w:overflowPunct/>
              <w:topLinePunct w:val="0"/>
              <w:autoSpaceDE/>
              <w:autoSpaceDN/>
              <w:bidi w:val="0"/>
              <w:spacing w:line="240" w:lineRule="auto"/>
              <w:jc w:val="left"/>
              <w:rPr>
                <w:rFonts w:hint="eastAsia"/>
                <w:color w:val="auto"/>
                <w:lang w:val="en-US" w:eastAsia="zh-CN"/>
              </w:rPr>
            </w:pPr>
            <w:r>
              <w:rPr>
                <w:rFonts w:hint="eastAsia" w:ascii="宋体" w:hAnsi="宋体" w:eastAsia="宋体" w:cs="Times New Roman"/>
                <w:bCs/>
                <w:color w:val="auto"/>
                <w:sz w:val="24"/>
                <w:lang w:eastAsia="zh-CN"/>
              </w:rPr>
              <w:t>投标人</w:t>
            </w:r>
            <w:r>
              <w:rPr>
                <w:rFonts w:hint="eastAsia" w:ascii="宋体" w:hAnsi="宋体" w:eastAsia="宋体" w:cs="Times New Roman"/>
                <w:bCs/>
                <w:color w:val="auto"/>
                <w:sz w:val="24"/>
                <w:lang w:val="en-US" w:eastAsia="zh-CN"/>
              </w:rPr>
              <w:t>具有安全生产标准化认证</w:t>
            </w:r>
            <w:r>
              <w:rPr>
                <w:rFonts w:hint="eastAsia" w:ascii="宋体" w:hAnsi="宋体" w:eastAsia="宋体" w:cs="Times New Roman"/>
                <w:bCs/>
                <w:color w:val="auto"/>
                <w:sz w:val="24"/>
                <w:lang w:eastAsia="zh-CN"/>
              </w:rPr>
              <w:t>得</w:t>
            </w:r>
            <w:r>
              <w:rPr>
                <w:rFonts w:hint="eastAsia" w:ascii="宋体" w:hAnsi="宋体" w:eastAsia="宋体" w:cs="Times New Roman"/>
                <w:bCs/>
                <w:color w:val="auto"/>
                <w:sz w:val="24"/>
                <w:lang w:val="en-US" w:eastAsia="zh-CN"/>
              </w:rPr>
              <w:t>1分。</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sz w:val="24"/>
                <w:highlight w:val="none"/>
                <w:lang w:val="en-US" w:eastAsia="zh-CN"/>
              </w:rPr>
              <w:t>需提供有效期内证书复印件，否则不得分。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3</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客观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体系认证</w:t>
            </w:r>
            <w:r>
              <w:rPr>
                <w:rFonts w:hint="eastAsia" w:ascii="宋体" w:hAnsi="宋体" w:cs="宋体"/>
                <w:color w:val="auto"/>
                <w:kern w:val="0"/>
                <w:sz w:val="24"/>
                <w:highlight w:val="none"/>
                <w:lang w:eastAsia="zh-CN"/>
              </w:rPr>
              <w:t>（</w:t>
            </w:r>
            <w:r>
              <w:rPr>
                <w:rFonts w:hint="eastAsia" w:ascii="宋体" w:hAnsi="宋体" w:cs="宋体"/>
                <w:snapToGrid w:val="0"/>
                <w:color w:val="auto"/>
                <w:kern w:val="28"/>
                <w:sz w:val="24"/>
                <w:highlight w:val="none"/>
              </w:rPr>
              <w:t>资信证明</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19</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eastAsia="zh-CN"/>
              </w:rPr>
              <w:t>投标人20</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lang w:val="zh-CN" w:eastAsia="zh-CN"/>
              </w:rPr>
              <w:t>年1月1日以来荣获县级及以上政府部门（含县市政府所属的部、委、办、局。各类协会除外）授予的污水处理</w:t>
            </w:r>
            <w:r>
              <w:rPr>
                <w:rFonts w:hint="eastAsia" w:ascii="宋体" w:hAnsi="宋体" w:eastAsia="宋体" w:cs="宋体"/>
                <w:color w:val="auto"/>
                <w:sz w:val="24"/>
                <w:highlight w:val="none"/>
                <w:lang w:val="en-US" w:eastAsia="zh-CN"/>
              </w:rPr>
              <w:t>类</w:t>
            </w:r>
            <w:r>
              <w:rPr>
                <w:rFonts w:hint="eastAsia" w:ascii="宋体" w:hAnsi="宋体" w:eastAsia="宋体" w:cs="宋体"/>
                <w:color w:val="auto"/>
                <w:sz w:val="24"/>
                <w:highlight w:val="none"/>
                <w:lang w:val="zh-CN" w:eastAsia="zh-CN"/>
              </w:rPr>
              <w:t>相关</w:t>
            </w:r>
            <w:r>
              <w:rPr>
                <w:rFonts w:hint="eastAsia" w:ascii="宋体" w:hAnsi="宋体" w:eastAsia="宋体" w:cs="宋体"/>
                <w:color w:val="auto"/>
                <w:sz w:val="24"/>
                <w:highlight w:val="none"/>
                <w:lang w:val="en-US" w:eastAsia="zh-CN"/>
              </w:rPr>
              <w:t>表彰</w:t>
            </w:r>
            <w:r>
              <w:rPr>
                <w:rFonts w:hint="eastAsia" w:ascii="宋体" w:hAnsi="宋体" w:eastAsia="宋体" w:cs="宋体"/>
                <w:color w:val="auto"/>
                <w:sz w:val="24"/>
                <w:highlight w:val="none"/>
                <w:lang w:val="zh-CN" w:eastAsia="zh-CN"/>
              </w:rPr>
              <w:t>的，县级的每个得</w:t>
            </w:r>
            <w:r>
              <w:rPr>
                <w:rFonts w:hint="eastAsia" w:ascii="宋体" w:hAnsi="宋体" w:eastAsia="宋体" w:cs="宋体"/>
                <w:color w:val="auto"/>
                <w:sz w:val="24"/>
                <w:highlight w:val="none"/>
                <w:lang w:val="en-US" w:eastAsia="zh-CN"/>
              </w:rPr>
              <w:t>0.5</w:t>
            </w:r>
            <w:r>
              <w:rPr>
                <w:rFonts w:hint="eastAsia" w:ascii="宋体" w:hAnsi="宋体" w:eastAsia="宋体" w:cs="宋体"/>
                <w:color w:val="auto"/>
                <w:sz w:val="24"/>
                <w:highlight w:val="none"/>
                <w:lang w:val="zh-CN" w:eastAsia="zh-CN"/>
              </w:rPr>
              <w:t>分，市级及以上的每个得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lang w:val="zh-CN" w:eastAsia="zh-CN"/>
              </w:rPr>
              <w:t>分，最高得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zh-CN" w:eastAsia="zh-CN"/>
              </w:rPr>
              <w:t>分。（需提供有效期内证书或红头文件扫描件，否则不得分。）（0-</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zh-CN" w:eastAsia="zh-CN"/>
              </w:rPr>
              <w:t>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客观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zh-CN"/>
              </w:rPr>
              <w:t>企业</w:t>
            </w:r>
            <w:r>
              <w:rPr>
                <w:rFonts w:hint="eastAsia" w:ascii="宋体" w:hAnsi="宋体" w:eastAsia="宋体" w:cs="宋体"/>
                <w:color w:val="auto"/>
                <w:sz w:val="24"/>
                <w:highlight w:val="none"/>
                <w:lang w:val="en-US" w:eastAsia="zh-CN"/>
              </w:rPr>
              <w:t>表彰</w:t>
            </w:r>
            <w:r>
              <w:rPr>
                <w:rFonts w:hint="eastAsia" w:ascii="宋体" w:hAnsi="宋体" w:cs="宋体"/>
                <w:color w:val="auto"/>
                <w:kern w:val="0"/>
                <w:sz w:val="24"/>
                <w:highlight w:val="none"/>
                <w:lang w:eastAsia="zh-CN"/>
              </w:rPr>
              <w:t>（</w:t>
            </w:r>
            <w:r>
              <w:rPr>
                <w:rFonts w:hint="eastAsia" w:ascii="宋体" w:hAnsi="宋体" w:cs="宋体"/>
                <w:snapToGrid w:val="0"/>
                <w:color w:val="auto"/>
                <w:kern w:val="28"/>
                <w:sz w:val="24"/>
                <w:highlight w:val="none"/>
              </w:rPr>
              <w:t>资信证明</w:t>
            </w:r>
            <w:r>
              <w:rPr>
                <w:rFonts w:hint="eastAsia" w:ascii="宋体" w:hAnsi="宋体" w:cs="宋体"/>
                <w:color w:val="auto"/>
                <w:kern w:val="0"/>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20</w:t>
            </w:r>
          </w:p>
        </w:tc>
        <w:tc>
          <w:tcPr>
            <w:tcW w:w="4620" w:type="dxa"/>
            <w:vAlign w:val="center"/>
          </w:tcPr>
          <w:p>
            <w:pPr>
              <w:textAlignment w:val="center"/>
              <w:rPr>
                <w:rFonts w:hint="default"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投标人或投标产品生产厂家具有</w:t>
            </w:r>
            <w:r>
              <w:rPr>
                <w:rFonts w:hint="eastAsia" w:ascii="宋体" w:hAnsi="宋体" w:eastAsia="宋体" w:cs="宋体"/>
                <w:color w:val="auto"/>
                <w:kern w:val="0"/>
                <w:sz w:val="24"/>
                <w:highlight w:val="none"/>
                <w:lang w:val="zh-CN" w:eastAsia="zh-CN"/>
              </w:rPr>
              <w:t>特种设备（压力容器）生产许可证得</w:t>
            </w: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lang w:val="zh-CN" w:eastAsia="zh-CN"/>
              </w:rPr>
              <w:t>分，</w:t>
            </w:r>
            <w:r>
              <w:rPr>
                <w:rFonts w:hint="eastAsia" w:ascii="宋体" w:hAnsi="宋体" w:eastAsia="宋体" w:cs="宋体"/>
                <w:color w:val="auto"/>
                <w:kern w:val="0"/>
                <w:sz w:val="24"/>
                <w:highlight w:val="none"/>
                <w:lang w:val="en-US" w:eastAsia="zh-CN"/>
              </w:rPr>
              <w:t>具有无负压供水设备卫生许可批件得2分，本项最高得4分。</w:t>
            </w: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0"/>
                <w:sz w:val="24"/>
                <w:highlight w:val="none"/>
                <w:lang w:val="zh-CN" w:eastAsia="zh-CN"/>
              </w:rPr>
              <w:t>注：提供</w:t>
            </w:r>
            <w:r>
              <w:rPr>
                <w:rFonts w:hint="eastAsia" w:ascii="宋体" w:hAnsi="宋体" w:eastAsia="宋体" w:cs="宋体"/>
                <w:color w:val="auto"/>
                <w:kern w:val="0"/>
                <w:sz w:val="24"/>
                <w:highlight w:val="none"/>
                <w:lang w:val="en-US" w:eastAsia="zh-CN"/>
              </w:rPr>
              <w:t>有效期内</w:t>
            </w:r>
            <w:r>
              <w:rPr>
                <w:rFonts w:hint="eastAsia" w:ascii="宋体" w:hAnsi="宋体" w:eastAsia="宋体" w:cs="宋体"/>
                <w:color w:val="auto"/>
                <w:kern w:val="0"/>
                <w:sz w:val="24"/>
                <w:highlight w:val="none"/>
                <w:lang w:val="zh-CN" w:eastAsia="zh-CN"/>
              </w:rPr>
              <w:t>证书复印件并加盖投标人公章</w:t>
            </w:r>
            <w:r>
              <w:rPr>
                <w:rFonts w:hint="eastAsia" w:ascii="宋体" w:hAnsi="宋体" w:eastAsia="宋体" w:cs="宋体"/>
                <w:color w:val="auto"/>
                <w:kern w:val="0"/>
                <w:sz w:val="24"/>
                <w:highlight w:val="none"/>
                <w:lang w:val="en-US" w:eastAsia="zh-CN"/>
              </w:rPr>
              <w:t>和经国家认可的网站查询地址及截图，否则不得分。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4</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客观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zh-CN" w:eastAsia="zh-CN" w:bidi="ar-SA"/>
              </w:rPr>
            </w:pPr>
            <w:r>
              <w:rPr>
                <w:rFonts w:hint="eastAsia" w:ascii="宋体" w:hAnsi="宋体" w:cs="宋体"/>
                <w:color w:val="auto"/>
                <w:sz w:val="24"/>
                <w:highlight w:val="none"/>
              </w:rPr>
              <w:t>投标人</w:t>
            </w:r>
            <w:r>
              <w:rPr>
                <w:rFonts w:hint="eastAsia" w:ascii="宋体" w:hAnsi="宋体" w:cs="宋体"/>
                <w:color w:val="auto"/>
                <w:sz w:val="24"/>
                <w:highlight w:val="none"/>
                <w:lang w:val="en-US" w:eastAsia="zh-CN"/>
              </w:rPr>
              <w:t>或投标产品生产厂家</w:t>
            </w:r>
            <w:r>
              <w:rPr>
                <w:rFonts w:hint="eastAsia" w:ascii="宋体" w:hAnsi="宋体" w:cs="宋体"/>
                <w:color w:val="auto"/>
                <w:sz w:val="24"/>
                <w:highlight w:val="none"/>
              </w:rPr>
              <w:t>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vAlign w:val="center"/>
          </w:tcPr>
          <w:p>
            <w:pPr>
              <w:keepNext w:val="0"/>
              <w:keepLines w:val="0"/>
              <w:pageBreakBefore w:val="0"/>
              <w:kinsoku/>
              <w:wordWrap/>
              <w:overflowPunct/>
              <w:topLinePunct w:val="0"/>
              <w:autoSpaceDE/>
              <w:autoSpaceDN/>
              <w:bidi w:val="0"/>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21</w:t>
            </w:r>
          </w:p>
        </w:tc>
        <w:tc>
          <w:tcPr>
            <w:tcW w:w="4620" w:type="dxa"/>
            <w:vAlign w:val="center"/>
          </w:tcPr>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同类</w:t>
            </w:r>
            <w:r>
              <w:rPr>
                <w:rFonts w:hint="eastAsia" w:ascii="宋体" w:hAnsi="宋体" w:eastAsia="宋体" w:cs="宋体"/>
                <w:color w:val="auto"/>
                <w:sz w:val="24"/>
                <w:highlight w:val="none"/>
                <w:lang w:val="zh-CN" w:eastAsia="zh-CN"/>
              </w:rPr>
              <w:t>业绩：20</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lang w:val="zh-CN" w:eastAsia="zh-CN"/>
              </w:rPr>
              <w:t>年1月1日（合同签订日期）以来投标人具有</w:t>
            </w:r>
            <w:r>
              <w:rPr>
                <w:rFonts w:hint="eastAsia" w:ascii="宋体" w:hAnsi="宋体" w:cs="宋体"/>
                <w:color w:val="auto"/>
                <w:sz w:val="24"/>
                <w:highlight w:val="none"/>
                <w:lang w:val="en-US" w:eastAsia="zh-CN"/>
              </w:rPr>
              <w:t>污水处理厂（站）</w:t>
            </w:r>
            <w:r>
              <w:rPr>
                <w:rFonts w:hint="eastAsia" w:ascii="宋体" w:hAnsi="宋体" w:eastAsia="宋体" w:cs="宋体"/>
                <w:color w:val="auto"/>
                <w:sz w:val="24"/>
                <w:highlight w:val="none"/>
                <w:lang w:val="zh-CN" w:eastAsia="zh-CN"/>
              </w:rPr>
              <w:t>机电、电气</w:t>
            </w:r>
            <w:r>
              <w:rPr>
                <w:rFonts w:hint="eastAsia" w:ascii="宋体" w:hAnsi="宋体" w:cs="宋体"/>
                <w:color w:val="auto"/>
                <w:sz w:val="24"/>
                <w:highlight w:val="none"/>
                <w:lang w:val="en-US" w:eastAsia="zh-CN"/>
              </w:rPr>
              <w:t>自控</w:t>
            </w:r>
            <w:r>
              <w:rPr>
                <w:rFonts w:hint="eastAsia" w:ascii="宋体" w:hAnsi="宋体" w:eastAsia="宋体" w:cs="宋体"/>
                <w:color w:val="auto"/>
                <w:sz w:val="24"/>
                <w:highlight w:val="none"/>
                <w:lang w:val="zh-CN" w:eastAsia="zh-CN"/>
              </w:rPr>
              <w:t>设备</w:t>
            </w:r>
            <w:r>
              <w:rPr>
                <w:rFonts w:hint="eastAsia" w:ascii="宋体" w:hAnsi="宋体" w:cs="宋体"/>
                <w:color w:val="auto"/>
                <w:sz w:val="24"/>
                <w:highlight w:val="none"/>
                <w:lang w:val="en-US" w:eastAsia="zh-CN"/>
              </w:rPr>
              <w:t>安装</w:t>
            </w:r>
            <w:r>
              <w:rPr>
                <w:rFonts w:hint="eastAsia" w:ascii="宋体" w:hAnsi="宋体" w:eastAsia="宋体" w:cs="宋体"/>
                <w:color w:val="auto"/>
                <w:sz w:val="24"/>
                <w:highlight w:val="none"/>
                <w:lang w:val="zh-CN" w:eastAsia="zh-CN"/>
              </w:rPr>
              <w:t>业绩且已通过验收的，每个业绩得</w:t>
            </w:r>
            <w:r>
              <w:rPr>
                <w:rFonts w:hint="eastAsia" w:ascii="宋体" w:hAnsi="宋体" w:cs="宋体"/>
                <w:color w:val="auto"/>
                <w:sz w:val="24"/>
                <w:highlight w:val="none"/>
                <w:lang w:val="en-US" w:eastAsia="zh-CN"/>
              </w:rPr>
              <w:t>0.5</w:t>
            </w:r>
            <w:r>
              <w:rPr>
                <w:rFonts w:hint="eastAsia" w:ascii="宋体" w:hAnsi="宋体" w:eastAsia="宋体" w:cs="宋体"/>
                <w:color w:val="auto"/>
                <w:sz w:val="24"/>
                <w:highlight w:val="none"/>
                <w:lang w:val="zh-CN" w:eastAsia="zh-CN"/>
              </w:rPr>
              <w:t>分，最高得</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zh-CN" w:eastAsia="zh-CN"/>
              </w:rPr>
              <w:t>分。（</w:t>
            </w:r>
            <w:r>
              <w:rPr>
                <w:rFonts w:hint="eastAsia" w:ascii="宋体" w:hAnsi="宋体" w:eastAsia="宋体" w:cs="宋体"/>
                <w:color w:val="auto"/>
                <w:sz w:val="24"/>
                <w:highlight w:val="none"/>
                <w:lang w:val="en-US" w:eastAsia="zh-CN"/>
              </w:rPr>
              <w:t>需</w:t>
            </w:r>
            <w:r>
              <w:rPr>
                <w:rFonts w:hint="eastAsia" w:ascii="宋体" w:hAnsi="宋体" w:eastAsia="宋体" w:cs="宋体"/>
                <w:color w:val="auto"/>
                <w:sz w:val="24"/>
                <w:highlight w:val="none"/>
                <w:lang w:val="zh-CN" w:eastAsia="zh-CN"/>
              </w:rPr>
              <w:t>提供</w:t>
            </w:r>
            <w:r>
              <w:rPr>
                <w:rFonts w:hint="eastAsia" w:ascii="宋体" w:hAnsi="宋体" w:eastAsia="宋体" w:cs="宋体"/>
                <w:color w:val="auto"/>
                <w:sz w:val="24"/>
                <w:highlight w:val="none"/>
                <w:lang w:val="en-US" w:eastAsia="zh-CN"/>
              </w:rPr>
              <w:t>经相关招标网站网页查询截图、</w:t>
            </w:r>
            <w:r>
              <w:rPr>
                <w:rFonts w:hint="eastAsia" w:ascii="宋体" w:hAnsi="宋体" w:eastAsia="宋体" w:cs="宋体"/>
                <w:color w:val="auto"/>
                <w:sz w:val="24"/>
                <w:highlight w:val="none"/>
                <w:lang w:val="zh-CN" w:eastAsia="zh-CN"/>
              </w:rPr>
              <w:t>合同复印件、</w:t>
            </w:r>
            <w:r>
              <w:rPr>
                <w:rFonts w:hint="eastAsia" w:ascii="宋体" w:hAnsi="宋体" w:eastAsia="宋体" w:cs="宋体"/>
                <w:color w:val="auto"/>
                <w:sz w:val="24"/>
                <w:highlight w:val="none"/>
                <w:lang w:val="en-US" w:eastAsia="zh-CN"/>
              </w:rPr>
              <w:t>竣工</w:t>
            </w:r>
            <w:r>
              <w:rPr>
                <w:rFonts w:hint="eastAsia" w:ascii="宋体" w:hAnsi="宋体" w:eastAsia="宋体" w:cs="宋体"/>
                <w:color w:val="auto"/>
                <w:sz w:val="24"/>
                <w:highlight w:val="none"/>
                <w:lang w:val="zh-CN" w:eastAsia="zh-CN"/>
              </w:rPr>
              <w:t>验收报告复印件、</w:t>
            </w:r>
            <w:r>
              <w:rPr>
                <w:rFonts w:hint="eastAsia" w:ascii="宋体" w:hAnsi="宋体" w:eastAsia="宋体" w:cs="宋体"/>
                <w:color w:val="auto"/>
                <w:sz w:val="24"/>
                <w:highlight w:val="none"/>
                <w:lang w:val="en-US" w:eastAsia="zh-CN"/>
              </w:rPr>
              <w:t>发票及</w:t>
            </w:r>
            <w:r>
              <w:rPr>
                <w:rFonts w:hint="eastAsia" w:ascii="宋体" w:hAnsi="宋体" w:cs="宋体"/>
                <w:color w:val="auto"/>
                <w:sz w:val="24"/>
                <w:highlight w:val="none"/>
                <w:lang w:val="en-US" w:eastAsia="zh-CN"/>
              </w:rPr>
              <w:t>政府部门立项批复文件</w:t>
            </w:r>
            <w:r>
              <w:rPr>
                <w:rFonts w:hint="eastAsia" w:ascii="宋体" w:hAnsi="宋体" w:eastAsia="宋体" w:cs="宋体"/>
                <w:color w:val="auto"/>
                <w:sz w:val="24"/>
                <w:highlight w:val="none"/>
                <w:lang w:val="en-US" w:eastAsia="zh-CN"/>
              </w:rPr>
              <w:t>的</w:t>
            </w:r>
            <w:r>
              <w:rPr>
                <w:rFonts w:hint="eastAsia" w:ascii="宋体" w:hAnsi="宋体" w:eastAsia="宋体" w:cs="宋体"/>
                <w:color w:val="auto"/>
                <w:sz w:val="24"/>
                <w:highlight w:val="none"/>
                <w:lang w:val="zh-CN" w:eastAsia="zh-CN"/>
              </w:rPr>
              <w:t>复印件，</w:t>
            </w:r>
            <w:r>
              <w:rPr>
                <w:rFonts w:hint="eastAsia" w:ascii="宋体" w:hAnsi="宋体" w:eastAsia="宋体" w:cs="宋体"/>
                <w:color w:val="auto"/>
                <w:sz w:val="24"/>
                <w:highlight w:val="none"/>
                <w:lang w:val="en-US" w:eastAsia="zh-CN"/>
              </w:rPr>
              <w:t>缺任一项</w:t>
            </w:r>
            <w:r>
              <w:rPr>
                <w:rFonts w:hint="eastAsia" w:ascii="宋体" w:hAnsi="宋体" w:eastAsia="宋体" w:cs="宋体"/>
                <w:color w:val="auto"/>
                <w:sz w:val="24"/>
                <w:highlight w:val="none"/>
                <w:lang w:val="zh-CN" w:eastAsia="zh-CN"/>
              </w:rPr>
              <w:t>不得分。）（0-</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zh-CN" w:eastAsia="zh-CN"/>
              </w:rPr>
              <w:t>分）</w:t>
            </w:r>
          </w:p>
        </w:tc>
        <w:tc>
          <w:tcPr>
            <w:tcW w:w="75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w:t>
            </w:r>
          </w:p>
        </w:tc>
        <w:tc>
          <w:tcPr>
            <w:tcW w:w="9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客观</w:t>
            </w:r>
            <w:r>
              <w:rPr>
                <w:rFonts w:hint="eastAsia" w:ascii="宋体" w:hAnsi="宋体" w:cs="宋体"/>
                <w:color w:val="auto"/>
                <w:sz w:val="24"/>
              </w:rPr>
              <w:t>分</w:t>
            </w:r>
          </w:p>
        </w:tc>
        <w:tc>
          <w:tcPr>
            <w:tcW w:w="1590" w:type="dxa"/>
            <w:vAlign w:val="center"/>
          </w:tcPr>
          <w:p>
            <w:pPr>
              <w:keepNext w:val="0"/>
              <w:keepLines w:val="0"/>
              <w:pageBreakBefore w:val="0"/>
              <w:kinsoku/>
              <w:wordWrap/>
              <w:overflowPunct/>
              <w:topLinePunct w:val="0"/>
              <w:autoSpaceDE/>
              <w:autoSpaceDN/>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lang w:val="en-US" w:eastAsia="zh-CN"/>
              </w:rPr>
              <w:t>同类</w:t>
            </w:r>
            <w:r>
              <w:rPr>
                <w:rFonts w:hint="eastAsia" w:ascii="宋体" w:hAnsi="宋体" w:eastAsia="宋体" w:cs="宋体"/>
                <w:color w:val="auto"/>
                <w:sz w:val="24"/>
                <w:highlight w:val="none"/>
                <w:lang w:val="zh-CN"/>
              </w:rPr>
              <w:t>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730" w:type="dxa"/>
            <w:vAlign w:val="center"/>
          </w:tcPr>
          <w:p>
            <w:pPr>
              <w:snapToGrid w:val="0"/>
              <w:spacing w:line="360" w:lineRule="auto"/>
              <w:jc w:val="center"/>
              <w:rPr>
                <w:rFonts w:hint="default" w:ascii="宋体" w:hAnsi="宋体" w:eastAsia="宋体" w:cs="宋体"/>
                <w:color w:val="auto"/>
                <w:sz w:val="24"/>
                <w:lang w:val="en-US" w:eastAsia="zh-CN"/>
              </w:rPr>
            </w:pPr>
            <w:r>
              <w:rPr>
                <w:rFonts w:hint="eastAsia" w:ascii="宋体" w:hAnsi="宋体" w:cs="宋体"/>
                <w:color w:val="auto"/>
                <w:sz w:val="24"/>
                <w:lang w:val="en-US" w:eastAsia="zh-CN"/>
              </w:rPr>
              <w:t>22</w:t>
            </w:r>
          </w:p>
        </w:tc>
        <w:tc>
          <w:tcPr>
            <w:tcW w:w="4620" w:type="dxa"/>
          </w:tcPr>
          <w:p>
            <w:pPr>
              <w:spacing w:line="360" w:lineRule="auto"/>
              <w:outlineLvl w:val="0"/>
              <w:rPr>
                <w:rFonts w:ascii="宋体" w:hAnsi="宋体" w:cs="宋体"/>
                <w:color w:val="auto"/>
                <w:sz w:val="24"/>
              </w:rPr>
            </w:pPr>
            <w:r>
              <w:rPr>
                <w:rFonts w:hint="eastAsia" w:ascii="宋体" w:hAnsi="宋体" w:cs="宋体"/>
                <w:color w:val="auto"/>
                <w:sz w:val="24"/>
              </w:rPr>
              <w:t>有效投标报价的最低价作为评标基准价，其最低报价为满分；按［投标报价得分=（评标基准价/投标报价）*</w:t>
            </w:r>
            <w:r>
              <w:rPr>
                <w:rFonts w:hint="eastAsia" w:ascii="宋体" w:hAnsi="宋体" w:cs="宋体"/>
                <w:color w:val="auto"/>
                <w:sz w:val="24"/>
                <w:lang w:val="en-US" w:eastAsia="zh-CN"/>
              </w:rPr>
              <w:t>20</w:t>
            </w:r>
            <w:r>
              <w:rPr>
                <w:rFonts w:hint="eastAsia" w:ascii="宋体" w:hAnsi="宋体" w:cs="宋体"/>
                <w:color w:val="auto"/>
                <w:sz w:val="24"/>
              </w:rPr>
              <w:t>］的计算公式计算。</w:t>
            </w:r>
          </w:p>
          <w:p>
            <w:pPr>
              <w:widowControl/>
              <w:shd w:val="clear" w:color="auto" w:fill="FFFFFF"/>
              <w:adjustRightInd/>
              <w:spacing w:after="225" w:line="315" w:lineRule="atLeast"/>
              <w:ind w:firstLine="420"/>
              <w:jc w:val="left"/>
              <w:rPr>
                <w:rFonts w:ascii="宋体" w:hAnsi="宋体" w:cs="宋体"/>
                <w:color w:val="auto"/>
                <w:sz w:val="24"/>
              </w:rPr>
            </w:pPr>
            <w:r>
              <w:rPr>
                <w:rFonts w:hint="eastAsia" w:ascii="宋体" w:hAnsi="宋体" w:cs="宋体"/>
                <w:color w:val="auto"/>
                <w:sz w:val="24"/>
              </w:rPr>
              <w:t>评标过程中，不得去掉报价中的最高报价和最低报价。</w:t>
            </w:r>
          </w:p>
        </w:tc>
        <w:tc>
          <w:tcPr>
            <w:tcW w:w="750" w:type="dxa"/>
            <w:vAlign w:val="center"/>
          </w:tcPr>
          <w:p>
            <w:pPr>
              <w:spacing w:line="360" w:lineRule="auto"/>
              <w:jc w:val="center"/>
              <w:outlineLvl w:val="0"/>
              <w:rPr>
                <w:rFonts w:hint="default" w:ascii="宋体" w:hAnsi="宋体" w:eastAsia="宋体" w:cs="宋体"/>
                <w:color w:val="auto"/>
                <w:sz w:val="24"/>
                <w:lang w:val="en-US" w:eastAsia="zh-CN"/>
              </w:rPr>
            </w:pPr>
            <w:r>
              <w:rPr>
                <w:rFonts w:hint="eastAsia" w:ascii="宋体" w:hAnsi="宋体" w:cs="宋体"/>
                <w:color w:val="auto"/>
                <w:sz w:val="24"/>
                <w:lang w:val="en-US" w:eastAsia="zh-CN"/>
              </w:rPr>
              <w:t>20</w:t>
            </w:r>
          </w:p>
        </w:tc>
        <w:tc>
          <w:tcPr>
            <w:tcW w:w="990" w:type="dxa"/>
            <w:vAlign w:val="center"/>
          </w:tcPr>
          <w:p>
            <w:pPr>
              <w:spacing w:line="360" w:lineRule="auto"/>
              <w:jc w:val="center"/>
              <w:outlineLvl w:val="0"/>
              <w:rPr>
                <w:rFonts w:ascii="宋体" w:hAnsi="宋体" w:cs="宋体"/>
                <w:color w:val="auto"/>
                <w:sz w:val="24"/>
              </w:rPr>
            </w:pPr>
            <w:r>
              <w:rPr>
                <w:rFonts w:hint="eastAsia" w:ascii="宋体" w:hAnsi="宋体" w:cs="宋体"/>
                <w:color w:val="auto"/>
                <w:sz w:val="24"/>
              </w:rPr>
              <w:t>客观分</w:t>
            </w:r>
          </w:p>
        </w:tc>
        <w:tc>
          <w:tcPr>
            <w:tcW w:w="1590" w:type="dxa"/>
            <w:vAlign w:val="center"/>
          </w:tcPr>
          <w:p>
            <w:pPr>
              <w:spacing w:line="360" w:lineRule="auto"/>
              <w:jc w:val="center"/>
              <w:outlineLvl w:val="0"/>
              <w:rPr>
                <w:rFonts w:ascii="宋体" w:hAnsi="宋体" w:cs="宋体"/>
                <w:color w:val="auto"/>
                <w:sz w:val="24"/>
              </w:rPr>
            </w:pPr>
            <w:r>
              <w:rPr>
                <w:rFonts w:hint="eastAsia" w:ascii="宋体" w:hAnsi="宋体" w:cs="宋体"/>
                <w:color w:val="auto"/>
                <w:sz w:val="24"/>
              </w:rPr>
              <w:t>/</w:t>
            </w:r>
          </w:p>
        </w:tc>
      </w:tr>
    </w:tbl>
    <w:p>
      <w:pPr>
        <w:rPr>
          <w:color w:val="auto"/>
        </w:rPr>
      </w:pPr>
    </w:p>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30"/>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30"/>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4"/>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4.2.13投标人未提供样品或提供的样品不满足采购需求实质性条件的，投标无效；</w:t>
      </w:r>
    </w:p>
    <w:p>
      <w:pPr>
        <w:pStyle w:val="2"/>
        <w:ind w:left="862" w:leftChars="205"/>
        <w:rPr>
          <w:rFonts w:ascii="宋体" w:hAnsi="宋体" w:eastAsia="宋体" w:cs="宋体"/>
          <w:b w:val="0"/>
          <w:bCs w:val="0"/>
          <w:color w:val="auto"/>
          <w:kern w:val="0"/>
          <w:sz w:val="24"/>
          <w:szCs w:val="24"/>
          <w:lang w:val="en-US"/>
        </w:rPr>
      </w:pPr>
      <w:r>
        <w:rPr>
          <w:rFonts w:hint="eastAsia" w:ascii="宋体" w:hAnsi="宋体" w:eastAsia="宋体" w:cs="宋体"/>
          <w:b w:val="0"/>
          <w:bCs w:val="0"/>
          <w:color w:val="auto"/>
          <w:kern w:val="0"/>
          <w:sz w:val="24"/>
          <w:szCs w:val="24"/>
          <w:lang w:val="en-US"/>
        </w:rPr>
        <w:t>4.2.14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4.2.15法律、法规、规章（适用本市的）及省级以上规范性文件（适用本市的）规定的其他无效情形。</w:t>
      </w:r>
    </w:p>
    <w:p>
      <w:pPr>
        <w:pStyle w:val="4"/>
        <w:snapToGrid w:val="0"/>
        <w:spacing w:line="360" w:lineRule="auto"/>
        <w:ind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4"/>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4"/>
        <w:snapToGrid w:val="0"/>
        <w:spacing w:line="360" w:lineRule="auto"/>
        <w:rPr>
          <w:rFonts w:cs="宋体"/>
          <w:color w:val="auto"/>
        </w:rPr>
      </w:pPr>
      <w:r>
        <w:rPr>
          <w:rFonts w:hint="eastAsia" w:cs="宋体"/>
          <w:color w:val="auto"/>
        </w:rPr>
        <w:t>5.2出现影响采购公正的违法、违规行为的；</w:t>
      </w:r>
    </w:p>
    <w:p>
      <w:pPr>
        <w:pStyle w:val="4"/>
        <w:snapToGrid w:val="0"/>
        <w:spacing w:line="360" w:lineRule="auto"/>
        <w:rPr>
          <w:rFonts w:cs="宋体"/>
          <w:color w:val="auto"/>
        </w:rPr>
      </w:pPr>
      <w:r>
        <w:rPr>
          <w:rFonts w:hint="eastAsia" w:cs="宋体"/>
          <w:color w:val="auto"/>
        </w:rPr>
        <w:t>5.3投标人的报价均超过了采购预算，采购人不能支付的；</w:t>
      </w:r>
    </w:p>
    <w:p>
      <w:pPr>
        <w:pStyle w:val="4"/>
        <w:snapToGrid w:val="0"/>
        <w:spacing w:line="360" w:lineRule="auto"/>
        <w:rPr>
          <w:rFonts w:cs="宋体"/>
          <w:color w:val="auto"/>
        </w:rPr>
      </w:pPr>
      <w:r>
        <w:rPr>
          <w:rFonts w:hint="eastAsia" w:cs="宋体"/>
          <w:color w:val="auto"/>
        </w:rPr>
        <w:t>5.4因重大变故，采购任务取消的。</w:t>
      </w:r>
    </w:p>
    <w:p>
      <w:pPr>
        <w:pStyle w:val="4"/>
        <w:snapToGrid w:val="0"/>
        <w:spacing w:line="360" w:lineRule="auto"/>
        <w:rPr>
          <w:rFonts w:cs="宋体"/>
          <w:color w:val="auto"/>
        </w:rPr>
      </w:pPr>
      <w:r>
        <w:rPr>
          <w:rFonts w:hint="eastAsia" w:cs="宋体"/>
          <w:color w:val="auto"/>
        </w:rPr>
        <w:t>废标后，采购机构应当将废标理由通知所有投标人。</w:t>
      </w:r>
    </w:p>
    <w:p>
      <w:pPr>
        <w:pStyle w:val="4"/>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4"/>
        <w:snapToGrid w:val="0"/>
        <w:spacing w:line="360" w:lineRule="auto"/>
        <w:ind w:firstLine="489"/>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4"/>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4"/>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4"/>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4"/>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4"/>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ind w:left="720" w:leftChars="343" w:firstLine="1084" w:firstLineChars="300"/>
        <w:outlineLvl w:val="0"/>
        <w:rPr>
          <w:rFonts w:hint="eastAsia" w:ascii="宋体" w:hAnsi="宋体" w:cs="宋体"/>
          <w:b/>
          <w:color w:val="auto"/>
          <w:sz w:val="36"/>
          <w:szCs w:val="36"/>
        </w:rPr>
      </w:pPr>
      <w:bookmarkStart w:id="404" w:name="第五部分"/>
      <w:bookmarkStart w:id="405" w:name="_Toc86217003"/>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color w:val="auto"/>
          <w:sz w:val="36"/>
          <w:szCs w:val="36"/>
        </w:rPr>
      </w:pPr>
    </w:p>
    <w:p>
      <w:pPr>
        <w:pStyle w:val="61"/>
        <w:rPr>
          <w:rFonts w:hint="eastAsia"/>
          <w:color w:val="auto"/>
        </w:rPr>
      </w:pPr>
    </w:p>
    <w:p>
      <w:pPr>
        <w:spacing w:line="360" w:lineRule="auto"/>
        <w:ind w:left="720" w:leftChars="343" w:firstLine="1084" w:firstLineChars="300"/>
        <w:outlineLvl w:val="0"/>
        <w:rPr>
          <w:rFonts w:ascii="宋体" w:hAnsi="宋体" w:cs="宋体"/>
          <w:b/>
          <w:color w:val="auto"/>
          <w:sz w:val="36"/>
          <w:szCs w:val="36"/>
        </w:rPr>
      </w:pPr>
      <w:r>
        <w:rPr>
          <w:rFonts w:hint="eastAsia" w:ascii="宋体" w:hAnsi="宋体" w:cs="宋体"/>
          <w:b/>
          <w:color w:val="auto"/>
          <w:sz w:val="36"/>
          <w:szCs w:val="36"/>
        </w:rPr>
        <w:t>第五部分 拟签订的合同文本</w:t>
      </w:r>
    </w:p>
    <w:p>
      <w:pPr>
        <w:rPr>
          <w:rFonts w:ascii="宋体" w:hAnsi="宋体" w:cs="宋体"/>
          <w:color w:val="auto"/>
          <w:sz w:val="24"/>
          <w:u w:val="single"/>
        </w:rPr>
      </w:pPr>
      <w:r>
        <w:rPr>
          <w:rFonts w:hint="eastAsia" w:ascii="宋体" w:hAnsi="宋体" w:cs="宋体"/>
          <w:color w:val="auto"/>
          <w:sz w:val="24"/>
        </w:rPr>
        <w:t>合同编号：</w:t>
      </w:r>
      <w:r>
        <w:rPr>
          <w:rFonts w:hint="eastAsia" w:ascii="宋体" w:hAnsi="宋体" w:cs="宋体"/>
          <w:color w:val="auto"/>
          <w:sz w:val="24"/>
          <w:u w:val="single"/>
        </w:rPr>
        <w:t xml:space="preserve">           </w:t>
      </w:r>
    </w:p>
    <w:p>
      <w:pPr>
        <w:spacing w:line="480" w:lineRule="auto"/>
        <w:jc w:val="center"/>
        <w:rPr>
          <w:rFonts w:ascii="宋体" w:hAnsi="宋体" w:cs="宋体"/>
          <w:b/>
          <w:color w:val="auto"/>
          <w:sz w:val="28"/>
          <w:szCs w:val="28"/>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24"/>
        </w:rPr>
      </w:pPr>
    </w:p>
    <w:p>
      <w:pPr>
        <w:spacing w:line="480" w:lineRule="auto"/>
        <w:jc w:val="center"/>
        <w:rPr>
          <w:rFonts w:ascii="宋体" w:hAnsi="宋体" w:cs="宋体"/>
          <w:b/>
          <w:color w:val="auto"/>
          <w:sz w:val="36"/>
          <w:szCs w:val="36"/>
        </w:rPr>
      </w:pPr>
      <w:r>
        <w:rPr>
          <w:rFonts w:hint="eastAsia" w:ascii="宋体" w:hAnsi="宋体" w:cs="宋体"/>
          <w:b/>
          <w:color w:val="auto"/>
          <w:sz w:val="36"/>
          <w:szCs w:val="36"/>
        </w:rPr>
        <w:t>政府采购合同参考范本</w:t>
      </w:r>
    </w:p>
    <w:p>
      <w:pPr>
        <w:spacing w:line="480" w:lineRule="auto"/>
        <w:jc w:val="center"/>
        <w:rPr>
          <w:rFonts w:ascii="宋体" w:hAnsi="宋体" w:cs="宋体"/>
          <w:b/>
          <w:color w:val="auto"/>
          <w:sz w:val="36"/>
          <w:szCs w:val="36"/>
        </w:rPr>
      </w:pPr>
      <w:r>
        <w:rPr>
          <w:rFonts w:hint="eastAsia" w:ascii="宋体" w:hAnsi="宋体" w:cs="宋体"/>
          <w:b/>
          <w:color w:val="auto"/>
          <w:sz w:val="36"/>
          <w:szCs w:val="36"/>
        </w:rPr>
        <w:t>（服务类）</w:t>
      </w:r>
    </w:p>
    <w:p>
      <w:pPr>
        <w:pStyle w:val="700"/>
        <w:ind w:firstLine="2843" w:firstLineChars="1180"/>
        <w:rPr>
          <w:rFonts w:ascii="宋体" w:hAnsi="宋体" w:cs="宋体"/>
          <w:b/>
          <w:color w:val="auto"/>
          <w:szCs w:val="24"/>
        </w:rPr>
      </w:pPr>
      <w:r>
        <w:rPr>
          <w:rFonts w:hint="eastAsia" w:ascii="宋体" w:hAnsi="宋体" w:cs="宋体"/>
          <w:b/>
          <w:color w:val="auto"/>
          <w:szCs w:val="24"/>
        </w:rPr>
        <w:t>第一部分 合同书</w:t>
      </w:r>
    </w:p>
    <w:p>
      <w:pPr>
        <w:spacing w:before="120" w:line="22" w:lineRule="atLeast"/>
        <w:rPr>
          <w:rFonts w:ascii="宋体" w:hAnsi="宋体" w:cs="宋体"/>
          <w:color w:val="auto"/>
          <w:sz w:val="24"/>
        </w:rPr>
      </w:pPr>
    </w:p>
    <w:p>
      <w:pPr>
        <w:pStyle w:val="2"/>
        <w:rPr>
          <w:color w:val="auto"/>
        </w:rPr>
      </w:pPr>
    </w:p>
    <w:p>
      <w:pPr>
        <w:spacing w:before="120" w:line="22" w:lineRule="atLeast"/>
        <w:ind w:left="960"/>
        <w:rPr>
          <w:rFonts w:ascii="宋体" w:hAnsi="宋体" w:cs="宋体"/>
          <w:color w:val="auto"/>
          <w:sz w:val="24"/>
        </w:rPr>
      </w:pPr>
      <w:r>
        <w:rPr>
          <w:rFonts w:hint="eastAsia" w:ascii="宋体" w:hAnsi="宋体" w:cs="宋体"/>
          <w:color w:val="auto"/>
          <w:sz w:val="24"/>
        </w:rPr>
        <w:t>项目名称：</w:t>
      </w:r>
      <w:r>
        <w:rPr>
          <w:rFonts w:hint="eastAsia" w:ascii="宋体" w:hAnsi="宋体" w:cs="宋体"/>
          <w:color w:val="auto"/>
          <w:sz w:val="24"/>
          <w:u w:val="single"/>
        </w:rPr>
        <w:t xml:space="preserve">                                   </w:t>
      </w:r>
    </w:p>
    <w:p>
      <w:pPr>
        <w:pStyle w:val="597"/>
        <w:spacing w:before="120" w:line="22" w:lineRule="atLeast"/>
        <w:rPr>
          <w:rFonts w:ascii="宋体" w:hAnsi="宋体" w:eastAsia="宋体" w:cs="宋体"/>
          <w:color w:val="auto"/>
          <w:szCs w:val="24"/>
        </w:rPr>
      </w:pPr>
    </w:p>
    <w:p>
      <w:pPr>
        <w:pStyle w:val="597"/>
        <w:spacing w:before="120" w:line="22" w:lineRule="atLeast"/>
        <w:rPr>
          <w:rFonts w:ascii="宋体" w:hAnsi="宋体" w:eastAsia="宋体" w:cs="宋体"/>
          <w:color w:val="auto"/>
          <w:szCs w:val="24"/>
        </w:rPr>
      </w:pPr>
    </w:p>
    <w:p>
      <w:pPr>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甲方：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left="960"/>
        <w:rPr>
          <w:rFonts w:ascii="宋体" w:hAnsi="宋体" w:cs="宋体"/>
          <w:color w:val="auto"/>
          <w:sz w:val="24"/>
          <w:u w:val="single"/>
        </w:rPr>
      </w:pPr>
      <w:r>
        <w:rPr>
          <w:rFonts w:hint="eastAsia" w:ascii="宋体" w:hAnsi="宋体" w:cs="宋体"/>
          <w:color w:val="auto"/>
          <w:sz w:val="24"/>
        </w:rPr>
        <w:t>乙方：</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签订地：</w:t>
      </w:r>
      <w:r>
        <w:rPr>
          <w:rFonts w:hint="eastAsia" w:ascii="宋体" w:hAnsi="宋体" w:cs="宋体"/>
          <w:color w:val="auto"/>
          <w:sz w:val="24"/>
          <w:u w:val="single"/>
        </w:rPr>
        <w:t xml:space="preserve">                                     </w:t>
      </w:r>
    </w:p>
    <w:p>
      <w:pPr>
        <w:spacing w:before="120" w:line="22" w:lineRule="atLeast"/>
        <w:rPr>
          <w:rFonts w:ascii="宋体" w:hAnsi="宋体" w:cs="宋体"/>
          <w:color w:val="auto"/>
          <w:sz w:val="24"/>
        </w:rPr>
      </w:pPr>
    </w:p>
    <w:p>
      <w:pPr>
        <w:spacing w:before="120" w:line="22" w:lineRule="atLeast"/>
        <w:ind w:firstLine="960" w:firstLineChars="400"/>
        <w:rPr>
          <w:rFonts w:ascii="宋体" w:hAnsi="宋体" w:cs="宋体"/>
          <w:color w:val="auto"/>
          <w:sz w:val="24"/>
          <w:u w:val="single"/>
        </w:rPr>
      </w:pPr>
      <w:r>
        <w:rPr>
          <w:rFonts w:hint="eastAsia" w:ascii="宋体" w:hAnsi="宋体" w:cs="宋体"/>
          <w:color w:val="auto"/>
          <w:sz w:val="24"/>
        </w:rPr>
        <w:t>签订日期：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widowControl/>
        <w:jc w:val="left"/>
        <w:rPr>
          <w:rFonts w:ascii="宋体" w:hAnsi="宋体" w:cs="宋体"/>
          <w:color w:val="auto"/>
          <w:kern w:val="0"/>
          <w:sz w:val="24"/>
        </w:rPr>
        <w:sectPr>
          <w:pgSz w:w="11907" w:h="16840"/>
          <w:pgMar w:top="1474" w:right="1814" w:bottom="1474" w:left="1814" w:header="851" w:footer="851" w:gutter="0"/>
          <w:cols w:space="720" w:num="1"/>
        </w:sectPr>
      </w:pP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u w:val="single"/>
          <w:lang w:val="zh-CN"/>
        </w:rPr>
        <w:t xml:space="preserve">        </w:t>
      </w:r>
      <w:r>
        <w:rPr>
          <w:rFonts w:hint="eastAsia" w:asciiTheme="minorEastAsia" w:hAnsiTheme="minorEastAsia" w:eastAsiaTheme="minorEastAsia"/>
          <w:color w:val="auto"/>
          <w:sz w:val="24"/>
          <w:lang w:val="zh-CN"/>
        </w:rPr>
        <w:t>年</w:t>
      </w:r>
      <w:r>
        <w:rPr>
          <w:rFonts w:asciiTheme="minorEastAsia" w:hAnsiTheme="minorEastAsia" w:eastAsiaTheme="minorEastAsia"/>
          <w:color w:val="auto"/>
          <w:sz w:val="24"/>
          <w:u w:val="single"/>
          <w:lang w:val="zh-CN"/>
        </w:rPr>
        <w:t xml:space="preserve">    </w:t>
      </w:r>
      <w:r>
        <w:rPr>
          <w:rFonts w:hint="eastAsia" w:asciiTheme="minorEastAsia" w:hAnsiTheme="minorEastAsia" w:eastAsiaTheme="minorEastAsia"/>
          <w:color w:val="auto"/>
          <w:sz w:val="24"/>
          <w:lang w:val="zh-CN"/>
        </w:rPr>
        <w:t>月</w:t>
      </w:r>
      <w:r>
        <w:rPr>
          <w:rFonts w:asciiTheme="minorEastAsia" w:hAnsiTheme="minorEastAsia" w:eastAsiaTheme="minorEastAsia"/>
          <w:color w:val="auto"/>
          <w:sz w:val="24"/>
          <w:u w:val="single"/>
          <w:lang w:val="zh-CN"/>
        </w:rPr>
        <w:t xml:space="preserve">    </w:t>
      </w:r>
      <w:r>
        <w:rPr>
          <w:rFonts w:hint="eastAsia" w:asciiTheme="minorEastAsia" w:hAnsiTheme="minorEastAsia" w:eastAsiaTheme="minorEastAsia"/>
          <w:color w:val="auto"/>
          <w:sz w:val="24"/>
          <w:lang w:val="zh-CN"/>
        </w:rPr>
        <w:t>日</w:t>
      </w:r>
      <w:r>
        <w:rPr>
          <w:rFonts w:hint="eastAsia" w:asciiTheme="minorEastAsia" w:hAnsiTheme="minorEastAsia" w:eastAsiaTheme="minorEastAsia"/>
          <w:color w:val="auto"/>
          <w:sz w:val="24"/>
        </w:rPr>
        <w:t>，</w:t>
      </w:r>
      <w:r>
        <w:rPr>
          <w:rFonts w:asciiTheme="minorEastAsia" w:hAnsiTheme="minorEastAsia" w:eastAsiaTheme="minorEastAsia"/>
          <w:color w:val="auto"/>
          <w:sz w:val="24"/>
          <w:u w:val="single"/>
        </w:rPr>
        <w:t xml:space="preserve">   </w:t>
      </w:r>
      <w:r>
        <w:rPr>
          <w:rFonts w:hint="eastAsia" w:ascii="宋体" w:hAnsi="宋体" w:cs="宋体" w:eastAsiaTheme="minorEastAsia"/>
          <w:color w:val="auto"/>
          <w:sz w:val="24"/>
          <w:u w:val="single"/>
          <w:lang w:eastAsia="zh-CN"/>
        </w:rPr>
        <w:t>淳安县富文乡人民政府</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以</w:t>
      </w:r>
      <w:r>
        <w:rPr>
          <w:rFonts w:asciiTheme="minorEastAsia" w:hAnsiTheme="minorEastAsia" w:eastAsiaTheme="minorEastAsia"/>
          <w:color w:val="auto"/>
          <w:sz w:val="24"/>
          <w:u w:val="single"/>
        </w:rPr>
        <w:t xml:space="preserve">   （政府采购方式）  </w:t>
      </w:r>
      <w:r>
        <w:rPr>
          <w:rFonts w:hint="eastAsia" w:asciiTheme="minorEastAsia" w:hAnsiTheme="minorEastAsia" w:eastAsiaTheme="minorEastAsia"/>
          <w:color w:val="auto"/>
          <w:sz w:val="24"/>
        </w:rPr>
        <w:t>对</w:t>
      </w:r>
      <w:r>
        <w:rPr>
          <w:rFonts w:asciiTheme="minorEastAsia" w:hAnsiTheme="minorEastAsia" w:eastAsiaTheme="minorEastAsia"/>
          <w:color w:val="auto"/>
          <w:sz w:val="24"/>
          <w:u w:val="single"/>
        </w:rPr>
        <w:t xml:space="preserve">  </w:t>
      </w:r>
      <w:r>
        <w:rPr>
          <w:rFonts w:hint="eastAsia" w:ascii="宋体" w:hAnsi="宋体" w:cs="宋体" w:eastAsiaTheme="minorEastAsia"/>
          <w:color w:val="auto"/>
          <w:sz w:val="24"/>
          <w:u w:val="single"/>
          <w:lang w:eastAsia="zh-CN"/>
        </w:rPr>
        <w:t>富文乡石头埠淳岸（杭州千岛湖）麦芽威士忌酒厂污水管道、泵站及电气安装项目</w:t>
      </w:r>
      <w:r>
        <w:rPr>
          <w:rFonts w:hint="eastAsia" w:ascii="宋体" w:hAnsi="宋体" w:cs="宋体"/>
          <w:color w:val="auto"/>
          <w:sz w:val="24"/>
          <w:u w:val="single"/>
        </w:rPr>
        <w:t xml:space="preserve">  </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项目进行了采购。经</w:t>
      </w:r>
      <w:r>
        <w:rPr>
          <w:rFonts w:asciiTheme="minorEastAsia" w:hAnsiTheme="minorEastAsia" w:eastAsiaTheme="minorEastAsia"/>
          <w:color w:val="auto"/>
          <w:sz w:val="24"/>
          <w:u w:val="single"/>
        </w:rPr>
        <w:t xml:space="preserve">   （相关评定主体名称）   </w:t>
      </w:r>
      <w:r>
        <w:rPr>
          <w:rFonts w:hint="eastAsia" w:asciiTheme="minorEastAsia" w:hAnsiTheme="minorEastAsia" w:eastAsiaTheme="minorEastAsia"/>
          <w:color w:val="auto"/>
          <w:sz w:val="24"/>
        </w:rPr>
        <w:t>评定，</w:t>
      </w:r>
      <w:r>
        <w:rPr>
          <w:rFonts w:asciiTheme="minorEastAsia" w:hAnsiTheme="minorEastAsia" w:eastAsiaTheme="minorEastAsia"/>
          <w:color w:val="auto"/>
          <w:sz w:val="24"/>
          <w:u w:val="single"/>
        </w:rPr>
        <w:t xml:space="preserve">   （中标供应商名称） </w:t>
      </w:r>
      <w:r>
        <w:rPr>
          <w:rFonts w:hint="eastAsia" w:asciiTheme="minorEastAsia" w:hAnsiTheme="minorEastAsia" w:eastAsiaTheme="minorEastAsia"/>
          <w:color w:val="auto"/>
          <w:sz w:val="24"/>
        </w:rPr>
        <w:t>为该项目中标供应商。现于中标通知书发出之日起10个工作日内，按照采购文件确定的事项签订本合同。</w:t>
      </w:r>
    </w:p>
    <w:p>
      <w:pPr>
        <w:spacing w:line="5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lang w:val="zh-CN"/>
        </w:rPr>
        <w:t>根据《中华人民共和国民法典》《中华人民共和国政府采购法》等相关法律法规之规定，按照平等、自愿、公平和诚实信用的原则，经</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u w:val="single"/>
          <w:lang w:eastAsia="zh-CN"/>
        </w:rPr>
        <w:t>淳安县富文乡人民政府</w:t>
      </w:r>
      <w:r>
        <w:rPr>
          <w:rFonts w:asciiTheme="minorEastAsia" w:hAnsiTheme="minorEastAsia" w:eastAsiaTheme="minorEastAsia"/>
          <w:color w:val="auto"/>
          <w:sz w:val="24"/>
          <w:u w:val="single"/>
        </w:rPr>
        <w:t xml:space="preserve">  </w:t>
      </w:r>
      <w:r>
        <w:rPr>
          <w:rFonts w:asciiTheme="minorEastAsia" w:hAnsiTheme="minorEastAsia" w:eastAsiaTheme="minorEastAsia"/>
          <w:color w:val="auto"/>
          <w:sz w:val="24"/>
          <w:lang w:val="zh-CN"/>
        </w:rPr>
        <w:t>(以下简称：甲方)和</w:t>
      </w:r>
      <w:r>
        <w:rPr>
          <w:rFonts w:asciiTheme="minorEastAsia" w:hAnsiTheme="minorEastAsia" w:eastAsiaTheme="minorEastAsia"/>
          <w:color w:val="auto"/>
          <w:sz w:val="24"/>
          <w:u w:val="single"/>
        </w:rPr>
        <w:t xml:space="preserve">   （中标供应商名称）   </w:t>
      </w:r>
      <w:r>
        <w:rPr>
          <w:rFonts w:asciiTheme="minorEastAsia" w:hAnsiTheme="minorEastAsia" w:eastAsiaTheme="minorEastAsia"/>
          <w:color w:val="auto"/>
          <w:sz w:val="24"/>
          <w:lang w:val="zh-CN"/>
        </w:rPr>
        <w:t>(以下简称：乙方)协商一致，约定以下合同</w:t>
      </w:r>
      <w:r>
        <w:rPr>
          <w:rFonts w:hint="eastAsia" w:asciiTheme="minorEastAsia" w:hAnsiTheme="minorEastAsia" w:eastAsiaTheme="minorEastAsia"/>
          <w:color w:val="auto"/>
          <w:sz w:val="24"/>
        </w:rPr>
        <w:t>条款，以兹共同遵守、全面履行。</w:t>
      </w:r>
    </w:p>
    <w:p>
      <w:pPr>
        <w:spacing w:line="560" w:lineRule="exact"/>
        <w:ind w:firstLine="482" w:firstLineChars="200"/>
        <w:outlineLvl w:val="0"/>
        <w:rPr>
          <w:rFonts w:asciiTheme="minorEastAsia" w:hAnsiTheme="minorEastAsia" w:eastAsiaTheme="minorEastAsia"/>
          <w:color w:val="auto"/>
          <w:sz w:val="24"/>
        </w:rPr>
      </w:pPr>
      <w:bookmarkStart w:id="406" w:name="_Toc20421"/>
      <w:bookmarkStart w:id="407" w:name="_Toc19273"/>
      <w:bookmarkStart w:id="408" w:name="_Toc28855"/>
      <w:bookmarkStart w:id="409" w:name="_Toc22967"/>
      <w:bookmarkStart w:id="410" w:name="_Toc15367"/>
      <w:r>
        <w:rPr>
          <w:rFonts w:asciiTheme="minorEastAsia" w:hAnsiTheme="minorEastAsia" w:eastAsiaTheme="minorEastAsia"/>
          <w:b/>
          <w:color w:val="auto"/>
          <w:sz w:val="24"/>
        </w:rPr>
        <w:t xml:space="preserve">1.1 </w:t>
      </w:r>
      <w:r>
        <w:rPr>
          <w:rFonts w:hint="eastAsia" w:asciiTheme="minorEastAsia" w:hAnsiTheme="minorEastAsia" w:eastAsiaTheme="minorEastAsia"/>
          <w:b/>
          <w:color w:val="auto"/>
          <w:sz w:val="24"/>
        </w:rPr>
        <w:t>合同组成部分</w:t>
      </w:r>
      <w:bookmarkEnd w:id="406"/>
      <w:bookmarkEnd w:id="407"/>
      <w:bookmarkEnd w:id="408"/>
      <w:bookmarkEnd w:id="409"/>
      <w:bookmarkEnd w:id="410"/>
    </w:p>
    <w:p>
      <w:pPr>
        <w:spacing w:line="5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1.1.1 </w:t>
      </w:r>
      <w:r>
        <w:rPr>
          <w:rFonts w:hint="eastAsia" w:asciiTheme="minorEastAsia" w:hAnsiTheme="minorEastAsia" w:eastAsiaTheme="minorEastAsia"/>
          <w:color w:val="auto"/>
          <w:sz w:val="24"/>
        </w:rPr>
        <w:t>本合同及其补充合同、变更协议；</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1.1.2 </w:t>
      </w:r>
      <w:r>
        <w:rPr>
          <w:rFonts w:hint="eastAsia" w:asciiTheme="minorEastAsia" w:hAnsiTheme="minorEastAsia" w:eastAsiaTheme="minorEastAsia"/>
          <w:color w:val="auto"/>
          <w:sz w:val="24"/>
        </w:rPr>
        <w:t>中标通知书；</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1.1.3 </w:t>
      </w:r>
      <w:r>
        <w:rPr>
          <w:rFonts w:hint="eastAsia" w:asciiTheme="minorEastAsia" w:hAnsiTheme="minorEastAsia" w:eastAsiaTheme="minorEastAsia"/>
          <w:color w:val="auto"/>
          <w:sz w:val="24"/>
        </w:rPr>
        <w:t>投标文件（含澄清或者说明文件）；</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1.1.4 </w:t>
      </w:r>
      <w:r>
        <w:rPr>
          <w:rFonts w:hint="eastAsia" w:asciiTheme="minorEastAsia" w:hAnsiTheme="minorEastAsia" w:eastAsiaTheme="minorEastAsia"/>
          <w:color w:val="auto"/>
          <w:sz w:val="24"/>
        </w:rPr>
        <w:t>招标文件（含澄清或者修改文件）；</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1.1.5 </w:t>
      </w:r>
      <w:r>
        <w:rPr>
          <w:rFonts w:hint="eastAsia" w:asciiTheme="minorEastAsia" w:hAnsiTheme="minorEastAsia" w:eastAsiaTheme="minorEastAsia"/>
          <w:color w:val="auto"/>
          <w:sz w:val="24"/>
        </w:rPr>
        <w:t>其他相关采购文件。</w:t>
      </w:r>
    </w:p>
    <w:p>
      <w:pPr>
        <w:spacing w:line="560" w:lineRule="exact"/>
        <w:ind w:firstLine="482" w:firstLineChars="200"/>
        <w:outlineLvl w:val="0"/>
        <w:rPr>
          <w:rFonts w:asciiTheme="minorEastAsia" w:hAnsiTheme="minorEastAsia" w:eastAsiaTheme="minorEastAsia"/>
          <w:b/>
          <w:color w:val="auto"/>
          <w:sz w:val="24"/>
        </w:rPr>
      </w:pPr>
      <w:bookmarkStart w:id="411" w:name="_Toc18585"/>
      <w:bookmarkStart w:id="412" w:name="_Toc6311"/>
      <w:bookmarkStart w:id="413" w:name="_Toc6773"/>
      <w:bookmarkStart w:id="414" w:name="_Toc2918"/>
      <w:bookmarkStart w:id="415" w:name="_Toc22185"/>
      <w:r>
        <w:rPr>
          <w:rFonts w:asciiTheme="minorEastAsia" w:hAnsiTheme="minorEastAsia" w:eastAsiaTheme="minorEastAsia"/>
          <w:b/>
          <w:color w:val="auto"/>
          <w:sz w:val="24"/>
        </w:rPr>
        <w:t xml:space="preserve">1.2 </w:t>
      </w:r>
      <w:r>
        <w:rPr>
          <w:rFonts w:hint="eastAsia" w:asciiTheme="minorEastAsia" w:hAnsiTheme="minorEastAsia" w:eastAsiaTheme="minorEastAsia"/>
          <w:b/>
          <w:color w:val="auto"/>
          <w:sz w:val="24"/>
        </w:rPr>
        <w:t>标的</w:t>
      </w:r>
      <w:bookmarkEnd w:id="411"/>
      <w:bookmarkEnd w:id="412"/>
      <w:bookmarkEnd w:id="413"/>
      <w:bookmarkEnd w:id="414"/>
      <w:bookmarkEnd w:id="415"/>
    </w:p>
    <w:p>
      <w:pPr>
        <w:spacing w:line="560" w:lineRule="exact"/>
        <w:ind w:firstLine="480" w:firstLineChars="200"/>
        <w:rPr>
          <w:rFonts w:asciiTheme="minorEastAsia" w:hAnsiTheme="minorEastAsia" w:eastAsiaTheme="minorEastAsia"/>
          <w:color w:val="auto"/>
          <w:sz w:val="24"/>
          <w:u w:val="single"/>
        </w:rPr>
      </w:pPr>
      <w:r>
        <w:rPr>
          <w:rFonts w:asciiTheme="minorEastAsia" w:hAnsiTheme="minorEastAsia" w:eastAsiaTheme="minorEastAsia"/>
          <w:color w:val="auto"/>
          <w:sz w:val="24"/>
        </w:rPr>
        <w:t xml:space="preserve">1.2.1 </w:t>
      </w:r>
      <w:r>
        <w:rPr>
          <w:rFonts w:hint="eastAsia" w:asciiTheme="minorEastAsia" w:hAnsiTheme="minorEastAsia" w:eastAsiaTheme="minorEastAsia"/>
          <w:color w:val="auto"/>
          <w:sz w:val="24"/>
        </w:rPr>
        <w:t>标的</w:t>
      </w:r>
      <w:r>
        <w:rPr>
          <w:rFonts w:asciiTheme="minorEastAsia" w:hAnsiTheme="minorEastAsia" w:eastAsiaTheme="minorEastAsia"/>
          <w:color w:val="auto"/>
          <w:sz w:val="24"/>
        </w:rPr>
        <w:t>名称：</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w:t>
      </w:r>
    </w:p>
    <w:p>
      <w:pPr>
        <w:spacing w:line="560" w:lineRule="exact"/>
        <w:ind w:firstLine="480" w:firstLineChars="200"/>
        <w:rPr>
          <w:rFonts w:asciiTheme="minorEastAsia" w:hAnsiTheme="minorEastAsia" w:eastAsiaTheme="minorEastAsia"/>
          <w:color w:val="auto"/>
          <w:sz w:val="24"/>
          <w:u w:val="single"/>
        </w:rPr>
      </w:pPr>
      <w:r>
        <w:rPr>
          <w:rFonts w:asciiTheme="minorEastAsia" w:hAnsiTheme="minorEastAsia" w:eastAsiaTheme="minorEastAsia"/>
          <w:color w:val="auto"/>
          <w:sz w:val="24"/>
        </w:rPr>
        <w:t xml:space="preserve">1.2.2 </w:t>
      </w:r>
      <w:r>
        <w:rPr>
          <w:rFonts w:hint="eastAsia" w:asciiTheme="minorEastAsia" w:hAnsiTheme="minorEastAsia" w:eastAsiaTheme="minorEastAsia"/>
          <w:color w:val="auto"/>
          <w:sz w:val="24"/>
        </w:rPr>
        <w:t>标的</w:t>
      </w:r>
      <w:r>
        <w:rPr>
          <w:rFonts w:asciiTheme="minorEastAsia" w:hAnsiTheme="minorEastAsia" w:eastAsiaTheme="minorEastAsia"/>
          <w:color w:val="auto"/>
          <w:sz w:val="24"/>
        </w:rPr>
        <w:t>数量：</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1.2.3 </w:t>
      </w:r>
      <w:r>
        <w:rPr>
          <w:rFonts w:hint="eastAsia" w:asciiTheme="minorEastAsia" w:hAnsiTheme="minorEastAsia" w:eastAsiaTheme="minorEastAsia"/>
          <w:color w:val="auto"/>
          <w:sz w:val="24"/>
        </w:rPr>
        <w:t>标的质量：</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w:t>
      </w:r>
    </w:p>
    <w:p>
      <w:pPr>
        <w:spacing w:line="560" w:lineRule="exact"/>
        <w:ind w:firstLine="482" w:firstLineChars="200"/>
        <w:outlineLvl w:val="0"/>
        <w:rPr>
          <w:rFonts w:asciiTheme="minorEastAsia" w:hAnsiTheme="minorEastAsia" w:eastAsiaTheme="minorEastAsia"/>
          <w:b/>
          <w:color w:val="auto"/>
          <w:sz w:val="24"/>
        </w:rPr>
      </w:pPr>
      <w:bookmarkStart w:id="416" w:name="_Toc13918"/>
      <w:bookmarkStart w:id="417" w:name="_Toc4929"/>
      <w:bookmarkStart w:id="418" w:name="_Toc1386"/>
      <w:bookmarkStart w:id="419" w:name="_Toc21124"/>
      <w:bookmarkStart w:id="420" w:name="_Toc5635"/>
      <w:r>
        <w:rPr>
          <w:rFonts w:asciiTheme="minorEastAsia" w:hAnsiTheme="minorEastAsia" w:eastAsiaTheme="minorEastAsia"/>
          <w:b/>
          <w:color w:val="auto"/>
          <w:sz w:val="24"/>
        </w:rPr>
        <w:t>1.3 价款</w:t>
      </w:r>
      <w:bookmarkEnd w:id="416"/>
      <w:bookmarkEnd w:id="417"/>
      <w:bookmarkEnd w:id="418"/>
      <w:bookmarkEnd w:id="419"/>
      <w:bookmarkEnd w:id="420"/>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本合同总价为</w:t>
      </w:r>
      <w:r>
        <w:rPr>
          <w:rFonts w:hint="eastAsia" w:asciiTheme="minorEastAsia" w:hAnsiTheme="minorEastAsia" w:eastAsiaTheme="minorEastAsia"/>
          <w:color w:val="auto"/>
          <w:sz w:val="24"/>
        </w:rPr>
        <w:t>：￥</w:t>
      </w:r>
      <w:r>
        <w:rPr>
          <w:rFonts w:asciiTheme="minorEastAsia" w:hAnsiTheme="minorEastAsia" w:eastAsiaTheme="minorEastAsia"/>
          <w:color w:val="auto"/>
          <w:sz w:val="24"/>
          <w:u w:val="single"/>
        </w:rPr>
        <w:t xml:space="preserve">           </w:t>
      </w:r>
      <w:r>
        <w:rPr>
          <w:rFonts w:asciiTheme="minorEastAsia" w:hAnsiTheme="minorEastAsia" w:eastAsiaTheme="minorEastAsia"/>
          <w:color w:val="auto"/>
          <w:sz w:val="24"/>
        </w:rPr>
        <w:t>元</w:t>
      </w:r>
      <w:r>
        <w:rPr>
          <w:rFonts w:hint="eastAsia" w:asciiTheme="minorEastAsia" w:hAnsiTheme="minorEastAsia" w:eastAsiaTheme="minorEastAsia"/>
          <w:color w:val="auto"/>
          <w:sz w:val="24"/>
        </w:rPr>
        <w:t>（大写：</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元人民币）</w:t>
      </w:r>
      <w:r>
        <w:rPr>
          <w:rFonts w:asciiTheme="minorEastAsia" w:hAnsiTheme="minorEastAsia" w:eastAsiaTheme="minorEastAsia"/>
          <w:color w:val="auto"/>
          <w:sz w:val="24"/>
        </w:rPr>
        <w:t>。</w:t>
      </w:r>
    </w:p>
    <w:p>
      <w:pPr>
        <w:spacing w:line="560" w:lineRule="exact"/>
        <w:ind w:firstLine="480" w:firstLineChars="200"/>
        <w:rPr>
          <w:rFonts w:asciiTheme="minorEastAsia" w:hAnsiTheme="minorEastAsia" w:eastAsiaTheme="minorEastAsia"/>
          <w:color w:val="auto"/>
          <w:sz w:val="24"/>
          <w:u w:val="single"/>
        </w:rPr>
      </w:pPr>
      <w:r>
        <w:rPr>
          <w:rFonts w:asciiTheme="minorEastAsia" w:hAnsiTheme="minorEastAsia" w:eastAsiaTheme="minorEastAsia"/>
          <w:color w:val="auto"/>
          <w:sz w:val="24"/>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序号</w:t>
            </w:r>
          </w:p>
        </w:tc>
        <w:tc>
          <w:tcPr>
            <w:tcW w:w="3402" w:type="dxa"/>
            <w:vAlign w:val="center"/>
          </w:tcPr>
          <w:p>
            <w:pPr>
              <w:pStyle w:val="319"/>
              <w:spacing w:line="560" w:lineRule="exact"/>
              <w:ind w:firstLine="20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分项名称</w:t>
            </w:r>
          </w:p>
        </w:tc>
        <w:tc>
          <w:tcPr>
            <w:tcW w:w="2552" w:type="dxa"/>
            <w:vAlign w:val="center"/>
          </w:tcPr>
          <w:p>
            <w:pPr>
              <w:pStyle w:val="319"/>
              <w:spacing w:line="560" w:lineRule="exact"/>
              <w:jc w:val="center"/>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Theme="minorEastAsia" w:hAnsiTheme="minorEastAsia" w:eastAsiaTheme="minorEastAsia"/>
                <w:color w:val="auto"/>
                <w:sz w:val="24"/>
                <w:szCs w:val="24"/>
              </w:rPr>
            </w:pPr>
          </w:p>
        </w:tc>
        <w:tc>
          <w:tcPr>
            <w:tcW w:w="3402" w:type="dxa"/>
            <w:vAlign w:val="center"/>
          </w:tcPr>
          <w:p>
            <w:pPr>
              <w:pStyle w:val="319"/>
              <w:spacing w:line="560" w:lineRule="exact"/>
              <w:ind w:firstLine="200"/>
              <w:jc w:val="center"/>
              <w:rPr>
                <w:rFonts w:asciiTheme="minorEastAsia" w:hAnsiTheme="minorEastAsia" w:eastAsiaTheme="minorEastAsia"/>
                <w:color w:val="auto"/>
                <w:sz w:val="24"/>
                <w:szCs w:val="24"/>
              </w:rPr>
            </w:pPr>
          </w:p>
        </w:tc>
        <w:tc>
          <w:tcPr>
            <w:tcW w:w="2552" w:type="dxa"/>
            <w:vAlign w:val="center"/>
          </w:tcPr>
          <w:p>
            <w:pPr>
              <w:pStyle w:val="319"/>
              <w:spacing w:line="560" w:lineRule="exact"/>
              <w:ind w:firstLine="200"/>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Theme="minorEastAsia" w:hAnsiTheme="minorEastAsia" w:eastAsiaTheme="minorEastAsia"/>
                <w:color w:val="auto"/>
                <w:sz w:val="24"/>
                <w:szCs w:val="24"/>
              </w:rPr>
            </w:pPr>
          </w:p>
        </w:tc>
        <w:tc>
          <w:tcPr>
            <w:tcW w:w="3402" w:type="dxa"/>
            <w:vAlign w:val="center"/>
          </w:tcPr>
          <w:p>
            <w:pPr>
              <w:pStyle w:val="319"/>
              <w:spacing w:line="560" w:lineRule="exact"/>
              <w:ind w:firstLine="200"/>
              <w:jc w:val="center"/>
              <w:rPr>
                <w:rFonts w:asciiTheme="minorEastAsia" w:hAnsiTheme="minorEastAsia" w:eastAsiaTheme="minorEastAsia"/>
                <w:color w:val="auto"/>
                <w:sz w:val="24"/>
                <w:szCs w:val="24"/>
              </w:rPr>
            </w:pPr>
          </w:p>
        </w:tc>
        <w:tc>
          <w:tcPr>
            <w:tcW w:w="2552" w:type="dxa"/>
            <w:vAlign w:val="center"/>
          </w:tcPr>
          <w:p>
            <w:pPr>
              <w:pStyle w:val="319"/>
              <w:spacing w:line="560" w:lineRule="exact"/>
              <w:ind w:firstLine="200"/>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Theme="minorEastAsia" w:hAnsiTheme="minorEastAsia" w:eastAsiaTheme="minorEastAsia"/>
                <w:color w:val="auto"/>
                <w:sz w:val="24"/>
                <w:szCs w:val="24"/>
              </w:rPr>
            </w:pPr>
          </w:p>
        </w:tc>
        <w:tc>
          <w:tcPr>
            <w:tcW w:w="3402" w:type="dxa"/>
            <w:vAlign w:val="center"/>
          </w:tcPr>
          <w:p>
            <w:pPr>
              <w:pStyle w:val="319"/>
              <w:spacing w:line="560" w:lineRule="exact"/>
              <w:ind w:firstLine="200"/>
              <w:jc w:val="center"/>
              <w:rPr>
                <w:rFonts w:asciiTheme="minorEastAsia" w:hAnsiTheme="minorEastAsia" w:eastAsiaTheme="minorEastAsia"/>
                <w:color w:val="auto"/>
                <w:sz w:val="24"/>
                <w:szCs w:val="24"/>
              </w:rPr>
            </w:pPr>
          </w:p>
        </w:tc>
        <w:tc>
          <w:tcPr>
            <w:tcW w:w="2552" w:type="dxa"/>
            <w:vAlign w:val="center"/>
          </w:tcPr>
          <w:p>
            <w:pPr>
              <w:pStyle w:val="319"/>
              <w:spacing w:line="560" w:lineRule="exact"/>
              <w:ind w:firstLine="200"/>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asciiTheme="minorEastAsia" w:hAnsiTheme="minorEastAsia" w:eastAsiaTheme="minorEastAsia"/>
                <w:color w:val="auto"/>
                <w:sz w:val="24"/>
                <w:szCs w:val="24"/>
              </w:rPr>
            </w:pPr>
          </w:p>
        </w:tc>
        <w:tc>
          <w:tcPr>
            <w:tcW w:w="3402" w:type="dxa"/>
            <w:vAlign w:val="center"/>
          </w:tcPr>
          <w:p>
            <w:pPr>
              <w:pStyle w:val="319"/>
              <w:spacing w:line="560" w:lineRule="exact"/>
              <w:ind w:firstLine="200"/>
              <w:jc w:val="center"/>
              <w:rPr>
                <w:rFonts w:asciiTheme="minorEastAsia" w:hAnsiTheme="minorEastAsia" w:eastAsiaTheme="minorEastAsia"/>
                <w:color w:val="auto"/>
                <w:sz w:val="24"/>
                <w:szCs w:val="24"/>
              </w:rPr>
            </w:pPr>
          </w:p>
        </w:tc>
        <w:tc>
          <w:tcPr>
            <w:tcW w:w="2552" w:type="dxa"/>
            <w:vAlign w:val="center"/>
          </w:tcPr>
          <w:p>
            <w:pPr>
              <w:pStyle w:val="319"/>
              <w:spacing w:line="560" w:lineRule="exact"/>
              <w:ind w:firstLine="200"/>
              <w:jc w:val="center"/>
              <w:rPr>
                <w:rFonts w:asciiTheme="minorEastAsia" w:hAnsiTheme="minorEastAsia" w:eastAsiaTheme="minor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总价</w:t>
            </w:r>
          </w:p>
        </w:tc>
        <w:tc>
          <w:tcPr>
            <w:tcW w:w="2552" w:type="dxa"/>
            <w:vAlign w:val="center"/>
          </w:tcPr>
          <w:p>
            <w:pPr>
              <w:pStyle w:val="319"/>
              <w:spacing w:line="560" w:lineRule="exact"/>
              <w:ind w:firstLine="200"/>
              <w:jc w:val="center"/>
              <w:rPr>
                <w:rFonts w:asciiTheme="minorEastAsia" w:hAnsiTheme="minorEastAsia" w:eastAsiaTheme="minorEastAsia"/>
                <w:color w:val="auto"/>
                <w:sz w:val="24"/>
                <w:szCs w:val="24"/>
              </w:rPr>
            </w:pPr>
          </w:p>
        </w:tc>
      </w:tr>
    </w:tbl>
    <w:p>
      <w:pPr>
        <w:spacing w:line="560" w:lineRule="exact"/>
        <w:ind w:firstLine="482" w:firstLineChars="200"/>
        <w:outlineLvl w:val="0"/>
        <w:rPr>
          <w:rFonts w:asciiTheme="minorEastAsia" w:hAnsiTheme="minorEastAsia" w:eastAsiaTheme="minorEastAsia"/>
          <w:b/>
          <w:color w:val="auto"/>
          <w:sz w:val="24"/>
        </w:rPr>
      </w:pPr>
      <w:bookmarkStart w:id="421" w:name="_Toc30158"/>
      <w:bookmarkStart w:id="422" w:name="_Toc3654"/>
      <w:bookmarkStart w:id="423" w:name="_Toc30506"/>
      <w:bookmarkStart w:id="424" w:name="_Toc14993"/>
      <w:bookmarkStart w:id="425" w:name="_Toc26916"/>
      <w:r>
        <w:rPr>
          <w:rFonts w:asciiTheme="minorEastAsia" w:hAnsiTheme="minorEastAsia" w:eastAsiaTheme="minorEastAsia"/>
          <w:b/>
          <w:color w:val="auto"/>
          <w:sz w:val="24"/>
        </w:rPr>
        <w:t>1.4 付款方式和发票开具方式</w:t>
      </w:r>
      <w:bookmarkEnd w:id="421"/>
      <w:bookmarkEnd w:id="422"/>
      <w:bookmarkEnd w:id="423"/>
      <w:bookmarkEnd w:id="424"/>
      <w:bookmarkEnd w:id="425"/>
    </w:p>
    <w:p>
      <w:pPr>
        <w:pStyle w:val="958"/>
        <w:spacing w:before="0" w:beforeAutospacing="0" w:after="0" w:afterAutospacing="0" w:line="360" w:lineRule="auto"/>
        <w:ind w:firstLine="480"/>
        <w:rPr>
          <w:rFonts w:cs="Times New Roman" w:asciiTheme="minorEastAsia" w:hAnsiTheme="minorEastAsia" w:eastAsiaTheme="minorEastAsia"/>
          <w:color w:val="auto"/>
        </w:rPr>
      </w:pPr>
      <w:r>
        <w:rPr>
          <w:rFonts w:cs="Times New Roman" w:asciiTheme="minorEastAsia" w:hAnsiTheme="minorEastAsia" w:eastAsiaTheme="minorEastAsia"/>
          <w:color w:val="auto"/>
        </w:rPr>
        <w:t>1.4.1</w:t>
      </w:r>
      <w:r>
        <w:rPr>
          <w:rFonts w:hint="eastAsia" w:cs="Times New Roman" w:asciiTheme="minorEastAsia" w:hAnsiTheme="minorEastAsia" w:eastAsiaTheme="minorEastAsia"/>
          <w:color w:val="auto"/>
        </w:rPr>
        <w:t>甲方应严格履行合同，及时组织验收，验收合格后及时将合同款支付完毕。对于满足合同约定支付条件的，甲方自收到发票后</w:t>
      </w:r>
      <w:r>
        <w:rPr>
          <w:rFonts w:cs="Times New Roman" w:asciiTheme="minorEastAsia" w:hAnsiTheme="minorEastAsia" w:eastAsiaTheme="minorEastAsia"/>
          <w:color w:val="auto"/>
        </w:rPr>
        <w:t>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1.4.2 </w:t>
      </w:r>
      <w:r>
        <w:rPr>
          <w:rFonts w:hint="eastAsia" w:asciiTheme="minorEastAsia" w:hAnsiTheme="minorEastAsia" w:eastAsiaTheme="minorEastAsia"/>
          <w:color w:val="auto"/>
          <w:sz w:val="24"/>
        </w:rPr>
        <w:t>合同预付款比例为合同金额的</w:t>
      </w:r>
      <w:r>
        <w:rPr>
          <w:rFonts w:asciiTheme="minorEastAsia" w:hAnsiTheme="minorEastAsia" w:eastAsiaTheme="minorEastAsia"/>
          <w:color w:val="auto"/>
          <w:sz w:val="24"/>
        </w:rPr>
        <w:t>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Theme="minorEastAsia" w:hAnsiTheme="minorEastAsia" w:eastAsiaTheme="minorEastAsia"/>
          <w:color w:val="auto"/>
          <w:sz w:val="24"/>
        </w:rPr>
        <w:t>5</w:t>
      </w:r>
      <w:r>
        <w:rPr>
          <w:rFonts w:asciiTheme="minorEastAsia" w:hAnsiTheme="minorEastAsia" w:eastAsiaTheme="minorEastAsia"/>
          <w:color w:val="auto"/>
          <w:sz w:val="24"/>
        </w:rPr>
        <w:t>个工作日内支付。</w:t>
      </w:r>
      <w:r>
        <w:rPr>
          <w:rFonts w:hint="eastAsia" w:asciiTheme="minorEastAsia" w:hAnsiTheme="minorEastAsia" w:eastAsiaTheme="minorEastAsia"/>
          <w:color w:val="auto"/>
          <w:sz w:val="24"/>
        </w:rPr>
        <w:t>政府采购工程以及与工程建设有关的货物、服务，采用招标方式采购的，预付款从其相关规定。乙方可登录政采云前台大厅选择金融服务</w:t>
      </w:r>
      <w:r>
        <w:rPr>
          <w:rFonts w:asciiTheme="minorEastAsia" w:hAnsiTheme="minorEastAsia" w:eastAsiaTheme="minorEastAsia"/>
          <w:color w:val="auto"/>
          <w:sz w:val="24"/>
        </w:rPr>
        <w:t xml:space="preserve"> - </w:t>
      </w:r>
      <w:r>
        <w:rPr>
          <w:rFonts w:hint="eastAsia" w:asciiTheme="minorEastAsia" w:hAnsiTheme="minorEastAsia" w:eastAsiaTheme="minorEastAsia"/>
          <w:color w:val="auto"/>
          <w:sz w:val="24"/>
        </w:rPr>
        <w:t>【保函保险服务】出具预付款保函，具体步骤：选择产品—填写供应商信息—选择中标项目—确认信息—等待保险</w:t>
      </w:r>
      <w:r>
        <w:rPr>
          <w:rFonts w:asciiTheme="minorEastAsia" w:hAnsiTheme="minorEastAsia" w:eastAsiaTheme="minorEastAsia"/>
          <w:color w:val="auto"/>
          <w:sz w:val="24"/>
        </w:rPr>
        <w:t>/保函受理—确认保单—支付保费—成功出单。政</w:t>
      </w:r>
      <w:r>
        <w:rPr>
          <w:rFonts w:hint="eastAsia" w:asciiTheme="minorEastAsia" w:hAnsiTheme="minorEastAsia" w:eastAsiaTheme="minorEastAsia"/>
          <w:color w:val="auto"/>
          <w:sz w:val="24"/>
        </w:rPr>
        <w:t>采云金融专线</w:t>
      </w:r>
      <w:r>
        <w:rPr>
          <w:rFonts w:asciiTheme="minorEastAsia" w:hAnsiTheme="minorEastAsia" w:eastAsiaTheme="minorEastAsia"/>
          <w:color w:val="auto"/>
          <w:sz w:val="24"/>
        </w:rPr>
        <w:t>400-903-9583。</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1.4.3</w:t>
      </w:r>
      <w:r>
        <w:rPr>
          <w:rFonts w:hint="eastAsia" w:asciiTheme="minorEastAsia" w:hAnsiTheme="minorEastAsia" w:eastAsiaTheme="minorEastAsia"/>
          <w:color w:val="auto"/>
          <w:sz w:val="24"/>
        </w:rPr>
        <w:t>甲方迟延支付乙方款项的，向乙方支付逾期利息。双方可以在合同专用条款中约定逾期利率，约定利率不得低于合同订立时</w:t>
      </w:r>
      <w:r>
        <w:rPr>
          <w:rFonts w:asciiTheme="minorEastAsia" w:hAnsiTheme="minorEastAsia" w:eastAsiaTheme="minorEastAsia"/>
          <w:color w:val="auto"/>
          <w:sz w:val="24"/>
        </w:rPr>
        <w:t>1年</w:t>
      </w:r>
      <w:r>
        <w:rPr>
          <w:rFonts w:hint="eastAsia" w:asciiTheme="minorEastAsia" w:hAnsiTheme="minorEastAsia" w:eastAsiaTheme="minorEastAsia"/>
          <w:color w:val="auto"/>
          <w:sz w:val="24"/>
        </w:rPr>
        <w:t>期贷款市场报价利率；未作约定的，按照每日利率万分之五支付逾期利息。</w:t>
      </w:r>
    </w:p>
    <w:p>
      <w:pPr>
        <w:spacing w:line="560" w:lineRule="exact"/>
        <w:ind w:firstLine="480" w:firstLineChars="200"/>
        <w:outlineLvl w:val="0"/>
        <w:rPr>
          <w:rFonts w:asciiTheme="minorEastAsia" w:hAnsiTheme="minorEastAsia" w:eastAsiaTheme="minorEastAsia"/>
          <w:color w:val="auto"/>
          <w:sz w:val="24"/>
        </w:rPr>
      </w:pPr>
      <w:r>
        <w:rPr>
          <w:rFonts w:asciiTheme="minorEastAsia" w:hAnsiTheme="minorEastAsia" w:eastAsiaTheme="minorEastAsia"/>
          <w:color w:val="auto"/>
          <w:sz w:val="24"/>
        </w:rPr>
        <w:t>1.4.4资金支付的方式、时间和条件详见</w:t>
      </w:r>
      <w:r>
        <w:rPr>
          <w:rFonts w:hint="eastAsia" w:asciiTheme="minorEastAsia" w:hAnsiTheme="minorEastAsia" w:eastAsiaTheme="minorEastAsia"/>
          <w:b/>
          <w:i/>
          <w:color w:val="auto"/>
          <w:sz w:val="24"/>
          <w:u w:val="single"/>
        </w:rPr>
        <w:t>合同专用条款</w:t>
      </w:r>
      <w:r>
        <w:rPr>
          <w:rFonts w:hint="eastAsia" w:asciiTheme="minorEastAsia" w:hAnsiTheme="minorEastAsia" w:eastAsiaTheme="minorEastAsia"/>
          <w:color w:val="auto"/>
          <w:sz w:val="24"/>
        </w:rPr>
        <w:t>。</w:t>
      </w:r>
    </w:p>
    <w:p>
      <w:pPr>
        <w:spacing w:line="560" w:lineRule="exact"/>
        <w:ind w:firstLine="480" w:firstLineChars="200"/>
        <w:outlineLvl w:val="0"/>
        <w:rPr>
          <w:rFonts w:asciiTheme="minorEastAsia" w:hAnsiTheme="minorEastAsia" w:eastAsiaTheme="minorEastAsia"/>
          <w:color w:val="auto"/>
          <w:sz w:val="24"/>
        </w:rPr>
      </w:pPr>
      <w:r>
        <w:rPr>
          <w:rFonts w:asciiTheme="minorEastAsia" w:hAnsiTheme="minorEastAsia" w:eastAsiaTheme="minorEastAsia"/>
          <w:color w:val="auto"/>
          <w:sz w:val="24"/>
        </w:rPr>
        <w:t>1.4.5</w:t>
      </w:r>
      <w:r>
        <w:rPr>
          <w:rFonts w:hint="eastAsia" w:asciiTheme="minorEastAsia" w:hAnsiTheme="minorEastAsia" w:eastAsiaTheme="minorEastAsia"/>
          <w:color w:val="auto"/>
          <w:sz w:val="24"/>
        </w:rPr>
        <w:t>乙方</w:t>
      </w:r>
      <w:r>
        <w:rPr>
          <w:rFonts w:asciiTheme="minorEastAsia" w:hAnsiTheme="minorEastAsia" w:eastAsiaTheme="minorEastAsia"/>
          <w:color w:val="auto"/>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Theme="minorEastAsia" w:hAnsiTheme="minorEastAsia" w:eastAsiaTheme="minorEastAsia"/>
          <w:color w:val="auto"/>
          <w:sz w:val="24"/>
        </w:rPr>
        <w:t>杭财采监〔</w:t>
      </w:r>
      <w:r>
        <w:rPr>
          <w:rFonts w:asciiTheme="minorEastAsia" w:hAnsiTheme="minorEastAsia" w:eastAsiaTheme="minorEastAsia"/>
          <w:color w:val="auto"/>
          <w:sz w:val="24"/>
        </w:rPr>
        <w:t>2021〕17号）。</w:t>
      </w:r>
    </w:p>
    <w:p>
      <w:pPr>
        <w:spacing w:line="560" w:lineRule="exact"/>
        <w:ind w:firstLine="482" w:firstLineChars="200"/>
        <w:outlineLvl w:val="0"/>
        <w:rPr>
          <w:rFonts w:asciiTheme="minorEastAsia" w:hAnsiTheme="minorEastAsia" w:eastAsiaTheme="minorEastAsia"/>
          <w:b/>
          <w:color w:val="auto"/>
          <w:sz w:val="24"/>
        </w:rPr>
      </w:pPr>
      <w:bookmarkStart w:id="426" w:name="_Toc8772"/>
      <w:bookmarkStart w:id="427" w:name="_Toc4760"/>
      <w:bookmarkStart w:id="428" w:name="_Toc3625"/>
      <w:bookmarkStart w:id="429" w:name="_Toc31421"/>
      <w:bookmarkStart w:id="430" w:name="_Toc11108"/>
      <w:r>
        <w:rPr>
          <w:rFonts w:asciiTheme="minorEastAsia" w:hAnsiTheme="minorEastAsia" w:eastAsiaTheme="minorEastAsia"/>
          <w:b/>
          <w:color w:val="auto"/>
          <w:sz w:val="24"/>
        </w:rPr>
        <w:t>1.5 履行期限</w:t>
      </w:r>
      <w:r>
        <w:rPr>
          <w:rFonts w:hint="eastAsia" w:asciiTheme="minorEastAsia" w:hAnsiTheme="minorEastAsia" w:eastAsiaTheme="minorEastAsia"/>
          <w:b/>
          <w:color w:val="auto"/>
          <w:sz w:val="24"/>
        </w:rPr>
        <w:t>、地点和方式</w:t>
      </w:r>
      <w:bookmarkEnd w:id="426"/>
      <w:bookmarkEnd w:id="427"/>
      <w:bookmarkEnd w:id="428"/>
      <w:bookmarkEnd w:id="429"/>
      <w:bookmarkEnd w:id="430"/>
    </w:p>
    <w:p>
      <w:pPr>
        <w:spacing w:line="560" w:lineRule="exact"/>
        <w:ind w:firstLine="480" w:firstLineChars="200"/>
        <w:rPr>
          <w:rFonts w:asciiTheme="minorEastAsia" w:hAnsiTheme="minorEastAsia" w:eastAsiaTheme="minorEastAsia"/>
          <w:color w:val="auto"/>
          <w:sz w:val="24"/>
          <w:u w:val="single"/>
        </w:rPr>
      </w:pPr>
      <w:r>
        <w:rPr>
          <w:rFonts w:asciiTheme="minorEastAsia" w:hAnsiTheme="minorEastAsia" w:eastAsiaTheme="minorEastAsia"/>
          <w:color w:val="auto"/>
          <w:sz w:val="24"/>
        </w:rPr>
        <w:t xml:space="preserve">1.5.1 </w:t>
      </w:r>
      <w:r>
        <w:rPr>
          <w:rFonts w:hint="eastAsia" w:asciiTheme="minorEastAsia" w:hAnsiTheme="minorEastAsia" w:eastAsiaTheme="minorEastAsia"/>
          <w:color w:val="auto"/>
          <w:sz w:val="24"/>
        </w:rPr>
        <w:t>履行期限</w:t>
      </w:r>
      <w:r>
        <w:rPr>
          <w:rFonts w:asciiTheme="minorEastAsia" w:hAnsiTheme="minorEastAsia" w:eastAsiaTheme="minorEastAsia"/>
          <w:color w:val="auto"/>
          <w:sz w:val="24"/>
        </w:rPr>
        <w:t>：</w:t>
      </w:r>
      <w:r>
        <w:rPr>
          <w:rFonts w:hint="eastAsia" w:asciiTheme="minorEastAsia" w:hAnsiTheme="minorEastAsia" w:eastAsiaTheme="minorEastAsia"/>
          <w:b/>
          <w:i/>
          <w:color w:val="auto"/>
          <w:sz w:val="24"/>
          <w:u w:val="single"/>
        </w:rPr>
        <w:t>合同专用条款</w:t>
      </w:r>
      <w:r>
        <w:rPr>
          <w:rFonts w:hint="eastAsia" w:asciiTheme="minorEastAsia" w:hAnsiTheme="minorEastAsia" w:eastAsiaTheme="minorEastAsia"/>
          <w:color w:val="auto"/>
          <w:sz w:val="24"/>
        </w:rPr>
        <w:t>；</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1.5.2 </w:t>
      </w:r>
      <w:r>
        <w:rPr>
          <w:rFonts w:hint="eastAsia" w:asciiTheme="minorEastAsia" w:hAnsiTheme="minorEastAsia" w:eastAsiaTheme="minorEastAsia"/>
          <w:color w:val="auto"/>
          <w:sz w:val="24"/>
        </w:rPr>
        <w:t>履行地点</w:t>
      </w:r>
      <w:r>
        <w:rPr>
          <w:rFonts w:asciiTheme="minorEastAsia" w:hAnsiTheme="minorEastAsia" w:eastAsiaTheme="minorEastAsia"/>
          <w:color w:val="auto"/>
          <w:sz w:val="24"/>
        </w:rPr>
        <w:t>：</w:t>
      </w:r>
      <w:r>
        <w:rPr>
          <w:rFonts w:hint="eastAsia" w:asciiTheme="minorEastAsia" w:hAnsiTheme="minorEastAsia" w:eastAsiaTheme="minorEastAsia"/>
          <w:b/>
          <w:i/>
          <w:color w:val="auto"/>
          <w:sz w:val="24"/>
          <w:u w:val="single"/>
        </w:rPr>
        <w:t>合同专用条款</w:t>
      </w:r>
      <w:r>
        <w:rPr>
          <w:rFonts w:hint="eastAsia" w:asciiTheme="minorEastAsia" w:hAnsiTheme="minorEastAsia" w:eastAsiaTheme="minorEastAsia"/>
          <w:color w:val="auto"/>
          <w:sz w:val="24"/>
        </w:rPr>
        <w:t>；</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1.5.3 </w:t>
      </w:r>
      <w:r>
        <w:rPr>
          <w:rFonts w:hint="eastAsia" w:asciiTheme="minorEastAsia" w:hAnsiTheme="minorEastAsia" w:eastAsiaTheme="minorEastAsia"/>
          <w:color w:val="auto"/>
          <w:sz w:val="24"/>
        </w:rPr>
        <w:t>履行方式：</w:t>
      </w:r>
      <w:r>
        <w:rPr>
          <w:rFonts w:hint="eastAsia" w:asciiTheme="minorEastAsia" w:hAnsiTheme="minorEastAsia" w:eastAsiaTheme="minorEastAsia"/>
          <w:b/>
          <w:i/>
          <w:color w:val="auto"/>
          <w:sz w:val="24"/>
          <w:u w:val="single"/>
        </w:rPr>
        <w:t>合同专用条款</w:t>
      </w:r>
      <w:r>
        <w:rPr>
          <w:rFonts w:hint="eastAsia" w:asciiTheme="minorEastAsia" w:hAnsiTheme="minorEastAsia" w:eastAsiaTheme="minorEastAsia"/>
          <w:color w:val="auto"/>
          <w:sz w:val="24"/>
        </w:rPr>
        <w:t>。</w:t>
      </w:r>
    </w:p>
    <w:p>
      <w:pPr>
        <w:spacing w:line="560" w:lineRule="exact"/>
        <w:ind w:firstLine="482" w:firstLineChars="200"/>
        <w:outlineLvl w:val="0"/>
        <w:rPr>
          <w:rFonts w:asciiTheme="minorEastAsia" w:hAnsiTheme="minorEastAsia" w:eastAsiaTheme="minorEastAsia"/>
          <w:color w:val="auto"/>
          <w:sz w:val="24"/>
          <w:u w:val="single"/>
        </w:rPr>
      </w:pPr>
      <w:bookmarkStart w:id="431" w:name="_Toc8586"/>
      <w:bookmarkStart w:id="432" w:name="_Toc2375"/>
      <w:bookmarkStart w:id="433" w:name="_Toc24662"/>
      <w:bookmarkStart w:id="434" w:name="_Toc5698"/>
      <w:bookmarkStart w:id="435" w:name="_Toc3079"/>
      <w:r>
        <w:rPr>
          <w:rFonts w:asciiTheme="minorEastAsia" w:hAnsiTheme="minorEastAsia" w:eastAsiaTheme="minorEastAsia"/>
          <w:b/>
          <w:color w:val="auto"/>
          <w:sz w:val="24"/>
        </w:rPr>
        <w:t xml:space="preserve">1.6 </w:t>
      </w:r>
      <w:r>
        <w:rPr>
          <w:rFonts w:hint="eastAsia" w:asciiTheme="minorEastAsia" w:hAnsiTheme="minorEastAsia" w:eastAsiaTheme="minorEastAsia"/>
          <w:b/>
          <w:color w:val="auto"/>
          <w:sz w:val="24"/>
        </w:rPr>
        <w:t>违约责任</w:t>
      </w:r>
      <w:bookmarkEnd w:id="431"/>
      <w:bookmarkEnd w:id="432"/>
      <w:bookmarkEnd w:id="433"/>
      <w:bookmarkEnd w:id="434"/>
      <w:bookmarkEnd w:id="435"/>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1.6.1 除不可抗力外，如果乙方没有按照本合同约定的期限</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地点和方式</w:t>
      </w:r>
      <w:r>
        <w:rPr>
          <w:rFonts w:hint="eastAsia" w:asciiTheme="minorEastAsia" w:hAnsiTheme="minorEastAsia" w:eastAsiaTheme="minorEastAsia"/>
          <w:color w:val="auto"/>
          <w:sz w:val="24"/>
        </w:rPr>
        <w:t>履行</w:t>
      </w:r>
      <w:r>
        <w:rPr>
          <w:rFonts w:asciiTheme="minorEastAsia" w:hAnsiTheme="minorEastAsia" w:eastAsiaTheme="minorEastAsia"/>
          <w:color w:val="auto"/>
          <w:sz w:val="24"/>
        </w:rPr>
        <w:t>，那么甲方可要求乙方支付违约金</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违约金按每迟延</w:t>
      </w:r>
      <w:r>
        <w:rPr>
          <w:rFonts w:hint="eastAsia" w:asciiTheme="minorEastAsia" w:hAnsiTheme="minorEastAsia" w:eastAsiaTheme="minorEastAsia"/>
          <w:color w:val="auto"/>
          <w:sz w:val="24"/>
        </w:rPr>
        <w:t>履行</w:t>
      </w:r>
      <w:r>
        <w:rPr>
          <w:rFonts w:asciiTheme="minorEastAsia" w:hAnsiTheme="minorEastAsia" w:eastAsiaTheme="minorEastAsia"/>
          <w:color w:val="auto"/>
          <w:sz w:val="24"/>
        </w:rPr>
        <w:t>一日的应提供而未</w:t>
      </w:r>
      <w:r>
        <w:rPr>
          <w:rFonts w:hint="eastAsia" w:asciiTheme="minorEastAsia" w:hAnsiTheme="minorEastAsia" w:eastAsiaTheme="minorEastAsia"/>
          <w:color w:val="auto"/>
          <w:sz w:val="24"/>
        </w:rPr>
        <w:t>提供</w:t>
      </w:r>
      <w:r>
        <w:rPr>
          <w:rFonts w:asciiTheme="minorEastAsia" w:hAnsiTheme="minorEastAsia" w:eastAsiaTheme="minorEastAsia"/>
          <w:color w:val="auto"/>
          <w:sz w:val="24"/>
        </w:rPr>
        <w:t>服务价格的</w:t>
      </w:r>
      <w:r>
        <w:rPr>
          <w:rFonts w:asciiTheme="minorEastAsia" w:hAnsiTheme="minorEastAsia" w:eastAsiaTheme="minorEastAsia"/>
          <w:color w:val="auto"/>
          <w:sz w:val="24"/>
          <w:u w:val="single"/>
        </w:rPr>
        <w:t xml:space="preserve"> 0.05   </w:t>
      </w:r>
      <w:r>
        <w:rPr>
          <w:rFonts w:asciiTheme="minorEastAsia" w:hAnsiTheme="minorEastAsia" w:eastAsiaTheme="minorEastAsia"/>
          <w:color w:val="auto"/>
          <w:sz w:val="24"/>
        </w:rPr>
        <w:t>%计算</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最高限额为</w:t>
      </w:r>
      <w:r>
        <w:rPr>
          <w:rFonts w:hint="eastAsia" w:asciiTheme="minorEastAsia" w:hAnsiTheme="minorEastAsia" w:eastAsiaTheme="minorEastAsia"/>
          <w:color w:val="auto"/>
          <w:sz w:val="24"/>
        </w:rPr>
        <w:t>本</w:t>
      </w:r>
      <w:r>
        <w:rPr>
          <w:rFonts w:asciiTheme="minorEastAsia" w:hAnsiTheme="minorEastAsia" w:eastAsiaTheme="minorEastAsia"/>
          <w:color w:val="auto"/>
          <w:sz w:val="24"/>
        </w:rPr>
        <w:t>合同总价的</w:t>
      </w:r>
      <w:r>
        <w:rPr>
          <w:rFonts w:asciiTheme="minorEastAsia" w:hAnsiTheme="minorEastAsia" w:eastAsiaTheme="minorEastAsia"/>
          <w:color w:val="auto"/>
          <w:sz w:val="24"/>
          <w:u w:val="single"/>
        </w:rPr>
        <w:t xml:space="preserve">  20   </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迟延</w:t>
      </w:r>
      <w:r>
        <w:rPr>
          <w:rFonts w:hint="eastAsia" w:asciiTheme="minorEastAsia" w:hAnsiTheme="minorEastAsia" w:eastAsiaTheme="minorEastAsia"/>
          <w:color w:val="auto"/>
          <w:sz w:val="24"/>
        </w:rPr>
        <w:t>履行</w:t>
      </w:r>
      <w:r>
        <w:rPr>
          <w:rFonts w:asciiTheme="minorEastAsia" w:hAnsiTheme="minorEastAsia" w:eastAsiaTheme="minorEastAsia"/>
          <w:color w:val="auto"/>
          <w:sz w:val="24"/>
        </w:rPr>
        <w:t>的违约金计算数额达到前述最高限额之日起</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甲方有权在要求乙方支付违约金的同时</w:t>
      </w:r>
      <w:r>
        <w:rPr>
          <w:rFonts w:hint="eastAsia" w:asciiTheme="minorEastAsia" w:hAnsiTheme="minorEastAsia" w:eastAsiaTheme="minorEastAsia"/>
          <w:color w:val="auto"/>
          <w:sz w:val="24"/>
        </w:rPr>
        <w:t>，书面通知乙方</w:t>
      </w:r>
      <w:r>
        <w:rPr>
          <w:rFonts w:asciiTheme="minorEastAsia" w:hAnsiTheme="minorEastAsia" w:eastAsiaTheme="minorEastAsia"/>
          <w:color w:val="auto"/>
          <w:sz w:val="24"/>
        </w:rPr>
        <w:t>解除本合同</w:t>
      </w:r>
      <w:r>
        <w:rPr>
          <w:rFonts w:hint="eastAsia" w:asciiTheme="minorEastAsia" w:hAnsiTheme="minorEastAsia" w:eastAsiaTheme="minorEastAsia"/>
          <w:color w:val="auto"/>
          <w:sz w:val="24"/>
        </w:rPr>
        <w:t>；</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1.6.2 除不可抗力外，如果甲方没有按照本合同约定的付款方式付款，那么乙方可要求甲方支付违约金</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违约金按每迟延</w:t>
      </w:r>
      <w:r>
        <w:rPr>
          <w:rFonts w:hint="eastAsia" w:asciiTheme="minorEastAsia" w:hAnsiTheme="minorEastAsia" w:eastAsiaTheme="minorEastAsia"/>
          <w:color w:val="auto"/>
          <w:sz w:val="24"/>
        </w:rPr>
        <w:t>付款</w:t>
      </w:r>
      <w:r>
        <w:rPr>
          <w:rFonts w:asciiTheme="minorEastAsia" w:hAnsiTheme="minorEastAsia" w:eastAsiaTheme="minorEastAsia"/>
          <w:color w:val="auto"/>
          <w:sz w:val="24"/>
        </w:rPr>
        <w:t>一日的应付而未付款的</w:t>
      </w:r>
      <w:r>
        <w:rPr>
          <w:rFonts w:asciiTheme="minorEastAsia" w:hAnsiTheme="minorEastAsia" w:eastAsiaTheme="minorEastAsia"/>
          <w:color w:val="auto"/>
          <w:sz w:val="24"/>
          <w:u w:val="single"/>
        </w:rPr>
        <w:t xml:space="preserve"> 0.05   </w:t>
      </w:r>
      <w:r>
        <w:rPr>
          <w:rFonts w:asciiTheme="minorEastAsia" w:hAnsiTheme="minorEastAsia" w:eastAsiaTheme="minorEastAsia"/>
          <w:color w:val="auto"/>
          <w:sz w:val="24"/>
        </w:rPr>
        <w:t>%计算</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最高限额为</w:t>
      </w:r>
      <w:r>
        <w:rPr>
          <w:rFonts w:hint="eastAsia" w:asciiTheme="minorEastAsia" w:hAnsiTheme="minorEastAsia" w:eastAsiaTheme="minorEastAsia"/>
          <w:color w:val="auto"/>
          <w:sz w:val="24"/>
        </w:rPr>
        <w:t>本</w:t>
      </w:r>
      <w:r>
        <w:rPr>
          <w:rFonts w:asciiTheme="minorEastAsia" w:hAnsiTheme="minorEastAsia" w:eastAsiaTheme="minorEastAsia"/>
          <w:color w:val="auto"/>
          <w:sz w:val="24"/>
        </w:rPr>
        <w:t>合同总价的</w:t>
      </w:r>
      <w:r>
        <w:rPr>
          <w:rFonts w:asciiTheme="minorEastAsia" w:hAnsiTheme="minorEastAsia" w:eastAsiaTheme="minorEastAsia"/>
          <w:color w:val="auto"/>
          <w:sz w:val="24"/>
          <w:u w:val="single"/>
        </w:rPr>
        <w:t xml:space="preserve">  20   </w:t>
      </w:r>
      <w:r>
        <w:rPr>
          <w:rFonts w:asciiTheme="minorEastAsia" w:hAnsiTheme="minorEastAsia" w:eastAsiaTheme="minorEastAsia"/>
          <w:color w:val="auto"/>
          <w:sz w:val="24"/>
        </w:rPr>
        <w:t>%</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迟延</w:t>
      </w:r>
      <w:r>
        <w:rPr>
          <w:rFonts w:hint="eastAsia" w:asciiTheme="minorEastAsia" w:hAnsiTheme="minorEastAsia" w:eastAsiaTheme="minorEastAsia"/>
          <w:color w:val="auto"/>
          <w:sz w:val="24"/>
        </w:rPr>
        <w:t>付款</w:t>
      </w:r>
      <w:r>
        <w:rPr>
          <w:rFonts w:asciiTheme="minorEastAsia" w:hAnsiTheme="minorEastAsia" w:eastAsiaTheme="minorEastAsia"/>
          <w:color w:val="auto"/>
          <w:sz w:val="24"/>
        </w:rPr>
        <w:t>的违约金计算数额达到前述最高限额之日起</w:t>
      </w:r>
      <w:r>
        <w:rPr>
          <w:rFonts w:hint="eastAsia" w:asciiTheme="minorEastAsia" w:hAnsiTheme="minorEastAsia" w:eastAsiaTheme="minorEastAsia"/>
          <w:color w:val="auto"/>
          <w:sz w:val="24"/>
        </w:rPr>
        <w:t>，乙</w:t>
      </w:r>
      <w:r>
        <w:rPr>
          <w:rFonts w:asciiTheme="minorEastAsia" w:hAnsiTheme="minorEastAsia" w:eastAsiaTheme="minorEastAsia"/>
          <w:color w:val="auto"/>
          <w:sz w:val="24"/>
        </w:rPr>
        <w:t>方有权在要求甲方支付违约金的同时</w:t>
      </w:r>
      <w:r>
        <w:rPr>
          <w:rFonts w:hint="eastAsia" w:asciiTheme="minorEastAsia" w:hAnsiTheme="minorEastAsia" w:eastAsiaTheme="minorEastAsia"/>
          <w:color w:val="auto"/>
          <w:sz w:val="24"/>
        </w:rPr>
        <w:t>，书面通知甲方</w:t>
      </w:r>
      <w:r>
        <w:rPr>
          <w:rFonts w:asciiTheme="minorEastAsia" w:hAnsiTheme="minorEastAsia" w:eastAsiaTheme="minorEastAsia"/>
          <w:color w:val="auto"/>
          <w:sz w:val="24"/>
        </w:rPr>
        <w:t>解除本合同</w:t>
      </w:r>
      <w:r>
        <w:rPr>
          <w:rFonts w:hint="eastAsia" w:asciiTheme="minorEastAsia" w:hAnsiTheme="minorEastAsia" w:eastAsiaTheme="minorEastAsia"/>
          <w:color w:val="auto"/>
          <w:sz w:val="24"/>
        </w:rPr>
        <w:t>；</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1.6.3 </w:t>
      </w:r>
      <w:r>
        <w:rPr>
          <w:rFonts w:hint="eastAsia" w:asciiTheme="minorEastAsia" w:hAnsiTheme="minorEastAsia" w:eastAsiaTheme="minorEastAsia"/>
          <w:color w:val="auto"/>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1.6.4 </w:t>
      </w:r>
      <w:r>
        <w:rPr>
          <w:rFonts w:hint="eastAsia" w:asciiTheme="minorEastAsia" w:hAnsiTheme="minorEastAsia" w:eastAsiaTheme="minorEastAsia"/>
          <w:color w:val="auto"/>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1.6.5 </w:t>
      </w:r>
      <w:r>
        <w:rPr>
          <w:rFonts w:hint="eastAsia" w:asciiTheme="minorEastAsia" w:hAnsiTheme="minorEastAsia" w:eastAsiaTheme="minorEastAsia"/>
          <w:color w:val="auto"/>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1.6.6 </w:t>
      </w:r>
      <w:r>
        <w:rPr>
          <w:rFonts w:hint="eastAsia" w:asciiTheme="minorEastAsia" w:hAnsiTheme="minorEastAsia" w:eastAsiaTheme="minorEastAsia"/>
          <w:color w:val="auto"/>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Theme="minorEastAsia" w:hAnsiTheme="minorEastAsia" w:eastAsiaTheme="minorEastAsia"/>
          <w:color w:val="auto"/>
        </w:rPr>
      </w:pPr>
      <w:r>
        <w:rPr>
          <w:rFonts w:asciiTheme="minorEastAsia" w:hAnsiTheme="minorEastAsia" w:eastAsiaTheme="minorEastAsia"/>
          <w:color w:val="auto"/>
          <w:sz w:val="24"/>
        </w:rPr>
        <w:t>1.6.7违约责任</w:t>
      </w:r>
      <w:r>
        <w:rPr>
          <w:rFonts w:hint="eastAsia" w:asciiTheme="minorEastAsia" w:hAnsiTheme="minorEastAsia" w:eastAsiaTheme="minorEastAsia"/>
          <w:b/>
          <w:i/>
          <w:color w:val="auto"/>
          <w:sz w:val="24"/>
          <w:u w:val="single"/>
        </w:rPr>
        <w:t>合同专用条款</w:t>
      </w:r>
      <w:r>
        <w:rPr>
          <w:rFonts w:hint="eastAsia" w:asciiTheme="minorEastAsia" w:hAnsiTheme="minorEastAsia" w:eastAsiaTheme="minorEastAsia"/>
          <w:color w:val="auto"/>
          <w:sz w:val="24"/>
        </w:rPr>
        <w:t>另有约定的，从其约定。</w:t>
      </w:r>
    </w:p>
    <w:p>
      <w:pPr>
        <w:spacing w:line="560" w:lineRule="exact"/>
        <w:ind w:firstLine="482" w:firstLineChars="200"/>
        <w:outlineLvl w:val="0"/>
        <w:rPr>
          <w:rFonts w:asciiTheme="minorEastAsia" w:hAnsiTheme="minorEastAsia" w:eastAsiaTheme="minorEastAsia"/>
          <w:b/>
          <w:color w:val="auto"/>
          <w:sz w:val="24"/>
        </w:rPr>
      </w:pPr>
      <w:bookmarkStart w:id="436" w:name="_Toc9497"/>
      <w:bookmarkStart w:id="437" w:name="_Toc30329"/>
      <w:bookmarkStart w:id="438" w:name="_Toc18683"/>
      <w:bookmarkStart w:id="439" w:name="_Toc32454"/>
      <w:bookmarkStart w:id="440" w:name="_Toc26807"/>
      <w:r>
        <w:rPr>
          <w:rFonts w:asciiTheme="minorEastAsia" w:hAnsiTheme="minorEastAsia" w:eastAsiaTheme="minorEastAsia"/>
          <w:b/>
          <w:color w:val="auto"/>
          <w:sz w:val="24"/>
        </w:rPr>
        <w:t xml:space="preserve">1.7 </w:t>
      </w:r>
      <w:r>
        <w:rPr>
          <w:rFonts w:hint="eastAsia" w:asciiTheme="minorEastAsia" w:hAnsiTheme="minorEastAsia" w:eastAsiaTheme="minorEastAsia"/>
          <w:b/>
          <w:color w:val="auto"/>
          <w:sz w:val="24"/>
        </w:rPr>
        <w:t>合同</w:t>
      </w:r>
      <w:r>
        <w:rPr>
          <w:rFonts w:asciiTheme="minorEastAsia" w:hAnsiTheme="minorEastAsia" w:eastAsiaTheme="minorEastAsia"/>
          <w:b/>
          <w:color w:val="auto"/>
          <w:sz w:val="24"/>
        </w:rPr>
        <w:t>争议的解决</w:t>
      </w:r>
      <w:bookmarkEnd w:id="436"/>
      <w:bookmarkEnd w:id="437"/>
      <w:bookmarkEnd w:id="438"/>
      <w:bookmarkEnd w:id="439"/>
      <w:bookmarkEnd w:id="440"/>
    </w:p>
    <w:p>
      <w:pPr>
        <w:spacing w:line="560" w:lineRule="exact"/>
        <w:ind w:left="-61" w:leftChars="-29" w:right="-420" w:rightChars="-200" w:firstLine="240" w:firstLineChars="100"/>
        <w:rPr>
          <w:rFonts w:asciiTheme="minorEastAsia" w:hAnsiTheme="minorEastAsia" w:eastAsiaTheme="minorEastAsia"/>
          <w:color w:val="auto"/>
          <w:sz w:val="24"/>
        </w:rPr>
      </w:pPr>
      <w:r>
        <w:rPr>
          <w:rFonts w:hint="eastAsia" w:asciiTheme="minorEastAsia" w:hAnsiTheme="minorEastAsia" w:eastAsiaTheme="minorEastAsia"/>
          <w:color w:val="auto"/>
          <w:sz w:val="24"/>
        </w:rPr>
        <w:t>本合同履行过程中发生的任何争议，双方当事人均可通过和解或者调解解决；不愿和解、调解或者和解、调解不成的，可以选择以下第</w:t>
      </w:r>
      <w:r>
        <w:rPr>
          <w:rFonts w:asciiTheme="minorEastAsia" w:hAnsiTheme="minorEastAsia" w:eastAsiaTheme="minorEastAsia"/>
          <w:b/>
          <w:i/>
          <w:color w:val="auto"/>
          <w:sz w:val="24"/>
          <w:u w:val="single"/>
        </w:rPr>
        <w:t xml:space="preserve"> 合同专用条款  </w:t>
      </w:r>
      <w:r>
        <w:rPr>
          <w:rFonts w:hint="eastAsia" w:asciiTheme="minorEastAsia" w:hAnsiTheme="minorEastAsia" w:eastAsiaTheme="minorEastAsia"/>
          <w:color w:val="auto"/>
          <w:sz w:val="24"/>
        </w:rPr>
        <w:t>条款规定的方式解决：</w:t>
      </w:r>
    </w:p>
    <w:p>
      <w:pPr>
        <w:spacing w:line="560" w:lineRule="exact"/>
        <w:ind w:left="-420" w:leftChars="-200" w:right="-420" w:rightChars="-200" w:firstLine="600" w:firstLineChars="250"/>
        <w:rPr>
          <w:rFonts w:asciiTheme="minorEastAsia" w:hAnsiTheme="minorEastAsia" w:eastAsiaTheme="minorEastAsia"/>
          <w:color w:val="auto"/>
          <w:sz w:val="24"/>
        </w:rPr>
      </w:pPr>
      <w:r>
        <w:rPr>
          <w:rFonts w:asciiTheme="minorEastAsia" w:hAnsiTheme="minorEastAsia" w:eastAsiaTheme="minorEastAsia"/>
          <w:color w:val="auto"/>
          <w:sz w:val="24"/>
        </w:rPr>
        <w:t xml:space="preserve">1.7.1 </w:t>
      </w:r>
      <w:r>
        <w:rPr>
          <w:rFonts w:hint="eastAsia" w:asciiTheme="minorEastAsia" w:hAnsiTheme="minorEastAsia" w:eastAsiaTheme="minorEastAsia"/>
          <w:color w:val="auto"/>
          <w:sz w:val="24"/>
        </w:rPr>
        <w:t>将争议提交</w:t>
      </w:r>
      <w:r>
        <w:rPr>
          <w:rFonts w:hint="eastAsia" w:asciiTheme="minorEastAsia" w:hAnsiTheme="minorEastAsia" w:eastAsiaTheme="minorEastAsia"/>
          <w:b/>
          <w:i/>
          <w:color w:val="auto"/>
          <w:sz w:val="24"/>
          <w:u w:val="single"/>
        </w:rPr>
        <w:t>合同专用条款</w:t>
      </w:r>
      <w:r>
        <w:rPr>
          <w:rFonts w:hint="eastAsia" w:asciiTheme="minorEastAsia" w:hAnsiTheme="minorEastAsia" w:eastAsiaTheme="minorEastAsia"/>
          <w:color w:val="auto"/>
          <w:sz w:val="24"/>
        </w:rPr>
        <w:t>仲裁委员会依申请仲裁时其现行有效的仲裁规则裁决；</w:t>
      </w:r>
    </w:p>
    <w:p>
      <w:pPr>
        <w:spacing w:line="560" w:lineRule="exact"/>
        <w:ind w:left="-420" w:leftChars="-200" w:right="-420" w:rightChars="-200" w:firstLine="600" w:firstLineChars="250"/>
        <w:rPr>
          <w:rFonts w:asciiTheme="minorEastAsia" w:hAnsiTheme="minorEastAsia" w:eastAsiaTheme="minorEastAsia"/>
          <w:color w:val="auto"/>
          <w:sz w:val="24"/>
        </w:rPr>
      </w:pPr>
      <w:r>
        <w:rPr>
          <w:rFonts w:asciiTheme="minorEastAsia" w:hAnsiTheme="minorEastAsia" w:eastAsiaTheme="minorEastAsia"/>
          <w:color w:val="auto"/>
          <w:sz w:val="24"/>
        </w:rPr>
        <w:t xml:space="preserve">1.7.2 </w:t>
      </w:r>
      <w:r>
        <w:rPr>
          <w:rFonts w:hint="eastAsia" w:asciiTheme="minorEastAsia" w:hAnsiTheme="minorEastAsia" w:eastAsiaTheme="minorEastAsia"/>
          <w:color w:val="auto"/>
          <w:sz w:val="24"/>
        </w:rPr>
        <w:t>向</w:t>
      </w:r>
      <w:r>
        <w:rPr>
          <w:rFonts w:hint="eastAsia" w:asciiTheme="minorEastAsia" w:hAnsiTheme="minorEastAsia" w:eastAsiaTheme="minorEastAsia"/>
          <w:b/>
          <w:i/>
          <w:color w:val="auto"/>
          <w:sz w:val="24"/>
          <w:u w:val="single"/>
        </w:rPr>
        <w:t>合同专用条款</w:t>
      </w:r>
      <w:r>
        <w:rPr>
          <w:rFonts w:hint="eastAsia" w:asciiTheme="minorEastAsia" w:hAnsiTheme="minorEastAsia" w:eastAsiaTheme="minorEastAsia"/>
          <w:color w:val="auto"/>
          <w:sz w:val="24"/>
        </w:rPr>
        <w:t>人民法院起诉。</w:t>
      </w:r>
    </w:p>
    <w:p>
      <w:pPr>
        <w:spacing w:line="560" w:lineRule="exact"/>
        <w:ind w:firstLine="241" w:firstLineChars="100"/>
        <w:outlineLvl w:val="0"/>
        <w:rPr>
          <w:rFonts w:asciiTheme="minorEastAsia" w:hAnsiTheme="minorEastAsia" w:eastAsiaTheme="minorEastAsia"/>
          <w:b/>
          <w:color w:val="auto"/>
          <w:sz w:val="24"/>
        </w:rPr>
      </w:pPr>
      <w:bookmarkStart w:id="441" w:name="_Toc16417"/>
      <w:bookmarkStart w:id="442" w:name="_Toc23784"/>
      <w:bookmarkStart w:id="443" w:name="_Toc12273"/>
      <w:bookmarkStart w:id="444" w:name="_Toc26227"/>
      <w:bookmarkStart w:id="445" w:name="_Toc15827"/>
      <w:r>
        <w:rPr>
          <w:rFonts w:asciiTheme="minorEastAsia" w:hAnsiTheme="minorEastAsia" w:eastAsiaTheme="minorEastAsia"/>
          <w:b/>
          <w:color w:val="auto"/>
          <w:sz w:val="24"/>
        </w:rPr>
        <w:t>1.8 合同生效</w:t>
      </w:r>
      <w:bookmarkEnd w:id="441"/>
      <w:bookmarkEnd w:id="442"/>
      <w:bookmarkEnd w:id="443"/>
      <w:bookmarkEnd w:id="444"/>
      <w:bookmarkEnd w:id="445"/>
    </w:p>
    <w:p>
      <w:pPr>
        <w:spacing w:line="560" w:lineRule="exact"/>
        <w:ind w:firstLine="480" w:firstLineChars="200"/>
        <w:rPr>
          <w:rFonts w:asciiTheme="minorEastAsia" w:hAnsiTheme="minorEastAsia" w:eastAsiaTheme="minorEastAsia"/>
          <w:b/>
          <w:color w:val="auto"/>
          <w:sz w:val="24"/>
        </w:rPr>
      </w:pPr>
      <w:r>
        <w:rPr>
          <w:rFonts w:asciiTheme="minorEastAsia" w:hAnsiTheme="minorEastAsia" w:eastAsiaTheme="minorEastAsia"/>
          <w:color w:val="auto"/>
          <w:sz w:val="24"/>
        </w:rPr>
        <w:t>本合同自</w:t>
      </w:r>
      <w:r>
        <w:rPr>
          <w:rFonts w:hint="eastAsia" w:asciiTheme="minorEastAsia" w:hAnsiTheme="minorEastAsia" w:eastAsiaTheme="minorEastAsia"/>
          <w:color w:val="auto"/>
          <w:sz w:val="24"/>
        </w:rPr>
        <w:t>双方当事人盖章或者签字时</w:t>
      </w:r>
      <w:r>
        <w:rPr>
          <w:rFonts w:asciiTheme="minorEastAsia" w:hAnsiTheme="minorEastAsia" w:eastAsiaTheme="minorEastAsia"/>
          <w:color w:val="auto"/>
          <w:sz w:val="24"/>
        </w:rPr>
        <w:t>生效。</w:t>
      </w:r>
    </w:p>
    <w:p>
      <w:pPr>
        <w:autoSpaceDE w:val="0"/>
        <w:autoSpaceDN w:val="0"/>
        <w:spacing w:line="560" w:lineRule="exact"/>
        <w:rPr>
          <w:rFonts w:asciiTheme="minorEastAsia" w:hAnsiTheme="minorEastAsia" w:eastAsiaTheme="minorEastAsia"/>
          <w:color w:val="auto"/>
          <w:sz w:val="24"/>
          <w:lang w:val="zh-CN"/>
        </w:rPr>
      </w:pPr>
    </w:p>
    <w:p>
      <w:pPr>
        <w:autoSpaceDE w:val="0"/>
        <w:autoSpaceDN w:val="0"/>
        <w:spacing w:line="560" w:lineRule="exact"/>
        <w:rPr>
          <w:rFonts w:asciiTheme="minorEastAsia" w:hAnsiTheme="minorEastAsia" w:eastAsiaTheme="minorEastAsia"/>
          <w:color w:val="auto"/>
          <w:sz w:val="24"/>
          <w:lang w:val="zh-CN"/>
        </w:rPr>
      </w:pPr>
      <w:r>
        <w:rPr>
          <w:rFonts w:hint="eastAsia" w:asciiTheme="minorEastAsia" w:hAnsiTheme="minorEastAsia" w:eastAsiaTheme="minorEastAsia"/>
          <w:b/>
          <w:color w:val="auto"/>
          <w:sz w:val="24"/>
          <w:lang w:val="zh-CN"/>
        </w:rPr>
        <w:t>甲方</w:t>
      </w:r>
      <w:r>
        <w:rPr>
          <w:rFonts w:hint="eastAsia" w:asciiTheme="minorEastAsia" w:hAnsiTheme="minorEastAsia" w:eastAsiaTheme="minorEastAsia"/>
          <w:color w:val="auto"/>
          <w:sz w:val="24"/>
          <w:lang w:val="zh-CN"/>
        </w:rPr>
        <w:t>：</w:t>
      </w:r>
      <w:r>
        <w:rPr>
          <w:rFonts w:asciiTheme="minorEastAsia" w:hAnsiTheme="minorEastAsia" w:eastAsiaTheme="minorEastAsia"/>
          <w:color w:val="auto"/>
          <w:sz w:val="24"/>
          <w:lang w:val="zh-CN"/>
        </w:rPr>
        <w:t xml:space="preserve">                             </w:t>
      </w:r>
      <w:r>
        <w:rPr>
          <w:rFonts w:asciiTheme="minorEastAsia" w:hAnsiTheme="minorEastAsia" w:eastAsiaTheme="minorEastAsia"/>
          <w:b/>
          <w:color w:val="auto"/>
          <w:sz w:val="24"/>
          <w:lang w:val="zh-CN"/>
        </w:rPr>
        <w:t xml:space="preserve">      乙方</w:t>
      </w:r>
      <w:r>
        <w:rPr>
          <w:rFonts w:hint="eastAsia" w:asciiTheme="minorEastAsia" w:hAnsiTheme="minorEastAsia" w:eastAsiaTheme="minorEastAsia"/>
          <w:color w:val="auto"/>
          <w:sz w:val="24"/>
          <w:lang w:val="zh-CN"/>
        </w:rPr>
        <w:t>：</w:t>
      </w:r>
    </w:p>
    <w:p>
      <w:pPr>
        <w:autoSpaceDE w:val="0"/>
        <w:autoSpaceDN w:val="0"/>
        <w:spacing w:line="560" w:lineRule="exact"/>
        <w:rPr>
          <w:rFonts w:asciiTheme="minorEastAsia" w:hAnsiTheme="minorEastAsia" w:eastAsiaTheme="minorEastAsia"/>
          <w:color w:val="auto"/>
          <w:sz w:val="24"/>
          <w:lang w:val="zh-CN"/>
        </w:rPr>
      </w:pPr>
      <w:r>
        <w:rPr>
          <w:rFonts w:hint="eastAsia" w:asciiTheme="minorEastAsia" w:hAnsiTheme="minorEastAsia" w:eastAsiaTheme="minorEastAsia"/>
          <w:color w:val="auto"/>
          <w:sz w:val="24"/>
          <w:lang w:val="zh-CN"/>
        </w:rPr>
        <w:t>统一社会信用代码：</w:t>
      </w:r>
      <w:r>
        <w:rPr>
          <w:rFonts w:asciiTheme="minorEastAsia" w:hAnsiTheme="minorEastAsia" w:eastAsiaTheme="minorEastAsia"/>
          <w:color w:val="auto"/>
          <w:sz w:val="24"/>
          <w:lang w:val="zh-CN"/>
        </w:rPr>
        <w:t xml:space="preserve">                        </w:t>
      </w:r>
      <w:r>
        <w:rPr>
          <w:rFonts w:hint="eastAsia" w:asciiTheme="minorEastAsia" w:hAnsiTheme="minorEastAsia" w:eastAsiaTheme="minorEastAsia"/>
          <w:color w:val="auto"/>
          <w:sz w:val="24"/>
          <w:lang w:val="zh-CN"/>
        </w:rPr>
        <w:t>统一社会信用代码或身份证号码：</w:t>
      </w:r>
    </w:p>
    <w:p>
      <w:pPr>
        <w:autoSpaceDE w:val="0"/>
        <w:autoSpaceDN w:val="0"/>
        <w:spacing w:line="560" w:lineRule="exact"/>
        <w:rPr>
          <w:rFonts w:asciiTheme="minorEastAsia" w:hAnsiTheme="minorEastAsia" w:eastAsiaTheme="minorEastAsia"/>
          <w:color w:val="auto"/>
          <w:sz w:val="24"/>
          <w:lang w:val="zh-CN"/>
        </w:rPr>
      </w:pPr>
    </w:p>
    <w:p>
      <w:pPr>
        <w:autoSpaceDE w:val="0"/>
        <w:autoSpaceDN w:val="0"/>
        <w:spacing w:line="560" w:lineRule="exact"/>
        <w:rPr>
          <w:rFonts w:asciiTheme="minorEastAsia" w:hAnsiTheme="minorEastAsia" w:eastAsiaTheme="minorEastAsia"/>
          <w:color w:val="auto"/>
          <w:sz w:val="24"/>
          <w:lang w:val="zh-CN"/>
        </w:rPr>
      </w:pPr>
      <w:r>
        <w:rPr>
          <w:rFonts w:hint="eastAsia" w:asciiTheme="minorEastAsia" w:hAnsiTheme="minorEastAsia" w:eastAsiaTheme="minorEastAsia"/>
          <w:color w:val="auto"/>
          <w:sz w:val="24"/>
          <w:lang w:val="zh-CN"/>
        </w:rPr>
        <w:t>住所：</w:t>
      </w:r>
      <w:r>
        <w:rPr>
          <w:rFonts w:asciiTheme="minorEastAsia" w:hAnsiTheme="minorEastAsia" w:eastAsiaTheme="minorEastAsia"/>
          <w:color w:val="auto"/>
          <w:sz w:val="24"/>
          <w:lang w:val="zh-CN"/>
        </w:rPr>
        <w:t xml:space="preserve">                                   </w:t>
      </w:r>
      <w:r>
        <w:rPr>
          <w:rFonts w:hint="eastAsia" w:asciiTheme="minorEastAsia" w:hAnsiTheme="minorEastAsia" w:eastAsiaTheme="minorEastAsia"/>
          <w:color w:val="auto"/>
          <w:sz w:val="24"/>
          <w:lang w:val="zh-CN"/>
        </w:rPr>
        <w:t>住所：</w:t>
      </w:r>
    </w:p>
    <w:p>
      <w:pPr>
        <w:autoSpaceDE w:val="0"/>
        <w:autoSpaceDN w:val="0"/>
        <w:spacing w:line="560" w:lineRule="exact"/>
        <w:rPr>
          <w:rFonts w:asciiTheme="minorEastAsia" w:hAnsiTheme="minorEastAsia" w:eastAsiaTheme="minorEastAsia"/>
          <w:color w:val="auto"/>
          <w:sz w:val="24"/>
          <w:lang w:val="zh-CN"/>
        </w:rPr>
      </w:pPr>
      <w:r>
        <w:rPr>
          <w:rFonts w:hint="eastAsia" w:asciiTheme="minorEastAsia" w:hAnsiTheme="minorEastAsia" w:eastAsiaTheme="minorEastAsia"/>
          <w:color w:val="auto"/>
          <w:sz w:val="24"/>
          <w:lang w:val="zh-CN"/>
        </w:rPr>
        <w:t>法定代表人或</w:t>
      </w:r>
      <w:r>
        <w:rPr>
          <w:rFonts w:asciiTheme="minorEastAsia" w:hAnsiTheme="minorEastAsia" w:eastAsiaTheme="minorEastAsia"/>
          <w:color w:val="auto"/>
          <w:sz w:val="24"/>
          <w:lang w:val="zh-CN"/>
        </w:rPr>
        <w:t xml:space="preserve">                             </w:t>
      </w:r>
      <w:r>
        <w:rPr>
          <w:rFonts w:hint="eastAsia" w:asciiTheme="minorEastAsia" w:hAnsiTheme="minorEastAsia" w:eastAsiaTheme="minorEastAsia"/>
          <w:color w:val="auto"/>
          <w:sz w:val="24"/>
          <w:lang w:val="zh-CN"/>
        </w:rPr>
        <w:t>法定代表人或</w:t>
      </w:r>
    </w:p>
    <w:p>
      <w:pPr>
        <w:autoSpaceDE w:val="0"/>
        <w:autoSpaceDN w:val="0"/>
        <w:spacing w:line="560" w:lineRule="exact"/>
        <w:rPr>
          <w:rFonts w:asciiTheme="minorEastAsia" w:hAnsiTheme="minorEastAsia" w:eastAsiaTheme="minorEastAsia"/>
          <w:color w:val="auto"/>
          <w:sz w:val="24"/>
          <w:lang w:val="zh-CN"/>
        </w:rPr>
      </w:pPr>
      <w:r>
        <w:rPr>
          <w:rFonts w:hint="eastAsia" w:asciiTheme="minorEastAsia" w:hAnsiTheme="minorEastAsia" w:eastAsiaTheme="minorEastAsia"/>
          <w:color w:val="auto"/>
          <w:sz w:val="24"/>
          <w:lang w:val="zh-CN"/>
        </w:rPr>
        <w:t>授权代表（签字）：</w:t>
      </w:r>
      <w:r>
        <w:rPr>
          <w:rFonts w:asciiTheme="minorEastAsia" w:hAnsiTheme="minorEastAsia" w:eastAsiaTheme="minorEastAsia"/>
          <w:color w:val="auto"/>
          <w:sz w:val="24"/>
          <w:lang w:val="zh-CN"/>
        </w:rPr>
        <w:t xml:space="preserve">                       授权代表（签字）: </w:t>
      </w:r>
    </w:p>
    <w:p>
      <w:pPr>
        <w:autoSpaceDE w:val="0"/>
        <w:autoSpaceDN w:val="0"/>
        <w:spacing w:line="560" w:lineRule="exact"/>
        <w:rPr>
          <w:rFonts w:asciiTheme="minorEastAsia" w:hAnsiTheme="minorEastAsia" w:eastAsiaTheme="minorEastAsia"/>
          <w:color w:val="auto"/>
          <w:sz w:val="24"/>
          <w:lang w:val="zh-CN"/>
        </w:rPr>
      </w:pPr>
      <w:r>
        <w:rPr>
          <w:rFonts w:hint="eastAsia" w:asciiTheme="minorEastAsia" w:hAnsiTheme="minorEastAsia" w:eastAsiaTheme="minorEastAsia"/>
          <w:color w:val="auto"/>
          <w:sz w:val="24"/>
          <w:lang w:val="zh-CN"/>
        </w:rPr>
        <w:t>联系人：</w:t>
      </w:r>
      <w:r>
        <w:rPr>
          <w:rFonts w:asciiTheme="minorEastAsia" w:hAnsiTheme="minorEastAsia" w:eastAsiaTheme="minorEastAsia"/>
          <w:color w:val="auto"/>
          <w:sz w:val="24"/>
          <w:lang w:val="zh-CN"/>
        </w:rPr>
        <w:t xml:space="preserve">                                 </w:t>
      </w:r>
      <w:r>
        <w:rPr>
          <w:rFonts w:hint="eastAsia" w:asciiTheme="minorEastAsia" w:hAnsiTheme="minorEastAsia" w:eastAsiaTheme="minorEastAsia"/>
          <w:color w:val="auto"/>
          <w:sz w:val="24"/>
          <w:lang w:val="zh-CN"/>
        </w:rPr>
        <w:t>联系人：</w:t>
      </w:r>
    </w:p>
    <w:p>
      <w:pPr>
        <w:autoSpaceDE w:val="0"/>
        <w:autoSpaceDN w:val="0"/>
        <w:spacing w:line="560" w:lineRule="exact"/>
        <w:rPr>
          <w:rFonts w:asciiTheme="minorEastAsia" w:hAnsiTheme="minorEastAsia" w:eastAsiaTheme="minorEastAsia"/>
          <w:color w:val="auto"/>
          <w:sz w:val="24"/>
          <w:lang w:val="zh-CN"/>
        </w:rPr>
      </w:pPr>
      <w:r>
        <w:rPr>
          <w:rFonts w:hint="eastAsia" w:asciiTheme="minorEastAsia" w:hAnsiTheme="minorEastAsia" w:eastAsiaTheme="minorEastAsia"/>
          <w:color w:val="auto"/>
          <w:sz w:val="24"/>
          <w:lang w:val="zh-CN"/>
        </w:rPr>
        <w:t>约定送达地址：</w:t>
      </w:r>
      <w:r>
        <w:rPr>
          <w:rFonts w:asciiTheme="minorEastAsia" w:hAnsiTheme="minorEastAsia" w:eastAsiaTheme="minorEastAsia"/>
          <w:color w:val="auto"/>
          <w:sz w:val="24"/>
          <w:lang w:val="zh-CN"/>
        </w:rPr>
        <w:t xml:space="preserve">                           </w:t>
      </w:r>
      <w:r>
        <w:rPr>
          <w:rFonts w:hint="eastAsia" w:asciiTheme="minorEastAsia" w:hAnsiTheme="minorEastAsia" w:eastAsiaTheme="minorEastAsia"/>
          <w:color w:val="auto"/>
          <w:sz w:val="24"/>
          <w:lang w:val="zh-CN"/>
        </w:rPr>
        <w:t>约定送达地址：</w:t>
      </w:r>
    </w:p>
    <w:p>
      <w:pPr>
        <w:autoSpaceDE w:val="0"/>
        <w:autoSpaceDN w:val="0"/>
        <w:spacing w:line="560" w:lineRule="exact"/>
        <w:rPr>
          <w:rFonts w:asciiTheme="minorEastAsia" w:hAnsiTheme="minorEastAsia" w:eastAsiaTheme="minorEastAsia"/>
          <w:color w:val="auto"/>
          <w:sz w:val="24"/>
          <w:lang w:val="zh-CN"/>
        </w:rPr>
      </w:pPr>
      <w:r>
        <w:rPr>
          <w:rFonts w:hint="eastAsia" w:asciiTheme="minorEastAsia" w:hAnsiTheme="minorEastAsia" w:eastAsiaTheme="minorEastAsia"/>
          <w:color w:val="auto"/>
          <w:sz w:val="24"/>
          <w:lang w:val="zh-CN"/>
        </w:rPr>
        <w:t>邮政编码：</w:t>
      </w:r>
      <w:r>
        <w:rPr>
          <w:rFonts w:asciiTheme="minorEastAsia" w:hAnsiTheme="minorEastAsia" w:eastAsiaTheme="minorEastAsia"/>
          <w:color w:val="auto"/>
          <w:sz w:val="24"/>
          <w:lang w:val="zh-CN"/>
        </w:rPr>
        <w:t xml:space="preserve">                               </w:t>
      </w:r>
      <w:r>
        <w:rPr>
          <w:rFonts w:hint="eastAsia" w:asciiTheme="minorEastAsia" w:hAnsiTheme="minorEastAsia" w:eastAsiaTheme="minorEastAsia"/>
          <w:color w:val="auto"/>
          <w:sz w:val="24"/>
          <w:lang w:val="zh-CN"/>
        </w:rPr>
        <w:t>邮政编码：</w:t>
      </w:r>
    </w:p>
    <w:p>
      <w:pPr>
        <w:autoSpaceDE w:val="0"/>
        <w:autoSpaceDN w:val="0"/>
        <w:spacing w:line="560" w:lineRule="exact"/>
        <w:rPr>
          <w:rFonts w:asciiTheme="minorEastAsia" w:hAnsiTheme="minorEastAsia" w:eastAsiaTheme="minorEastAsia"/>
          <w:color w:val="auto"/>
          <w:sz w:val="24"/>
          <w:lang w:val="zh-CN"/>
        </w:rPr>
      </w:pPr>
      <w:r>
        <w:rPr>
          <w:rFonts w:hint="eastAsia" w:asciiTheme="minorEastAsia" w:hAnsiTheme="minorEastAsia" w:eastAsiaTheme="minorEastAsia"/>
          <w:color w:val="auto"/>
          <w:sz w:val="24"/>
          <w:lang w:val="zh-CN"/>
        </w:rPr>
        <w:t>电话</w:t>
      </w:r>
      <w:r>
        <w:rPr>
          <w:rFonts w:asciiTheme="minorEastAsia" w:hAnsiTheme="minorEastAsia" w:eastAsiaTheme="minorEastAsia"/>
          <w:color w:val="auto"/>
          <w:sz w:val="24"/>
          <w:lang w:val="zh-CN"/>
        </w:rPr>
        <w:t xml:space="preserve">:                                    电话: </w:t>
      </w:r>
    </w:p>
    <w:p>
      <w:pPr>
        <w:autoSpaceDE w:val="0"/>
        <w:autoSpaceDN w:val="0"/>
        <w:spacing w:line="560" w:lineRule="exact"/>
        <w:rPr>
          <w:rFonts w:asciiTheme="minorEastAsia" w:hAnsiTheme="minorEastAsia" w:eastAsiaTheme="minorEastAsia"/>
          <w:color w:val="auto"/>
          <w:sz w:val="24"/>
          <w:lang w:val="zh-CN"/>
        </w:rPr>
      </w:pPr>
      <w:r>
        <w:rPr>
          <w:rFonts w:hint="eastAsia" w:asciiTheme="minorEastAsia" w:hAnsiTheme="minorEastAsia" w:eastAsiaTheme="minorEastAsia"/>
          <w:color w:val="auto"/>
          <w:sz w:val="24"/>
          <w:lang w:val="zh-CN"/>
        </w:rPr>
        <w:t>传真</w:t>
      </w:r>
      <w:r>
        <w:rPr>
          <w:rFonts w:asciiTheme="minorEastAsia" w:hAnsiTheme="minorEastAsia" w:eastAsiaTheme="minorEastAsia"/>
          <w:color w:val="auto"/>
          <w:sz w:val="24"/>
          <w:lang w:val="zh-CN"/>
        </w:rPr>
        <w:t xml:space="preserve">:                                    </w:t>
      </w:r>
      <w:r>
        <w:rPr>
          <w:rFonts w:hint="eastAsia" w:asciiTheme="minorEastAsia" w:hAnsiTheme="minorEastAsia" w:eastAsiaTheme="minorEastAsia"/>
          <w:color w:val="auto"/>
          <w:sz w:val="24"/>
          <w:lang w:val="zh-CN"/>
        </w:rPr>
        <w:t>传真</w:t>
      </w:r>
      <w:r>
        <w:rPr>
          <w:rFonts w:asciiTheme="minorEastAsia" w:hAnsiTheme="minorEastAsia" w:eastAsiaTheme="minorEastAsia"/>
          <w:color w:val="auto"/>
          <w:sz w:val="24"/>
          <w:lang w:val="zh-CN"/>
        </w:rPr>
        <w:t>:</w:t>
      </w:r>
    </w:p>
    <w:p>
      <w:pPr>
        <w:autoSpaceDE w:val="0"/>
        <w:autoSpaceDN w:val="0"/>
        <w:spacing w:line="5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lang w:val="zh-CN"/>
        </w:rPr>
        <w:t>电子邮箱：</w:t>
      </w:r>
      <w:r>
        <w:rPr>
          <w:rFonts w:asciiTheme="minorEastAsia" w:hAnsiTheme="minorEastAsia" w:eastAsiaTheme="minorEastAsia"/>
          <w:color w:val="auto"/>
          <w:sz w:val="24"/>
          <w:lang w:val="zh-CN"/>
        </w:rPr>
        <w:t xml:space="preserve">                               </w:t>
      </w:r>
      <w:r>
        <w:rPr>
          <w:rFonts w:hint="eastAsia" w:asciiTheme="minorEastAsia" w:hAnsiTheme="minorEastAsia" w:eastAsiaTheme="minorEastAsia"/>
          <w:color w:val="auto"/>
          <w:sz w:val="24"/>
          <w:lang w:val="zh-CN"/>
        </w:rPr>
        <w:t>电子邮箱：</w:t>
      </w:r>
    </w:p>
    <w:p>
      <w:pPr>
        <w:autoSpaceDE w:val="0"/>
        <w:autoSpaceDN w:val="0"/>
        <w:spacing w:line="5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开户银行：</w:t>
      </w:r>
      <w:r>
        <w:rPr>
          <w:rFonts w:asciiTheme="minorEastAsia" w:hAnsiTheme="minorEastAsia" w:eastAsiaTheme="minorEastAsia"/>
          <w:color w:val="auto"/>
          <w:sz w:val="24"/>
        </w:rPr>
        <w:t xml:space="preserve">                               开户银行： </w:t>
      </w:r>
    </w:p>
    <w:p>
      <w:pPr>
        <w:autoSpaceDE w:val="0"/>
        <w:autoSpaceDN w:val="0"/>
        <w:spacing w:line="5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开户名称：</w:t>
      </w:r>
      <w:r>
        <w:rPr>
          <w:rFonts w:asciiTheme="minorEastAsia" w:hAnsiTheme="minorEastAsia" w:eastAsiaTheme="minorEastAsia"/>
          <w:color w:val="auto"/>
          <w:sz w:val="24"/>
        </w:rPr>
        <w:t xml:space="preserve">                               开户名称： </w:t>
      </w:r>
    </w:p>
    <w:p>
      <w:pPr>
        <w:autoSpaceDE w:val="0"/>
        <w:autoSpaceDN w:val="0"/>
        <w:spacing w:line="560" w:lineRule="exact"/>
        <w:rPr>
          <w:rFonts w:asciiTheme="minorEastAsia" w:hAnsiTheme="minorEastAsia" w:eastAsiaTheme="minorEastAsia"/>
          <w:color w:val="auto"/>
          <w:sz w:val="24"/>
        </w:rPr>
      </w:pPr>
      <w:r>
        <w:rPr>
          <w:rFonts w:hint="eastAsia" w:asciiTheme="minorEastAsia" w:hAnsiTheme="minorEastAsia" w:eastAsiaTheme="minorEastAsia"/>
          <w:color w:val="auto"/>
          <w:sz w:val="24"/>
        </w:rPr>
        <w:t>开户账号：</w:t>
      </w:r>
      <w:r>
        <w:rPr>
          <w:rFonts w:asciiTheme="minorEastAsia" w:hAnsiTheme="minorEastAsia" w:eastAsiaTheme="minorEastAsia"/>
          <w:color w:val="auto"/>
          <w:sz w:val="24"/>
          <w:lang w:val="zh-CN"/>
        </w:rPr>
        <w:t xml:space="preserve">                               </w:t>
      </w:r>
      <w:r>
        <w:rPr>
          <w:rFonts w:hint="eastAsia" w:asciiTheme="minorEastAsia" w:hAnsiTheme="minorEastAsia" w:eastAsiaTheme="minorEastAsia"/>
          <w:color w:val="auto"/>
          <w:sz w:val="24"/>
        </w:rPr>
        <w:t>开户账号：</w:t>
      </w:r>
    </w:p>
    <w:p>
      <w:pPr>
        <w:widowControl/>
        <w:spacing w:line="560" w:lineRule="exact"/>
        <w:jc w:val="left"/>
        <w:rPr>
          <w:rFonts w:asciiTheme="minorEastAsia" w:hAnsiTheme="minorEastAsia" w:eastAsiaTheme="minorEastAsia"/>
          <w:b/>
          <w:color w:val="auto"/>
          <w:sz w:val="24"/>
        </w:rPr>
      </w:pPr>
    </w:p>
    <w:p>
      <w:pPr>
        <w:widowControl/>
        <w:adjustRightInd/>
        <w:jc w:val="left"/>
        <w:rPr>
          <w:rFonts w:asciiTheme="minorEastAsia" w:hAnsiTheme="minorEastAsia" w:eastAsiaTheme="minorEastAsia"/>
          <w:b/>
          <w:color w:val="auto"/>
          <w:sz w:val="24"/>
        </w:rPr>
      </w:pPr>
      <w:r>
        <w:rPr>
          <w:rFonts w:asciiTheme="minorEastAsia" w:hAnsiTheme="minorEastAsia" w:eastAsiaTheme="minorEastAsia"/>
          <w:b/>
          <w:color w:val="auto"/>
        </w:rPr>
        <w:br w:type="page"/>
      </w:r>
    </w:p>
    <w:p>
      <w:pPr>
        <w:pStyle w:val="700"/>
        <w:spacing w:line="560" w:lineRule="exact"/>
        <w:ind w:firstLine="489"/>
        <w:jc w:val="center"/>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第二部分</w:t>
      </w:r>
      <w:r>
        <w:rPr>
          <w:rFonts w:asciiTheme="minorEastAsia" w:hAnsiTheme="minorEastAsia" w:eastAsiaTheme="minorEastAsia"/>
          <w:b/>
          <w:color w:val="auto"/>
          <w:szCs w:val="24"/>
        </w:rPr>
        <w:t xml:space="preserve"> </w:t>
      </w:r>
      <w:r>
        <w:rPr>
          <w:rFonts w:hint="eastAsia" w:asciiTheme="minorEastAsia" w:hAnsiTheme="minorEastAsia" w:eastAsiaTheme="minorEastAsia"/>
          <w:b/>
          <w:color w:val="auto"/>
          <w:szCs w:val="24"/>
        </w:rPr>
        <w:t>合同一般条款</w:t>
      </w:r>
    </w:p>
    <w:p>
      <w:pPr>
        <w:spacing w:line="560" w:lineRule="exact"/>
        <w:ind w:firstLine="482" w:firstLineChars="200"/>
        <w:outlineLvl w:val="0"/>
        <w:rPr>
          <w:rFonts w:asciiTheme="minorEastAsia" w:hAnsiTheme="minorEastAsia" w:eastAsiaTheme="minorEastAsia"/>
          <w:b/>
          <w:color w:val="auto"/>
          <w:sz w:val="24"/>
        </w:rPr>
      </w:pPr>
      <w:bookmarkStart w:id="446" w:name="_Toc25079"/>
      <w:bookmarkStart w:id="447" w:name="_Toc19680"/>
      <w:bookmarkStart w:id="448" w:name="_Toc5228"/>
      <w:bookmarkStart w:id="449" w:name="_Toc31297"/>
      <w:bookmarkStart w:id="450" w:name="_Toc14021"/>
      <w:r>
        <w:rPr>
          <w:rFonts w:asciiTheme="minorEastAsia" w:hAnsiTheme="minorEastAsia" w:eastAsiaTheme="minorEastAsia"/>
          <w:b/>
          <w:color w:val="auto"/>
          <w:sz w:val="24"/>
        </w:rPr>
        <w:t>2.1 定义</w:t>
      </w:r>
      <w:bookmarkEnd w:id="446"/>
      <w:bookmarkEnd w:id="447"/>
      <w:bookmarkEnd w:id="448"/>
      <w:bookmarkEnd w:id="449"/>
      <w:bookmarkEnd w:id="450"/>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本合同中的下列</w:t>
      </w:r>
      <w:r>
        <w:rPr>
          <w:rFonts w:hint="eastAsia" w:asciiTheme="minorEastAsia" w:hAnsiTheme="minorEastAsia" w:eastAsiaTheme="minorEastAsia"/>
          <w:color w:val="auto"/>
          <w:sz w:val="24"/>
        </w:rPr>
        <w:t>词</w:t>
      </w:r>
      <w:r>
        <w:rPr>
          <w:rFonts w:asciiTheme="minorEastAsia" w:hAnsiTheme="minorEastAsia" w:eastAsiaTheme="minorEastAsia"/>
          <w:color w:val="auto"/>
          <w:sz w:val="24"/>
        </w:rPr>
        <w:t>语应</w:t>
      </w:r>
      <w:r>
        <w:rPr>
          <w:rFonts w:hint="eastAsia" w:asciiTheme="minorEastAsia" w:hAnsiTheme="minorEastAsia" w:eastAsiaTheme="minorEastAsia"/>
          <w:color w:val="auto"/>
          <w:sz w:val="24"/>
        </w:rPr>
        <w:t>按以下内容进行</w:t>
      </w:r>
      <w:r>
        <w:rPr>
          <w:rFonts w:asciiTheme="minorEastAsia" w:hAnsiTheme="minorEastAsia" w:eastAsiaTheme="minorEastAsia"/>
          <w:color w:val="auto"/>
          <w:sz w:val="24"/>
        </w:rPr>
        <w:t>解释：</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2.1.1 “合同”系指采购人和中标供应商签订的载明双方当事人所达成的协议，并包括所有的附件、附录和构成合同的其他文件。</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2.1.2 “合同价”系指根据合同约定，中标供应商在完全履行合同义务后</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采购人应支付给中标供应商的价格。</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2.1.3 “</w:t>
      </w:r>
      <w:r>
        <w:rPr>
          <w:rFonts w:hint="eastAsia" w:asciiTheme="minorEastAsia" w:hAnsiTheme="minorEastAsia" w:eastAsiaTheme="minorEastAsia"/>
          <w:color w:val="auto"/>
          <w:sz w:val="24"/>
        </w:rPr>
        <w:t>服务</w:t>
      </w:r>
      <w:r>
        <w:rPr>
          <w:rFonts w:asciiTheme="minorEastAsia" w:hAnsiTheme="minorEastAsia" w:eastAsiaTheme="minorEastAsia"/>
          <w:color w:val="auto"/>
          <w:sz w:val="24"/>
        </w:rPr>
        <w:t>”系指</w:t>
      </w:r>
      <w:r>
        <w:rPr>
          <w:rFonts w:hint="eastAsia" w:asciiTheme="minorEastAsia" w:hAnsiTheme="minorEastAsia" w:eastAsiaTheme="minorEastAsia"/>
          <w:color w:val="auto"/>
          <w:sz w:val="24"/>
        </w:rPr>
        <w:t>中标供应商</w:t>
      </w:r>
      <w:r>
        <w:rPr>
          <w:rFonts w:asciiTheme="minorEastAsia" w:hAnsiTheme="minorEastAsia" w:eastAsiaTheme="minorEastAsia"/>
          <w:color w:val="auto"/>
          <w:sz w:val="24"/>
        </w:rPr>
        <w:t>根据合同约定应向采购人</w:t>
      </w:r>
      <w:r>
        <w:rPr>
          <w:rFonts w:hint="eastAsia" w:asciiTheme="minorEastAsia" w:hAnsiTheme="minorEastAsia" w:eastAsiaTheme="minorEastAsia"/>
          <w:color w:val="auto"/>
          <w:sz w:val="24"/>
        </w:rPr>
        <w:t>履行</w:t>
      </w:r>
      <w:r>
        <w:rPr>
          <w:rFonts w:asciiTheme="minorEastAsia" w:hAnsiTheme="minorEastAsia" w:eastAsiaTheme="minorEastAsia"/>
          <w:color w:val="auto"/>
          <w:sz w:val="24"/>
        </w:rPr>
        <w:t>的</w:t>
      </w:r>
      <w:r>
        <w:rPr>
          <w:rFonts w:hint="eastAsia" w:asciiTheme="minorEastAsia" w:hAnsiTheme="minorEastAsia" w:eastAsiaTheme="minorEastAsia"/>
          <w:color w:val="auto"/>
          <w:sz w:val="24"/>
        </w:rPr>
        <w:t>除货物和工程以外的其他政府采购对象，包括采购人自身需要的服务和向社会公众提供的公共服务。</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2.1.4 “</w:t>
      </w:r>
      <w:r>
        <w:rPr>
          <w:rFonts w:hint="eastAsia" w:asciiTheme="minorEastAsia" w:hAnsiTheme="minorEastAsia" w:eastAsiaTheme="minorEastAsia"/>
          <w:color w:val="auto"/>
          <w:sz w:val="24"/>
        </w:rPr>
        <w:t>甲方</w:t>
      </w:r>
      <w:r>
        <w:rPr>
          <w:rFonts w:asciiTheme="minorEastAsia" w:hAnsiTheme="minorEastAsia" w:eastAsiaTheme="minorEastAsia"/>
          <w:color w:val="auto"/>
          <w:sz w:val="24"/>
        </w:rPr>
        <w:t>”系指与</w:t>
      </w:r>
      <w:r>
        <w:rPr>
          <w:rFonts w:hint="eastAsia" w:asciiTheme="minorEastAsia" w:hAnsiTheme="minorEastAsia" w:eastAsiaTheme="minorEastAsia"/>
          <w:color w:val="auto"/>
          <w:sz w:val="24"/>
        </w:rPr>
        <w:t>中标供应商</w:t>
      </w:r>
      <w:r>
        <w:rPr>
          <w:rFonts w:asciiTheme="minorEastAsia" w:hAnsiTheme="minorEastAsia" w:eastAsiaTheme="minorEastAsia"/>
          <w:color w:val="auto"/>
          <w:sz w:val="24"/>
        </w:rPr>
        <w:t>签署合同的采购人</w:t>
      </w:r>
      <w:r>
        <w:rPr>
          <w:rFonts w:hint="eastAsia" w:asciiTheme="minorEastAsia" w:hAnsiTheme="minorEastAsia" w:eastAsiaTheme="minorEastAsia"/>
          <w:color w:val="auto"/>
          <w:sz w:val="24"/>
        </w:rPr>
        <w:t>；采购人委托采购代理机构代表其与乙方签订合同的，采购人的授权委托书作为合同附件。</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2.1.5 “乙方”系指根据合同约定提供服务的中标供应商</w:t>
      </w:r>
      <w:r>
        <w:rPr>
          <w:rFonts w:hint="eastAsia" w:asciiTheme="minorEastAsia" w:hAnsiTheme="minorEastAsia" w:eastAsiaTheme="minorEastAsia"/>
          <w:color w:val="auto"/>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2.1.6 “现场”系指合同约定提供服务的地点。</w:t>
      </w:r>
    </w:p>
    <w:p>
      <w:pPr>
        <w:spacing w:line="560" w:lineRule="exact"/>
        <w:ind w:firstLine="482" w:firstLineChars="200"/>
        <w:outlineLvl w:val="0"/>
        <w:rPr>
          <w:rFonts w:asciiTheme="minorEastAsia" w:hAnsiTheme="minorEastAsia" w:eastAsiaTheme="minorEastAsia"/>
          <w:b/>
          <w:color w:val="auto"/>
          <w:sz w:val="24"/>
        </w:rPr>
      </w:pPr>
      <w:bookmarkStart w:id="451" w:name="_Toc31402"/>
      <w:bookmarkStart w:id="452" w:name="_Toc16752"/>
      <w:bookmarkStart w:id="453" w:name="_Toc23289"/>
      <w:bookmarkStart w:id="454" w:name="_Toc19539"/>
      <w:bookmarkStart w:id="455" w:name="_Toc3769"/>
      <w:r>
        <w:rPr>
          <w:rFonts w:asciiTheme="minorEastAsia" w:hAnsiTheme="minorEastAsia" w:eastAsiaTheme="minorEastAsia"/>
          <w:b/>
          <w:color w:val="auto"/>
          <w:sz w:val="24"/>
        </w:rPr>
        <w:t>2.2 技术规范</w:t>
      </w:r>
      <w:bookmarkEnd w:id="451"/>
      <w:bookmarkEnd w:id="452"/>
      <w:bookmarkEnd w:id="453"/>
      <w:bookmarkEnd w:id="454"/>
      <w:bookmarkEnd w:id="455"/>
    </w:p>
    <w:p>
      <w:pPr>
        <w:spacing w:line="5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服务</w:t>
      </w:r>
      <w:r>
        <w:rPr>
          <w:rFonts w:asciiTheme="minorEastAsia" w:hAnsiTheme="minorEastAsia" w:eastAsiaTheme="minorEastAsia"/>
          <w:color w:val="auto"/>
          <w:sz w:val="24"/>
        </w:rPr>
        <w:t>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如果采购文件中没有技术规范的相应说明，那么应以国家有关部门最新颁布的相应标准</w:t>
      </w:r>
      <w:r>
        <w:rPr>
          <w:rFonts w:hint="eastAsia" w:asciiTheme="minorEastAsia" w:hAnsiTheme="minorEastAsia" w:eastAsiaTheme="minorEastAsia"/>
          <w:color w:val="auto"/>
          <w:sz w:val="24"/>
        </w:rPr>
        <w:t>和</w:t>
      </w:r>
      <w:r>
        <w:rPr>
          <w:rFonts w:asciiTheme="minorEastAsia" w:hAnsiTheme="minorEastAsia" w:eastAsiaTheme="minorEastAsia"/>
          <w:color w:val="auto"/>
          <w:sz w:val="24"/>
        </w:rPr>
        <w:t>规范为准。</w:t>
      </w:r>
    </w:p>
    <w:p>
      <w:pPr>
        <w:spacing w:line="560" w:lineRule="exact"/>
        <w:ind w:firstLine="482" w:firstLineChars="200"/>
        <w:outlineLvl w:val="0"/>
        <w:rPr>
          <w:rFonts w:asciiTheme="minorEastAsia" w:hAnsiTheme="minorEastAsia" w:eastAsiaTheme="minorEastAsia"/>
          <w:b/>
          <w:color w:val="auto"/>
          <w:sz w:val="24"/>
        </w:rPr>
      </w:pPr>
      <w:bookmarkStart w:id="456" w:name="_Toc13673"/>
      <w:bookmarkStart w:id="457" w:name="_Toc4133"/>
      <w:bookmarkStart w:id="458" w:name="_Toc12412"/>
      <w:bookmarkStart w:id="459" w:name="_Toc27945"/>
      <w:bookmarkStart w:id="460" w:name="_Toc9161"/>
      <w:r>
        <w:rPr>
          <w:rFonts w:asciiTheme="minorEastAsia" w:hAnsiTheme="minorEastAsia" w:eastAsiaTheme="minorEastAsia"/>
          <w:b/>
          <w:color w:val="auto"/>
          <w:sz w:val="24"/>
        </w:rPr>
        <w:t>2.3 知识产权</w:t>
      </w:r>
      <w:bookmarkEnd w:id="456"/>
      <w:bookmarkEnd w:id="457"/>
      <w:bookmarkEnd w:id="458"/>
      <w:bookmarkEnd w:id="459"/>
      <w:bookmarkEnd w:id="460"/>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2.3.1 </w:t>
      </w:r>
      <w:r>
        <w:rPr>
          <w:rFonts w:hint="eastAsia" w:asciiTheme="minorEastAsia" w:hAnsiTheme="minorEastAsia" w:eastAsiaTheme="minorEastAsia"/>
          <w:color w:val="auto"/>
          <w:sz w:val="24"/>
        </w:rPr>
        <w:t>乙</w:t>
      </w:r>
      <w:r>
        <w:rPr>
          <w:rFonts w:asciiTheme="minorEastAsia" w:hAnsiTheme="minorEastAsia" w:eastAsiaTheme="minorEastAsia"/>
          <w:color w:val="auto"/>
          <w:sz w:val="24"/>
        </w:rPr>
        <w:t>方应保证</w:t>
      </w:r>
      <w:r>
        <w:rPr>
          <w:rFonts w:hint="eastAsia" w:asciiTheme="minorEastAsia" w:hAnsiTheme="minorEastAsia" w:eastAsiaTheme="minorEastAsia"/>
          <w:color w:val="auto"/>
          <w:sz w:val="24"/>
        </w:rPr>
        <w:t>其提供的服务</w:t>
      </w:r>
      <w:r>
        <w:rPr>
          <w:rFonts w:asciiTheme="minorEastAsia" w:hAnsiTheme="minorEastAsia" w:eastAsiaTheme="minorEastAsia"/>
          <w:color w:val="auto"/>
          <w:sz w:val="24"/>
        </w:rPr>
        <w:t>不受任何第三方提出的侵犯其著作权、商标权、专利权等知识产权方面的起诉</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如果任何第三方提出侵权</w:t>
      </w:r>
      <w:r>
        <w:rPr>
          <w:rFonts w:hint="eastAsia" w:asciiTheme="minorEastAsia" w:hAnsiTheme="minorEastAsia" w:eastAsiaTheme="minorEastAsia"/>
          <w:color w:val="auto"/>
          <w:sz w:val="24"/>
        </w:rPr>
        <w:t>指控</w:t>
      </w:r>
      <w:r>
        <w:rPr>
          <w:rFonts w:asciiTheme="minorEastAsia" w:hAnsiTheme="minorEastAsia" w:eastAsiaTheme="minorEastAsia"/>
          <w:color w:val="auto"/>
          <w:sz w:val="24"/>
        </w:rPr>
        <w:t>，那么乙方须与该第三方交涉并承担由此发生的一切责任、费用和赔偿</w:t>
      </w:r>
      <w:r>
        <w:rPr>
          <w:rFonts w:hint="eastAsia" w:asciiTheme="minorEastAsia" w:hAnsiTheme="minorEastAsia" w:eastAsiaTheme="minorEastAsia"/>
          <w:color w:val="auto"/>
          <w:sz w:val="24"/>
        </w:rPr>
        <w:t>；</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2.3.2 </w:t>
      </w:r>
      <w:r>
        <w:rPr>
          <w:rFonts w:hint="eastAsia" w:asciiTheme="minorEastAsia" w:hAnsiTheme="minorEastAsia" w:eastAsiaTheme="minorEastAsia"/>
          <w:color w:val="auto"/>
          <w:sz w:val="24"/>
        </w:rPr>
        <w:t>合同涉及技术成果的归属和收益的分成办法的，</w:t>
      </w:r>
      <w:r>
        <w:rPr>
          <w:rFonts w:asciiTheme="minorEastAsia" w:hAnsiTheme="minorEastAsia" w:eastAsiaTheme="minorEastAsia"/>
          <w:color w:val="auto"/>
          <w:sz w:val="24"/>
        </w:rPr>
        <w:t>详见</w:t>
      </w:r>
      <w:r>
        <w:rPr>
          <w:rFonts w:asciiTheme="minorEastAsia" w:hAnsiTheme="minorEastAsia" w:eastAsiaTheme="minorEastAsia"/>
          <w:b/>
          <w:i/>
          <w:color w:val="auto"/>
          <w:sz w:val="24"/>
          <w:u w:val="single"/>
        </w:rPr>
        <w:t>合同专用条款</w:t>
      </w:r>
      <w:r>
        <w:rPr>
          <w:rFonts w:asciiTheme="minorEastAsia" w:hAnsiTheme="minorEastAsia" w:eastAsiaTheme="minorEastAsia"/>
          <w:color w:val="auto"/>
          <w:sz w:val="24"/>
        </w:rPr>
        <w:t>。</w:t>
      </w:r>
    </w:p>
    <w:p>
      <w:pPr>
        <w:spacing w:line="560" w:lineRule="exact"/>
        <w:ind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 xml:space="preserve">2.4 </w:t>
      </w:r>
      <w:r>
        <w:rPr>
          <w:rFonts w:hint="eastAsia" w:asciiTheme="minorEastAsia" w:hAnsiTheme="minorEastAsia" w:eastAsiaTheme="minorEastAsia"/>
          <w:b/>
          <w:color w:val="auto"/>
          <w:sz w:val="24"/>
        </w:rPr>
        <w:t>履约检查和问题反馈</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2.4.1甲方</w:t>
      </w:r>
      <w:r>
        <w:rPr>
          <w:rFonts w:hint="eastAsia" w:asciiTheme="minorEastAsia" w:hAnsiTheme="minorEastAsia" w:eastAsiaTheme="minorEastAsia"/>
          <w:color w:val="auto"/>
          <w:sz w:val="24"/>
        </w:rPr>
        <w:t>有权</w:t>
      </w:r>
      <w:r>
        <w:rPr>
          <w:rFonts w:asciiTheme="minorEastAsia" w:hAnsiTheme="minorEastAsia" w:eastAsiaTheme="minorEastAsia"/>
          <w:color w:val="auto"/>
          <w:sz w:val="24"/>
        </w:rPr>
        <w:t>在其认为必要时</w:t>
      </w:r>
      <w:r>
        <w:rPr>
          <w:rFonts w:hint="eastAsia" w:asciiTheme="minorEastAsia" w:hAnsiTheme="minorEastAsia" w:eastAsiaTheme="minorEastAsia"/>
          <w:color w:val="auto"/>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2.4.2 </w:t>
      </w:r>
      <w:r>
        <w:rPr>
          <w:rFonts w:hint="eastAsia" w:asciiTheme="minorEastAsia" w:hAnsiTheme="minorEastAsia" w:eastAsiaTheme="minorEastAsia"/>
          <w:color w:val="auto"/>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Theme="minorEastAsia" w:hAnsiTheme="minorEastAsia" w:eastAsiaTheme="minorEastAsia"/>
          <w:b/>
          <w:color w:val="auto"/>
          <w:sz w:val="24"/>
        </w:rPr>
      </w:pPr>
      <w:bookmarkStart w:id="461" w:name="_Toc32670"/>
      <w:bookmarkStart w:id="462" w:name="_Toc22011"/>
      <w:bookmarkStart w:id="463" w:name="_Toc31233"/>
      <w:bookmarkStart w:id="464" w:name="_Toc15447"/>
      <w:bookmarkStart w:id="465" w:name="_Toc26555"/>
      <w:r>
        <w:rPr>
          <w:rFonts w:asciiTheme="minorEastAsia" w:hAnsiTheme="minorEastAsia" w:eastAsiaTheme="minorEastAsia"/>
          <w:b/>
          <w:color w:val="auto"/>
          <w:sz w:val="24"/>
        </w:rPr>
        <w:t>2.5 结算方式和付款条件</w:t>
      </w:r>
      <w:bookmarkEnd w:id="461"/>
      <w:bookmarkEnd w:id="462"/>
      <w:bookmarkEnd w:id="463"/>
      <w:bookmarkEnd w:id="464"/>
      <w:bookmarkEnd w:id="465"/>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详见</w:t>
      </w:r>
      <w:r>
        <w:rPr>
          <w:rFonts w:asciiTheme="minorEastAsia" w:hAnsiTheme="minorEastAsia" w:eastAsiaTheme="minorEastAsia"/>
          <w:b/>
          <w:i/>
          <w:color w:val="auto"/>
          <w:sz w:val="24"/>
          <w:u w:val="single"/>
        </w:rPr>
        <w:t>合同专用条款</w:t>
      </w:r>
      <w:r>
        <w:rPr>
          <w:rFonts w:asciiTheme="minorEastAsia" w:hAnsiTheme="minorEastAsia" w:eastAsiaTheme="minorEastAsia"/>
          <w:color w:val="auto"/>
          <w:sz w:val="24"/>
        </w:rPr>
        <w:t>。</w:t>
      </w:r>
    </w:p>
    <w:p>
      <w:pPr>
        <w:spacing w:line="560" w:lineRule="exact"/>
        <w:ind w:firstLine="482" w:firstLineChars="200"/>
        <w:outlineLvl w:val="0"/>
        <w:rPr>
          <w:rFonts w:asciiTheme="minorEastAsia" w:hAnsiTheme="minorEastAsia" w:eastAsiaTheme="minorEastAsia"/>
          <w:b/>
          <w:color w:val="auto"/>
          <w:sz w:val="24"/>
        </w:rPr>
      </w:pPr>
      <w:bookmarkStart w:id="466" w:name="_Toc13467"/>
      <w:bookmarkStart w:id="467" w:name="_Toc18990"/>
      <w:bookmarkStart w:id="468" w:name="_Toc16163"/>
      <w:bookmarkStart w:id="469" w:name="_Toc13154"/>
      <w:bookmarkStart w:id="470" w:name="_Toc30507"/>
      <w:r>
        <w:rPr>
          <w:rFonts w:asciiTheme="minorEastAsia" w:hAnsiTheme="minorEastAsia" w:eastAsiaTheme="minorEastAsia"/>
          <w:b/>
          <w:color w:val="auto"/>
          <w:sz w:val="24"/>
        </w:rPr>
        <w:t>2.6 技术资料和保密义务</w:t>
      </w:r>
      <w:bookmarkEnd w:id="466"/>
      <w:bookmarkEnd w:id="467"/>
      <w:bookmarkEnd w:id="468"/>
      <w:bookmarkEnd w:id="469"/>
      <w:bookmarkEnd w:id="470"/>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2.6.1 乙方有权依据合同约定和项目需要，向甲方了解有关情况，调阅有关资料等，甲方应予积极配合；</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2.6.2 </w:t>
      </w:r>
      <w:r>
        <w:rPr>
          <w:rFonts w:hint="eastAsia" w:asciiTheme="minorEastAsia" w:hAnsiTheme="minorEastAsia" w:eastAsiaTheme="minorEastAsia"/>
          <w:color w:val="auto"/>
          <w:sz w:val="24"/>
        </w:rPr>
        <w:t>乙方有义务妥善保管和保护由甲方提供的前款信息和资料等；</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2.6.3 </w:t>
      </w:r>
      <w:r>
        <w:rPr>
          <w:rFonts w:hint="eastAsia" w:asciiTheme="minorEastAsia" w:hAnsiTheme="minorEastAsia" w:eastAsiaTheme="minorEastAsia"/>
          <w:color w:val="auto"/>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color w:val="auto"/>
          <w:sz w:val="24"/>
        </w:rPr>
        <w:t>技术情报</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技术资料</w:t>
      </w:r>
      <w:r>
        <w:rPr>
          <w:rFonts w:hint="eastAsia" w:asciiTheme="minorEastAsia" w:hAnsiTheme="minorEastAsia" w:eastAsiaTheme="minorEastAsia"/>
          <w:color w:val="auto"/>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Theme="minorEastAsia" w:hAnsiTheme="minorEastAsia" w:eastAsiaTheme="minorEastAsia"/>
          <w:b/>
          <w:color w:val="auto"/>
          <w:sz w:val="24"/>
        </w:rPr>
      </w:pPr>
      <w:bookmarkStart w:id="471" w:name="_Toc19069"/>
      <w:r>
        <w:rPr>
          <w:rFonts w:asciiTheme="minorEastAsia" w:hAnsiTheme="minorEastAsia" w:eastAsiaTheme="minorEastAsia"/>
          <w:b/>
          <w:color w:val="auto"/>
          <w:sz w:val="24"/>
        </w:rPr>
        <w:t xml:space="preserve">2.7 </w:t>
      </w:r>
      <w:r>
        <w:rPr>
          <w:rFonts w:hint="eastAsia" w:asciiTheme="minorEastAsia" w:hAnsiTheme="minorEastAsia" w:eastAsiaTheme="minorEastAsia"/>
          <w:b/>
          <w:color w:val="auto"/>
          <w:sz w:val="24"/>
        </w:rPr>
        <w:t>质量保证</w:t>
      </w:r>
      <w:bookmarkEnd w:id="471"/>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2.7.1 </w:t>
      </w:r>
      <w:r>
        <w:rPr>
          <w:rFonts w:hint="eastAsia" w:asciiTheme="minorEastAsia" w:hAnsiTheme="minorEastAsia" w:eastAsiaTheme="minorEastAsia"/>
          <w:color w:val="auto"/>
          <w:sz w:val="24"/>
        </w:rPr>
        <w:t>乙方应建立和完善履行合同的内部质量保证体系，并提供相关内部规章制度给甲方，以便甲方进行监督检查；</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2.7.2 </w:t>
      </w:r>
      <w:r>
        <w:rPr>
          <w:rFonts w:hint="eastAsia" w:asciiTheme="minorEastAsia" w:hAnsiTheme="minorEastAsia" w:eastAsiaTheme="minorEastAsia"/>
          <w:color w:val="auto"/>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Theme="minorEastAsia" w:hAnsiTheme="minorEastAsia" w:eastAsiaTheme="minorEastAsia"/>
          <w:b/>
          <w:color w:val="auto"/>
          <w:sz w:val="24"/>
        </w:rPr>
      </w:pPr>
      <w:bookmarkStart w:id="472" w:name="_Toc22267"/>
      <w:r>
        <w:rPr>
          <w:rFonts w:asciiTheme="minorEastAsia" w:hAnsiTheme="minorEastAsia" w:eastAsiaTheme="minorEastAsia"/>
          <w:b/>
          <w:color w:val="auto"/>
          <w:sz w:val="24"/>
        </w:rPr>
        <w:t xml:space="preserve">2.8 </w:t>
      </w:r>
      <w:r>
        <w:rPr>
          <w:rFonts w:hint="eastAsia" w:asciiTheme="minorEastAsia" w:hAnsiTheme="minorEastAsia" w:eastAsiaTheme="minorEastAsia"/>
          <w:b/>
          <w:color w:val="auto"/>
          <w:sz w:val="24"/>
        </w:rPr>
        <w:t>延迟履行</w:t>
      </w:r>
      <w:bookmarkEnd w:id="472"/>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在合同履行过程中，如果乙方遇到不能按时</w:t>
      </w:r>
      <w:r>
        <w:rPr>
          <w:rFonts w:hint="eastAsia" w:asciiTheme="minorEastAsia" w:hAnsiTheme="minorEastAsia" w:eastAsiaTheme="minorEastAsia"/>
          <w:color w:val="auto"/>
          <w:sz w:val="24"/>
        </w:rPr>
        <w:t>提供服务</w:t>
      </w:r>
      <w:r>
        <w:rPr>
          <w:rFonts w:asciiTheme="minorEastAsia" w:hAnsiTheme="minorEastAsia" w:eastAsiaTheme="minorEastAsia"/>
          <w:color w:val="auto"/>
          <w:sz w:val="24"/>
        </w:rPr>
        <w:t>的情况，应及时以书面形式将不能按时</w:t>
      </w:r>
      <w:r>
        <w:rPr>
          <w:rFonts w:hint="eastAsia" w:asciiTheme="minorEastAsia" w:hAnsiTheme="minorEastAsia" w:eastAsiaTheme="minorEastAsia"/>
          <w:color w:val="auto"/>
          <w:sz w:val="24"/>
        </w:rPr>
        <w:t>提供服务</w:t>
      </w:r>
      <w:r>
        <w:rPr>
          <w:rFonts w:asciiTheme="minorEastAsia" w:hAnsiTheme="minorEastAsia" w:eastAsiaTheme="minorEastAsia"/>
          <w:color w:val="auto"/>
          <w:sz w:val="24"/>
        </w:rPr>
        <w:t>的理由、预期延误时间通知甲方</w:t>
      </w:r>
      <w:r>
        <w:rPr>
          <w:rFonts w:hint="eastAsia" w:asciiTheme="minorEastAsia" w:hAnsiTheme="minorEastAsia" w:eastAsiaTheme="minorEastAsia"/>
          <w:color w:val="auto"/>
          <w:sz w:val="24"/>
        </w:rPr>
        <w:t>；甲</w:t>
      </w:r>
      <w:r>
        <w:rPr>
          <w:rFonts w:asciiTheme="minorEastAsia" w:hAnsiTheme="minorEastAsia" w:eastAsiaTheme="minorEastAsia"/>
          <w:color w:val="auto"/>
          <w:sz w:val="24"/>
        </w:rPr>
        <w:t>方收到乙方通知后，认为其理由正当的，可以书面形式酌情同意乙方可以延长</w:t>
      </w:r>
      <w:r>
        <w:rPr>
          <w:rFonts w:hint="eastAsia" w:asciiTheme="minorEastAsia" w:hAnsiTheme="minorEastAsia" w:eastAsiaTheme="minorEastAsia"/>
          <w:color w:val="auto"/>
          <w:sz w:val="24"/>
        </w:rPr>
        <w:t>履行</w:t>
      </w:r>
      <w:r>
        <w:rPr>
          <w:rFonts w:asciiTheme="minorEastAsia" w:hAnsiTheme="minorEastAsia" w:eastAsiaTheme="minorEastAsia"/>
          <w:color w:val="auto"/>
          <w:sz w:val="24"/>
        </w:rPr>
        <w:t>的具体时间。</w:t>
      </w:r>
    </w:p>
    <w:p>
      <w:pPr>
        <w:spacing w:line="560" w:lineRule="exact"/>
        <w:ind w:firstLine="482" w:firstLineChars="200"/>
        <w:outlineLvl w:val="0"/>
        <w:rPr>
          <w:rFonts w:asciiTheme="minorEastAsia" w:hAnsiTheme="minorEastAsia" w:eastAsiaTheme="minorEastAsia"/>
          <w:b/>
          <w:color w:val="auto"/>
          <w:sz w:val="24"/>
        </w:rPr>
      </w:pPr>
      <w:bookmarkStart w:id="473" w:name="_Toc10611"/>
      <w:r>
        <w:rPr>
          <w:rFonts w:asciiTheme="minorEastAsia" w:hAnsiTheme="minorEastAsia" w:eastAsiaTheme="minorEastAsia"/>
          <w:b/>
          <w:color w:val="auto"/>
          <w:sz w:val="24"/>
        </w:rPr>
        <w:t xml:space="preserve">2.9 </w:t>
      </w:r>
      <w:r>
        <w:rPr>
          <w:rFonts w:hint="eastAsia" w:asciiTheme="minorEastAsia" w:hAnsiTheme="minorEastAsia" w:eastAsiaTheme="minorEastAsia"/>
          <w:b/>
          <w:color w:val="auto"/>
          <w:sz w:val="24"/>
        </w:rPr>
        <w:t>合同变更</w:t>
      </w:r>
      <w:bookmarkEnd w:id="473"/>
    </w:p>
    <w:p>
      <w:pPr>
        <w:spacing w:line="56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color w:val="auto"/>
          <w:sz w:val="24"/>
        </w:rPr>
      </w:pPr>
      <w:bookmarkStart w:id="474" w:name="_Toc26689"/>
      <w:bookmarkStart w:id="475" w:name="_Toc10663"/>
      <w:bookmarkStart w:id="476" w:name="_Toc21830"/>
      <w:bookmarkStart w:id="477" w:name="_Toc42"/>
      <w:bookmarkStart w:id="478" w:name="_Toc23368"/>
      <w:r>
        <w:rPr>
          <w:rFonts w:asciiTheme="minorEastAsia" w:hAnsiTheme="minorEastAsia" w:eastAsiaTheme="minorEastAsia"/>
          <w:b/>
          <w:color w:val="auto"/>
          <w:sz w:val="24"/>
        </w:rPr>
        <w:t>2.10 合同转让和分包</w:t>
      </w:r>
      <w:bookmarkEnd w:id="474"/>
      <w:bookmarkEnd w:id="475"/>
      <w:bookmarkEnd w:id="476"/>
      <w:bookmarkEnd w:id="477"/>
      <w:bookmarkEnd w:id="478"/>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合同的权利义务依法不</w:t>
      </w:r>
      <w:r>
        <w:rPr>
          <w:rFonts w:hint="eastAsia" w:asciiTheme="minorEastAsia" w:hAnsiTheme="minorEastAsia" w:eastAsiaTheme="minorEastAsia"/>
          <w:color w:val="auto"/>
          <w:sz w:val="24"/>
        </w:rPr>
        <w:t>得</w:t>
      </w:r>
      <w:r>
        <w:rPr>
          <w:rFonts w:asciiTheme="minorEastAsia" w:hAnsiTheme="minorEastAsia" w:eastAsiaTheme="minorEastAsia"/>
          <w:color w:val="auto"/>
          <w:sz w:val="24"/>
        </w:rPr>
        <w:t>转让</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但经甲方</w:t>
      </w:r>
      <w:r>
        <w:rPr>
          <w:rFonts w:hint="eastAsia" w:asciiTheme="minorEastAsia" w:hAnsiTheme="minorEastAsia" w:eastAsiaTheme="minorEastAsia"/>
          <w:color w:val="auto"/>
          <w:sz w:val="24"/>
        </w:rPr>
        <w:t>同意，乙方可以依法采取分包方式履行合同，即：依法可以</w:t>
      </w:r>
      <w:r>
        <w:rPr>
          <w:rFonts w:asciiTheme="minorEastAsia" w:hAnsiTheme="minorEastAsia" w:eastAsiaTheme="minorEastAsia"/>
          <w:color w:val="auto"/>
          <w:sz w:val="24"/>
        </w:rPr>
        <w:t>将合同项下的部分非主体、非关键性工作分包给他人完成</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接受分包的人应当具备相应的资格条件，并不得再次分包</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且乙方应就分包项目向甲方负责</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并</w:t>
      </w:r>
      <w:r>
        <w:rPr>
          <w:rFonts w:hint="eastAsia" w:asciiTheme="minorEastAsia" w:hAnsiTheme="minorEastAsia" w:eastAsiaTheme="minorEastAsia"/>
          <w:color w:val="auto"/>
          <w:sz w:val="24"/>
        </w:rPr>
        <w:t>与分包供应商就分包项目向甲方承担连带责任。</w:t>
      </w:r>
    </w:p>
    <w:p>
      <w:pPr>
        <w:spacing w:line="560" w:lineRule="exact"/>
        <w:ind w:firstLine="482" w:firstLineChars="200"/>
        <w:outlineLvl w:val="0"/>
        <w:rPr>
          <w:rFonts w:asciiTheme="minorEastAsia" w:hAnsiTheme="minorEastAsia" w:eastAsiaTheme="minorEastAsia"/>
          <w:b/>
          <w:color w:val="auto"/>
          <w:sz w:val="24"/>
        </w:rPr>
      </w:pPr>
      <w:bookmarkStart w:id="479" w:name="_Toc14371"/>
      <w:bookmarkStart w:id="480" w:name="_Toc25571"/>
      <w:bookmarkStart w:id="481" w:name="_Toc32494"/>
      <w:bookmarkStart w:id="482" w:name="_Toc4720"/>
      <w:bookmarkStart w:id="483" w:name="_Toc26633"/>
      <w:r>
        <w:rPr>
          <w:rFonts w:asciiTheme="minorEastAsia" w:hAnsiTheme="minorEastAsia" w:eastAsiaTheme="minorEastAsia"/>
          <w:b/>
          <w:color w:val="auto"/>
          <w:sz w:val="24"/>
        </w:rPr>
        <w:t>2.11 不可抗力</w:t>
      </w:r>
      <w:bookmarkEnd w:id="479"/>
      <w:bookmarkEnd w:id="480"/>
      <w:bookmarkEnd w:id="481"/>
      <w:bookmarkEnd w:id="482"/>
      <w:bookmarkEnd w:id="483"/>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2.11.1如果任何一方遭遇法律规定的不可抗力，致使合同履行受阻时，履行合同的期限应予延长，延长的期限应相当于不可抗力所影响的时间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color w:val="auto"/>
          <w:sz w:val="24"/>
        </w:rPr>
        <w:t>；</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2.11.2 </w:t>
      </w:r>
      <w:r>
        <w:rPr>
          <w:rFonts w:hint="eastAsia" w:asciiTheme="minorEastAsia" w:hAnsiTheme="minorEastAsia" w:eastAsiaTheme="minorEastAsia"/>
          <w:color w:val="auto"/>
          <w:sz w:val="24"/>
        </w:rPr>
        <w:t>因不可抗力致使不能实现合同目的的，当事人可以解除合同；</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2.11.3 </w:t>
      </w:r>
      <w:r>
        <w:rPr>
          <w:rFonts w:hint="eastAsia" w:asciiTheme="minorEastAsia" w:hAnsiTheme="minorEastAsia" w:eastAsiaTheme="minorEastAsia"/>
          <w:color w:val="auto"/>
          <w:sz w:val="24"/>
        </w:rPr>
        <w:t>因</w:t>
      </w:r>
      <w:r>
        <w:rPr>
          <w:rFonts w:asciiTheme="minorEastAsia" w:hAnsiTheme="minorEastAsia" w:eastAsiaTheme="minorEastAsia"/>
          <w:color w:val="auto"/>
          <w:sz w:val="24"/>
        </w:rPr>
        <w:t>不可抗力致使合同有变更必要的，双方当事人应在</w:t>
      </w:r>
      <w:r>
        <w:rPr>
          <w:rFonts w:asciiTheme="minorEastAsia" w:hAnsiTheme="minorEastAsia" w:eastAsiaTheme="minorEastAsia"/>
          <w:b/>
          <w:i/>
          <w:color w:val="auto"/>
          <w:sz w:val="24"/>
          <w:u w:val="single"/>
        </w:rPr>
        <w:t>合同专用条款</w:t>
      </w:r>
      <w:r>
        <w:rPr>
          <w:rFonts w:asciiTheme="minorEastAsia" w:hAnsiTheme="minorEastAsia" w:eastAsiaTheme="minorEastAsia"/>
          <w:color w:val="auto"/>
          <w:sz w:val="24"/>
        </w:rPr>
        <w:t>约定时间内以书面形式变更合同</w:t>
      </w:r>
      <w:r>
        <w:rPr>
          <w:rFonts w:hint="eastAsia" w:asciiTheme="minorEastAsia" w:hAnsiTheme="minorEastAsia" w:eastAsiaTheme="minorEastAsia"/>
          <w:color w:val="auto"/>
          <w:sz w:val="24"/>
        </w:rPr>
        <w:t>；</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2.11.4受</w:t>
      </w:r>
      <w:r>
        <w:rPr>
          <w:rFonts w:hint="eastAsia" w:asciiTheme="minorEastAsia" w:hAnsiTheme="minorEastAsia" w:eastAsiaTheme="minorEastAsia"/>
          <w:color w:val="auto"/>
          <w:sz w:val="24"/>
        </w:rPr>
        <w:t>不可抗力</w:t>
      </w:r>
      <w:r>
        <w:rPr>
          <w:rFonts w:asciiTheme="minorEastAsia" w:hAnsiTheme="minorEastAsia" w:eastAsiaTheme="minorEastAsia"/>
          <w:color w:val="auto"/>
          <w:sz w:val="24"/>
        </w:rPr>
        <w:t>影响的一方在不可抗力发生后</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应在</w:t>
      </w:r>
      <w:r>
        <w:rPr>
          <w:rFonts w:asciiTheme="minorEastAsia" w:hAnsiTheme="minorEastAsia" w:eastAsiaTheme="minorEastAsia"/>
          <w:b/>
          <w:i/>
          <w:color w:val="auto"/>
          <w:sz w:val="24"/>
          <w:u w:val="single"/>
        </w:rPr>
        <w:t>合同专用条款</w:t>
      </w:r>
      <w:r>
        <w:rPr>
          <w:rFonts w:asciiTheme="minorEastAsia" w:hAnsiTheme="minorEastAsia" w:eastAsiaTheme="minorEastAsia"/>
          <w:color w:val="auto"/>
          <w:sz w:val="24"/>
        </w:rPr>
        <w:t>约定时间内以书面形式通知</w:t>
      </w:r>
      <w:r>
        <w:rPr>
          <w:rFonts w:hint="eastAsia" w:asciiTheme="minorEastAsia" w:hAnsiTheme="minorEastAsia" w:eastAsiaTheme="minorEastAsia"/>
          <w:color w:val="auto"/>
          <w:sz w:val="24"/>
        </w:rPr>
        <w:t>对</w:t>
      </w:r>
      <w:r>
        <w:rPr>
          <w:rFonts w:asciiTheme="minorEastAsia" w:hAnsiTheme="minorEastAsia" w:eastAsiaTheme="minorEastAsia"/>
          <w:color w:val="auto"/>
          <w:sz w:val="24"/>
        </w:rPr>
        <w:t>方当事人，并在</w:t>
      </w:r>
      <w:r>
        <w:rPr>
          <w:rFonts w:asciiTheme="minorEastAsia" w:hAnsiTheme="minorEastAsia" w:eastAsiaTheme="minorEastAsia"/>
          <w:b/>
          <w:i/>
          <w:color w:val="auto"/>
          <w:sz w:val="24"/>
          <w:u w:val="single"/>
        </w:rPr>
        <w:t>合同专用条款</w:t>
      </w:r>
      <w:r>
        <w:rPr>
          <w:rFonts w:asciiTheme="minorEastAsia" w:hAnsiTheme="minorEastAsia" w:eastAsiaTheme="minorEastAsia"/>
          <w:color w:val="auto"/>
          <w:sz w:val="24"/>
        </w:rPr>
        <w:t>约定时间内，将有关部门出具的证明文件送达</w:t>
      </w:r>
      <w:r>
        <w:rPr>
          <w:rFonts w:hint="eastAsia" w:asciiTheme="minorEastAsia" w:hAnsiTheme="minorEastAsia" w:eastAsiaTheme="minorEastAsia"/>
          <w:color w:val="auto"/>
          <w:sz w:val="24"/>
        </w:rPr>
        <w:t>对方当事人</w:t>
      </w:r>
      <w:r>
        <w:rPr>
          <w:rFonts w:asciiTheme="minorEastAsia" w:hAnsiTheme="minorEastAsia" w:eastAsiaTheme="minorEastAsia"/>
          <w:color w:val="auto"/>
          <w:sz w:val="24"/>
        </w:rPr>
        <w:t>。</w:t>
      </w:r>
    </w:p>
    <w:p>
      <w:pPr>
        <w:spacing w:line="560" w:lineRule="exact"/>
        <w:ind w:firstLine="482" w:firstLineChars="200"/>
        <w:outlineLvl w:val="0"/>
        <w:rPr>
          <w:rFonts w:asciiTheme="minorEastAsia" w:hAnsiTheme="minorEastAsia" w:eastAsiaTheme="minorEastAsia"/>
          <w:b/>
          <w:color w:val="auto"/>
          <w:sz w:val="24"/>
        </w:rPr>
      </w:pPr>
      <w:bookmarkStart w:id="484" w:name="_Toc23854"/>
      <w:bookmarkStart w:id="485" w:name="_Toc3638"/>
      <w:bookmarkStart w:id="486" w:name="_Toc25783"/>
      <w:bookmarkStart w:id="487" w:name="_Toc14115"/>
      <w:bookmarkStart w:id="488" w:name="_Toc24465"/>
      <w:r>
        <w:rPr>
          <w:rFonts w:asciiTheme="minorEastAsia" w:hAnsiTheme="minorEastAsia" w:eastAsiaTheme="minorEastAsia"/>
          <w:b/>
          <w:color w:val="auto"/>
          <w:sz w:val="24"/>
        </w:rPr>
        <w:t>2.12 税费</w:t>
      </w:r>
      <w:bookmarkEnd w:id="484"/>
      <w:bookmarkEnd w:id="485"/>
      <w:bookmarkEnd w:id="486"/>
      <w:bookmarkEnd w:id="487"/>
      <w:bookmarkEnd w:id="488"/>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与合同有关的一切税费</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均按照中华人民共和国法律的相关规定缴纳。</w:t>
      </w:r>
    </w:p>
    <w:p>
      <w:pPr>
        <w:spacing w:line="560" w:lineRule="exact"/>
        <w:ind w:firstLine="482" w:firstLineChars="200"/>
        <w:outlineLvl w:val="0"/>
        <w:rPr>
          <w:rFonts w:asciiTheme="minorEastAsia" w:hAnsiTheme="minorEastAsia" w:eastAsiaTheme="minorEastAsia"/>
          <w:b/>
          <w:color w:val="auto"/>
          <w:sz w:val="24"/>
        </w:rPr>
      </w:pPr>
      <w:bookmarkStart w:id="489" w:name="_Toc26883"/>
      <w:bookmarkStart w:id="490" w:name="_Toc7315"/>
      <w:bookmarkStart w:id="491" w:name="_Toc30105"/>
      <w:bookmarkStart w:id="492" w:name="_Toc14814"/>
      <w:bookmarkStart w:id="493" w:name="_Toc25525"/>
      <w:r>
        <w:rPr>
          <w:rFonts w:asciiTheme="minorEastAsia" w:hAnsiTheme="minorEastAsia" w:eastAsiaTheme="minorEastAsia"/>
          <w:b/>
          <w:color w:val="auto"/>
          <w:sz w:val="24"/>
        </w:rPr>
        <w:t>2.13 乙方破产</w:t>
      </w:r>
      <w:bookmarkEnd w:id="489"/>
      <w:bookmarkEnd w:id="490"/>
      <w:bookmarkEnd w:id="491"/>
      <w:bookmarkEnd w:id="492"/>
      <w:bookmarkEnd w:id="493"/>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如果乙方破产导致合同无法履行时，甲方可以书面形式通知乙方终止合同且不给予乙方任何补偿和赔偿</w:t>
      </w:r>
      <w:r>
        <w:rPr>
          <w:rFonts w:hint="eastAsia" w:asciiTheme="minorEastAsia" w:hAnsiTheme="minorEastAsia" w:eastAsiaTheme="minorEastAsia"/>
          <w:color w:val="auto"/>
          <w:sz w:val="24"/>
        </w:rPr>
        <w:t>，但合同的</w:t>
      </w:r>
      <w:r>
        <w:rPr>
          <w:rFonts w:asciiTheme="minorEastAsia" w:hAnsiTheme="minorEastAsia" w:eastAsiaTheme="minorEastAsia"/>
          <w:color w:val="auto"/>
          <w:sz w:val="24"/>
        </w:rPr>
        <w:t>终止不损害或不影响甲方已经采取或将要采取的任何要求乙方支付违约金</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赔偿损失等的行动或补救措施的权利</w:t>
      </w:r>
      <w:r>
        <w:rPr>
          <w:rFonts w:hint="eastAsia" w:asciiTheme="minorEastAsia" w:hAnsiTheme="minorEastAsia" w:eastAsiaTheme="minorEastAsia"/>
          <w:color w:val="auto"/>
          <w:sz w:val="24"/>
        </w:rPr>
        <w:t>。</w:t>
      </w:r>
    </w:p>
    <w:p>
      <w:pPr>
        <w:spacing w:line="560" w:lineRule="exact"/>
        <w:ind w:firstLine="482" w:firstLineChars="200"/>
        <w:outlineLvl w:val="0"/>
        <w:rPr>
          <w:rFonts w:asciiTheme="minorEastAsia" w:hAnsiTheme="minorEastAsia" w:eastAsiaTheme="minorEastAsia"/>
          <w:b/>
          <w:color w:val="auto"/>
          <w:sz w:val="24"/>
        </w:rPr>
      </w:pPr>
      <w:bookmarkStart w:id="494" w:name="_Toc2016"/>
      <w:bookmarkStart w:id="495" w:name="_Toc1123"/>
      <w:bookmarkStart w:id="496" w:name="_Toc23323"/>
      <w:r>
        <w:rPr>
          <w:rFonts w:asciiTheme="minorEastAsia" w:hAnsiTheme="minorEastAsia" w:eastAsiaTheme="minorEastAsia"/>
          <w:b/>
          <w:color w:val="auto"/>
          <w:sz w:val="24"/>
        </w:rPr>
        <w:t>2.14 合同中止、终止</w:t>
      </w:r>
      <w:bookmarkEnd w:id="494"/>
      <w:bookmarkEnd w:id="495"/>
      <w:bookmarkEnd w:id="496"/>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2.14.1 </w:t>
      </w:r>
      <w:r>
        <w:rPr>
          <w:rFonts w:hint="eastAsia" w:asciiTheme="minorEastAsia" w:hAnsiTheme="minorEastAsia" w:eastAsiaTheme="minorEastAsia"/>
          <w:color w:val="auto"/>
          <w:sz w:val="24"/>
        </w:rPr>
        <w:t>双方当事人不得擅自中止或者终止合同；</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Theme="minorEastAsia" w:hAnsiTheme="minorEastAsia" w:eastAsiaTheme="minorEastAsia"/>
          <w:b/>
          <w:color w:val="auto"/>
          <w:sz w:val="24"/>
        </w:rPr>
      </w:pPr>
      <w:bookmarkStart w:id="497" w:name="_Toc14525"/>
      <w:bookmarkStart w:id="498" w:name="_Toc1969"/>
      <w:bookmarkStart w:id="499" w:name="_Toc17363"/>
      <w:r>
        <w:rPr>
          <w:rFonts w:asciiTheme="minorEastAsia" w:hAnsiTheme="minorEastAsia" w:eastAsiaTheme="minorEastAsia"/>
          <w:b/>
          <w:color w:val="auto"/>
          <w:sz w:val="24"/>
        </w:rPr>
        <w:t>2.15 检验和验收</w:t>
      </w:r>
      <w:bookmarkEnd w:id="497"/>
      <w:bookmarkEnd w:id="498"/>
      <w:bookmarkEnd w:id="499"/>
    </w:p>
    <w:p>
      <w:pPr>
        <w:tabs>
          <w:tab w:val="left" w:pos="360"/>
          <w:tab w:val="left" w:pos="540"/>
          <w:tab w:val="left" w:pos="1080"/>
        </w:tabs>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2.15.1 </w:t>
      </w:r>
      <w:r>
        <w:rPr>
          <w:rFonts w:hint="eastAsia" w:asciiTheme="minorEastAsia" w:hAnsiTheme="minorEastAsia" w:eastAsiaTheme="minorEastAsia"/>
          <w:color w:val="auto"/>
          <w:sz w:val="24"/>
        </w:rPr>
        <w:t>乙方按照</w:t>
      </w:r>
      <w:r>
        <w:rPr>
          <w:rFonts w:asciiTheme="minorEastAsia" w:hAnsiTheme="minorEastAsia" w:eastAsiaTheme="minorEastAsia"/>
          <w:b/>
          <w:i/>
          <w:color w:val="auto"/>
          <w:sz w:val="24"/>
          <w:u w:val="single"/>
        </w:rPr>
        <w:t>合同专用条款</w:t>
      </w:r>
      <w:r>
        <w:rPr>
          <w:rFonts w:asciiTheme="minorEastAsia" w:hAnsiTheme="minorEastAsia" w:eastAsiaTheme="minorEastAsia"/>
          <w:color w:val="auto"/>
          <w:sz w:val="24"/>
        </w:rPr>
        <w:t>的约定</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定期提交服务报告</w:t>
      </w:r>
      <w:r>
        <w:rPr>
          <w:rFonts w:hint="eastAsia" w:asciiTheme="minorEastAsia" w:hAnsiTheme="minorEastAsia" w:eastAsiaTheme="minorEastAsia"/>
          <w:color w:val="auto"/>
          <w:sz w:val="24"/>
        </w:rPr>
        <w:t>，甲方按照</w:t>
      </w:r>
      <w:r>
        <w:rPr>
          <w:rFonts w:asciiTheme="minorEastAsia" w:hAnsiTheme="minorEastAsia" w:eastAsiaTheme="minorEastAsia"/>
          <w:b/>
          <w:i/>
          <w:color w:val="auto"/>
          <w:sz w:val="24"/>
          <w:u w:val="single"/>
        </w:rPr>
        <w:t>合同专用条款</w:t>
      </w:r>
      <w:r>
        <w:rPr>
          <w:rFonts w:asciiTheme="minorEastAsia" w:hAnsiTheme="minorEastAsia" w:eastAsiaTheme="minorEastAsia"/>
          <w:color w:val="auto"/>
          <w:sz w:val="24"/>
        </w:rPr>
        <w:t>的约定进行定期验收</w:t>
      </w:r>
      <w:r>
        <w:rPr>
          <w:rFonts w:hint="eastAsia" w:asciiTheme="minorEastAsia" w:hAnsiTheme="minorEastAsia" w:eastAsiaTheme="minorEastAsia"/>
          <w:color w:val="auto"/>
          <w:sz w:val="24"/>
        </w:rPr>
        <w:t>；</w:t>
      </w:r>
    </w:p>
    <w:p>
      <w:pPr>
        <w:tabs>
          <w:tab w:val="left" w:pos="360"/>
          <w:tab w:val="left" w:pos="540"/>
          <w:tab w:val="left" w:pos="1080"/>
        </w:tabs>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2.15.2 </w:t>
      </w:r>
      <w:r>
        <w:rPr>
          <w:rFonts w:hint="eastAsia" w:asciiTheme="minorEastAsia" w:hAnsiTheme="minorEastAsia" w:eastAsiaTheme="minorEastAsia"/>
          <w:color w:val="auto"/>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2.15.3 </w:t>
      </w:r>
      <w:r>
        <w:rPr>
          <w:rFonts w:hint="eastAsia" w:asciiTheme="minorEastAsia" w:hAnsiTheme="minorEastAsia" w:eastAsiaTheme="minorEastAsia"/>
          <w:color w:val="auto"/>
          <w:sz w:val="24"/>
        </w:rPr>
        <w:t>检验和验收标准、程序等具体内容以及前述验收书的效力详见</w:t>
      </w:r>
      <w:r>
        <w:rPr>
          <w:rFonts w:asciiTheme="minorEastAsia" w:hAnsiTheme="minorEastAsia" w:eastAsiaTheme="minorEastAsia"/>
          <w:b/>
          <w:i/>
          <w:color w:val="auto"/>
          <w:sz w:val="24"/>
          <w:u w:val="single"/>
        </w:rPr>
        <w:t>合同专用条款</w:t>
      </w:r>
      <w:r>
        <w:rPr>
          <w:rFonts w:hint="eastAsia" w:asciiTheme="minorEastAsia" w:hAnsiTheme="minorEastAsia" w:eastAsiaTheme="minorEastAsia"/>
          <w:i/>
          <w:color w:val="auto"/>
          <w:sz w:val="24"/>
        </w:rPr>
        <w:t>。</w:t>
      </w:r>
    </w:p>
    <w:p>
      <w:pPr>
        <w:spacing w:line="560" w:lineRule="exact"/>
        <w:ind w:firstLine="482" w:firstLineChars="200"/>
        <w:outlineLvl w:val="0"/>
        <w:rPr>
          <w:rFonts w:asciiTheme="minorEastAsia" w:hAnsiTheme="minorEastAsia" w:eastAsiaTheme="minorEastAsia"/>
          <w:b/>
          <w:color w:val="auto"/>
          <w:sz w:val="24"/>
        </w:rPr>
      </w:pPr>
      <w:bookmarkStart w:id="500" w:name="_Toc31892"/>
      <w:bookmarkStart w:id="501" w:name="_Toc25198"/>
      <w:bookmarkStart w:id="502" w:name="_Toc2308"/>
      <w:bookmarkStart w:id="503" w:name="_Toc12666"/>
      <w:bookmarkStart w:id="504" w:name="_Toc9808"/>
      <w:r>
        <w:rPr>
          <w:rFonts w:asciiTheme="minorEastAsia" w:hAnsiTheme="minorEastAsia" w:eastAsiaTheme="minorEastAsia"/>
          <w:b/>
          <w:color w:val="auto"/>
          <w:sz w:val="24"/>
        </w:rPr>
        <w:t>2.16 通知和送达</w:t>
      </w:r>
      <w:bookmarkEnd w:id="500"/>
      <w:bookmarkEnd w:id="501"/>
      <w:bookmarkEnd w:id="502"/>
      <w:bookmarkEnd w:id="503"/>
      <w:bookmarkEnd w:id="504"/>
    </w:p>
    <w:p>
      <w:pPr>
        <w:spacing w:line="560" w:lineRule="exact"/>
        <w:ind w:firstLine="480" w:firstLineChars="200"/>
        <w:rPr>
          <w:rFonts w:asciiTheme="minorEastAsia" w:hAnsiTheme="minorEastAsia" w:eastAsiaTheme="minorEastAsia"/>
          <w:color w:val="auto"/>
          <w:sz w:val="24"/>
        </w:rPr>
      </w:pPr>
      <w:bookmarkStart w:id="505" w:name="_Toc27674"/>
      <w:bookmarkStart w:id="506" w:name="_Toc18401"/>
      <w:r>
        <w:rPr>
          <w:rFonts w:asciiTheme="minorEastAsia" w:hAnsiTheme="minorEastAsia" w:eastAsiaTheme="minorEastAsia"/>
          <w:color w:val="auto"/>
          <w:sz w:val="24"/>
        </w:rPr>
        <w:t>2.17.1</w:t>
      </w:r>
      <w:r>
        <w:rPr>
          <w:rFonts w:hint="eastAsia" w:asciiTheme="minorEastAsia" w:hAnsiTheme="minorEastAsia" w:eastAsiaTheme="minorEastAsia"/>
          <w:color w:val="auto"/>
          <w:sz w:val="24"/>
        </w:rPr>
        <w:t>任何一方因履行合同而以合同第一部分尾部所列明的传真或电子邮件</w:t>
      </w:r>
      <w:r>
        <w:rPr>
          <w:rFonts w:asciiTheme="minorEastAsia" w:hAnsiTheme="minorEastAsia" w:eastAsiaTheme="minorEastAsia"/>
          <w:color w:val="auto"/>
          <w:sz w:val="24"/>
        </w:rPr>
        <w:t xml:space="preserve"> </w:t>
      </w:r>
      <w:r>
        <w:rPr>
          <w:rFonts w:asciiTheme="minorEastAsia" w:hAnsiTheme="minorEastAsia" w:eastAsiaTheme="minorEastAsia"/>
          <w:color w:val="auto"/>
          <w:sz w:val="24"/>
          <w:u w:val="single"/>
        </w:rPr>
        <w:t xml:space="preserve">       </w:t>
      </w:r>
      <w:r>
        <w:rPr>
          <w:rFonts w:hint="eastAsia" w:asciiTheme="minorEastAsia" w:hAnsiTheme="minorEastAsia" w:eastAsiaTheme="minorEastAsia"/>
          <w:color w:val="auto"/>
          <w:sz w:val="24"/>
        </w:rPr>
        <w:t>发出的所有通知、文件、材料，均视为已向对方当事人送达；任何一方变更上述送达方式或者地址的，应于</w:t>
      </w:r>
      <w:r>
        <w:rPr>
          <w:rFonts w:asciiTheme="minorEastAsia" w:hAnsiTheme="minorEastAsia" w:eastAsiaTheme="minorEastAsia"/>
          <w:color w:val="auto"/>
          <w:sz w:val="24"/>
          <w:u w:val="single"/>
        </w:rPr>
        <w:t>3</w:t>
      </w:r>
      <w:r>
        <w:rPr>
          <w:rFonts w:hint="eastAsia" w:asciiTheme="minorEastAsia" w:hAnsiTheme="minorEastAsia" w:eastAsiaTheme="minorEastAsia"/>
          <w:color w:val="auto"/>
          <w:sz w:val="24"/>
        </w:rPr>
        <w:t>个工作日内书面通知对方当事人，在对方当事人收到有关变更通知之前，变更前的约定送达方式或者地址仍视为有效。</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2.17.2以当面交付方式送达的，交付之时视为送达；以电子邮件方式送达的，发出电子邮件之时视为送达；以传真方式送达的，发出传真之时视为送达；以邮寄方式送达</w:t>
      </w:r>
      <w:r>
        <w:rPr>
          <w:rFonts w:hint="eastAsia" w:asciiTheme="minorEastAsia" w:hAnsiTheme="minorEastAsia" w:eastAsiaTheme="minorEastAsia"/>
          <w:color w:val="auto"/>
          <w:sz w:val="24"/>
        </w:rPr>
        <w:t>的，邮件挂号寄出或者交邮之日之次日视为送达。</w:t>
      </w:r>
      <w:bookmarkEnd w:id="505"/>
      <w:bookmarkEnd w:id="506"/>
    </w:p>
    <w:p>
      <w:pPr>
        <w:spacing w:line="560" w:lineRule="exact"/>
        <w:ind w:firstLine="482" w:firstLineChars="200"/>
        <w:outlineLvl w:val="0"/>
        <w:rPr>
          <w:rFonts w:asciiTheme="minorEastAsia" w:hAnsiTheme="minorEastAsia" w:eastAsiaTheme="minorEastAsia"/>
          <w:b/>
          <w:color w:val="auto"/>
          <w:sz w:val="24"/>
        </w:rPr>
      </w:pPr>
      <w:bookmarkStart w:id="507" w:name="_Toc5063"/>
      <w:bookmarkStart w:id="508" w:name="_Toc28906"/>
      <w:bookmarkStart w:id="509" w:name="_Toc20808"/>
      <w:bookmarkStart w:id="510" w:name="_Toc12254"/>
      <w:bookmarkStart w:id="511" w:name="_Toc27644"/>
      <w:r>
        <w:rPr>
          <w:rFonts w:asciiTheme="minorEastAsia" w:hAnsiTheme="minorEastAsia" w:eastAsiaTheme="minorEastAsia"/>
          <w:b/>
          <w:color w:val="auto"/>
          <w:sz w:val="24"/>
        </w:rPr>
        <w:t xml:space="preserve">2.17 </w:t>
      </w:r>
      <w:r>
        <w:rPr>
          <w:rFonts w:hint="eastAsia" w:asciiTheme="minorEastAsia" w:hAnsiTheme="minorEastAsia" w:eastAsiaTheme="minorEastAsia"/>
          <w:b/>
          <w:color w:val="auto"/>
          <w:sz w:val="24"/>
        </w:rPr>
        <w:t>合同使用的文字和</w:t>
      </w:r>
      <w:r>
        <w:rPr>
          <w:rFonts w:asciiTheme="minorEastAsia" w:hAnsiTheme="minorEastAsia" w:eastAsiaTheme="minorEastAsia"/>
          <w:b/>
          <w:color w:val="auto"/>
          <w:sz w:val="24"/>
        </w:rPr>
        <w:t>适用的法律</w:t>
      </w:r>
      <w:bookmarkEnd w:id="507"/>
      <w:bookmarkEnd w:id="508"/>
      <w:bookmarkEnd w:id="509"/>
      <w:bookmarkEnd w:id="510"/>
      <w:bookmarkEnd w:id="511"/>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2.17.1 合同使用汉语书就</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变更和解释</w:t>
      </w:r>
      <w:r>
        <w:rPr>
          <w:rFonts w:hint="eastAsia" w:asciiTheme="minorEastAsia" w:hAnsiTheme="minorEastAsia" w:eastAsiaTheme="minorEastAsia"/>
          <w:color w:val="auto"/>
          <w:sz w:val="24"/>
        </w:rPr>
        <w:t>；</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2.17.2 </w:t>
      </w:r>
      <w:r>
        <w:rPr>
          <w:rFonts w:hint="eastAsia" w:asciiTheme="minorEastAsia" w:hAnsiTheme="minorEastAsia" w:eastAsiaTheme="minorEastAsia"/>
          <w:color w:val="auto"/>
          <w:sz w:val="24"/>
        </w:rPr>
        <w:t>合同适用</w:t>
      </w:r>
      <w:r>
        <w:rPr>
          <w:rFonts w:asciiTheme="minorEastAsia" w:hAnsiTheme="minorEastAsia" w:eastAsiaTheme="minorEastAsia"/>
          <w:color w:val="auto"/>
          <w:sz w:val="24"/>
        </w:rPr>
        <w:t>中华人民共和国法律。</w:t>
      </w:r>
    </w:p>
    <w:p>
      <w:pPr>
        <w:spacing w:line="560" w:lineRule="exact"/>
        <w:ind w:firstLine="482" w:firstLineChars="200"/>
        <w:outlineLvl w:val="0"/>
        <w:rPr>
          <w:rFonts w:asciiTheme="minorEastAsia" w:hAnsiTheme="minorEastAsia" w:eastAsiaTheme="minorEastAsia"/>
          <w:b/>
          <w:color w:val="auto"/>
          <w:sz w:val="24"/>
        </w:rPr>
      </w:pPr>
      <w:bookmarkStart w:id="512" w:name="_Toc1492"/>
      <w:bookmarkStart w:id="513" w:name="_Toc22266"/>
      <w:bookmarkStart w:id="514" w:name="_Toc30096"/>
      <w:bookmarkStart w:id="515" w:name="_Toc27127"/>
      <w:bookmarkStart w:id="516" w:name="_Toc27403"/>
      <w:r>
        <w:rPr>
          <w:rFonts w:asciiTheme="minorEastAsia" w:hAnsiTheme="minorEastAsia" w:eastAsiaTheme="minorEastAsia"/>
          <w:b/>
          <w:color w:val="auto"/>
          <w:sz w:val="24"/>
        </w:rPr>
        <w:t>2.18 履约保证金</w:t>
      </w:r>
      <w:bookmarkEnd w:id="512"/>
      <w:bookmarkEnd w:id="513"/>
      <w:bookmarkEnd w:id="514"/>
      <w:bookmarkEnd w:id="515"/>
      <w:bookmarkEnd w:id="516"/>
    </w:p>
    <w:p>
      <w:pPr>
        <w:pStyle w:val="958"/>
        <w:spacing w:before="0" w:beforeAutospacing="0" w:after="0" w:afterAutospacing="0" w:line="360" w:lineRule="auto"/>
        <w:ind w:firstLine="420"/>
        <w:rPr>
          <w:rFonts w:asciiTheme="minorEastAsia" w:hAnsiTheme="minorEastAsia" w:eastAsiaTheme="minorEastAsia"/>
          <w:color w:val="auto"/>
        </w:rPr>
      </w:pPr>
      <w:r>
        <w:rPr>
          <w:rFonts w:asciiTheme="minorEastAsia" w:hAnsiTheme="minorEastAsia" w:eastAsiaTheme="minorEastAsia"/>
          <w:color w:val="auto"/>
        </w:rPr>
        <w:t xml:space="preserve">2.18.1 </w:t>
      </w:r>
      <w:r>
        <w:rPr>
          <w:rFonts w:hint="eastAsia" w:asciiTheme="minorEastAsia" w:hAnsiTheme="minorEastAsia" w:eastAsiaTheme="minorEastAsia"/>
          <w:color w:val="auto"/>
        </w:rPr>
        <w:t>采购文件要求乙方提交履约保证金的，乙方应按</w:t>
      </w:r>
      <w:r>
        <w:rPr>
          <w:rFonts w:hint="eastAsia" w:asciiTheme="minorEastAsia" w:hAnsiTheme="minorEastAsia" w:eastAsiaTheme="minorEastAsia"/>
          <w:b/>
          <w:i/>
          <w:color w:val="auto"/>
          <w:u w:val="single"/>
        </w:rPr>
        <w:t>合同专用条款</w:t>
      </w:r>
      <w:r>
        <w:rPr>
          <w:rFonts w:hint="eastAsia" w:asciiTheme="minorEastAsia" w:hAnsiTheme="minorEastAsia" w:eastAsiaTheme="minorEastAsia"/>
          <w:color w:val="auto"/>
        </w:rPr>
        <w:t>约定的方式，以支票、汇票、本票或者金融机构、担保机构出具的保函等非现金形式，提交不超过合同金额</w:t>
      </w:r>
      <w:r>
        <w:rPr>
          <w:rFonts w:asciiTheme="minorEastAsia" w:hAnsiTheme="minorEastAsia" w:eastAsiaTheme="minorEastAsia"/>
          <w:color w:val="auto"/>
        </w:rPr>
        <w:t>1%的履约保证金；鼓励和支持乙方以银行、保险公司出具的保函形式提供履约保证</w:t>
      </w:r>
      <w:r>
        <w:rPr>
          <w:rFonts w:hint="eastAsia" w:asciiTheme="minorEastAsia" w:hAnsiTheme="minorEastAsia" w:eastAsiaTheme="minorEastAsia"/>
          <w:color w:val="auto"/>
        </w:rPr>
        <w:t>，乙方以银行、保险公司出具保函形式提交履约保证金的，甲方不得拒收。</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2.18.2  </w:t>
      </w:r>
      <w:r>
        <w:rPr>
          <w:rFonts w:hint="eastAsia" w:asciiTheme="minorEastAsia" w:hAnsiTheme="minorEastAsia" w:eastAsiaTheme="minorEastAsia"/>
          <w:color w:val="auto"/>
          <w:sz w:val="24"/>
        </w:rPr>
        <w:t>甲方在项目验收结束后及时退还履约保证金。</w:t>
      </w:r>
      <w:r>
        <w:rPr>
          <w:rFonts w:hint="eastAsia" w:ascii="宋体" w:hAnsi="宋体" w:cs="宋体"/>
          <w:color w:val="auto"/>
          <w:sz w:val="24"/>
        </w:rPr>
        <w:t>甲方在项目通过验收之日起</w:t>
      </w:r>
      <w:r>
        <w:rPr>
          <w:rFonts w:hint="eastAsia" w:ascii="宋体" w:hAnsi="宋体" w:cs="宋体"/>
          <w:color w:val="auto"/>
          <w:sz w:val="24"/>
          <w:u w:val="single"/>
        </w:rPr>
        <w:t xml:space="preserve"> </w:t>
      </w:r>
      <w:r>
        <w:rPr>
          <w:rFonts w:hint="eastAsia" w:ascii="宋体" w:hAnsi="宋体" w:cs="宋体"/>
          <w:b/>
          <w:i/>
          <w:color w:val="auto"/>
          <w:sz w:val="24"/>
          <w:u w:val="single"/>
        </w:rPr>
        <w:t>合同专用条款</w:t>
      </w:r>
      <w:r>
        <w:rPr>
          <w:rFonts w:hint="eastAsia" w:ascii="宋体" w:hAnsi="宋体" w:cs="宋体"/>
          <w:color w:val="auto"/>
          <w:sz w:val="24"/>
          <w:u w:val="single"/>
        </w:rPr>
        <w:t xml:space="preserve"> </w:t>
      </w:r>
      <w:r>
        <w:rPr>
          <w:rFonts w:hint="eastAsia" w:ascii="宋体" w:hAnsi="宋体" w:cs="宋体"/>
          <w:color w:val="auto"/>
          <w:sz w:val="24"/>
        </w:rPr>
        <w:t>个工作日内将履约保证金退还乙方，逾期退还的，</w:t>
      </w:r>
      <w:r>
        <w:rPr>
          <w:rFonts w:hint="eastAsia" w:asciiTheme="minorEastAsia" w:hAnsiTheme="minorEastAsia" w:eastAsiaTheme="minorEastAsia"/>
          <w:color w:val="auto"/>
          <w:sz w:val="24"/>
        </w:rPr>
        <w:t>乙方可要求甲方支付违约金，违约金按每迟延退还一日的应退还而未退还金额的</w:t>
      </w:r>
      <w:r>
        <w:rPr>
          <w:rFonts w:asciiTheme="minorEastAsia" w:hAnsiTheme="minorEastAsia" w:eastAsiaTheme="minorEastAsia"/>
          <w:color w:val="auto"/>
          <w:sz w:val="24"/>
          <w:u w:val="single"/>
        </w:rPr>
        <w:t xml:space="preserve">  0.05  </w:t>
      </w:r>
      <w:r>
        <w:rPr>
          <w:rFonts w:asciiTheme="minorEastAsia" w:hAnsiTheme="minorEastAsia" w:eastAsiaTheme="minorEastAsia"/>
          <w:color w:val="auto"/>
          <w:sz w:val="24"/>
        </w:rPr>
        <w:t>%计算，最高限额为本合同履约保证金的</w:t>
      </w:r>
      <w:r>
        <w:rPr>
          <w:rFonts w:asciiTheme="minorEastAsia" w:hAnsiTheme="minorEastAsia" w:eastAsiaTheme="minorEastAsia"/>
          <w:color w:val="auto"/>
          <w:sz w:val="24"/>
          <w:u w:val="single"/>
        </w:rPr>
        <w:t xml:space="preserve">  20   </w:t>
      </w:r>
      <w:r>
        <w:rPr>
          <w:rFonts w:asciiTheme="minorEastAsia" w:hAnsiTheme="minorEastAsia" w:eastAsiaTheme="minorEastAsia"/>
          <w:color w:val="auto"/>
          <w:sz w:val="24"/>
        </w:rPr>
        <w:t xml:space="preserve">%； </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 xml:space="preserve">2.18.3 </w:t>
      </w:r>
      <w:r>
        <w:rPr>
          <w:rFonts w:hint="eastAsia" w:asciiTheme="minorEastAsia" w:hAnsiTheme="minorEastAsia" w:eastAsiaTheme="minorEastAsia"/>
          <w:color w:val="auto"/>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Theme="minorEastAsia" w:hAnsiTheme="minorEastAsia" w:eastAsiaTheme="minorEastAsia"/>
          <w:color w:val="auto"/>
        </w:rPr>
      </w:pPr>
      <w:r>
        <w:rPr>
          <w:rFonts w:asciiTheme="minorEastAsia" w:hAnsiTheme="minorEastAsia" w:eastAsiaTheme="minorEastAsia"/>
          <w:color w:val="auto"/>
          <w:sz w:val="24"/>
        </w:rPr>
        <w:t>2.18.4</w:t>
      </w:r>
      <w:r>
        <w:rPr>
          <w:rFonts w:hint="eastAsia" w:asciiTheme="minorEastAsia" w:hAnsiTheme="minorEastAsia" w:eastAsiaTheme="minorEastAsia"/>
          <w:color w:val="auto"/>
          <w:sz w:val="24"/>
        </w:rPr>
        <w:t> 甲方</w:t>
      </w:r>
      <w:r>
        <w:rPr>
          <w:rFonts w:asciiTheme="minorEastAsia" w:hAnsiTheme="minorEastAsia" w:eastAsiaTheme="minorEastAsia"/>
          <w:color w:val="auto"/>
          <w:sz w:val="24"/>
        </w:rPr>
        <w:t>在</w:t>
      </w:r>
      <w:r>
        <w:rPr>
          <w:rFonts w:hint="eastAsia" w:asciiTheme="minorEastAsia" w:hAnsiTheme="minorEastAsia" w:eastAsiaTheme="minorEastAsia"/>
          <w:color w:val="auto"/>
          <w:sz w:val="24"/>
        </w:rPr>
        <w:t>乙方</w:t>
      </w:r>
      <w:r>
        <w:rPr>
          <w:rFonts w:asciiTheme="minorEastAsia" w:hAnsiTheme="minorEastAsia" w:eastAsiaTheme="minorEastAsia"/>
          <w:color w:val="auto"/>
          <w:sz w:val="24"/>
        </w:rPr>
        <w:t>履行完合同约定义务事项后及时退还，延迟退还的，应当按照合同约定和法律规定承担相应的赔偿责任。</w:t>
      </w:r>
    </w:p>
    <w:p>
      <w:pPr>
        <w:spacing w:line="560" w:lineRule="exact"/>
        <w:ind w:firstLine="482" w:firstLineChars="200"/>
        <w:rPr>
          <w:rFonts w:asciiTheme="minorEastAsia" w:hAnsiTheme="minorEastAsia" w:eastAsiaTheme="minorEastAsia"/>
          <w:color w:val="auto"/>
          <w:sz w:val="24"/>
        </w:rPr>
      </w:pPr>
      <w:r>
        <w:rPr>
          <w:rFonts w:asciiTheme="minorEastAsia" w:hAnsiTheme="minorEastAsia" w:eastAsiaTheme="minorEastAsia"/>
          <w:b/>
          <w:bCs/>
          <w:color w:val="auto"/>
          <w:sz w:val="24"/>
        </w:rPr>
        <w:t>2.19</w:t>
      </w:r>
      <w:r>
        <w:rPr>
          <w:rFonts w:asciiTheme="minorEastAsia" w:hAnsiTheme="minorEastAsia" w:eastAsiaTheme="minorEastAsia"/>
          <w:color w:val="auto"/>
          <w:sz w:val="24"/>
        </w:rPr>
        <w:t>对于因甲方原因导致变更、中止或者终止政府采购合同的，甲方应当依照合同约定对供应商受到的损失予以赔偿或者补偿</w:t>
      </w:r>
      <w:r>
        <w:rPr>
          <w:rFonts w:hint="eastAsia" w:asciiTheme="minorEastAsia" w:hAnsiTheme="minorEastAsia" w:eastAsiaTheme="minorEastAsia"/>
          <w:color w:val="auto"/>
          <w:sz w:val="24"/>
        </w:rPr>
        <w:t>。</w:t>
      </w:r>
    </w:p>
    <w:p>
      <w:pPr>
        <w:spacing w:line="560" w:lineRule="exact"/>
        <w:ind w:firstLine="482" w:firstLineChars="200"/>
        <w:rPr>
          <w:rFonts w:asciiTheme="minorEastAsia" w:hAnsiTheme="minorEastAsia" w:eastAsiaTheme="minorEastAsia"/>
          <w:b/>
          <w:color w:val="auto"/>
          <w:sz w:val="24"/>
        </w:rPr>
      </w:pPr>
      <w:r>
        <w:rPr>
          <w:rFonts w:asciiTheme="minorEastAsia" w:hAnsiTheme="minorEastAsia" w:eastAsiaTheme="minorEastAsia"/>
          <w:b/>
          <w:color w:val="auto"/>
          <w:sz w:val="24"/>
        </w:rPr>
        <w:t>2.20合同份数</w:t>
      </w:r>
    </w:p>
    <w:p>
      <w:pPr>
        <w:spacing w:line="560" w:lineRule="exact"/>
        <w:ind w:firstLine="480" w:firstLineChars="200"/>
        <w:rPr>
          <w:rFonts w:asciiTheme="minorEastAsia" w:hAnsiTheme="minorEastAsia" w:eastAsiaTheme="minorEastAsia"/>
          <w:color w:val="auto"/>
          <w:sz w:val="24"/>
        </w:rPr>
      </w:pPr>
      <w:r>
        <w:rPr>
          <w:rFonts w:asciiTheme="minorEastAsia" w:hAnsiTheme="minorEastAsia" w:eastAsiaTheme="minorEastAsia"/>
          <w:color w:val="auto"/>
          <w:sz w:val="24"/>
        </w:rPr>
        <w:t>合同份数按</w:t>
      </w:r>
      <w:r>
        <w:rPr>
          <w:rFonts w:asciiTheme="minorEastAsia" w:hAnsiTheme="minorEastAsia" w:eastAsiaTheme="minorEastAsia"/>
          <w:b/>
          <w:i/>
          <w:color w:val="auto"/>
          <w:sz w:val="24"/>
          <w:u w:val="single"/>
        </w:rPr>
        <w:t>合同专用条款</w:t>
      </w:r>
      <w:r>
        <w:rPr>
          <w:rFonts w:asciiTheme="minorEastAsia" w:hAnsiTheme="minorEastAsia" w:eastAsiaTheme="minorEastAsia"/>
          <w:color w:val="auto"/>
          <w:sz w:val="24"/>
        </w:rPr>
        <w:t>规定</w:t>
      </w:r>
      <w:r>
        <w:rPr>
          <w:rFonts w:hint="eastAsia" w:asciiTheme="minorEastAsia" w:hAnsiTheme="minorEastAsia" w:eastAsiaTheme="minorEastAsia"/>
          <w:color w:val="auto"/>
          <w:sz w:val="24"/>
        </w:rPr>
        <w:t>，</w:t>
      </w:r>
      <w:r>
        <w:rPr>
          <w:rFonts w:asciiTheme="minorEastAsia" w:hAnsiTheme="minorEastAsia" w:eastAsiaTheme="minorEastAsia"/>
          <w:color w:val="auto"/>
          <w:sz w:val="24"/>
        </w:rPr>
        <w:t>每份均具有同等法律效力</w:t>
      </w:r>
      <w:r>
        <w:rPr>
          <w:rFonts w:hint="eastAsia" w:asciiTheme="minorEastAsia" w:hAnsiTheme="minorEastAsia" w:eastAsiaTheme="minorEastAsia"/>
          <w:color w:val="auto"/>
          <w:sz w:val="24"/>
        </w:rPr>
        <w:t>。</w:t>
      </w:r>
    </w:p>
    <w:p>
      <w:pPr>
        <w:spacing w:line="360" w:lineRule="auto"/>
        <w:jc w:val="center"/>
        <w:outlineLvl w:val="0"/>
        <w:rPr>
          <w:rFonts w:ascii="宋体" w:hAnsi="宋体" w:cs="宋体"/>
          <w:b/>
          <w:color w:val="auto"/>
          <w:sz w:val="24"/>
        </w:rPr>
      </w:pPr>
      <w:r>
        <w:rPr>
          <w:rFonts w:hint="eastAsia" w:ascii="宋体" w:hAnsi="宋体" w:cs="宋体"/>
          <w:color w:val="auto"/>
          <w:kern w:val="0"/>
        </w:rPr>
        <w:br w:type="page"/>
      </w:r>
      <w:bookmarkStart w:id="517" w:name="_Toc331685784"/>
      <w:r>
        <w:rPr>
          <w:rFonts w:hint="eastAsia" w:ascii="宋体" w:hAnsi="宋体" w:cs="宋体"/>
          <w:b/>
          <w:color w:val="auto"/>
          <w:sz w:val="24"/>
        </w:rPr>
        <w:t xml:space="preserve"> </w:t>
      </w:r>
      <w:bookmarkEnd w:id="517"/>
      <w:r>
        <w:rPr>
          <w:rFonts w:hint="eastAsia" w:ascii="宋体" w:hAnsi="宋体" w:cs="宋体"/>
          <w:b/>
          <w:color w:val="auto"/>
          <w:sz w:val="24"/>
        </w:rPr>
        <w:t>第三部分  合同专用条款</w:t>
      </w:r>
    </w:p>
    <w:p>
      <w:pPr>
        <w:spacing w:line="560" w:lineRule="exact"/>
        <w:ind w:left="-420" w:leftChars="-200" w:right="-420" w:rightChars="-200" w:firstLine="480" w:firstLineChars="200"/>
        <w:rPr>
          <w:rFonts w:ascii="宋体" w:hAnsi="宋体" w:cs="宋体"/>
          <w:color w:val="auto"/>
        </w:rPr>
      </w:pPr>
      <w:r>
        <w:rPr>
          <w:rFonts w:hint="eastAsia" w:ascii="宋体" w:hAnsi="宋体" w:cs="宋体"/>
          <w:color w:val="auto"/>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119"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25"/>
        <w:gridCol w:w="84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条款号</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宋体" w:hAnsi="宋体" w:cs="宋体"/>
                <w:b/>
                <w:color w:val="auto"/>
                <w:sz w:val="24"/>
              </w:rPr>
            </w:pPr>
            <w:r>
              <w:rPr>
                <w:rFonts w:hint="eastAsia" w:ascii="宋体" w:hAnsi="宋体" w:cs="宋体"/>
                <w:b/>
                <w:color w:val="auto"/>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1.4.4</w:t>
            </w:r>
          </w:p>
        </w:tc>
        <w:tc>
          <w:tcPr>
            <w:tcW w:w="4504" w:type="pct"/>
            <w:vAlign w:val="center"/>
          </w:tcPr>
          <w:p>
            <w:pPr>
              <w:spacing w:line="360" w:lineRule="auto"/>
              <w:rPr>
                <w:rFonts w:ascii="宋体" w:hAnsi="宋体" w:cs="宋体"/>
                <w:color w:val="auto"/>
                <w:sz w:val="24"/>
              </w:rPr>
            </w:pPr>
            <w:r>
              <w:rPr>
                <w:rFonts w:hint="eastAsia" w:cs="宋体"/>
                <w:color w:val="auto"/>
                <w:sz w:val="24"/>
                <w:szCs w:val="24"/>
                <w:highlight w:val="none"/>
                <w:lang w:val="zh-CN"/>
              </w:rPr>
              <w:t>合同签订生效后，采购单位支付</w:t>
            </w:r>
            <w:r>
              <w:rPr>
                <w:rFonts w:hint="eastAsia" w:cs="宋体"/>
                <w:color w:val="auto"/>
                <w:sz w:val="24"/>
                <w:szCs w:val="24"/>
                <w:highlight w:val="none"/>
                <w:lang w:val="en-US" w:eastAsia="zh-CN"/>
              </w:rPr>
              <w:t>合同价的</w:t>
            </w:r>
            <w:r>
              <w:rPr>
                <w:rFonts w:hint="eastAsia"/>
                <w:color w:val="auto"/>
                <w:sz w:val="24"/>
                <w:szCs w:val="24"/>
                <w:highlight w:val="none"/>
                <w:lang w:val="en-US" w:eastAsia="zh-CN"/>
              </w:rPr>
              <w:t>5</w:t>
            </w:r>
            <w:r>
              <w:rPr>
                <w:color w:val="auto"/>
                <w:sz w:val="24"/>
                <w:szCs w:val="24"/>
                <w:highlight w:val="none"/>
              </w:rPr>
              <w:t>0%</w:t>
            </w:r>
            <w:r>
              <w:rPr>
                <w:rFonts w:hint="eastAsia" w:cs="宋体"/>
                <w:color w:val="auto"/>
                <w:sz w:val="24"/>
                <w:szCs w:val="24"/>
                <w:highlight w:val="none"/>
              </w:rPr>
              <w:t>预付款；</w:t>
            </w:r>
            <w:r>
              <w:rPr>
                <w:rFonts w:hint="eastAsia" w:cs="宋体"/>
                <w:color w:val="auto"/>
                <w:sz w:val="24"/>
                <w:szCs w:val="24"/>
                <w:highlight w:val="none"/>
                <w:lang w:eastAsia="zh-CN"/>
              </w:rPr>
              <w:t>设备到货</w:t>
            </w:r>
            <w:r>
              <w:rPr>
                <w:rFonts w:hint="eastAsia" w:cs="宋体"/>
                <w:color w:val="auto"/>
                <w:sz w:val="24"/>
                <w:szCs w:val="24"/>
                <w:highlight w:val="none"/>
                <w:lang w:val="en-US" w:eastAsia="zh-CN"/>
              </w:rPr>
              <w:t>经验收合格后</w:t>
            </w:r>
            <w:r>
              <w:rPr>
                <w:rFonts w:hint="eastAsia" w:cs="宋体"/>
                <w:color w:val="auto"/>
                <w:sz w:val="24"/>
                <w:szCs w:val="24"/>
                <w:highlight w:val="none"/>
                <w:lang w:eastAsia="zh-CN"/>
              </w:rPr>
              <w:t>付款到</w:t>
            </w:r>
            <w:r>
              <w:rPr>
                <w:rFonts w:hint="eastAsia" w:cs="宋体"/>
                <w:color w:val="auto"/>
                <w:sz w:val="24"/>
                <w:szCs w:val="24"/>
                <w:highlight w:val="none"/>
                <w:lang w:val="en-US" w:eastAsia="zh-CN"/>
              </w:rPr>
              <w:t>合同价的75%；</w:t>
            </w:r>
            <w:r>
              <w:rPr>
                <w:rFonts w:hint="eastAsia" w:cs="宋体"/>
                <w:color w:val="auto"/>
                <w:sz w:val="24"/>
                <w:szCs w:val="24"/>
                <w:highlight w:val="none"/>
                <w:lang w:val="zh-CN"/>
              </w:rPr>
              <w:t>本项目验收合格后，由采购单位向中标供应商支付至合同价的</w:t>
            </w:r>
            <w:r>
              <w:rPr>
                <w:rFonts w:hint="eastAsia"/>
                <w:color w:val="auto"/>
                <w:sz w:val="24"/>
                <w:szCs w:val="24"/>
                <w:highlight w:val="none"/>
                <w:lang w:val="en-US" w:eastAsia="zh-CN"/>
              </w:rPr>
              <w:t>95%</w:t>
            </w:r>
            <w:r>
              <w:rPr>
                <w:rFonts w:hint="eastAsia" w:cs="宋体"/>
                <w:color w:val="auto"/>
                <w:sz w:val="24"/>
                <w:szCs w:val="24"/>
                <w:highlight w:val="none"/>
                <w:lang w:val="zh-CN"/>
              </w:rPr>
              <w:t>项目款，</w:t>
            </w:r>
            <w:r>
              <w:rPr>
                <w:rFonts w:hint="eastAsia" w:cs="宋体"/>
                <w:color w:val="auto"/>
                <w:sz w:val="24"/>
                <w:szCs w:val="24"/>
                <w:highlight w:val="none"/>
                <w:lang w:val="en-US" w:eastAsia="zh-CN"/>
              </w:rPr>
              <w:t>余款5%作为质量保证金待质保期满后，无质量问题无息支付</w:t>
            </w:r>
            <w:r>
              <w:rPr>
                <w:rFonts w:hint="eastAsia" w:cs="宋体"/>
                <w:color w:val="auto"/>
                <w:sz w:val="24"/>
                <w:szCs w:val="24"/>
                <w:highlight w:val="none"/>
                <w:lang w:val="zh-CN"/>
              </w:rPr>
              <w:t>。结算时，供应商应将结款申请</w:t>
            </w:r>
            <w:r>
              <w:rPr>
                <w:color w:val="auto"/>
                <w:sz w:val="24"/>
                <w:szCs w:val="24"/>
                <w:highlight w:val="none"/>
                <w:lang w:val="zh-CN"/>
              </w:rPr>
              <w:t>1</w:t>
            </w:r>
            <w:r>
              <w:rPr>
                <w:rFonts w:hint="eastAsia" w:cs="宋体"/>
                <w:color w:val="auto"/>
                <w:sz w:val="24"/>
                <w:szCs w:val="24"/>
                <w:highlight w:val="none"/>
                <w:lang w:val="zh-CN"/>
              </w:rPr>
              <w:t>份、发票原件（全额开具）及复印件</w:t>
            </w:r>
            <w:r>
              <w:rPr>
                <w:color w:val="auto"/>
                <w:sz w:val="24"/>
                <w:szCs w:val="24"/>
                <w:highlight w:val="none"/>
                <w:lang w:val="zh-CN"/>
              </w:rPr>
              <w:t>1</w:t>
            </w:r>
            <w:r>
              <w:rPr>
                <w:rFonts w:hint="eastAsia" w:cs="宋体"/>
                <w:color w:val="auto"/>
                <w:sz w:val="24"/>
                <w:szCs w:val="24"/>
                <w:highlight w:val="none"/>
                <w:lang w:val="zh-CN"/>
              </w:rPr>
              <w:t>份、合同复印件</w:t>
            </w:r>
            <w:r>
              <w:rPr>
                <w:color w:val="auto"/>
                <w:sz w:val="24"/>
                <w:szCs w:val="24"/>
                <w:highlight w:val="none"/>
                <w:lang w:val="zh-CN"/>
              </w:rPr>
              <w:t>1</w:t>
            </w:r>
            <w:r>
              <w:rPr>
                <w:rFonts w:hint="eastAsia" w:cs="宋体"/>
                <w:color w:val="auto"/>
                <w:sz w:val="24"/>
                <w:szCs w:val="24"/>
                <w:highlight w:val="none"/>
                <w:lang w:val="zh-CN"/>
              </w:rPr>
              <w:t>份和经采购单位验收确认的验收报告提交采购单位。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 xml:space="preserve">1.5.1 </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宋体" w:hAnsi="宋体" w:eastAsia="宋体" w:cs="宋体"/>
                <w:bCs/>
                <w:color w:val="auto"/>
                <w:sz w:val="24"/>
                <w:lang w:val="en-US" w:eastAsia="zh-CN"/>
              </w:rPr>
            </w:pPr>
            <w:r>
              <w:rPr>
                <w:rFonts w:hint="eastAsia" w:cs="宋体"/>
                <w:color w:val="auto"/>
                <w:sz w:val="24"/>
                <w:szCs w:val="24"/>
                <w:highlight w:val="none"/>
                <w:lang w:val="zh-CN"/>
              </w:rPr>
              <w:t>自签订合同之日起</w:t>
            </w:r>
            <w:r>
              <w:rPr>
                <w:rFonts w:hint="eastAsia"/>
                <w:color w:val="auto"/>
                <w:sz w:val="24"/>
                <w:szCs w:val="24"/>
                <w:highlight w:val="none"/>
                <w:lang w:val="en-US" w:eastAsia="zh-CN"/>
              </w:rPr>
              <w:t>90</w:t>
            </w:r>
            <w:r>
              <w:rPr>
                <w:rFonts w:hint="eastAsia" w:cs="宋体"/>
                <w:color w:val="auto"/>
                <w:sz w:val="24"/>
                <w:szCs w:val="24"/>
                <w:highlight w:val="none"/>
                <w:lang w:val="zh-CN"/>
              </w:rPr>
              <w:t>天内完成项目产品供货、安装调试、软硬件集成等所有服务。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1.5.2</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bCs/>
                <w:color w:val="auto"/>
                <w:sz w:val="24"/>
              </w:rPr>
              <w:t>采购人指定地点。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 xml:space="preserve">1.5.3 </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提供相关服务及备件。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1.6.7</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1、甲方无正当理由拒绝接受服务的，甲方向乙方偿付合同款项百分之五作为违约金。</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2、甲方无故逾期验收和办理款项支付手续的，甲方应按逾期付款总额每日万分之五向乙方支付违约金。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1.7</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1.7.1</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1.7.2</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lang w:val="zh-CN"/>
              </w:rPr>
              <w:t>向淳安县人民法院提起诉讼。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2.3.2</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420" w:leftChars="-200" w:right="-420" w:rightChars="-200" w:firstLine="480" w:firstLineChars="200"/>
              <w:textAlignment w:val="auto"/>
              <w:rPr>
                <w:rFonts w:ascii="宋体" w:hAnsi="宋体" w:cs="宋体"/>
                <w:color w:val="auto"/>
                <w:sz w:val="24"/>
              </w:rPr>
            </w:pPr>
            <w:r>
              <w:rPr>
                <w:rFonts w:hint="eastAsia" w:ascii="宋体" w:hAnsi="宋体" w:cs="宋体"/>
                <w:color w:val="auto"/>
                <w:sz w:val="24"/>
              </w:rPr>
              <w:t>归采购人所有。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5</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420" w:rightChars="-200"/>
              <w:textAlignment w:val="auto"/>
              <w:rPr>
                <w:rFonts w:ascii="宋体" w:hAnsi="宋体" w:cs="宋体"/>
                <w:color w:val="auto"/>
                <w:sz w:val="24"/>
              </w:rPr>
            </w:pPr>
            <w:r>
              <w:rPr>
                <w:rFonts w:hint="eastAsia" w:cs="宋体"/>
                <w:color w:val="auto"/>
                <w:sz w:val="24"/>
                <w:szCs w:val="24"/>
                <w:highlight w:val="none"/>
                <w:lang w:val="zh-CN"/>
              </w:rPr>
              <w:t>合同签订生效后，采购单位支付</w:t>
            </w:r>
            <w:r>
              <w:rPr>
                <w:rFonts w:hint="eastAsia" w:cs="宋体"/>
                <w:color w:val="auto"/>
                <w:sz w:val="24"/>
                <w:szCs w:val="24"/>
                <w:highlight w:val="none"/>
                <w:lang w:val="en-US" w:eastAsia="zh-CN"/>
              </w:rPr>
              <w:t>合同价的</w:t>
            </w:r>
            <w:r>
              <w:rPr>
                <w:rFonts w:hint="eastAsia"/>
                <w:color w:val="auto"/>
                <w:sz w:val="24"/>
                <w:szCs w:val="24"/>
                <w:highlight w:val="none"/>
                <w:lang w:val="en-US" w:eastAsia="zh-CN"/>
              </w:rPr>
              <w:t>5</w:t>
            </w:r>
            <w:r>
              <w:rPr>
                <w:color w:val="auto"/>
                <w:sz w:val="24"/>
                <w:szCs w:val="24"/>
                <w:highlight w:val="none"/>
              </w:rPr>
              <w:t>0%</w:t>
            </w:r>
            <w:r>
              <w:rPr>
                <w:rFonts w:hint="eastAsia" w:cs="宋体"/>
                <w:color w:val="auto"/>
                <w:sz w:val="24"/>
                <w:szCs w:val="24"/>
                <w:highlight w:val="none"/>
              </w:rPr>
              <w:t>预付款；</w:t>
            </w:r>
            <w:r>
              <w:rPr>
                <w:rFonts w:hint="eastAsia" w:cs="宋体"/>
                <w:color w:val="auto"/>
                <w:sz w:val="24"/>
                <w:szCs w:val="24"/>
                <w:highlight w:val="none"/>
                <w:lang w:eastAsia="zh-CN"/>
              </w:rPr>
              <w:t>设备到货</w:t>
            </w:r>
            <w:r>
              <w:rPr>
                <w:rFonts w:hint="eastAsia" w:cs="宋体"/>
                <w:color w:val="auto"/>
                <w:sz w:val="24"/>
                <w:szCs w:val="24"/>
                <w:highlight w:val="none"/>
                <w:lang w:val="en-US" w:eastAsia="zh-CN"/>
              </w:rPr>
              <w:t>经验收合格后</w:t>
            </w:r>
            <w:r>
              <w:rPr>
                <w:rFonts w:hint="eastAsia" w:cs="宋体"/>
                <w:color w:val="auto"/>
                <w:sz w:val="24"/>
                <w:szCs w:val="24"/>
                <w:highlight w:val="none"/>
                <w:lang w:eastAsia="zh-CN"/>
              </w:rPr>
              <w:t>付款到</w:t>
            </w:r>
            <w:r>
              <w:rPr>
                <w:rFonts w:hint="eastAsia" w:cs="宋体"/>
                <w:color w:val="auto"/>
                <w:sz w:val="24"/>
                <w:szCs w:val="24"/>
                <w:highlight w:val="none"/>
                <w:lang w:val="en-US" w:eastAsia="zh-CN"/>
              </w:rPr>
              <w:t>合同价的75%；</w:t>
            </w:r>
            <w:r>
              <w:rPr>
                <w:rFonts w:hint="eastAsia" w:cs="宋体"/>
                <w:color w:val="auto"/>
                <w:sz w:val="24"/>
                <w:szCs w:val="24"/>
                <w:highlight w:val="none"/>
                <w:lang w:val="zh-CN"/>
              </w:rPr>
              <w:t>本项目验收合格后，由采购单位向中标供应商支付至合同价的</w:t>
            </w:r>
            <w:r>
              <w:rPr>
                <w:rFonts w:hint="eastAsia"/>
                <w:color w:val="auto"/>
                <w:sz w:val="24"/>
                <w:szCs w:val="24"/>
                <w:highlight w:val="none"/>
                <w:lang w:val="en-US" w:eastAsia="zh-CN"/>
              </w:rPr>
              <w:t>95%</w:t>
            </w:r>
            <w:r>
              <w:rPr>
                <w:rFonts w:hint="eastAsia" w:cs="宋体"/>
                <w:color w:val="auto"/>
                <w:sz w:val="24"/>
                <w:szCs w:val="24"/>
                <w:highlight w:val="none"/>
                <w:lang w:val="zh-CN"/>
              </w:rPr>
              <w:t>项目款，</w:t>
            </w:r>
            <w:r>
              <w:rPr>
                <w:rFonts w:hint="eastAsia" w:cs="宋体"/>
                <w:color w:val="auto"/>
                <w:sz w:val="24"/>
                <w:szCs w:val="24"/>
                <w:highlight w:val="none"/>
                <w:lang w:val="en-US" w:eastAsia="zh-CN"/>
              </w:rPr>
              <w:t>余款5%作为质量保证金待质保期满后，无质量问题无息支付</w:t>
            </w:r>
            <w:r>
              <w:rPr>
                <w:rFonts w:hint="eastAsia" w:cs="宋体"/>
                <w:color w:val="auto"/>
                <w:sz w:val="24"/>
                <w:szCs w:val="24"/>
                <w:highlight w:val="none"/>
                <w:lang w:val="zh-CN"/>
              </w:rPr>
              <w:t>。结算时，供应商应将结款申请</w:t>
            </w:r>
            <w:r>
              <w:rPr>
                <w:color w:val="auto"/>
                <w:sz w:val="24"/>
                <w:szCs w:val="24"/>
                <w:highlight w:val="none"/>
                <w:lang w:val="zh-CN"/>
              </w:rPr>
              <w:t>1</w:t>
            </w:r>
            <w:r>
              <w:rPr>
                <w:rFonts w:hint="eastAsia" w:cs="宋体"/>
                <w:color w:val="auto"/>
                <w:sz w:val="24"/>
                <w:szCs w:val="24"/>
                <w:highlight w:val="none"/>
                <w:lang w:val="zh-CN"/>
              </w:rPr>
              <w:t>份、发票原件（全额开具）及复印件</w:t>
            </w:r>
            <w:r>
              <w:rPr>
                <w:color w:val="auto"/>
                <w:sz w:val="24"/>
                <w:szCs w:val="24"/>
                <w:highlight w:val="none"/>
                <w:lang w:val="zh-CN"/>
              </w:rPr>
              <w:t>1</w:t>
            </w:r>
            <w:r>
              <w:rPr>
                <w:rFonts w:hint="eastAsia" w:cs="宋体"/>
                <w:color w:val="auto"/>
                <w:sz w:val="24"/>
                <w:szCs w:val="24"/>
                <w:highlight w:val="none"/>
                <w:lang w:val="zh-CN"/>
              </w:rPr>
              <w:t>份、合同复印件</w:t>
            </w:r>
            <w:r>
              <w:rPr>
                <w:color w:val="auto"/>
                <w:sz w:val="24"/>
                <w:szCs w:val="24"/>
                <w:highlight w:val="none"/>
                <w:lang w:val="zh-CN"/>
              </w:rPr>
              <w:t>1</w:t>
            </w:r>
            <w:r>
              <w:rPr>
                <w:rFonts w:hint="eastAsia" w:cs="宋体"/>
                <w:color w:val="auto"/>
                <w:sz w:val="24"/>
                <w:szCs w:val="24"/>
                <w:highlight w:val="none"/>
                <w:lang w:val="zh-CN"/>
              </w:rPr>
              <w:t>份和经采购单位验收确认的验收报告提交采购单位。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w:t>
            </w:r>
            <w:r>
              <w:rPr>
                <w:rFonts w:hint="eastAsia" w:ascii="宋体" w:hAnsi="宋体" w:cs="宋体"/>
                <w:color w:val="auto"/>
                <w:sz w:val="24"/>
              </w:rPr>
              <w:t>.</w:t>
            </w:r>
            <w:r>
              <w:rPr>
                <w:rFonts w:ascii="宋体" w:hAnsi="宋体" w:cs="宋体"/>
                <w:color w:val="auto"/>
                <w:sz w:val="24"/>
              </w:rPr>
              <w:t>3</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10个工作日内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11.4</w:t>
            </w:r>
            <w:r>
              <w:rPr>
                <w:rFonts w:hint="eastAsia" w:ascii="宋体" w:hAnsi="宋体" w:cs="宋体"/>
                <w:color w:val="auto"/>
                <w:sz w:val="24"/>
              </w:rPr>
              <w:t xml:space="preserve"> </w:t>
            </w:r>
          </w:p>
        </w:tc>
        <w:tc>
          <w:tcPr>
            <w:tcW w:w="4504" w:type="pct"/>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10个工作日内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1</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15</w:t>
            </w:r>
            <w:r>
              <w:rPr>
                <w:rFonts w:hint="eastAsia" w:ascii="宋体" w:hAnsi="宋体" w:cs="宋体"/>
                <w:color w:val="auto"/>
                <w:sz w:val="24"/>
              </w:rPr>
              <w:t>.</w:t>
            </w:r>
            <w:r>
              <w:rPr>
                <w:rFonts w:ascii="宋体" w:hAnsi="宋体" w:cs="宋体"/>
                <w:color w:val="auto"/>
                <w:sz w:val="24"/>
              </w:rPr>
              <w:t>3</w:t>
            </w:r>
          </w:p>
        </w:tc>
        <w:tc>
          <w:tcPr>
            <w:tcW w:w="4504" w:type="pct"/>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olor w:val="auto"/>
                <w:sz w:val="24"/>
              </w:rPr>
              <w:t>乙方按照约定，定期提交服务报告，甲方按照约定进行验收。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8</w:t>
            </w:r>
            <w:r>
              <w:rPr>
                <w:rFonts w:hint="eastAsia" w:ascii="宋体" w:hAnsi="宋体" w:cs="宋体"/>
                <w:color w:val="auto"/>
                <w:sz w:val="24"/>
              </w:rPr>
              <w:t>.1</w:t>
            </w:r>
          </w:p>
        </w:tc>
        <w:tc>
          <w:tcPr>
            <w:tcW w:w="4504" w:type="pct"/>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宋体" w:hAnsi="宋体" w:cs="宋体"/>
                <w:color w:val="auto"/>
                <w:sz w:val="24"/>
              </w:rPr>
            </w:pPr>
            <w:r>
              <w:rPr>
                <w:rFonts w:hint="eastAsia" w:ascii="宋体" w:hAnsi="宋体" w:eastAsia="宋体" w:cs="宋体"/>
                <w:b w:val="0"/>
                <w:bCs w:val="0"/>
                <w:color w:val="auto"/>
                <w:sz w:val="24"/>
                <w:szCs w:val="24"/>
                <w:highlight w:val="none"/>
                <w:lang w:val="en-US" w:eastAsia="zh-CN"/>
              </w:rPr>
              <w:t>在合同签订前由中标人按合同总金额的</w:t>
            </w:r>
            <w:r>
              <w:rPr>
                <w:rFonts w:hint="eastAsia" w:ascii="宋体" w:hAnsi="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eastAsia="zh-CN"/>
              </w:rPr>
              <w:t>%交纳至采购人指定账户。合同履行完毕经验收合格且质保期满后，经回访无质量问题由采购人无息退还。因供应商所供商品质量原因造成采购人损失的，采购人有权要求供应商以其履约保证金作出补偿。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8</w:t>
            </w:r>
            <w:r>
              <w:rPr>
                <w:rFonts w:hint="eastAsia" w:ascii="宋体" w:hAnsi="宋体" w:cs="宋体"/>
                <w:color w:val="auto"/>
                <w:sz w:val="24"/>
              </w:rPr>
              <w:t>.</w:t>
            </w:r>
            <w:r>
              <w:rPr>
                <w:rFonts w:ascii="宋体" w:hAnsi="宋体" w:cs="宋体"/>
                <w:color w:val="auto"/>
                <w:sz w:val="24"/>
              </w:rPr>
              <w:t>2</w:t>
            </w:r>
          </w:p>
        </w:tc>
        <w:tc>
          <w:tcPr>
            <w:tcW w:w="4504" w:type="pct"/>
            <w:vAlign w:val="center"/>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宋体" w:hAnsi="宋体" w:cs="宋体"/>
                <w:color w:val="auto"/>
                <w:sz w:val="24"/>
              </w:rPr>
            </w:pPr>
            <w:r>
              <w:rPr>
                <w:rFonts w:hint="eastAsia" w:ascii="宋体" w:hAnsi="宋体" w:cs="宋体"/>
                <w:color w:val="auto"/>
                <w:sz w:val="24"/>
              </w:rPr>
              <w:t>10个工作日内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495" w:type="pct"/>
            <w:tcBorders>
              <w:lef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2.20</w:t>
            </w:r>
          </w:p>
        </w:tc>
        <w:tc>
          <w:tcPr>
            <w:tcW w:w="4504" w:type="pct"/>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宋体" w:hAnsi="宋体" w:cs="宋体"/>
                <w:color w:val="auto"/>
                <w:sz w:val="24"/>
              </w:rPr>
            </w:pPr>
            <w:r>
              <w:rPr>
                <w:rFonts w:hint="eastAsia" w:ascii="宋体" w:hAnsi="宋体" w:cs="宋体"/>
                <w:color w:val="auto"/>
                <w:sz w:val="24"/>
              </w:rPr>
              <w:t>本合同一式伍份，甲、乙双方各执贰份，采购代理机构壹份。</w:t>
            </w:r>
          </w:p>
        </w:tc>
      </w:tr>
    </w:tbl>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hint="eastAsia" w:ascii="宋体" w:hAnsi="宋体" w:cs="宋体"/>
          <w:b/>
          <w:color w:val="auto"/>
          <w:sz w:val="36"/>
          <w:szCs w:val="20"/>
        </w:rPr>
      </w:pPr>
    </w:p>
    <w:p>
      <w:pPr>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第六部分</w:t>
      </w:r>
      <w:bookmarkEnd w:id="404"/>
      <w:r>
        <w:rPr>
          <w:rFonts w:hint="eastAsia" w:ascii="宋体" w:hAnsi="宋体" w:cs="宋体"/>
          <w:b/>
          <w:color w:val="auto"/>
          <w:sz w:val="36"/>
          <w:szCs w:val="20"/>
        </w:rPr>
        <w:t xml:space="preserve"> </w:t>
      </w:r>
      <w:bookmarkEnd w:id="405"/>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lang w:eastAsia="zh-CN"/>
        </w:rPr>
        <w:t>淳安县富文乡人民政府</w:t>
      </w:r>
      <w:r>
        <w:rPr>
          <w:rFonts w:hint="eastAsia" w:ascii="宋体" w:hAnsi="宋体" w:cs="宋体"/>
          <w:color w:val="auto"/>
          <w:sz w:val="24"/>
        </w:rPr>
        <w:t>、</w:t>
      </w:r>
      <w:r>
        <w:rPr>
          <w:rFonts w:hint="eastAsia" w:ascii="宋体" w:hAnsi="宋体" w:cs="宋体"/>
          <w:color w:val="auto"/>
          <w:sz w:val="24"/>
          <w:lang w:eastAsia="zh-CN"/>
        </w:rPr>
        <w:t>浙江建安工程管理有限公司</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lang w:eastAsia="zh-CN"/>
        </w:rPr>
        <w:t>富文乡石头埠淳岸（杭州千岛湖）麦芽威士忌酒厂污水管道、泵站及电气安装项目</w:t>
      </w:r>
      <w:r>
        <w:rPr>
          <w:rFonts w:hint="eastAsia" w:ascii="宋体" w:hAnsi="宋体" w:cs="宋体"/>
          <w:color w:val="auto"/>
          <w:sz w:val="24"/>
        </w:rPr>
        <w:t>【招标编号：</w:t>
      </w:r>
      <w:r>
        <w:rPr>
          <w:rFonts w:hint="eastAsia" w:ascii="宋体" w:hAnsi="宋体" w:cs="宋体"/>
          <w:color w:val="auto"/>
          <w:sz w:val="24"/>
          <w:lang w:eastAsia="zh-CN"/>
        </w:rPr>
        <w:t>ZJJAZF[2024]38号</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napToGrid w:val="0"/>
        <w:spacing w:line="360" w:lineRule="auto"/>
        <w:ind w:right="480" w:firstLine="480" w:firstLineChars="200"/>
        <w:jc w:val="left"/>
        <w:rPr>
          <w:rFonts w:ascii="宋体" w:hAnsi="宋体" w:cs="宋体"/>
          <w:b/>
          <w:color w:val="auto"/>
          <w:kern w:val="0"/>
          <w:sz w:val="32"/>
          <w:szCs w:val="32"/>
        </w:rPr>
      </w:pPr>
      <w:r>
        <w:rPr>
          <w:rFonts w:hint="eastAsia" w:cs="仿宋_GB2312" w:asciiTheme="minorEastAsia" w:hAnsiTheme="minorEastAsia" w:eastAsiaTheme="minorEastAsia"/>
          <w:color w:val="auto"/>
          <w:sz w:val="24"/>
        </w:rPr>
        <w:t>注：根据《</w:t>
      </w:r>
      <w:r>
        <w:rPr>
          <w:rFonts w:cs="仿宋_GB2312" w:asciiTheme="minorEastAsia" w:hAnsiTheme="minorEastAsia" w:eastAsiaTheme="minorEastAsia"/>
          <w:color w:val="auto"/>
          <w:sz w:val="24"/>
        </w:rPr>
        <w:t>关于规范政府采购供应商资格设定及资格审查的通知</w:t>
      </w:r>
      <w:r>
        <w:rPr>
          <w:rFonts w:hint="eastAsia" w:cs="仿宋_GB2312" w:asciiTheme="minorEastAsia" w:hAnsiTheme="minorEastAsia" w:eastAsiaTheme="minorEastAsia"/>
          <w:color w:val="auto"/>
          <w:sz w:val="24"/>
        </w:rPr>
        <w:t>》（</w:t>
      </w:r>
      <w:r>
        <w:rPr>
          <w:rFonts w:cs="仿宋_GB2312" w:asciiTheme="minorEastAsia" w:hAnsiTheme="minorEastAsia" w:eastAsiaTheme="minorEastAsia"/>
          <w:color w:val="auto"/>
          <w:sz w:val="24"/>
        </w:rPr>
        <w:t>浙财采监[2013]24号</w:t>
      </w:r>
      <w:r>
        <w:rPr>
          <w:rFonts w:hint="eastAsia" w:cs="仿宋_GB2312" w:asciiTheme="minorEastAsia" w:hAnsiTheme="minorEastAsia" w:eastAsiaTheme="minorEastAsia"/>
          <w:color w:val="auto"/>
          <w:sz w:val="24"/>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三、落实政府采购政策需满足的资格要求（如果有）</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rPr>
      </w:pPr>
      <w:r>
        <w:rPr>
          <w:rFonts w:hint="eastAsia" w:ascii="宋体" w:hAnsi="宋体" w:cs="宋体"/>
          <w:b/>
          <w:color w:val="auto"/>
          <w:sz w:val="24"/>
        </w:rPr>
        <w:t>A</w:t>
      </w:r>
      <w:r>
        <w:rPr>
          <w:rFonts w:hint="eastAsia" w:ascii="宋体" w:hAnsi="宋体" w:cs="宋体"/>
          <w:color w:val="auto"/>
          <w:sz w:val="24"/>
        </w:rPr>
        <w:t xml:space="preserve">.专门面向中小企业，服务全部由符合政策要求的中小企业（或小微企业）承接的，提供相应的中小企业声明函。 </w:t>
      </w:r>
    </w:p>
    <w:p>
      <w:pPr>
        <w:pStyle w:val="691"/>
        <w:keepNext w:val="0"/>
        <w:pageBreakBefore w:val="0"/>
        <w:tabs>
          <w:tab w:val="clear" w:pos="720"/>
        </w:tabs>
        <w:snapToGrid w:val="0"/>
        <w:spacing w:before="120" w:after="120"/>
        <w:jc w:val="center"/>
        <w:outlineLvl w:val="9"/>
        <w:rPr>
          <w:rFonts w:hint="eastAsia" w:ascii="宋体" w:hAnsi="宋体" w:eastAsia="宋体" w:cs="宋体"/>
          <w:color w:val="auto"/>
          <w:sz w:val="32"/>
          <w:szCs w:val="32"/>
        </w:rPr>
      </w:pPr>
      <w:r>
        <w:rPr>
          <w:rFonts w:hint="eastAsia" w:ascii="宋体" w:hAnsi="宋体" w:eastAsia="宋体" w:cs="宋体"/>
          <w:color w:val="auto"/>
          <w:sz w:val="32"/>
          <w:szCs w:val="32"/>
        </w:rPr>
        <w:t>中小企业声明函</w:t>
      </w:r>
    </w:p>
    <w:p>
      <w:pPr>
        <w:widowControl/>
        <w:spacing w:line="360" w:lineRule="auto"/>
        <w:ind w:firstLine="120" w:firstLineChars="50"/>
        <w:jc w:val="left"/>
        <w:rPr>
          <w:rFonts w:hint="eastAsia" w:ascii="宋体" w:hAnsi="宋体" w:eastAsia="宋体" w:cs="宋体"/>
          <w:b/>
          <w:color w:val="auto"/>
          <w:sz w:val="24"/>
        </w:rPr>
      </w:pPr>
      <w:r>
        <w:rPr>
          <w:rFonts w:hint="eastAsia" w:ascii="宋体" w:hAnsi="宋体" w:eastAsia="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w:t>
      </w:r>
    </w:p>
    <w:p>
      <w:pPr>
        <w:spacing w:line="360" w:lineRule="auto"/>
        <w:jc w:val="center"/>
        <w:rPr>
          <w:rFonts w:hint="eastAsia" w:ascii="宋体" w:hAnsi="宋体" w:cs="宋体"/>
          <w:b/>
          <w:color w:val="auto"/>
          <w:sz w:val="32"/>
          <w:szCs w:val="32"/>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lang w:eastAsia="zh-CN"/>
        </w:rPr>
        <w:t>淳安县富文乡人民政府</w:t>
      </w:r>
      <w:r>
        <w:rPr>
          <w:rFonts w:hint="eastAsia" w:ascii="宋体" w:hAnsi="宋体" w:cs="宋体"/>
          <w:color w:val="auto"/>
          <w:sz w:val="24"/>
        </w:rPr>
        <w:t>的</w:t>
      </w:r>
      <w:r>
        <w:rPr>
          <w:rFonts w:hint="eastAsia" w:ascii="宋体" w:hAnsi="宋体" w:cs="宋体"/>
          <w:color w:val="auto"/>
          <w:sz w:val="24"/>
          <w:u w:val="single"/>
        </w:rPr>
        <w:t xml:space="preserve"> </w:t>
      </w:r>
      <w:r>
        <w:rPr>
          <w:rFonts w:hint="eastAsia" w:ascii="宋体" w:hAnsi="宋体" w:cs="宋体"/>
          <w:color w:val="auto"/>
          <w:sz w:val="24"/>
          <w:u w:val="single"/>
          <w:lang w:eastAsia="zh-CN"/>
        </w:rPr>
        <w:t>富文乡石头埠淳岸（杭州千岛湖）麦芽威士忌酒厂污水管道、泵站及电气安装项目</w:t>
      </w:r>
      <w:r>
        <w:rPr>
          <w:rFonts w:hint="eastAsia" w:ascii="宋体" w:hAnsi="宋体" w:cs="宋体"/>
          <w:color w:val="auto"/>
          <w:sz w:val="24"/>
          <w:u w:val="single"/>
        </w:rPr>
        <w:t xml:space="preserve"> </w:t>
      </w:r>
      <w:r>
        <w:rPr>
          <w:rFonts w:hint="eastAsia" w:ascii="宋体" w:hAnsi="宋体" w:cs="宋体"/>
          <w:color w:val="auto"/>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lang w:eastAsia="zh-CN"/>
        </w:rPr>
        <w:t>富文乡石头埠淳岸（杭州千岛湖）麦芽威士忌酒厂污水管道、泵站及电气安装项目</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color w:val="auto"/>
          <w:sz w:val="24"/>
          <w:u w:val="single"/>
          <w:lang w:eastAsia="zh-CN"/>
        </w:rPr>
        <w:t>建筑业</w:t>
      </w:r>
      <w:r>
        <w:rPr>
          <w:rFonts w:hint="eastAsia" w:ascii="宋体" w:hAnsi="宋体" w:cs="宋体"/>
          <w:color w:val="auto"/>
          <w:sz w:val="24"/>
          <w:u w:val="single"/>
        </w:rPr>
        <w:t xml:space="preserve"> </w:t>
      </w:r>
      <w:r>
        <w:rPr>
          <w:rFonts w:hint="eastAsia" w:ascii="宋体" w:hAnsi="宋体" w:cs="宋体"/>
          <w:color w:val="auto"/>
          <w:sz w:val="24"/>
        </w:rPr>
        <w:t xml:space="preserve"> ；承接企业为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万元</w:t>
      </w:r>
      <w:r>
        <w:rPr>
          <w:rFonts w:hint="eastAsia" w:ascii="宋体" w:hAnsi="宋体" w:cs="宋体"/>
          <w:color w:val="auto"/>
          <w:sz w:val="24"/>
          <w:lang w:eastAsia="zh-CN"/>
        </w:rPr>
        <w:t>，</w:t>
      </w:r>
      <w:r>
        <w:rPr>
          <w:rFonts w:hint="eastAsia" w:ascii="宋体" w:hAnsi="宋体" w:cs="宋体"/>
          <w:color w:val="auto"/>
          <w:sz w:val="24"/>
        </w:rPr>
        <w:t>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pacing w:line="360" w:lineRule="auto"/>
        <w:ind w:right="1760"/>
        <w:jc w:val="right"/>
        <w:rPr>
          <w:rFonts w:ascii="宋体" w:hAnsi="宋体" w:cs="宋体"/>
          <w:color w:val="auto"/>
          <w:sz w:val="24"/>
        </w:rPr>
      </w:pPr>
      <w:r>
        <w:rPr>
          <w:rFonts w:hint="eastAsia" w:ascii="宋体" w:hAnsi="宋体" w:cs="宋体"/>
          <w:color w:val="auto"/>
          <w:sz w:val="24"/>
        </w:rPr>
        <w:t>投标人名称（电子签名）：</w:t>
      </w:r>
    </w:p>
    <w:p>
      <w:pPr>
        <w:spacing w:line="360" w:lineRule="auto"/>
        <w:ind w:right="1120" w:firstLine="4680" w:firstLineChars="1950"/>
        <w:rPr>
          <w:rFonts w:ascii="宋体" w:hAnsi="宋体" w:cs="宋体"/>
          <w:color w:val="auto"/>
          <w:sz w:val="24"/>
        </w:rPr>
      </w:pPr>
      <w:r>
        <w:rPr>
          <w:rFonts w:hint="eastAsia" w:ascii="宋体" w:hAnsi="宋体" w:cs="宋体"/>
          <w:color w:val="auto"/>
          <w:sz w:val="24"/>
        </w:rPr>
        <w:t>日 期：</w:t>
      </w:r>
    </w:p>
    <w:p>
      <w:pPr>
        <w:spacing w:line="360" w:lineRule="auto"/>
        <w:ind w:firstLine="310" w:firstLineChars="147"/>
        <w:jc w:val="left"/>
        <w:rPr>
          <w:rFonts w:ascii="宋体" w:hAnsi="宋体" w:cs="宋体"/>
          <w:b/>
          <w:color w:val="auto"/>
          <w:szCs w:val="21"/>
        </w:rPr>
      </w:pPr>
      <w:r>
        <w:rPr>
          <w:rFonts w:hint="eastAsia" w:ascii="宋体" w:hAnsi="宋体" w:cs="宋体"/>
          <w:b/>
          <w:color w:val="auto"/>
          <w:szCs w:val="21"/>
        </w:rPr>
        <w:t>从业人员、营业收入、资产总额填报上一年度数据，无上一年度数据的新成立企业可不填报。</w:t>
      </w:r>
    </w:p>
    <w:p>
      <w:pPr>
        <w:spacing w:line="360" w:lineRule="auto"/>
        <w:ind w:right="420"/>
        <w:rPr>
          <w:rFonts w:ascii="宋体" w:hAnsi="宋体" w:cs="宋体"/>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 xml:space="preserve">   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2" w:firstLineChars="200"/>
        <w:rPr>
          <w:rFonts w:hint="eastAsia" w:ascii="宋体" w:hAnsi="宋体" w:cs="宋体"/>
          <w:b/>
          <w:bCs/>
          <w:color w:val="auto"/>
          <w:sz w:val="24"/>
        </w:rPr>
      </w:pPr>
      <w:r>
        <w:rPr>
          <w:rFonts w:hint="eastAsia" w:ascii="宋体" w:hAnsi="宋体" w:cs="宋体"/>
          <w:b/>
          <w:bCs/>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widowControl/>
        <w:spacing w:line="360" w:lineRule="auto"/>
        <w:ind w:firstLine="480"/>
        <w:jc w:val="left"/>
        <w:rPr>
          <w:rFonts w:ascii="宋体" w:hAnsi="宋体" w:cs="宋体"/>
          <w:color w:val="auto"/>
          <w:sz w:val="24"/>
        </w:rPr>
      </w:pPr>
    </w:p>
    <w:p>
      <w:pPr>
        <w:widowControl/>
        <w:spacing w:line="360" w:lineRule="auto"/>
        <w:ind w:firstLine="472" w:firstLineChars="196"/>
        <w:jc w:val="left"/>
        <w:rPr>
          <w:rFonts w:hint="eastAsia" w:ascii="宋体" w:hAnsi="宋体" w:cs="宋体"/>
          <w:b/>
          <w:color w:val="auto"/>
          <w:sz w:val="24"/>
        </w:rPr>
      </w:pPr>
    </w:p>
    <w:p>
      <w:pPr>
        <w:widowControl/>
        <w:spacing w:line="360" w:lineRule="auto"/>
        <w:ind w:firstLine="472" w:firstLineChars="196"/>
        <w:jc w:val="left"/>
        <w:rPr>
          <w:rFonts w:hint="eastAsia" w:ascii="宋体" w:hAnsi="宋体" w:cs="宋体"/>
          <w:b/>
          <w:color w:val="auto"/>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color w:val="auto"/>
          <w:sz w:val="24"/>
        </w:rPr>
        <w:t>B.</w:t>
      </w:r>
      <w:r>
        <w:rPr>
          <w:rFonts w:hint="eastAsia" w:ascii="宋体" w:hAnsi="宋体" w:cs="宋体"/>
          <w:color w:val="auto"/>
          <w:sz w:val="24"/>
        </w:rPr>
        <w:t>要求以联合体形式参加的，提供联合协议（附件</w:t>
      </w:r>
      <w:r>
        <w:rPr>
          <w:rFonts w:ascii="宋体" w:hAnsi="宋体" w:cs="宋体"/>
          <w:color w:val="auto"/>
          <w:sz w:val="24"/>
        </w:rPr>
        <w:t>5</w:t>
      </w:r>
      <w:r>
        <w:rPr>
          <w:rFonts w:hint="eastAsia" w:ascii="宋体" w:hAnsi="宋体" w:cs="宋体"/>
          <w:color w:val="auto"/>
          <w:sz w:val="24"/>
        </w:rPr>
        <w:t>）和中小企业声明函，联合协议中中小企业合同金额应当达到招标公告载明的比例；如果供应商本身提供所有标的均由中小企业承接的，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rPr>
          <w:color w:val="auto"/>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四、本项目的特定资格要求（如果有）</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snapToGrid w:val="0"/>
        <w:spacing w:line="360" w:lineRule="auto"/>
        <w:ind w:right="480"/>
        <w:jc w:val="center"/>
        <w:rPr>
          <w:rFonts w:ascii="宋体" w:hAnsi="宋体" w:cs="宋体"/>
          <w:b/>
          <w:color w:val="auto"/>
          <w:kern w:val="0"/>
          <w:sz w:val="32"/>
          <w:szCs w:val="32"/>
        </w:rPr>
      </w:pPr>
    </w:p>
    <w:p>
      <w:pPr>
        <w:widowControl/>
        <w:adjustRightInd/>
        <w:jc w:val="left"/>
        <w:rPr>
          <w:rFonts w:ascii="宋体" w:hAnsi="宋体" w:cs="宋体"/>
          <w:b/>
          <w:color w:val="auto"/>
          <w:kern w:val="0"/>
          <w:sz w:val="36"/>
          <w:szCs w:val="36"/>
        </w:rPr>
      </w:pPr>
      <w:r>
        <w:rPr>
          <w:rFonts w:ascii="宋体" w:hAnsi="宋体" w:cs="宋体"/>
          <w:b/>
          <w:color w:val="auto"/>
          <w:kern w:val="0"/>
          <w:sz w:val="36"/>
          <w:szCs w:val="36"/>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4"/>
        </w:rPr>
      </w:pP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rPr>
          <w:rFonts w:ascii="宋体" w:hAnsi="宋体" w:cs="宋体"/>
          <w:b/>
          <w:color w:val="auto"/>
          <w:kern w:val="0"/>
          <w:sz w:val="32"/>
          <w:szCs w:val="32"/>
          <w:lang w:val="zh-CN"/>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jc w:val="center"/>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lang w:eastAsia="zh-CN"/>
        </w:rPr>
        <w:t>淳安县富文乡人民政府</w:t>
      </w:r>
      <w:r>
        <w:rPr>
          <w:rFonts w:hint="eastAsia" w:ascii="宋体" w:hAnsi="宋体" w:cs="宋体"/>
          <w:color w:val="auto"/>
          <w:sz w:val="24"/>
        </w:rPr>
        <w:t>、</w:t>
      </w:r>
      <w:r>
        <w:rPr>
          <w:rFonts w:hint="eastAsia" w:ascii="宋体" w:hAnsi="宋体" w:cs="宋体"/>
          <w:color w:val="auto"/>
          <w:sz w:val="24"/>
          <w:lang w:eastAsia="zh-CN"/>
        </w:rPr>
        <w:t>浙江建安工程管理有限公司</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富文乡石头埠淳岸（杭州千岛湖）麦芽威士忌酒厂污水管道、泵站及电气安装项目</w:t>
      </w:r>
      <w:r>
        <w:rPr>
          <w:rFonts w:hint="eastAsia" w:ascii="宋体" w:hAnsi="宋体" w:cs="宋体"/>
          <w:color w:val="auto"/>
          <w:sz w:val="24"/>
        </w:rPr>
        <w:t>【招标编号：</w:t>
      </w:r>
      <w:r>
        <w:rPr>
          <w:rFonts w:hint="eastAsia" w:ascii="宋体" w:hAnsi="宋体" w:cs="宋体"/>
          <w:color w:val="auto"/>
          <w:sz w:val="24"/>
          <w:lang w:eastAsia="zh-CN"/>
        </w:rPr>
        <w:t>ZJJAZF[2024]38号</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18" w:name="_Hlk101257010"/>
      <w:r>
        <w:rPr>
          <w:rFonts w:hint="eastAsia" w:ascii="宋体" w:hAnsi="宋体" w:cs="宋体"/>
          <w:color w:val="auto"/>
          <w:sz w:val="24"/>
        </w:rPr>
        <w:t>（如果有)</w:t>
      </w:r>
      <w:bookmarkEnd w:id="518"/>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hint="eastAsia"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2.3.2</w:t>
      </w:r>
      <w:r>
        <w:rPr>
          <w:rFonts w:hint="eastAsia" w:ascii="宋体" w:hAnsi="宋体" w:eastAsia="宋体" w:cs="宋体"/>
          <w:color w:val="auto"/>
          <w:sz w:val="24"/>
        </w:rPr>
        <w:t>中小企业声明函</w:t>
      </w:r>
      <w:r>
        <w:rPr>
          <w:rFonts w:hint="eastAsia" w:ascii="宋体" w:hAnsi="宋体" w:eastAsia="宋体" w:cs="宋体"/>
          <w:color w:val="auto"/>
          <w:sz w:val="24"/>
          <w:lang w:eastAsia="zh-CN"/>
        </w:rPr>
        <w:t>（</w:t>
      </w:r>
      <w:r>
        <w:rPr>
          <w:rFonts w:hint="eastAsia" w:ascii="宋体" w:hAnsi="宋体" w:eastAsia="宋体" w:cs="宋体"/>
          <w:color w:val="auto"/>
          <w:sz w:val="24"/>
          <w:lang w:val="en-US" w:eastAsia="zh-CN"/>
        </w:rPr>
        <w:t>如有</w:t>
      </w:r>
      <w:r>
        <w:rPr>
          <w:rFonts w:hint="eastAsia" w:ascii="宋体" w:hAnsi="宋体" w:eastAsia="宋体" w:cs="宋体"/>
          <w:color w:val="auto"/>
          <w:sz w:val="24"/>
          <w:lang w:eastAsia="zh-CN"/>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pStyle w:val="2"/>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hint="eastAsia" w:ascii="宋体" w:hAnsi="宋体" w:cs="宋体"/>
          <w:b/>
          <w:color w:val="auto"/>
          <w:kern w:val="0"/>
          <w:sz w:val="32"/>
          <w:szCs w:val="32"/>
          <w:lang w:val="zh-CN"/>
        </w:rPr>
      </w:pP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淳安县富文乡人民政府</w:t>
      </w:r>
      <w:r>
        <w:rPr>
          <w:rFonts w:hint="eastAsia" w:ascii="宋体" w:hAnsi="宋体" w:cs="宋体"/>
          <w:color w:val="auto"/>
          <w:sz w:val="24"/>
        </w:rPr>
        <w:t>、</w:t>
      </w:r>
      <w:r>
        <w:rPr>
          <w:rFonts w:hint="eastAsia" w:ascii="宋体" w:hAnsi="宋体" w:cs="宋体"/>
          <w:color w:val="auto"/>
          <w:sz w:val="24"/>
          <w:lang w:eastAsia="zh-CN"/>
        </w:rPr>
        <w:t>浙江建安工程管理有限公司</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富文乡石头埠淳岸（杭州千岛湖）麦芽威士忌酒厂污水管道、泵站及电气安装项目</w:t>
      </w:r>
      <w:r>
        <w:rPr>
          <w:rFonts w:hint="eastAsia" w:ascii="宋体" w:hAnsi="宋体" w:cs="宋体"/>
          <w:color w:val="auto"/>
          <w:sz w:val="24"/>
        </w:rPr>
        <w:t>【招标编号：</w:t>
      </w:r>
      <w:r>
        <w:rPr>
          <w:rFonts w:hint="eastAsia" w:ascii="宋体" w:hAnsi="宋体" w:cs="宋体"/>
          <w:color w:val="auto"/>
          <w:sz w:val="24"/>
          <w:lang w:eastAsia="zh-CN"/>
        </w:rPr>
        <w:t>ZJJAZF[2024]38号</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淳安县富文乡人民政府</w:t>
      </w:r>
      <w:r>
        <w:rPr>
          <w:rFonts w:hint="eastAsia" w:ascii="宋体" w:hAnsi="宋体" w:cs="宋体"/>
          <w:color w:val="auto"/>
          <w:sz w:val="24"/>
        </w:rPr>
        <w:t>、</w:t>
      </w:r>
      <w:r>
        <w:rPr>
          <w:rFonts w:hint="eastAsia" w:ascii="宋体" w:hAnsi="宋体" w:cs="宋体"/>
          <w:color w:val="auto"/>
          <w:sz w:val="24"/>
          <w:lang w:eastAsia="zh-CN"/>
        </w:rPr>
        <w:t>浙江建安工程管理有限公司</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富文乡石头埠淳岸（杭州千岛湖）麦芽威士忌酒厂污水管道、泵站及电气安装项目</w:t>
      </w:r>
      <w:r>
        <w:rPr>
          <w:rFonts w:hint="eastAsia" w:ascii="宋体" w:hAnsi="宋体" w:cs="宋体"/>
          <w:color w:val="auto"/>
          <w:sz w:val="24"/>
        </w:rPr>
        <w:t>【招标编号：</w:t>
      </w:r>
      <w:r>
        <w:rPr>
          <w:rFonts w:hint="eastAsia" w:ascii="宋体" w:hAnsi="宋体" w:cs="宋体"/>
          <w:color w:val="auto"/>
          <w:sz w:val="24"/>
          <w:lang w:eastAsia="zh-CN"/>
        </w:rPr>
        <w:t>ZJJAZF[2024]38号</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napToGrid w:val="0"/>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lang w:val="zh-CN"/>
        </w:rPr>
      </w:pP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8"/>
        <w:spacing w:line="360" w:lineRule="auto"/>
        <w:rPr>
          <w:rFonts w:hAnsi="宋体" w:cs="宋体"/>
          <w:bCs/>
          <w:color w:val="auto"/>
          <w:sz w:val="24"/>
        </w:rPr>
      </w:pPr>
      <w:r>
        <w:rPr>
          <w:rFonts w:hint="eastAsia" w:hAnsi="宋体" w:cs="宋体"/>
          <w:bCs/>
          <w:color w:val="auto"/>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rPr>
            </w:pPr>
            <w:r>
              <w:rPr>
                <w:rFonts w:hint="eastAsia" w:hAnsi="宋体" w:cs="宋体"/>
                <w:bCs/>
                <w:color w:val="auto"/>
                <w:sz w:val="24"/>
              </w:rPr>
              <w:t>正面：                                 反面：</w:t>
            </w:r>
          </w:p>
          <w:p>
            <w:pPr>
              <w:pStyle w:val="148"/>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hint="eastAsia" w:ascii="宋体" w:hAnsi="宋体" w:cs="宋体"/>
          <w:b/>
          <w:color w:val="auto"/>
          <w:kern w:val="0"/>
          <w:sz w:val="32"/>
          <w:szCs w:val="32"/>
        </w:rPr>
      </w:pPr>
    </w:p>
    <w:p>
      <w:pPr>
        <w:jc w:val="center"/>
        <w:rPr>
          <w:rFonts w:hint="eastAsia" w:ascii="宋体" w:hAnsi="宋体" w:cs="宋体"/>
          <w:b/>
          <w:color w:val="auto"/>
          <w:kern w:val="0"/>
          <w:sz w:val="32"/>
          <w:szCs w:val="32"/>
        </w:rPr>
      </w:pP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3"/>
        <w:tblW w:w="9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369"/>
        <w:gridCol w:w="1114"/>
        <w:gridCol w:w="1260"/>
        <w:gridCol w:w="2775"/>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546"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276"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546" w:type="dxa"/>
          </w:tcPr>
          <w:p>
            <w:pPr>
              <w:jc w:val="center"/>
              <w:rPr>
                <w:rFonts w:ascii="宋体" w:hAnsi="宋体" w:cs="宋体"/>
                <w:b/>
                <w:color w:val="auto"/>
                <w:kern w:val="0"/>
                <w:sz w:val="32"/>
                <w:szCs w:val="32"/>
              </w:rPr>
            </w:pPr>
          </w:p>
        </w:tc>
        <w:tc>
          <w:tcPr>
            <w:tcW w:w="1276"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淳安县富文乡人民政府</w:t>
      </w:r>
      <w:r>
        <w:rPr>
          <w:rFonts w:hint="eastAsia" w:ascii="宋体" w:hAnsi="宋体" w:cs="宋体"/>
          <w:color w:val="auto"/>
          <w:sz w:val="24"/>
        </w:rPr>
        <w:t>、</w:t>
      </w:r>
      <w:r>
        <w:rPr>
          <w:rFonts w:hint="eastAsia" w:ascii="宋体" w:hAnsi="宋体" w:cs="宋体"/>
          <w:color w:val="auto"/>
          <w:sz w:val="24"/>
          <w:lang w:eastAsia="zh-CN"/>
        </w:rPr>
        <w:t>浙江建安工程管理有限公司</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淳安县富文乡人民政府</w:t>
      </w:r>
      <w:r>
        <w:rPr>
          <w:rFonts w:hint="eastAsia" w:ascii="宋体" w:hAnsi="宋体" w:cs="宋体"/>
          <w:color w:val="auto"/>
          <w:sz w:val="24"/>
        </w:rPr>
        <w:t>、</w:t>
      </w:r>
      <w:r>
        <w:rPr>
          <w:rFonts w:hint="eastAsia" w:ascii="宋体" w:hAnsi="宋体" w:cs="宋体"/>
          <w:color w:val="auto"/>
          <w:sz w:val="24"/>
          <w:lang w:eastAsia="zh-CN"/>
        </w:rPr>
        <w:t>浙江建安工程管理有限公司</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lang w:eastAsia="zh-CN"/>
        </w:rPr>
        <w:t>富文乡石头埠淳岸（杭州千岛湖）麦芽威士忌酒厂污水管道、泵站及电气安装项目</w:t>
      </w:r>
      <w:r>
        <w:rPr>
          <w:rFonts w:hint="eastAsia" w:ascii="宋体" w:hAnsi="宋体" w:cs="宋体"/>
          <w:color w:val="auto"/>
          <w:kern w:val="0"/>
          <w:sz w:val="24"/>
          <w:lang w:val="zh-CN"/>
        </w:rPr>
        <w:t>【招标编号：</w:t>
      </w:r>
      <w:r>
        <w:rPr>
          <w:rFonts w:hint="eastAsia" w:ascii="宋体" w:hAnsi="宋体" w:cs="宋体"/>
          <w:color w:val="auto"/>
          <w:sz w:val="24"/>
          <w:lang w:eastAsia="zh-CN"/>
        </w:rPr>
        <w:t>ZJJAZF[2024]38号</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99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2268" w:type="dxa"/>
            <w:vAlign w:val="top"/>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品牌（如果有）</w:t>
            </w:r>
          </w:p>
        </w:tc>
        <w:tc>
          <w:tcPr>
            <w:tcW w:w="241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226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212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单价</w:t>
            </w:r>
          </w:p>
        </w:tc>
        <w:tc>
          <w:tcPr>
            <w:tcW w:w="212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合计</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99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rPr>
            </w:pPr>
          </w:p>
        </w:tc>
        <w:tc>
          <w:tcPr>
            <w:tcW w:w="992"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8647" w:type="dxa"/>
            <w:gridSpan w:val="4"/>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8647" w:type="dxa"/>
            <w:gridSpan w:val="4"/>
          </w:tcPr>
          <w:p>
            <w:pPr>
              <w:spacing w:line="360" w:lineRule="auto"/>
              <w:jc w:val="center"/>
              <w:rPr>
                <w:rFonts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rPr>
      </w:pPr>
      <w:r>
        <w:rPr>
          <w:rFonts w:hint="eastAsia" w:ascii="宋体" w:hAnsi="宋体" w:cs="宋体"/>
          <w:b/>
          <w:color w:val="auto"/>
          <w:sz w:val="24"/>
        </w:rPr>
        <w:t>5、特别说明：▲供应商报价低于项目预算50%的，应当在报价文件中详细阐述不影响产品质量或者诚信履约的具体原因。</w:t>
      </w:r>
    </w:p>
    <w:p>
      <w:pPr>
        <w:spacing w:line="360" w:lineRule="auto"/>
        <w:ind w:firstLine="482" w:firstLineChars="200"/>
        <w:rPr>
          <w:rFonts w:ascii="宋体" w:hAnsi="宋体" w:cs="宋体"/>
          <w:b/>
          <w:color w:val="auto"/>
          <w:kern w:val="0"/>
          <w:sz w:val="24"/>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1"/>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r>
        <w:rPr>
          <w:rFonts w:hint="eastAsia" w:ascii="宋体" w:hAnsi="宋体" w:cs="宋体"/>
          <w:color w:val="auto"/>
        </w:rPr>
        <w:t>附件</w:t>
      </w:r>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19" w:name="OLE_LINK13"/>
      <w:bookmarkStart w:id="520" w:name="OLE_LINK14"/>
      <w:r>
        <w:rPr>
          <w:rFonts w:hint="eastAsia" w:ascii="宋体" w:hAnsi="宋体" w:cs="宋体"/>
          <w:b/>
          <w:color w:val="auto"/>
          <w:spacing w:val="6"/>
          <w:sz w:val="32"/>
          <w:szCs w:val="32"/>
        </w:rPr>
        <w:t>残疾人福利性单位声明函</w:t>
      </w:r>
    </w:p>
    <w:bookmarkEnd w:id="519"/>
    <w:bookmarkEnd w:id="520"/>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lang w:eastAsia="zh-CN"/>
        </w:rPr>
        <w:t>淳安县富文乡人民政府</w:t>
      </w:r>
      <w:r>
        <w:rPr>
          <w:rFonts w:hint="eastAsia" w:ascii="宋体" w:hAnsi="宋体" w:cs="宋体"/>
          <w:color w:val="auto"/>
          <w:sz w:val="24"/>
        </w:rPr>
        <w:t>单位的</w:t>
      </w:r>
      <w:r>
        <w:rPr>
          <w:rFonts w:hint="eastAsia" w:ascii="宋体" w:hAnsi="宋体" w:cs="宋体"/>
          <w:color w:val="auto"/>
          <w:sz w:val="24"/>
          <w:u w:val="single"/>
          <w:lang w:eastAsia="zh-CN"/>
        </w:rPr>
        <w:t>富文乡石头埠淳岸（杭州千岛湖）麦芽威士忌酒厂污水管道、泵站及电气安装项目</w:t>
      </w:r>
      <w:r>
        <w:rPr>
          <w:rFonts w:hint="eastAsia" w:ascii="宋体" w:hAnsi="宋体" w:cs="宋体"/>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lang w:eastAsia="zh-CN"/>
        </w:rPr>
        <w:t>淳安县富文乡人民政府</w:t>
      </w:r>
      <w:r>
        <w:rPr>
          <w:rFonts w:hint="eastAsia" w:ascii="宋体" w:hAnsi="宋体" w:cs="宋体"/>
          <w:color w:val="auto"/>
          <w:sz w:val="24"/>
          <w:u w:val="single"/>
        </w:rPr>
        <w:t>、</w:t>
      </w:r>
      <w:r>
        <w:rPr>
          <w:rFonts w:hint="eastAsia" w:ascii="宋体" w:hAnsi="宋体" w:cs="宋体"/>
          <w:color w:val="auto"/>
          <w:sz w:val="24"/>
          <w:u w:val="single"/>
          <w:lang w:eastAsia="zh-CN"/>
        </w:rPr>
        <w:t>浙江建安工程管理有限公司</w:t>
      </w:r>
      <w:r>
        <w:rPr>
          <w:rFonts w:hint="eastAsia" w:ascii="宋体" w:hAnsi="宋体" w:cs="宋体"/>
          <w:color w:val="auto"/>
          <w:sz w:val="24"/>
          <w:u w:val="single"/>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富文乡石头埠淳岸（杭州千岛湖）麦芽威士忌酒厂污水管道、泵站及电气安装项目</w:t>
      </w:r>
      <w:r>
        <w:rPr>
          <w:rFonts w:hint="eastAsia" w:ascii="宋体" w:hAnsi="宋体" w:cs="宋体"/>
          <w:color w:val="auto"/>
          <w:sz w:val="24"/>
        </w:rPr>
        <w:t>【招标编号：</w:t>
      </w:r>
      <w:r>
        <w:rPr>
          <w:rFonts w:hint="eastAsia" w:ascii="宋体" w:hAnsi="宋体" w:cs="宋体"/>
          <w:color w:val="auto"/>
          <w:sz w:val="24"/>
          <w:lang w:eastAsia="zh-CN"/>
        </w:rPr>
        <w:t>ZJJAZF[2024]38号</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kern w:val="0"/>
          <w:sz w:val="32"/>
          <w:szCs w:val="32"/>
          <w:lang w:val="zh-CN"/>
        </w:rPr>
      </w:pPr>
      <w:r>
        <w:rPr>
          <w:rFonts w:hint="eastAsia" w:ascii="宋体" w:hAnsi="宋体" w:cs="宋体"/>
          <w:b/>
          <w:color w:val="auto"/>
          <w:spacing w:val="6"/>
          <w:sz w:val="32"/>
          <w:szCs w:val="32"/>
        </w:rPr>
        <w:t>附件</w:t>
      </w:r>
      <w:r>
        <w:rPr>
          <w:rFonts w:ascii="宋体" w:hAnsi="宋体" w:cs="宋体"/>
          <w:b/>
          <w:color w:val="auto"/>
          <w:spacing w:val="6"/>
          <w:sz w:val="32"/>
          <w:szCs w:val="32"/>
        </w:rPr>
        <w:t>5</w:t>
      </w:r>
      <w:r>
        <w:rPr>
          <w:rFonts w:hint="eastAsia" w:ascii="宋体" w:hAnsi="宋体" w:cs="宋体"/>
          <w:b/>
          <w:color w:val="auto"/>
          <w:spacing w:val="6"/>
          <w:sz w:val="32"/>
          <w:szCs w:val="32"/>
        </w:rPr>
        <w:t>：</w:t>
      </w:r>
      <w:r>
        <w:rPr>
          <w:rFonts w:hint="eastAsia" w:ascii="宋体" w:hAnsi="宋体" w:cs="宋体"/>
          <w:b/>
          <w:color w:val="auto"/>
          <w:kern w:val="0"/>
          <w:sz w:val="32"/>
          <w:szCs w:val="32"/>
          <w:lang w:val="zh-CN"/>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富文乡石头埠淳岸（杭州千岛湖）麦芽威士忌酒厂污水管道、泵站及电气安装项目</w:t>
      </w:r>
      <w:r>
        <w:rPr>
          <w:rFonts w:hint="eastAsia" w:ascii="宋体" w:hAnsi="宋体" w:cs="宋体"/>
          <w:color w:val="auto"/>
          <w:sz w:val="24"/>
        </w:rPr>
        <w:t>【招标编号：</w:t>
      </w:r>
      <w:r>
        <w:rPr>
          <w:rFonts w:hint="eastAsia" w:ascii="宋体" w:hAnsi="宋体" w:cs="宋体"/>
          <w:color w:val="auto"/>
          <w:sz w:val="24"/>
          <w:lang w:eastAsia="zh-CN"/>
        </w:rPr>
        <w:t>ZJJAZF[2024]38号</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w:t>
      </w:r>
      <w:bookmarkStart w:id="521" w:name="_Hlk101131882"/>
      <w:r>
        <w:rPr>
          <w:rFonts w:hint="eastAsia" w:ascii="宋体" w:hAnsi="宋体" w:cs="宋体"/>
          <w:color w:val="auto"/>
          <w:kern w:val="0"/>
          <w:sz w:val="24"/>
          <w:u w:val="single"/>
        </w:rPr>
        <w:t>联合体成员X</w:t>
      </w:r>
      <w:r>
        <w:rPr>
          <w:rFonts w:ascii="宋体" w:hAnsi="宋体" w:cs="宋体"/>
          <w:color w:val="auto"/>
          <w:kern w:val="0"/>
          <w:sz w:val="24"/>
          <w:u w:val="single"/>
        </w:rPr>
        <w:t>,</w:t>
      </w:r>
      <w:r>
        <w:rPr>
          <w:rFonts w:hint="eastAsia" w:ascii="宋体" w:hAnsi="宋体" w:cs="宋体"/>
          <w:color w:val="auto"/>
          <w:kern w:val="0"/>
          <w:sz w:val="24"/>
          <w:u w:val="single"/>
        </w:rPr>
        <w:t>……</w:t>
      </w:r>
      <w:bookmarkEnd w:id="521"/>
      <w:r>
        <w:rPr>
          <w:rFonts w:hint="eastAsia" w:ascii="宋体" w:hAnsi="宋体" w:cs="宋体"/>
          <w:color w:val="auto"/>
          <w:kern w:val="0"/>
          <w:sz w:val="24"/>
          <w:u w:val="single"/>
        </w:rPr>
        <w:t>）</w:t>
      </w:r>
      <w:r>
        <w:rPr>
          <w:rFonts w:hint="eastAsia" w:ascii="宋体" w:hAnsi="宋体" w:cs="宋体"/>
          <w:color w:val="auto"/>
          <w:kern w:val="0"/>
          <w:sz w:val="24"/>
        </w:rPr>
        <w:t>提供的服务由小微企业承接，其合同份额占到合同总金额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w:t>
      </w:r>
      <w:bookmarkStart w:id="522" w:name="_Hlk101133598"/>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bookmarkEnd w:id="522"/>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23"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lang w:val="zh-CN"/>
        </w:rPr>
        <w:t>）</w:t>
      </w:r>
      <w:bookmarkEnd w:id="523"/>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napToGrid w:val="0"/>
        <w:spacing w:line="360" w:lineRule="auto"/>
        <w:ind w:firstLine="3666" w:firstLineChars="1100"/>
        <w:rPr>
          <w:rFonts w:ascii="宋体" w:hAnsi="宋体" w:cs="宋体"/>
          <w:b/>
          <w:color w:val="auto"/>
          <w:spacing w:val="6"/>
          <w:sz w:val="32"/>
          <w:szCs w:val="32"/>
        </w:rPr>
      </w:pPr>
    </w:p>
    <w:p>
      <w:pPr>
        <w:widowControl/>
        <w:adjustRightInd/>
        <w:jc w:val="left"/>
        <w:rPr>
          <w:rFonts w:ascii="宋体" w:hAnsi="宋体" w:cs="宋体"/>
          <w:b/>
          <w:color w:val="auto"/>
          <w:spacing w:val="6"/>
          <w:sz w:val="32"/>
          <w:szCs w:val="32"/>
        </w:rPr>
      </w:pPr>
      <w:r>
        <w:rPr>
          <w:rFonts w:ascii="宋体" w:hAnsi="宋体" w:cs="宋体"/>
          <w:b/>
          <w:color w:val="auto"/>
          <w:spacing w:val="6"/>
          <w:sz w:val="32"/>
          <w:szCs w:val="32"/>
        </w:rPr>
        <w:br w:type="page"/>
      </w:r>
    </w:p>
    <w:p>
      <w:pPr>
        <w:snapToGrid w:val="0"/>
        <w:spacing w:line="360" w:lineRule="auto"/>
        <w:jc w:val="center"/>
        <w:rPr>
          <w:rFonts w:ascii="宋体" w:hAnsi="宋体" w:cs="宋体"/>
          <w:b/>
          <w:color w:val="auto"/>
          <w:kern w:val="0"/>
          <w:sz w:val="32"/>
          <w:szCs w:val="32"/>
        </w:rPr>
      </w:pPr>
      <w:r>
        <w:rPr>
          <w:rFonts w:hint="eastAsia" w:ascii="宋体" w:hAnsi="宋体" w:cs="宋体"/>
          <w:b/>
          <w:color w:val="auto"/>
          <w:spacing w:val="6"/>
          <w:sz w:val="32"/>
          <w:szCs w:val="32"/>
        </w:rPr>
        <w:t>附件</w:t>
      </w:r>
      <w:r>
        <w:rPr>
          <w:rFonts w:ascii="宋体" w:hAnsi="宋体" w:cs="宋体"/>
          <w:b/>
          <w:color w:val="auto"/>
          <w:spacing w:val="6"/>
          <w:sz w:val="32"/>
          <w:szCs w:val="32"/>
        </w:rPr>
        <w:t>6</w:t>
      </w:r>
      <w:r>
        <w:rPr>
          <w:rFonts w:hint="eastAsia" w:ascii="宋体" w:hAnsi="宋体" w:cs="宋体"/>
          <w:b/>
          <w:color w:val="auto"/>
          <w:spacing w:val="6"/>
          <w:sz w:val="32"/>
          <w:szCs w:val="32"/>
        </w:rPr>
        <w:t>：</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富文乡石头埠淳岸（杭州千岛湖）麦芽威士忌酒厂污水管道、泵站及电气安装项目</w:t>
      </w:r>
      <w:r>
        <w:rPr>
          <w:rFonts w:hint="eastAsia" w:ascii="宋体" w:hAnsi="宋体" w:cs="宋体"/>
          <w:color w:val="auto"/>
          <w:sz w:val="24"/>
        </w:rPr>
        <w:t>【招标编号：</w:t>
      </w:r>
      <w:r>
        <w:rPr>
          <w:rFonts w:hint="eastAsia" w:ascii="宋体" w:hAnsi="宋体" w:cs="宋体"/>
          <w:color w:val="auto"/>
          <w:sz w:val="24"/>
          <w:lang w:eastAsia="zh-CN"/>
        </w:rPr>
        <w:t>ZJJAZF[2024]38号</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（分包供应商2名称），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2"/>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rPr>
          <w:color w:val="auto"/>
        </w:rPr>
      </w:pPr>
      <w:r>
        <w:rPr>
          <w:rFonts w:hint="eastAsia"/>
          <w:color w:val="auto"/>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……）提供的服务全部由小微企业承接，</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八、其他</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 xml:space="preserve">  。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spacing w:line="360" w:lineRule="auto"/>
        <w:rPr>
          <w:rFonts w:hint="eastAsia" w:ascii="宋体" w:hAnsi="宋体" w:eastAsia="宋体" w:cs="宋体"/>
          <w:bCs/>
          <w:color w:val="auto"/>
          <w:sz w:val="24"/>
          <w:lang w:eastAsia="zh-CN"/>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B0604020202020204"/>
    <w:charset w:val="86"/>
    <w:family w:val="modern"/>
    <w:pitch w:val="default"/>
    <w:sig w:usb0="00000000" w:usb1="00000000" w:usb2="00000000" w:usb3="00000000" w:csb0="00040000" w:csb1="00000000"/>
  </w:font>
  <w:font w:name="Futura Bk">
    <w:altName w:val="Segoe Print"/>
    <w:panose1 w:val="020B0602020204020303"/>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604020202020204"/>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20B0604020202020204"/>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20B0604020202020204"/>
    <w:charset w:val="86"/>
    <w:family w:val="swiss"/>
    <w:pitch w:val="default"/>
    <w:sig w:usb0="00000000" w:usb1="00000000" w:usb2="00000010" w:usb3="00000000" w:csb0="00040000" w:csb1="00000000"/>
  </w:font>
  <w:font w:name="Arial (W1)">
    <w:altName w:val="Arial"/>
    <w:panose1 w:val="020B0604020202020204"/>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19F" w:csb1="00000000"/>
  </w:font>
  <w:font w:name="Cumberland">
    <w:altName w:val="微软雅黑"/>
    <w:panose1 w:val="020B0604020202020204"/>
    <w:charset w:val="00"/>
    <w:family w:val="modern"/>
    <w:pitch w:val="default"/>
    <w:sig w:usb0="00000000" w:usb1="00000000" w:usb2="00000000" w:usb3="00000000" w:csb0="00040001" w:csb1="00000000"/>
  </w:font>
  <w:font w:name="方正宋体">
    <w:altName w:val="宋体"/>
    <w:panose1 w:val="020B0604020202020204"/>
    <w:charset w:val="00"/>
    <w:family w:val="auto"/>
    <w:pitch w:val="default"/>
    <w:sig w:usb0="00000000" w:usb1="00000000" w:usb2="00000000" w:usb3="00000000" w:csb0="00040001" w:csb1="00000000"/>
  </w:font>
  <w:font w:name="Futura Hv">
    <w:altName w:val="Segoe Print"/>
    <w:panose1 w:val="020B0602020204020303"/>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20B0604020202020204"/>
    <w:charset w:val="00"/>
    <w:family w:val="roman"/>
    <w:pitch w:val="default"/>
    <w:sig w:usb0="00000000" w:usb1="00000000" w:usb2="00000000" w:usb3="00000000" w:csb0="00000011" w:csb1="00000000"/>
  </w:font>
  <w:font w:name=".PingFang SC">
    <w:altName w:val="微软雅黑"/>
    <w:panose1 w:val="020B0604020202020204"/>
    <w:charset w:val="00"/>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65</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74</w:t>
    </w:r>
    <w:r>
      <w:rPr>
        <w:rFonts w:hint="eastAsia" w:ascii="仿宋_GB2312" w:eastAsia="仿宋_GB2312"/>
        <w:kern w:val="0"/>
        <w:szCs w:val="21"/>
      </w:rPr>
      <w:fldChar w:fldCharType="end"/>
    </w:r>
    <w:bookmarkStart w:id="524" w:name="_Toc131845147"/>
    <w:bookmarkStart w:id="525" w:name="_Toc36110187"/>
    <w:bookmarkStart w:id="526" w:name="_Toc164085800"/>
    <w:bookmarkStart w:id="527" w:name="_Toc91899912"/>
    <w:r>
      <w:rPr>
        <w:rFonts w:hint="eastAsia" w:ascii="仿宋_GB2312" w:eastAsia="仿宋_GB2312"/>
        <w:kern w:val="0"/>
        <w:szCs w:val="21"/>
      </w:rPr>
      <w:t xml:space="preserve"> 页</w:t>
    </w:r>
    <w:bookmarkEnd w:id="524"/>
    <w:bookmarkEnd w:id="525"/>
    <w:bookmarkEnd w:id="526"/>
    <w:bookmarkEnd w:id="52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67785"/>
    <w:multiLevelType w:val="singleLevel"/>
    <w:tmpl w:val="94F67785"/>
    <w:lvl w:ilvl="0" w:tentative="0">
      <w:start w:val="1"/>
      <w:numFmt w:val="decimal"/>
      <w:lvlText w:val="%1."/>
      <w:lvlJc w:val="left"/>
      <w:pPr>
        <w:tabs>
          <w:tab w:val="left" w:pos="312"/>
        </w:tabs>
      </w:pPr>
    </w:lvl>
  </w:abstractNum>
  <w:abstractNum w:abstractNumId="1">
    <w:nsid w:val="70BADB69"/>
    <w:multiLevelType w:val="singleLevel"/>
    <w:tmpl w:val="70BADB69"/>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0NmU1ZDA4M2RiZTFmM2E0NjBjYTQzODgxNjk1MW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7A"/>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7E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897"/>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69D4"/>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A70"/>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076"/>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404"/>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81A"/>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611"/>
    <w:rsid w:val="004E3117"/>
    <w:rsid w:val="004E3A2A"/>
    <w:rsid w:val="004E3AB1"/>
    <w:rsid w:val="004E4003"/>
    <w:rsid w:val="004E4626"/>
    <w:rsid w:val="004E4984"/>
    <w:rsid w:val="004E5101"/>
    <w:rsid w:val="004E5380"/>
    <w:rsid w:val="004E616D"/>
    <w:rsid w:val="004E6746"/>
    <w:rsid w:val="004E6CAC"/>
    <w:rsid w:val="004E6F69"/>
    <w:rsid w:val="004E75C1"/>
    <w:rsid w:val="004E7683"/>
    <w:rsid w:val="004E777F"/>
    <w:rsid w:val="004E7B3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77718"/>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597"/>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669"/>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00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94C"/>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8E"/>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7CB"/>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108"/>
    <w:rsid w:val="008308D8"/>
    <w:rsid w:val="00830ECE"/>
    <w:rsid w:val="008320D2"/>
    <w:rsid w:val="008321CE"/>
    <w:rsid w:val="008322BB"/>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5E4"/>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1FEE"/>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295D"/>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A7"/>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19"/>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94"/>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88F"/>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01B"/>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73C"/>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A45"/>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3164E"/>
    <w:rsid w:val="010651D9"/>
    <w:rsid w:val="0116312F"/>
    <w:rsid w:val="011C626C"/>
    <w:rsid w:val="011F6449"/>
    <w:rsid w:val="01236AFB"/>
    <w:rsid w:val="012375FA"/>
    <w:rsid w:val="012515C4"/>
    <w:rsid w:val="014A4B87"/>
    <w:rsid w:val="01521C8D"/>
    <w:rsid w:val="016C0FA1"/>
    <w:rsid w:val="017442FA"/>
    <w:rsid w:val="017936BE"/>
    <w:rsid w:val="01802C9E"/>
    <w:rsid w:val="01910A08"/>
    <w:rsid w:val="019F7441"/>
    <w:rsid w:val="01AD573E"/>
    <w:rsid w:val="01AE15BA"/>
    <w:rsid w:val="01B37585"/>
    <w:rsid w:val="01C81F50"/>
    <w:rsid w:val="01D55165"/>
    <w:rsid w:val="01D60B10"/>
    <w:rsid w:val="01DF6BF8"/>
    <w:rsid w:val="01E943A0"/>
    <w:rsid w:val="01EC2C57"/>
    <w:rsid w:val="01EF572E"/>
    <w:rsid w:val="02182ED7"/>
    <w:rsid w:val="021B6523"/>
    <w:rsid w:val="021C29C7"/>
    <w:rsid w:val="021D04ED"/>
    <w:rsid w:val="021D673F"/>
    <w:rsid w:val="02201D8C"/>
    <w:rsid w:val="022278B2"/>
    <w:rsid w:val="024C3094"/>
    <w:rsid w:val="025263E9"/>
    <w:rsid w:val="025657AD"/>
    <w:rsid w:val="025F0711"/>
    <w:rsid w:val="02663C42"/>
    <w:rsid w:val="026B1259"/>
    <w:rsid w:val="026B2E25"/>
    <w:rsid w:val="026E2AF7"/>
    <w:rsid w:val="02775E4F"/>
    <w:rsid w:val="027D0F8C"/>
    <w:rsid w:val="02824D4D"/>
    <w:rsid w:val="028D0D24"/>
    <w:rsid w:val="028F06F2"/>
    <w:rsid w:val="029C58B6"/>
    <w:rsid w:val="02A32129"/>
    <w:rsid w:val="02AC16E1"/>
    <w:rsid w:val="02AD3FAA"/>
    <w:rsid w:val="02D2752A"/>
    <w:rsid w:val="02D45050"/>
    <w:rsid w:val="02DC4B10"/>
    <w:rsid w:val="02DD76CE"/>
    <w:rsid w:val="02F36323"/>
    <w:rsid w:val="02F4124E"/>
    <w:rsid w:val="02F5619C"/>
    <w:rsid w:val="0326446A"/>
    <w:rsid w:val="032D5555"/>
    <w:rsid w:val="032F2286"/>
    <w:rsid w:val="03391357"/>
    <w:rsid w:val="03483348"/>
    <w:rsid w:val="035B12CD"/>
    <w:rsid w:val="03634626"/>
    <w:rsid w:val="036634D2"/>
    <w:rsid w:val="03667C72"/>
    <w:rsid w:val="03B409DD"/>
    <w:rsid w:val="03C2759E"/>
    <w:rsid w:val="03D64DF8"/>
    <w:rsid w:val="03DD35E4"/>
    <w:rsid w:val="03E2379C"/>
    <w:rsid w:val="03E272F9"/>
    <w:rsid w:val="03F62DA4"/>
    <w:rsid w:val="04076900"/>
    <w:rsid w:val="040C6A6B"/>
    <w:rsid w:val="040F2D63"/>
    <w:rsid w:val="041A5A3B"/>
    <w:rsid w:val="042305AC"/>
    <w:rsid w:val="042311BA"/>
    <w:rsid w:val="042B157A"/>
    <w:rsid w:val="042B5143"/>
    <w:rsid w:val="042C4A18"/>
    <w:rsid w:val="042E0790"/>
    <w:rsid w:val="0451447E"/>
    <w:rsid w:val="045A77D7"/>
    <w:rsid w:val="04727D76"/>
    <w:rsid w:val="047A5783"/>
    <w:rsid w:val="047D34C5"/>
    <w:rsid w:val="048E56D2"/>
    <w:rsid w:val="048E7480"/>
    <w:rsid w:val="048F763B"/>
    <w:rsid w:val="04983E5B"/>
    <w:rsid w:val="049F330E"/>
    <w:rsid w:val="04A70542"/>
    <w:rsid w:val="04AA775C"/>
    <w:rsid w:val="04AF1889"/>
    <w:rsid w:val="04BC223F"/>
    <w:rsid w:val="04BF588C"/>
    <w:rsid w:val="04C410F4"/>
    <w:rsid w:val="04D07A99"/>
    <w:rsid w:val="04D1736D"/>
    <w:rsid w:val="04D37589"/>
    <w:rsid w:val="04D74983"/>
    <w:rsid w:val="04EB48D3"/>
    <w:rsid w:val="04F574FF"/>
    <w:rsid w:val="04F66F48"/>
    <w:rsid w:val="04FD0162"/>
    <w:rsid w:val="050B0AD1"/>
    <w:rsid w:val="050D65F7"/>
    <w:rsid w:val="05151950"/>
    <w:rsid w:val="05171224"/>
    <w:rsid w:val="051756C8"/>
    <w:rsid w:val="05184F9C"/>
    <w:rsid w:val="05191440"/>
    <w:rsid w:val="05251E14"/>
    <w:rsid w:val="052971A9"/>
    <w:rsid w:val="052F4BC7"/>
    <w:rsid w:val="054A784B"/>
    <w:rsid w:val="055E32F7"/>
    <w:rsid w:val="055F2BCB"/>
    <w:rsid w:val="05685F23"/>
    <w:rsid w:val="057523EE"/>
    <w:rsid w:val="05760640"/>
    <w:rsid w:val="0580501B"/>
    <w:rsid w:val="058762A2"/>
    <w:rsid w:val="05900FD6"/>
    <w:rsid w:val="05946D18"/>
    <w:rsid w:val="059C5BB5"/>
    <w:rsid w:val="05A16594"/>
    <w:rsid w:val="05A7762D"/>
    <w:rsid w:val="05AA2098"/>
    <w:rsid w:val="05C55124"/>
    <w:rsid w:val="05C906B1"/>
    <w:rsid w:val="05DD246D"/>
    <w:rsid w:val="05E27A84"/>
    <w:rsid w:val="05E91F4B"/>
    <w:rsid w:val="05EB081E"/>
    <w:rsid w:val="05EB10C6"/>
    <w:rsid w:val="05EF03F3"/>
    <w:rsid w:val="05F31C91"/>
    <w:rsid w:val="05F61781"/>
    <w:rsid w:val="05FD48BE"/>
    <w:rsid w:val="0600615C"/>
    <w:rsid w:val="06010068"/>
    <w:rsid w:val="060E5941"/>
    <w:rsid w:val="06110FAF"/>
    <w:rsid w:val="06141C07"/>
    <w:rsid w:val="06253E14"/>
    <w:rsid w:val="06257970"/>
    <w:rsid w:val="064424ED"/>
    <w:rsid w:val="0648365F"/>
    <w:rsid w:val="06493CA7"/>
    <w:rsid w:val="064A5629"/>
    <w:rsid w:val="06581AF4"/>
    <w:rsid w:val="06585F98"/>
    <w:rsid w:val="0659586C"/>
    <w:rsid w:val="065A1D10"/>
    <w:rsid w:val="065A6178"/>
    <w:rsid w:val="066F1CF3"/>
    <w:rsid w:val="06764670"/>
    <w:rsid w:val="067D59FE"/>
    <w:rsid w:val="06840B3B"/>
    <w:rsid w:val="06862B05"/>
    <w:rsid w:val="068F128E"/>
    <w:rsid w:val="06930BB8"/>
    <w:rsid w:val="0696086E"/>
    <w:rsid w:val="06A25465"/>
    <w:rsid w:val="06A64F55"/>
    <w:rsid w:val="06A765D7"/>
    <w:rsid w:val="06B64A6C"/>
    <w:rsid w:val="06BC2999"/>
    <w:rsid w:val="06D33870"/>
    <w:rsid w:val="06E61A0F"/>
    <w:rsid w:val="06E65352"/>
    <w:rsid w:val="06E93094"/>
    <w:rsid w:val="0721282E"/>
    <w:rsid w:val="07222102"/>
    <w:rsid w:val="07245D42"/>
    <w:rsid w:val="072530D7"/>
    <w:rsid w:val="07264C62"/>
    <w:rsid w:val="072A7934"/>
    <w:rsid w:val="0733430F"/>
    <w:rsid w:val="073360BD"/>
    <w:rsid w:val="073A744C"/>
    <w:rsid w:val="074B78AB"/>
    <w:rsid w:val="07585B24"/>
    <w:rsid w:val="07603356"/>
    <w:rsid w:val="07610E7C"/>
    <w:rsid w:val="076A5F83"/>
    <w:rsid w:val="076B5857"/>
    <w:rsid w:val="0779354C"/>
    <w:rsid w:val="077E37DC"/>
    <w:rsid w:val="077E558A"/>
    <w:rsid w:val="079052BE"/>
    <w:rsid w:val="079E79DA"/>
    <w:rsid w:val="07A11279"/>
    <w:rsid w:val="07A52595"/>
    <w:rsid w:val="07B216D8"/>
    <w:rsid w:val="07BC2556"/>
    <w:rsid w:val="07C1191B"/>
    <w:rsid w:val="07C35693"/>
    <w:rsid w:val="07CB4548"/>
    <w:rsid w:val="07E21FBD"/>
    <w:rsid w:val="07E51AAD"/>
    <w:rsid w:val="07E8334B"/>
    <w:rsid w:val="07EF6488"/>
    <w:rsid w:val="07F27D26"/>
    <w:rsid w:val="07F67816"/>
    <w:rsid w:val="0802440D"/>
    <w:rsid w:val="08061376"/>
    <w:rsid w:val="08071A24"/>
    <w:rsid w:val="08386081"/>
    <w:rsid w:val="08452D77"/>
    <w:rsid w:val="084560A8"/>
    <w:rsid w:val="084C5688"/>
    <w:rsid w:val="0854278F"/>
    <w:rsid w:val="0854453D"/>
    <w:rsid w:val="085D5AE7"/>
    <w:rsid w:val="085D7896"/>
    <w:rsid w:val="08624EAC"/>
    <w:rsid w:val="086401F8"/>
    <w:rsid w:val="08751CAA"/>
    <w:rsid w:val="087E4C40"/>
    <w:rsid w:val="088C5D8F"/>
    <w:rsid w:val="08A2799E"/>
    <w:rsid w:val="08A871D0"/>
    <w:rsid w:val="08B66FA6"/>
    <w:rsid w:val="08CC4A1B"/>
    <w:rsid w:val="08D66AD6"/>
    <w:rsid w:val="08DA33A3"/>
    <w:rsid w:val="08DB07BA"/>
    <w:rsid w:val="08E80F13"/>
    <w:rsid w:val="08F85810"/>
    <w:rsid w:val="08FD6983"/>
    <w:rsid w:val="08FF094D"/>
    <w:rsid w:val="090B10A0"/>
    <w:rsid w:val="090E6DE2"/>
    <w:rsid w:val="09120680"/>
    <w:rsid w:val="0913264A"/>
    <w:rsid w:val="091343F8"/>
    <w:rsid w:val="09181A0E"/>
    <w:rsid w:val="091C32AD"/>
    <w:rsid w:val="09335624"/>
    <w:rsid w:val="093D4FB7"/>
    <w:rsid w:val="0944690F"/>
    <w:rsid w:val="095073FA"/>
    <w:rsid w:val="09535675"/>
    <w:rsid w:val="095742E5"/>
    <w:rsid w:val="09581E0B"/>
    <w:rsid w:val="095A5B83"/>
    <w:rsid w:val="095C18FB"/>
    <w:rsid w:val="095F057D"/>
    <w:rsid w:val="09642282"/>
    <w:rsid w:val="09733572"/>
    <w:rsid w:val="09756E61"/>
    <w:rsid w:val="09772C16"/>
    <w:rsid w:val="097F383C"/>
    <w:rsid w:val="098353B5"/>
    <w:rsid w:val="099A0675"/>
    <w:rsid w:val="099C43EE"/>
    <w:rsid w:val="099C619C"/>
    <w:rsid w:val="09A92330"/>
    <w:rsid w:val="09B06B87"/>
    <w:rsid w:val="09C13146"/>
    <w:rsid w:val="09D92F4C"/>
    <w:rsid w:val="09E04166"/>
    <w:rsid w:val="09E57B43"/>
    <w:rsid w:val="09EA6F07"/>
    <w:rsid w:val="09F45FD8"/>
    <w:rsid w:val="09F63AFE"/>
    <w:rsid w:val="0A184352"/>
    <w:rsid w:val="0A1C0718"/>
    <w:rsid w:val="0A27015B"/>
    <w:rsid w:val="0A2A37A7"/>
    <w:rsid w:val="0A3E7710"/>
    <w:rsid w:val="0A40746F"/>
    <w:rsid w:val="0A474359"/>
    <w:rsid w:val="0A586566"/>
    <w:rsid w:val="0A5B7E63"/>
    <w:rsid w:val="0A5F5B47"/>
    <w:rsid w:val="0A6767AA"/>
    <w:rsid w:val="0A6C3DC0"/>
    <w:rsid w:val="0A6D72BD"/>
    <w:rsid w:val="0A740EC6"/>
    <w:rsid w:val="0A7E3AF3"/>
    <w:rsid w:val="0A877A05"/>
    <w:rsid w:val="0A8C4462"/>
    <w:rsid w:val="0A8E01DA"/>
    <w:rsid w:val="0A911A78"/>
    <w:rsid w:val="0A96708F"/>
    <w:rsid w:val="0A984BB5"/>
    <w:rsid w:val="0A9B46A5"/>
    <w:rsid w:val="0A9B6453"/>
    <w:rsid w:val="0AA374A5"/>
    <w:rsid w:val="0AAB0D8C"/>
    <w:rsid w:val="0AAB7649"/>
    <w:rsid w:val="0AAE43D8"/>
    <w:rsid w:val="0AB4389F"/>
    <w:rsid w:val="0ABC5606"/>
    <w:rsid w:val="0AC41E4E"/>
    <w:rsid w:val="0AC459AA"/>
    <w:rsid w:val="0AEC6CAF"/>
    <w:rsid w:val="0B0009AC"/>
    <w:rsid w:val="0B037F2B"/>
    <w:rsid w:val="0B064214"/>
    <w:rsid w:val="0B114967"/>
    <w:rsid w:val="0B1526A9"/>
    <w:rsid w:val="0B1B1342"/>
    <w:rsid w:val="0B2818A3"/>
    <w:rsid w:val="0B2E1E80"/>
    <w:rsid w:val="0B30404E"/>
    <w:rsid w:val="0B3568A8"/>
    <w:rsid w:val="0B440899"/>
    <w:rsid w:val="0B4C6C14"/>
    <w:rsid w:val="0B5036E2"/>
    <w:rsid w:val="0B547599"/>
    <w:rsid w:val="0B5D7BAD"/>
    <w:rsid w:val="0B631A88"/>
    <w:rsid w:val="0B640F3B"/>
    <w:rsid w:val="0B683D45"/>
    <w:rsid w:val="0B6D6042"/>
    <w:rsid w:val="0B7E024F"/>
    <w:rsid w:val="0B7F3F11"/>
    <w:rsid w:val="0B811AED"/>
    <w:rsid w:val="0B835865"/>
    <w:rsid w:val="0B884417"/>
    <w:rsid w:val="0B941820"/>
    <w:rsid w:val="0BAF665A"/>
    <w:rsid w:val="0BB05F2E"/>
    <w:rsid w:val="0BBE064B"/>
    <w:rsid w:val="0BC639A4"/>
    <w:rsid w:val="0BC67500"/>
    <w:rsid w:val="0BDA6398"/>
    <w:rsid w:val="0BE45BD8"/>
    <w:rsid w:val="0BEA7692"/>
    <w:rsid w:val="0BED2CDE"/>
    <w:rsid w:val="0BED7182"/>
    <w:rsid w:val="0BF422BF"/>
    <w:rsid w:val="0BF6188C"/>
    <w:rsid w:val="0BF73C91"/>
    <w:rsid w:val="0C0B13B7"/>
    <w:rsid w:val="0C0E0F76"/>
    <w:rsid w:val="0C170175"/>
    <w:rsid w:val="0C193AD3"/>
    <w:rsid w:val="0C395F24"/>
    <w:rsid w:val="0C3E79DE"/>
    <w:rsid w:val="0C403756"/>
    <w:rsid w:val="0C452B1A"/>
    <w:rsid w:val="0C4B5C57"/>
    <w:rsid w:val="0C4F3999"/>
    <w:rsid w:val="0C571A41"/>
    <w:rsid w:val="0C57776C"/>
    <w:rsid w:val="0C5C1171"/>
    <w:rsid w:val="0C5E1CBC"/>
    <w:rsid w:val="0C5E598A"/>
    <w:rsid w:val="0C615B50"/>
    <w:rsid w:val="0C6311F3"/>
    <w:rsid w:val="0C8445DA"/>
    <w:rsid w:val="0C87121B"/>
    <w:rsid w:val="0C937D2A"/>
    <w:rsid w:val="0CAF61E6"/>
    <w:rsid w:val="0CB67574"/>
    <w:rsid w:val="0CB952B6"/>
    <w:rsid w:val="0CB97065"/>
    <w:rsid w:val="0CBB2DDD"/>
    <w:rsid w:val="0CC007F7"/>
    <w:rsid w:val="0CC617AC"/>
    <w:rsid w:val="0CDD71F7"/>
    <w:rsid w:val="0CDF2F6F"/>
    <w:rsid w:val="0CE045F1"/>
    <w:rsid w:val="0CE618DF"/>
    <w:rsid w:val="0CE95936"/>
    <w:rsid w:val="0CFA1D7E"/>
    <w:rsid w:val="0CFE707A"/>
    <w:rsid w:val="0D0227BA"/>
    <w:rsid w:val="0D063BDA"/>
    <w:rsid w:val="0D08375F"/>
    <w:rsid w:val="0D0A6378"/>
    <w:rsid w:val="0D184CFB"/>
    <w:rsid w:val="0D2C5A88"/>
    <w:rsid w:val="0D4252AC"/>
    <w:rsid w:val="0D4A7419"/>
    <w:rsid w:val="0D5A43A4"/>
    <w:rsid w:val="0D5F19BA"/>
    <w:rsid w:val="0D5F5E5E"/>
    <w:rsid w:val="0D605732"/>
    <w:rsid w:val="0D6671EC"/>
    <w:rsid w:val="0D6945E7"/>
    <w:rsid w:val="0D731909"/>
    <w:rsid w:val="0D7511DD"/>
    <w:rsid w:val="0D827401"/>
    <w:rsid w:val="0D84094E"/>
    <w:rsid w:val="0D8A00E9"/>
    <w:rsid w:val="0D8D589E"/>
    <w:rsid w:val="0D9C49BC"/>
    <w:rsid w:val="0DA01C73"/>
    <w:rsid w:val="0DA25D4B"/>
    <w:rsid w:val="0DA82A7B"/>
    <w:rsid w:val="0DB00467"/>
    <w:rsid w:val="0DB735A4"/>
    <w:rsid w:val="0DCB704F"/>
    <w:rsid w:val="0DCF4D92"/>
    <w:rsid w:val="0DD63300"/>
    <w:rsid w:val="0DD979BE"/>
    <w:rsid w:val="0DE545B5"/>
    <w:rsid w:val="0DE87C01"/>
    <w:rsid w:val="0DF20A80"/>
    <w:rsid w:val="0DF50604"/>
    <w:rsid w:val="0DF56786"/>
    <w:rsid w:val="0DF702FE"/>
    <w:rsid w:val="0E060E51"/>
    <w:rsid w:val="0E19425F"/>
    <w:rsid w:val="0E1C3D4F"/>
    <w:rsid w:val="0E1E7AC7"/>
    <w:rsid w:val="0E2A021A"/>
    <w:rsid w:val="0E3270CE"/>
    <w:rsid w:val="0E3C7F4D"/>
    <w:rsid w:val="0E43752E"/>
    <w:rsid w:val="0E456E02"/>
    <w:rsid w:val="0E5604B2"/>
    <w:rsid w:val="0E5A0318"/>
    <w:rsid w:val="0E5B6625"/>
    <w:rsid w:val="0E5E08D4"/>
    <w:rsid w:val="0E5E6115"/>
    <w:rsid w:val="0E680D42"/>
    <w:rsid w:val="0E6A2D0C"/>
    <w:rsid w:val="0E6D5D79"/>
    <w:rsid w:val="0E820056"/>
    <w:rsid w:val="0E835B7C"/>
    <w:rsid w:val="0E8D07A9"/>
    <w:rsid w:val="0E9D0089"/>
    <w:rsid w:val="0E9E11E9"/>
    <w:rsid w:val="0EA0228A"/>
    <w:rsid w:val="0EA37FCC"/>
    <w:rsid w:val="0EA63619"/>
    <w:rsid w:val="0EB803EE"/>
    <w:rsid w:val="0EBE4E06"/>
    <w:rsid w:val="0ED14B39"/>
    <w:rsid w:val="0EDB1514"/>
    <w:rsid w:val="0EDF7256"/>
    <w:rsid w:val="0EEE56EB"/>
    <w:rsid w:val="0EF94D4B"/>
    <w:rsid w:val="0F046CBD"/>
    <w:rsid w:val="0F0F11BE"/>
    <w:rsid w:val="0F204823"/>
    <w:rsid w:val="0F2904D1"/>
    <w:rsid w:val="0F29227F"/>
    <w:rsid w:val="0F2C6214"/>
    <w:rsid w:val="0F2E5AE8"/>
    <w:rsid w:val="0F384BB8"/>
    <w:rsid w:val="0F3A448D"/>
    <w:rsid w:val="0F3D3F7D"/>
    <w:rsid w:val="0F4958DC"/>
    <w:rsid w:val="0F4B669A"/>
    <w:rsid w:val="0F4C2412"/>
    <w:rsid w:val="0F4E1CE6"/>
    <w:rsid w:val="0F515DF7"/>
    <w:rsid w:val="0F53554E"/>
    <w:rsid w:val="0F596BA8"/>
    <w:rsid w:val="0F6248D2"/>
    <w:rsid w:val="0F693536"/>
    <w:rsid w:val="0F6E05DA"/>
    <w:rsid w:val="0F7B0511"/>
    <w:rsid w:val="0F7B76D9"/>
    <w:rsid w:val="0F816ACD"/>
    <w:rsid w:val="0F825E34"/>
    <w:rsid w:val="0F930041"/>
    <w:rsid w:val="0F977B31"/>
    <w:rsid w:val="0F9832DB"/>
    <w:rsid w:val="0FA7589A"/>
    <w:rsid w:val="0FB3423F"/>
    <w:rsid w:val="0FB73D2F"/>
    <w:rsid w:val="0FB87AA7"/>
    <w:rsid w:val="0FBF3FD2"/>
    <w:rsid w:val="0FBF7FF3"/>
    <w:rsid w:val="0FC14BAE"/>
    <w:rsid w:val="0FC41FA8"/>
    <w:rsid w:val="0FC92E5D"/>
    <w:rsid w:val="0FCB3FB4"/>
    <w:rsid w:val="0FD03043"/>
    <w:rsid w:val="0FD4204F"/>
    <w:rsid w:val="0FEB5787"/>
    <w:rsid w:val="0FF22FB9"/>
    <w:rsid w:val="0FF24D67"/>
    <w:rsid w:val="10060813"/>
    <w:rsid w:val="100B4360"/>
    <w:rsid w:val="101B23FC"/>
    <w:rsid w:val="101F18D4"/>
    <w:rsid w:val="10207B26"/>
    <w:rsid w:val="1030200B"/>
    <w:rsid w:val="10352EA6"/>
    <w:rsid w:val="103B4960"/>
    <w:rsid w:val="104D01F0"/>
    <w:rsid w:val="10646583"/>
    <w:rsid w:val="10703EDE"/>
    <w:rsid w:val="10727C56"/>
    <w:rsid w:val="1074577C"/>
    <w:rsid w:val="107D4B15"/>
    <w:rsid w:val="108A3C80"/>
    <w:rsid w:val="108F25B6"/>
    <w:rsid w:val="1090632E"/>
    <w:rsid w:val="10973B61"/>
    <w:rsid w:val="1097590F"/>
    <w:rsid w:val="10A5627E"/>
    <w:rsid w:val="10AF0EAA"/>
    <w:rsid w:val="10B4026F"/>
    <w:rsid w:val="10B755B5"/>
    <w:rsid w:val="10BB15FD"/>
    <w:rsid w:val="10BC5375"/>
    <w:rsid w:val="10C2298C"/>
    <w:rsid w:val="10C26171"/>
    <w:rsid w:val="10CF32FA"/>
    <w:rsid w:val="10D80401"/>
    <w:rsid w:val="10E072B6"/>
    <w:rsid w:val="10EA0B23"/>
    <w:rsid w:val="10ED552F"/>
    <w:rsid w:val="10F33360"/>
    <w:rsid w:val="10FC16EA"/>
    <w:rsid w:val="110F1D40"/>
    <w:rsid w:val="11131439"/>
    <w:rsid w:val="111B02EE"/>
    <w:rsid w:val="111C0DE0"/>
    <w:rsid w:val="1122342A"/>
    <w:rsid w:val="11266F33"/>
    <w:rsid w:val="112847B9"/>
    <w:rsid w:val="11335637"/>
    <w:rsid w:val="11447845"/>
    <w:rsid w:val="11472E91"/>
    <w:rsid w:val="11494E5B"/>
    <w:rsid w:val="11586E4C"/>
    <w:rsid w:val="115B4B8E"/>
    <w:rsid w:val="115E3FEC"/>
    <w:rsid w:val="116A4DD1"/>
    <w:rsid w:val="1173012A"/>
    <w:rsid w:val="11731ED8"/>
    <w:rsid w:val="117479FE"/>
    <w:rsid w:val="117D411C"/>
    <w:rsid w:val="11800151"/>
    <w:rsid w:val="11823EC9"/>
    <w:rsid w:val="118963A1"/>
    <w:rsid w:val="118E6D12"/>
    <w:rsid w:val="119223E6"/>
    <w:rsid w:val="1193257A"/>
    <w:rsid w:val="119F2CCD"/>
    <w:rsid w:val="11AD4D9B"/>
    <w:rsid w:val="11BB1948"/>
    <w:rsid w:val="11BB73DB"/>
    <w:rsid w:val="11C6025A"/>
    <w:rsid w:val="11C6522A"/>
    <w:rsid w:val="11CC3396"/>
    <w:rsid w:val="11D113C2"/>
    <w:rsid w:val="11E104CC"/>
    <w:rsid w:val="11E20309"/>
    <w:rsid w:val="11E20E0C"/>
    <w:rsid w:val="11E93F48"/>
    <w:rsid w:val="11EC3A38"/>
    <w:rsid w:val="11F0177A"/>
    <w:rsid w:val="11F34DC7"/>
    <w:rsid w:val="11F40302"/>
    <w:rsid w:val="11FD79F3"/>
    <w:rsid w:val="12045226"/>
    <w:rsid w:val="120668A8"/>
    <w:rsid w:val="12080872"/>
    <w:rsid w:val="12137217"/>
    <w:rsid w:val="12192A7F"/>
    <w:rsid w:val="121C256F"/>
    <w:rsid w:val="121D1E44"/>
    <w:rsid w:val="12255233"/>
    <w:rsid w:val="12371157"/>
    <w:rsid w:val="12415B32"/>
    <w:rsid w:val="1246139A"/>
    <w:rsid w:val="12486EC1"/>
    <w:rsid w:val="12503FC7"/>
    <w:rsid w:val="12530213"/>
    <w:rsid w:val="12582E7C"/>
    <w:rsid w:val="12661A3D"/>
    <w:rsid w:val="126A32DB"/>
    <w:rsid w:val="126B7053"/>
    <w:rsid w:val="12771554"/>
    <w:rsid w:val="127723A9"/>
    <w:rsid w:val="12862074"/>
    <w:rsid w:val="12883966"/>
    <w:rsid w:val="128E689D"/>
    <w:rsid w:val="12977E48"/>
    <w:rsid w:val="129B7938"/>
    <w:rsid w:val="129E45B4"/>
    <w:rsid w:val="12A367ED"/>
    <w:rsid w:val="12AA7B7B"/>
    <w:rsid w:val="12B26A30"/>
    <w:rsid w:val="12D06EB6"/>
    <w:rsid w:val="12D544CC"/>
    <w:rsid w:val="12D746E8"/>
    <w:rsid w:val="12D81596"/>
    <w:rsid w:val="12DA1AE3"/>
    <w:rsid w:val="12F6691D"/>
    <w:rsid w:val="13001549"/>
    <w:rsid w:val="13072A44"/>
    <w:rsid w:val="131B2827"/>
    <w:rsid w:val="13294F44"/>
    <w:rsid w:val="133D279D"/>
    <w:rsid w:val="135F4BE2"/>
    <w:rsid w:val="136046DE"/>
    <w:rsid w:val="136715C8"/>
    <w:rsid w:val="13685340"/>
    <w:rsid w:val="13712447"/>
    <w:rsid w:val="137B1518"/>
    <w:rsid w:val="137E6912"/>
    <w:rsid w:val="138A175B"/>
    <w:rsid w:val="139B1A0A"/>
    <w:rsid w:val="139D25C7"/>
    <w:rsid w:val="13A24CF6"/>
    <w:rsid w:val="13AE5449"/>
    <w:rsid w:val="13B3480E"/>
    <w:rsid w:val="13B50586"/>
    <w:rsid w:val="13B80076"/>
    <w:rsid w:val="13BD38DE"/>
    <w:rsid w:val="13BD568C"/>
    <w:rsid w:val="13BF3CE4"/>
    <w:rsid w:val="13C22CA3"/>
    <w:rsid w:val="13CB5EF3"/>
    <w:rsid w:val="13E42C19"/>
    <w:rsid w:val="13EE3A98"/>
    <w:rsid w:val="13F54E26"/>
    <w:rsid w:val="13FA068E"/>
    <w:rsid w:val="14055F2A"/>
    <w:rsid w:val="141008D8"/>
    <w:rsid w:val="14125FE6"/>
    <w:rsid w:val="14172F0F"/>
    <w:rsid w:val="141C0605"/>
    <w:rsid w:val="142851FC"/>
    <w:rsid w:val="143C0CA7"/>
    <w:rsid w:val="14411E19"/>
    <w:rsid w:val="14442C5E"/>
    <w:rsid w:val="14665D24"/>
    <w:rsid w:val="146B333A"/>
    <w:rsid w:val="146D271E"/>
    <w:rsid w:val="147246C9"/>
    <w:rsid w:val="148937C0"/>
    <w:rsid w:val="148B578A"/>
    <w:rsid w:val="148F7029"/>
    <w:rsid w:val="14982588"/>
    <w:rsid w:val="149A5AD9"/>
    <w:rsid w:val="149D101A"/>
    <w:rsid w:val="149E726C"/>
    <w:rsid w:val="14A423A8"/>
    <w:rsid w:val="14A5684C"/>
    <w:rsid w:val="14A7619D"/>
    <w:rsid w:val="14AA20B4"/>
    <w:rsid w:val="14B7657F"/>
    <w:rsid w:val="14C01CF0"/>
    <w:rsid w:val="14C667C2"/>
    <w:rsid w:val="14CB5B87"/>
    <w:rsid w:val="14CD7B51"/>
    <w:rsid w:val="14D7277E"/>
    <w:rsid w:val="14ED1FA1"/>
    <w:rsid w:val="14EF5D19"/>
    <w:rsid w:val="14F25809"/>
    <w:rsid w:val="14F96B98"/>
    <w:rsid w:val="14FB2910"/>
    <w:rsid w:val="14FE5F5C"/>
    <w:rsid w:val="150536C3"/>
    <w:rsid w:val="150C1963"/>
    <w:rsid w:val="151447A0"/>
    <w:rsid w:val="1528122B"/>
    <w:rsid w:val="15316332"/>
    <w:rsid w:val="15477903"/>
    <w:rsid w:val="154871D8"/>
    <w:rsid w:val="154A6454"/>
    <w:rsid w:val="15560DFC"/>
    <w:rsid w:val="155E4C4D"/>
    <w:rsid w:val="15602773"/>
    <w:rsid w:val="15632263"/>
    <w:rsid w:val="157306F8"/>
    <w:rsid w:val="15762120"/>
    <w:rsid w:val="15787ABD"/>
    <w:rsid w:val="1585667E"/>
    <w:rsid w:val="159348F7"/>
    <w:rsid w:val="15997A33"/>
    <w:rsid w:val="159C0046"/>
    <w:rsid w:val="159D39C7"/>
    <w:rsid w:val="15A44D56"/>
    <w:rsid w:val="15A72150"/>
    <w:rsid w:val="15A80E34"/>
    <w:rsid w:val="15B50D11"/>
    <w:rsid w:val="15C07DB6"/>
    <w:rsid w:val="15E96C0C"/>
    <w:rsid w:val="15FF1F8C"/>
    <w:rsid w:val="161C0D90"/>
    <w:rsid w:val="161F618A"/>
    <w:rsid w:val="16266269"/>
    <w:rsid w:val="163B0AEA"/>
    <w:rsid w:val="164E081E"/>
    <w:rsid w:val="165247B2"/>
    <w:rsid w:val="166F5EEF"/>
    <w:rsid w:val="16704C38"/>
    <w:rsid w:val="168E1562"/>
    <w:rsid w:val="169C3C7F"/>
    <w:rsid w:val="169C77DB"/>
    <w:rsid w:val="16A86180"/>
    <w:rsid w:val="16A8729C"/>
    <w:rsid w:val="16B33777"/>
    <w:rsid w:val="16B94831"/>
    <w:rsid w:val="16B965DF"/>
    <w:rsid w:val="16BC70A7"/>
    <w:rsid w:val="16BC7E7D"/>
    <w:rsid w:val="16C02CD0"/>
    <w:rsid w:val="16C6339E"/>
    <w:rsid w:val="16F70EB5"/>
    <w:rsid w:val="17143815"/>
    <w:rsid w:val="172779EC"/>
    <w:rsid w:val="17283764"/>
    <w:rsid w:val="172F064F"/>
    <w:rsid w:val="172F2D79"/>
    <w:rsid w:val="17316B01"/>
    <w:rsid w:val="17345C65"/>
    <w:rsid w:val="17557BEF"/>
    <w:rsid w:val="175D5EE1"/>
    <w:rsid w:val="175E0F34"/>
    <w:rsid w:val="17620A24"/>
    <w:rsid w:val="1776627E"/>
    <w:rsid w:val="177B1AE6"/>
    <w:rsid w:val="177E15D6"/>
    <w:rsid w:val="177E3384"/>
    <w:rsid w:val="17824C23"/>
    <w:rsid w:val="178B4AE1"/>
    <w:rsid w:val="179B3F36"/>
    <w:rsid w:val="179D1EA6"/>
    <w:rsid w:val="179E3A27"/>
    <w:rsid w:val="17A32DEB"/>
    <w:rsid w:val="17A96653"/>
    <w:rsid w:val="17AC1CA0"/>
    <w:rsid w:val="17B374D2"/>
    <w:rsid w:val="17BD3EAD"/>
    <w:rsid w:val="17CF3BE0"/>
    <w:rsid w:val="17D349C1"/>
    <w:rsid w:val="17E4768B"/>
    <w:rsid w:val="17EA0A1A"/>
    <w:rsid w:val="17F83137"/>
    <w:rsid w:val="17F90C5D"/>
    <w:rsid w:val="181066D2"/>
    <w:rsid w:val="1824217E"/>
    <w:rsid w:val="182B0217"/>
    <w:rsid w:val="1830729E"/>
    <w:rsid w:val="1840688C"/>
    <w:rsid w:val="1844012A"/>
    <w:rsid w:val="184620F4"/>
    <w:rsid w:val="18506ACF"/>
    <w:rsid w:val="185B5474"/>
    <w:rsid w:val="185D11EC"/>
    <w:rsid w:val="1870062C"/>
    <w:rsid w:val="187A3B4C"/>
    <w:rsid w:val="1881312C"/>
    <w:rsid w:val="18817102"/>
    <w:rsid w:val="18830A15"/>
    <w:rsid w:val="18852B28"/>
    <w:rsid w:val="18860743"/>
    <w:rsid w:val="188B5321"/>
    <w:rsid w:val="18A1557C"/>
    <w:rsid w:val="18BC23B6"/>
    <w:rsid w:val="18C361D1"/>
    <w:rsid w:val="18D05E62"/>
    <w:rsid w:val="19031D93"/>
    <w:rsid w:val="19094ED0"/>
    <w:rsid w:val="19145D4E"/>
    <w:rsid w:val="1917300C"/>
    <w:rsid w:val="191775ED"/>
    <w:rsid w:val="19193365"/>
    <w:rsid w:val="1928405C"/>
    <w:rsid w:val="192F5CC0"/>
    <w:rsid w:val="19327BDC"/>
    <w:rsid w:val="19566367"/>
    <w:rsid w:val="195726C4"/>
    <w:rsid w:val="19704F4F"/>
    <w:rsid w:val="19924EC5"/>
    <w:rsid w:val="19932372"/>
    <w:rsid w:val="19A20DD5"/>
    <w:rsid w:val="19A76BC3"/>
    <w:rsid w:val="19AE03F1"/>
    <w:rsid w:val="19BB266E"/>
    <w:rsid w:val="19CF6119"/>
    <w:rsid w:val="19DD0836"/>
    <w:rsid w:val="19F65454"/>
    <w:rsid w:val="19FD4A34"/>
    <w:rsid w:val="19FD67E3"/>
    <w:rsid w:val="1A071A03"/>
    <w:rsid w:val="1A1D6E85"/>
    <w:rsid w:val="1A1F16AE"/>
    <w:rsid w:val="1A204BC7"/>
    <w:rsid w:val="1A206975"/>
    <w:rsid w:val="1A253F8B"/>
    <w:rsid w:val="1A330456"/>
    <w:rsid w:val="1A3B5C77"/>
    <w:rsid w:val="1A3D7527"/>
    <w:rsid w:val="1A5C0094"/>
    <w:rsid w:val="1A6745A4"/>
    <w:rsid w:val="1A732F49"/>
    <w:rsid w:val="1A8B0292"/>
    <w:rsid w:val="1A935399"/>
    <w:rsid w:val="1A984BAD"/>
    <w:rsid w:val="1AA44EB0"/>
    <w:rsid w:val="1AAA45E5"/>
    <w:rsid w:val="1AAC1FB7"/>
    <w:rsid w:val="1AB8220E"/>
    <w:rsid w:val="1ABA2925"/>
    <w:rsid w:val="1ABC044C"/>
    <w:rsid w:val="1ABC669E"/>
    <w:rsid w:val="1AC15A62"/>
    <w:rsid w:val="1AC21C69"/>
    <w:rsid w:val="1AD30D00"/>
    <w:rsid w:val="1AE4166C"/>
    <w:rsid w:val="1AEB6F83"/>
    <w:rsid w:val="1AF06CFB"/>
    <w:rsid w:val="1AF11B8D"/>
    <w:rsid w:val="1AF5570C"/>
    <w:rsid w:val="1B0D6EF9"/>
    <w:rsid w:val="1B11359C"/>
    <w:rsid w:val="1B18764C"/>
    <w:rsid w:val="1B267FBB"/>
    <w:rsid w:val="1B2A271F"/>
    <w:rsid w:val="1B3A3A66"/>
    <w:rsid w:val="1B3E70B3"/>
    <w:rsid w:val="1B46240B"/>
    <w:rsid w:val="1B4A1EFB"/>
    <w:rsid w:val="1B530544"/>
    <w:rsid w:val="1B5F527B"/>
    <w:rsid w:val="1B707488"/>
    <w:rsid w:val="1B713184"/>
    <w:rsid w:val="1B830F69"/>
    <w:rsid w:val="1B852F33"/>
    <w:rsid w:val="1B866CAC"/>
    <w:rsid w:val="1B886580"/>
    <w:rsid w:val="1B8A22F8"/>
    <w:rsid w:val="1B903686"/>
    <w:rsid w:val="1B970EB9"/>
    <w:rsid w:val="1BA209CF"/>
    <w:rsid w:val="1BA3160C"/>
    <w:rsid w:val="1BB4777D"/>
    <w:rsid w:val="1BC53330"/>
    <w:rsid w:val="1BD17F27"/>
    <w:rsid w:val="1BD6553D"/>
    <w:rsid w:val="1BD75AB8"/>
    <w:rsid w:val="1BF260EF"/>
    <w:rsid w:val="1BFC2ACA"/>
    <w:rsid w:val="1C0320AA"/>
    <w:rsid w:val="1C0459C2"/>
    <w:rsid w:val="1C093DE2"/>
    <w:rsid w:val="1C1B3B4A"/>
    <w:rsid w:val="1C202C5C"/>
    <w:rsid w:val="1C27223D"/>
    <w:rsid w:val="1C2F2E9F"/>
    <w:rsid w:val="1C3B5CE8"/>
    <w:rsid w:val="1C580648"/>
    <w:rsid w:val="1C5A616E"/>
    <w:rsid w:val="1C6C5EA1"/>
    <w:rsid w:val="1C7D00AF"/>
    <w:rsid w:val="1C88086E"/>
    <w:rsid w:val="1C8E406A"/>
    <w:rsid w:val="1C907DE2"/>
    <w:rsid w:val="1C951326"/>
    <w:rsid w:val="1C9F1DD3"/>
    <w:rsid w:val="1CA23671"/>
    <w:rsid w:val="1CB82E95"/>
    <w:rsid w:val="1CCC06EE"/>
    <w:rsid w:val="1CD221A8"/>
    <w:rsid w:val="1CDD6D9F"/>
    <w:rsid w:val="1CE43C8A"/>
    <w:rsid w:val="1CEC2B3E"/>
    <w:rsid w:val="1CF00880"/>
    <w:rsid w:val="1D100F23"/>
    <w:rsid w:val="1D24052A"/>
    <w:rsid w:val="1D266CE1"/>
    <w:rsid w:val="1D2A200E"/>
    <w:rsid w:val="1D3764AF"/>
    <w:rsid w:val="1D3963AF"/>
    <w:rsid w:val="1D3F35B6"/>
    <w:rsid w:val="1D6A673C"/>
    <w:rsid w:val="1D6B7F07"/>
    <w:rsid w:val="1D8A5052"/>
    <w:rsid w:val="1D9247AE"/>
    <w:rsid w:val="1D9C27B6"/>
    <w:rsid w:val="1DB567EC"/>
    <w:rsid w:val="1DBC0763"/>
    <w:rsid w:val="1DC37D43"/>
    <w:rsid w:val="1DCA7323"/>
    <w:rsid w:val="1DD7559C"/>
    <w:rsid w:val="1DD9590E"/>
    <w:rsid w:val="1DF20628"/>
    <w:rsid w:val="1DF51A98"/>
    <w:rsid w:val="1E012619"/>
    <w:rsid w:val="1E14059F"/>
    <w:rsid w:val="1E206F43"/>
    <w:rsid w:val="1E380731"/>
    <w:rsid w:val="1E3D060F"/>
    <w:rsid w:val="1E3F7D2E"/>
    <w:rsid w:val="1E4134E4"/>
    <w:rsid w:val="1E452429"/>
    <w:rsid w:val="1E5062B3"/>
    <w:rsid w:val="1E515442"/>
    <w:rsid w:val="1E523514"/>
    <w:rsid w:val="1E5B7F7C"/>
    <w:rsid w:val="1E5E181A"/>
    <w:rsid w:val="1E650DFA"/>
    <w:rsid w:val="1E6C2189"/>
    <w:rsid w:val="1E714A66"/>
    <w:rsid w:val="1E802593"/>
    <w:rsid w:val="1E8B6156"/>
    <w:rsid w:val="1E90231B"/>
    <w:rsid w:val="1E990AA4"/>
    <w:rsid w:val="1E9D2342"/>
    <w:rsid w:val="1EA00084"/>
    <w:rsid w:val="1EA47B74"/>
    <w:rsid w:val="1EA703CC"/>
    <w:rsid w:val="1EA77665"/>
    <w:rsid w:val="1EA9518B"/>
    <w:rsid w:val="1EB4768C"/>
    <w:rsid w:val="1EB7330C"/>
    <w:rsid w:val="1EBB798A"/>
    <w:rsid w:val="1EC43D73"/>
    <w:rsid w:val="1ECE4BF1"/>
    <w:rsid w:val="1EE7180F"/>
    <w:rsid w:val="1EE75CB3"/>
    <w:rsid w:val="1EE91A2B"/>
    <w:rsid w:val="1EF87EC0"/>
    <w:rsid w:val="1EFA59E6"/>
    <w:rsid w:val="1F0625DD"/>
    <w:rsid w:val="1F0A0FF3"/>
    <w:rsid w:val="1F132604"/>
    <w:rsid w:val="1F1F544D"/>
    <w:rsid w:val="1F3F33F9"/>
    <w:rsid w:val="1F446C62"/>
    <w:rsid w:val="1F4E188E"/>
    <w:rsid w:val="1F5771FF"/>
    <w:rsid w:val="1F59095F"/>
    <w:rsid w:val="1F5D41BA"/>
    <w:rsid w:val="1F647304"/>
    <w:rsid w:val="1F703EFB"/>
    <w:rsid w:val="1F7A08D5"/>
    <w:rsid w:val="1FAE057F"/>
    <w:rsid w:val="1FB738D7"/>
    <w:rsid w:val="1FB931AC"/>
    <w:rsid w:val="1FE868A9"/>
    <w:rsid w:val="1FF70178"/>
    <w:rsid w:val="20034907"/>
    <w:rsid w:val="20036B1D"/>
    <w:rsid w:val="201725C8"/>
    <w:rsid w:val="20173E4B"/>
    <w:rsid w:val="202F16C0"/>
    <w:rsid w:val="204E48BC"/>
    <w:rsid w:val="20547378"/>
    <w:rsid w:val="20623843"/>
    <w:rsid w:val="206550E2"/>
    <w:rsid w:val="20717F2A"/>
    <w:rsid w:val="207277FE"/>
    <w:rsid w:val="208714FC"/>
    <w:rsid w:val="208921B3"/>
    <w:rsid w:val="209459C7"/>
    <w:rsid w:val="20973DEB"/>
    <w:rsid w:val="209B0B03"/>
    <w:rsid w:val="209F6845"/>
    <w:rsid w:val="20AC0F62"/>
    <w:rsid w:val="20AE4CDA"/>
    <w:rsid w:val="20B26522"/>
    <w:rsid w:val="20B44310"/>
    <w:rsid w:val="20B6593D"/>
    <w:rsid w:val="20C41134"/>
    <w:rsid w:val="20D65FDF"/>
    <w:rsid w:val="20DD55C0"/>
    <w:rsid w:val="20EC75B1"/>
    <w:rsid w:val="20F621DE"/>
    <w:rsid w:val="20F87D04"/>
    <w:rsid w:val="20FB77F4"/>
    <w:rsid w:val="21042B4C"/>
    <w:rsid w:val="210668C5"/>
    <w:rsid w:val="211116EB"/>
    <w:rsid w:val="2116462E"/>
    <w:rsid w:val="211A2370"/>
    <w:rsid w:val="211C60E8"/>
    <w:rsid w:val="213C0EFF"/>
    <w:rsid w:val="213D1BBA"/>
    <w:rsid w:val="213F1DD6"/>
    <w:rsid w:val="21415B4F"/>
    <w:rsid w:val="21470C8B"/>
    <w:rsid w:val="214E3DC8"/>
    <w:rsid w:val="216133FC"/>
    <w:rsid w:val="2164183D"/>
    <w:rsid w:val="217E28FF"/>
    <w:rsid w:val="21983295"/>
    <w:rsid w:val="21AB746C"/>
    <w:rsid w:val="21BE2CFB"/>
    <w:rsid w:val="21C347B6"/>
    <w:rsid w:val="21CF315A"/>
    <w:rsid w:val="21D56297"/>
    <w:rsid w:val="21D56769"/>
    <w:rsid w:val="21D97B35"/>
    <w:rsid w:val="21DA565B"/>
    <w:rsid w:val="21E52EF3"/>
    <w:rsid w:val="21E64000"/>
    <w:rsid w:val="21E806C8"/>
    <w:rsid w:val="21F77FBB"/>
    <w:rsid w:val="21FB5D7B"/>
    <w:rsid w:val="22015E94"/>
    <w:rsid w:val="220B1C3D"/>
    <w:rsid w:val="220D3C83"/>
    <w:rsid w:val="221D1D20"/>
    <w:rsid w:val="222A0391"/>
    <w:rsid w:val="223034CD"/>
    <w:rsid w:val="22334A87"/>
    <w:rsid w:val="22486A69"/>
    <w:rsid w:val="224A27E1"/>
    <w:rsid w:val="224A458F"/>
    <w:rsid w:val="224C6559"/>
    <w:rsid w:val="22590C76"/>
    <w:rsid w:val="225B49EE"/>
    <w:rsid w:val="226E2973"/>
    <w:rsid w:val="22723AE6"/>
    <w:rsid w:val="22765384"/>
    <w:rsid w:val="22835CF3"/>
    <w:rsid w:val="22851A6B"/>
    <w:rsid w:val="22AD4B1E"/>
    <w:rsid w:val="22BE6801"/>
    <w:rsid w:val="22BF0AD1"/>
    <w:rsid w:val="22BF31CF"/>
    <w:rsid w:val="22D16A5E"/>
    <w:rsid w:val="22EE7610"/>
    <w:rsid w:val="22F369D5"/>
    <w:rsid w:val="22FE5379"/>
    <w:rsid w:val="230230BC"/>
    <w:rsid w:val="23045086"/>
    <w:rsid w:val="2309444A"/>
    <w:rsid w:val="230C5CE8"/>
    <w:rsid w:val="231132FF"/>
    <w:rsid w:val="23160915"/>
    <w:rsid w:val="231828DF"/>
    <w:rsid w:val="231D7EF5"/>
    <w:rsid w:val="23201794"/>
    <w:rsid w:val="23264FFC"/>
    <w:rsid w:val="23270D74"/>
    <w:rsid w:val="23294AEC"/>
    <w:rsid w:val="233500BF"/>
    <w:rsid w:val="23377FF7"/>
    <w:rsid w:val="233D2346"/>
    <w:rsid w:val="23411E36"/>
    <w:rsid w:val="2355143D"/>
    <w:rsid w:val="235D02F2"/>
    <w:rsid w:val="235F406A"/>
    <w:rsid w:val="236B425F"/>
    <w:rsid w:val="23836192"/>
    <w:rsid w:val="23901F29"/>
    <w:rsid w:val="239C0061"/>
    <w:rsid w:val="23A14683"/>
    <w:rsid w:val="23A67EEB"/>
    <w:rsid w:val="23B048C6"/>
    <w:rsid w:val="23B908A4"/>
    <w:rsid w:val="23C30A9D"/>
    <w:rsid w:val="23E80503"/>
    <w:rsid w:val="23E95BEF"/>
    <w:rsid w:val="23EE53EE"/>
    <w:rsid w:val="23F01166"/>
    <w:rsid w:val="23FD0064"/>
    <w:rsid w:val="240115C5"/>
    <w:rsid w:val="240510B5"/>
    <w:rsid w:val="24101808"/>
    <w:rsid w:val="242157C3"/>
    <w:rsid w:val="24284DA4"/>
    <w:rsid w:val="24372516"/>
    <w:rsid w:val="243C43AB"/>
    <w:rsid w:val="243F5C4A"/>
    <w:rsid w:val="244514B2"/>
    <w:rsid w:val="24455BF3"/>
    <w:rsid w:val="244A6AC8"/>
    <w:rsid w:val="245375B0"/>
    <w:rsid w:val="24577437"/>
    <w:rsid w:val="24594F5D"/>
    <w:rsid w:val="24642C0A"/>
    <w:rsid w:val="246F652F"/>
    <w:rsid w:val="24741D97"/>
    <w:rsid w:val="247E21B2"/>
    <w:rsid w:val="24831FDA"/>
    <w:rsid w:val="2483455B"/>
    <w:rsid w:val="249661B1"/>
    <w:rsid w:val="24A0493A"/>
    <w:rsid w:val="24B22173"/>
    <w:rsid w:val="24B77ED6"/>
    <w:rsid w:val="24B95AD9"/>
    <w:rsid w:val="24BE24DA"/>
    <w:rsid w:val="24CF5825"/>
    <w:rsid w:val="24D663E6"/>
    <w:rsid w:val="24D77F2B"/>
    <w:rsid w:val="24DB1E16"/>
    <w:rsid w:val="24F84776"/>
    <w:rsid w:val="24FB7DC2"/>
    <w:rsid w:val="2503311B"/>
    <w:rsid w:val="25067563"/>
    <w:rsid w:val="25070E5D"/>
    <w:rsid w:val="25076767"/>
    <w:rsid w:val="25294857"/>
    <w:rsid w:val="2536579D"/>
    <w:rsid w:val="253D487F"/>
    <w:rsid w:val="254A0D4A"/>
    <w:rsid w:val="254C2D14"/>
    <w:rsid w:val="256E2C8A"/>
    <w:rsid w:val="258B00E2"/>
    <w:rsid w:val="25A403DC"/>
    <w:rsid w:val="25A8619C"/>
    <w:rsid w:val="25A917A6"/>
    <w:rsid w:val="25BC57A4"/>
    <w:rsid w:val="25BD07D4"/>
    <w:rsid w:val="25BE27CC"/>
    <w:rsid w:val="25D85F35"/>
    <w:rsid w:val="25E1345C"/>
    <w:rsid w:val="25E73414"/>
    <w:rsid w:val="25E76599"/>
    <w:rsid w:val="25E82A3D"/>
    <w:rsid w:val="25EE5B79"/>
    <w:rsid w:val="25F018F1"/>
    <w:rsid w:val="25F74A5C"/>
    <w:rsid w:val="260D24A3"/>
    <w:rsid w:val="260E7FC9"/>
    <w:rsid w:val="26151358"/>
    <w:rsid w:val="26220F7D"/>
    <w:rsid w:val="262275D1"/>
    <w:rsid w:val="262812A8"/>
    <w:rsid w:val="2628662C"/>
    <w:rsid w:val="262B4E7E"/>
    <w:rsid w:val="262D45DE"/>
    <w:rsid w:val="26325A66"/>
    <w:rsid w:val="2685203A"/>
    <w:rsid w:val="26871DC8"/>
    <w:rsid w:val="268B161A"/>
    <w:rsid w:val="26904C67"/>
    <w:rsid w:val="269404CF"/>
    <w:rsid w:val="26A1499A"/>
    <w:rsid w:val="26A526DC"/>
    <w:rsid w:val="26A53EF9"/>
    <w:rsid w:val="26A94201"/>
    <w:rsid w:val="26AA5F44"/>
    <w:rsid w:val="26AC274F"/>
    <w:rsid w:val="26B80661"/>
    <w:rsid w:val="26CC7C68"/>
    <w:rsid w:val="26CD578F"/>
    <w:rsid w:val="26E06790"/>
    <w:rsid w:val="27035654"/>
    <w:rsid w:val="27044A29"/>
    <w:rsid w:val="270513CC"/>
    <w:rsid w:val="270F5DA7"/>
    <w:rsid w:val="271635D9"/>
    <w:rsid w:val="271D34C8"/>
    <w:rsid w:val="2725381D"/>
    <w:rsid w:val="27337CE7"/>
    <w:rsid w:val="275352E3"/>
    <w:rsid w:val="276142BF"/>
    <w:rsid w:val="2762237B"/>
    <w:rsid w:val="276E0D20"/>
    <w:rsid w:val="27783712"/>
    <w:rsid w:val="27907362"/>
    <w:rsid w:val="27957DC3"/>
    <w:rsid w:val="279F35CF"/>
    <w:rsid w:val="27AB1F74"/>
    <w:rsid w:val="27AC5CEC"/>
    <w:rsid w:val="27B01338"/>
    <w:rsid w:val="27D86AE1"/>
    <w:rsid w:val="27E47234"/>
    <w:rsid w:val="27F8683B"/>
    <w:rsid w:val="2802590C"/>
    <w:rsid w:val="280451E0"/>
    <w:rsid w:val="281E2746"/>
    <w:rsid w:val="28213FE4"/>
    <w:rsid w:val="28333E1D"/>
    <w:rsid w:val="28454BD6"/>
    <w:rsid w:val="28455253"/>
    <w:rsid w:val="28551971"/>
    <w:rsid w:val="285717B4"/>
    <w:rsid w:val="285B1C53"/>
    <w:rsid w:val="28602A0B"/>
    <w:rsid w:val="286D7229"/>
    <w:rsid w:val="28724840"/>
    <w:rsid w:val="28771E56"/>
    <w:rsid w:val="288051AE"/>
    <w:rsid w:val="289E73E3"/>
    <w:rsid w:val="289F7086"/>
    <w:rsid w:val="28B27332"/>
    <w:rsid w:val="28BE1833"/>
    <w:rsid w:val="28C037FD"/>
    <w:rsid w:val="28C32028"/>
    <w:rsid w:val="28CB3F50"/>
    <w:rsid w:val="28CC03F4"/>
    <w:rsid w:val="28CC490F"/>
    <w:rsid w:val="28D4324F"/>
    <w:rsid w:val="28DE40AA"/>
    <w:rsid w:val="28E31299"/>
    <w:rsid w:val="28E84B02"/>
    <w:rsid w:val="28EB29C4"/>
    <w:rsid w:val="28F25980"/>
    <w:rsid w:val="29003BF9"/>
    <w:rsid w:val="290556B4"/>
    <w:rsid w:val="290F6532"/>
    <w:rsid w:val="29121B7F"/>
    <w:rsid w:val="291476A5"/>
    <w:rsid w:val="293215BB"/>
    <w:rsid w:val="29345E77"/>
    <w:rsid w:val="2936586D"/>
    <w:rsid w:val="294C45CE"/>
    <w:rsid w:val="294C65AD"/>
    <w:rsid w:val="29785E86"/>
    <w:rsid w:val="29802F8C"/>
    <w:rsid w:val="29806583"/>
    <w:rsid w:val="298B3C4C"/>
    <w:rsid w:val="29A273A6"/>
    <w:rsid w:val="29B844D4"/>
    <w:rsid w:val="29CE1F49"/>
    <w:rsid w:val="29DA08EE"/>
    <w:rsid w:val="29DA6B40"/>
    <w:rsid w:val="29EA6657"/>
    <w:rsid w:val="29F26D24"/>
    <w:rsid w:val="29F319B0"/>
    <w:rsid w:val="29F86FC6"/>
    <w:rsid w:val="29FB0865"/>
    <w:rsid w:val="2A15033F"/>
    <w:rsid w:val="2A1662C1"/>
    <w:rsid w:val="2A1A518F"/>
    <w:rsid w:val="2A1C7367"/>
    <w:rsid w:val="2A245938"/>
    <w:rsid w:val="2A247DBB"/>
    <w:rsid w:val="2A2815FA"/>
    <w:rsid w:val="2A2E0C3A"/>
    <w:rsid w:val="2A2E2169"/>
    <w:rsid w:val="2A2E4796"/>
    <w:rsid w:val="2A30050E"/>
    <w:rsid w:val="2A337FFE"/>
    <w:rsid w:val="2A426494"/>
    <w:rsid w:val="2A4B17EC"/>
    <w:rsid w:val="2A557F75"/>
    <w:rsid w:val="2A68414C"/>
    <w:rsid w:val="2A6B1546"/>
    <w:rsid w:val="2A6D6092"/>
    <w:rsid w:val="2A7D76B4"/>
    <w:rsid w:val="2A7F3244"/>
    <w:rsid w:val="2A8A2314"/>
    <w:rsid w:val="2A8F40E6"/>
    <w:rsid w:val="2AA44A58"/>
    <w:rsid w:val="2AAF23F1"/>
    <w:rsid w:val="2ABC7FF4"/>
    <w:rsid w:val="2ACB6489"/>
    <w:rsid w:val="2AEA2DB3"/>
    <w:rsid w:val="2B1E53A8"/>
    <w:rsid w:val="2B231E21"/>
    <w:rsid w:val="2B287437"/>
    <w:rsid w:val="2B361B54"/>
    <w:rsid w:val="2B391645"/>
    <w:rsid w:val="2B437463"/>
    <w:rsid w:val="2B4F2C16"/>
    <w:rsid w:val="2B700A50"/>
    <w:rsid w:val="2B77216D"/>
    <w:rsid w:val="2B7807EE"/>
    <w:rsid w:val="2B7B1C5D"/>
    <w:rsid w:val="2B8A6344"/>
    <w:rsid w:val="2B8D373E"/>
    <w:rsid w:val="2B9845BD"/>
    <w:rsid w:val="2B9D7E25"/>
    <w:rsid w:val="2BA32F62"/>
    <w:rsid w:val="2BA411B4"/>
    <w:rsid w:val="2BA50BF7"/>
    <w:rsid w:val="2BAC2327"/>
    <w:rsid w:val="2BBF00EC"/>
    <w:rsid w:val="2BC058C2"/>
    <w:rsid w:val="2BC37CFD"/>
    <w:rsid w:val="2BCC29C8"/>
    <w:rsid w:val="2BD5237F"/>
    <w:rsid w:val="2BDE3F9A"/>
    <w:rsid w:val="2BDF043E"/>
    <w:rsid w:val="2BE5357A"/>
    <w:rsid w:val="2BE536CE"/>
    <w:rsid w:val="2BE758D9"/>
    <w:rsid w:val="2BEB6DE3"/>
    <w:rsid w:val="2BF57C61"/>
    <w:rsid w:val="2BFB4B4C"/>
    <w:rsid w:val="2C002162"/>
    <w:rsid w:val="2C027C88"/>
    <w:rsid w:val="2C0559CB"/>
    <w:rsid w:val="2C09049E"/>
    <w:rsid w:val="2C0A653C"/>
    <w:rsid w:val="2C191F85"/>
    <w:rsid w:val="2C245E51"/>
    <w:rsid w:val="2C344011"/>
    <w:rsid w:val="2C365B84"/>
    <w:rsid w:val="2C3818FC"/>
    <w:rsid w:val="2C3D5164"/>
    <w:rsid w:val="2C412EA7"/>
    <w:rsid w:val="2C613836"/>
    <w:rsid w:val="2C624BCB"/>
    <w:rsid w:val="2C762A20"/>
    <w:rsid w:val="2C78619D"/>
    <w:rsid w:val="2C7C300F"/>
    <w:rsid w:val="2C932FD6"/>
    <w:rsid w:val="2C970D19"/>
    <w:rsid w:val="2CA60F5C"/>
    <w:rsid w:val="2CA70830"/>
    <w:rsid w:val="2CA84CD4"/>
    <w:rsid w:val="2CAD4098"/>
    <w:rsid w:val="2CAD5E46"/>
    <w:rsid w:val="2CB35427"/>
    <w:rsid w:val="2CB5119F"/>
    <w:rsid w:val="2CB74F17"/>
    <w:rsid w:val="2CCC7F97"/>
    <w:rsid w:val="2CCF04B2"/>
    <w:rsid w:val="2CDF621C"/>
    <w:rsid w:val="2CE11F94"/>
    <w:rsid w:val="2CE82D6F"/>
    <w:rsid w:val="2CFE48F4"/>
    <w:rsid w:val="2D047A30"/>
    <w:rsid w:val="2D0826C8"/>
    <w:rsid w:val="2D1660E1"/>
    <w:rsid w:val="2D197980"/>
    <w:rsid w:val="2D343236"/>
    <w:rsid w:val="2D5704A8"/>
    <w:rsid w:val="2D654973"/>
    <w:rsid w:val="2D663267"/>
    <w:rsid w:val="2D6C5D01"/>
    <w:rsid w:val="2D746964"/>
    <w:rsid w:val="2D7828F8"/>
    <w:rsid w:val="2D8469EC"/>
    <w:rsid w:val="2D870D8D"/>
    <w:rsid w:val="2D88240F"/>
    <w:rsid w:val="2D8F19F0"/>
    <w:rsid w:val="2D917516"/>
    <w:rsid w:val="2D9708A4"/>
    <w:rsid w:val="2DA57465"/>
    <w:rsid w:val="2DB476A8"/>
    <w:rsid w:val="2DC82312"/>
    <w:rsid w:val="2DCA2A28"/>
    <w:rsid w:val="2DD15014"/>
    <w:rsid w:val="2DD815E9"/>
    <w:rsid w:val="2DD92C6B"/>
    <w:rsid w:val="2DDD09AD"/>
    <w:rsid w:val="2DDE64D3"/>
    <w:rsid w:val="2DE25FC3"/>
    <w:rsid w:val="2DF72DE4"/>
    <w:rsid w:val="2DFD104F"/>
    <w:rsid w:val="2E0220AF"/>
    <w:rsid w:val="2E0B376C"/>
    <w:rsid w:val="2E1819E5"/>
    <w:rsid w:val="2E1E4B22"/>
    <w:rsid w:val="2E2A1718"/>
    <w:rsid w:val="2E3D31FA"/>
    <w:rsid w:val="2E3D58F0"/>
    <w:rsid w:val="2E422F06"/>
    <w:rsid w:val="2E4B082A"/>
    <w:rsid w:val="2E5D4E86"/>
    <w:rsid w:val="2E5D790B"/>
    <w:rsid w:val="2E625356"/>
    <w:rsid w:val="2E627104"/>
    <w:rsid w:val="2E666BF4"/>
    <w:rsid w:val="2E6E3CFB"/>
    <w:rsid w:val="2E756E38"/>
    <w:rsid w:val="2E813A2E"/>
    <w:rsid w:val="2E8B0409"/>
    <w:rsid w:val="2E903C71"/>
    <w:rsid w:val="2E933762"/>
    <w:rsid w:val="2E9A3C18"/>
    <w:rsid w:val="2EA94167"/>
    <w:rsid w:val="2EAE40F8"/>
    <w:rsid w:val="2EB060C2"/>
    <w:rsid w:val="2EB15996"/>
    <w:rsid w:val="2EB72FAC"/>
    <w:rsid w:val="2EBB0FEE"/>
    <w:rsid w:val="2EBD258D"/>
    <w:rsid w:val="2EC1207D"/>
    <w:rsid w:val="2EC63002"/>
    <w:rsid w:val="2EC641C3"/>
    <w:rsid w:val="2EC8340B"/>
    <w:rsid w:val="2EC92CDF"/>
    <w:rsid w:val="2EE144CD"/>
    <w:rsid w:val="2EED10C4"/>
    <w:rsid w:val="2EEF6BEA"/>
    <w:rsid w:val="2F034443"/>
    <w:rsid w:val="2F0361F1"/>
    <w:rsid w:val="2F063F34"/>
    <w:rsid w:val="2F0A6B38"/>
    <w:rsid w:val="2F1523C9"/>
    <w:rsid w:val="2F1C3757"/>
    <w:rsid w:val="2F1F0B51"/>
    <w:rsid w:val="2F2443BA"/>
    <w:rsid w:val="2F395D8E"/>
    <w:rsid w:val="2F4F58DB"/>
    <w:rsid w:val="2F5527C5"/>
    <w:rsid w:val="2F566C69"/>
    <w:rsid w:val="2F5C7FF7"/>
    <w:rsid w:val="2F61116A"/>
    <w:rsid w:val="2F6A2714"/>
    <w:rsid w:val="2F6A44C2"/>
    <w:rsid w:val="2F6B1FE9"/>
    <w:rsid w:val="2F725125"/>
    <w:rsid w:val="2F8A6913"/>
    <w:rsid w:val="2F8B61E7"/>
    <w:rsid w:val="2F923A19"/>
    <w:rsid w:val="2F946CCB"/>
    <w:rsid w:val="2FAC4ADB"/>
    <w:rsid w:val="2FBB2F70"/>
    <w:rsid w:val="2FBB6ACC"/>
    <w:rsid w:val="2FBD789E"/>
    <w:rsid w:val="2FC00586"/>
    <w:rsid w:val="2FC33BD3"/>
    <w:rsid w:val="2FC516F9"/>
    <w:rsid w:val="2FCE2CA3"/>
    <w:rsid w:val="2FD25781"/>
    <w:rsid w:val="2FD44032"/>
    <w:rsid w:val="2FDC745C"/>
    <w:rsid w:val="2FE778C1"/>
    <w:rsid w:val="2FE83639"/>
    <w:rsid w:val="2FE92F12"/>
    <w:rsid w:val="2FF63FA8"/>
    <w:rsid w:val="2FFD7934"/>
    <w:rsid w:val="2FFF10AF"/>
    <w:rsid w:val="300246FB"/>
    <w:rsid w:val="300C557A"/>
    <w:rsid w:val="30183F1E"/>
    <w:rsid w:val="30204B81"/>
    <w:rsid w:val="30297EDA"/>
    <w:rsid w:val="303074BA"/>
    <w:rsid w:val="30313232"/>
    <w:rsid w:val="3049057C"/>
    <w:rsid w:val="30517430"/>
    <w:rsid w:val="30542A7D"/>
    <w:rsid w:val="306B5F67"/>
    <w:rsid w:val="30733ACD"/>
    <w:rsid w:val="307D4ABA"/>
    <w:rsid w:val="308C3862"/>
    <w:rsid w:val="3090035F"/>
    <w:rsid w:val="309379D8"/>
    <w:rsid w:val="30977539"/>
    <w:rsid w:val="309A0DD7"/>
    <w:rsid w:val="30A270F7"/>
    <w:rsid w:val="30B17ECF"/>
    <w:rsid w:val="30BD0622"/>
    <w:rsid w:val="30C23E8A"/>
    <w:rsid w:val="30C6397A"/>
    <w:rsid w:val="30CE282F"/>
    <w:rsid w:val="30D047F9"/>
    <w:rsid w:val="30D3442A"/>
    <w:rsid w:val="30D53BBD"/>
    <w:rsid w:val="30DC4F4C"/>
    <w:rsid w:val="30DF1478"/>
    <w:rsid w:val="30E2039D"/>
    <w:rsid w:val="30EC586F"/>
    <w:rsid w:val="30EE2ED1"/>
    <w:rsid w:val="30F77FD8"/>
    <w:rsid w:val="30FA7AC8"/>
    <w:rsid w:val="31085D41"/>
    <w:rsid w:val="31091AB9"/>
    <w:rsid w:val="311F12DD"/>
    <w:rsid w:val="313F54DB"/>
    <w:rsid w:val="31440D43"/>
    <w:rsid w:val="314D409C"/>
    <w:rsid w:val="314E571E"/>
    <w:rsid w:val="314F1BC2"/>
    <w:rsid w:val="31501496"/>
    <w:rsid w:val="31576CC8"/>
    <w:rsid w:val="3163566D"/>
    <w:rsid w:val="31644F41"/>
    <w:rsid w:val="31701B38"/>
    <w:rsid w:val="31864EB8"/>
    <w:rsid w:val="31874556"/>
    <w:rsid w:val="319C6071"/>
    <w:rsid w:val="319F7354"/>
    <w:rsid w:val="31AA6DF8"/>
    <w:rsid w:val="31AC537E"/>
    <w:rsid w:val="31C0486E"/>
    <w:rsid w:val="31E3679B"/>
    <w:rsid w:val="31E732FD"/>
    <w:rsid w:val="31EA18EB"/>
    <w:rsid w:val="31F12C79"/>
    <w:rsid w:val="31F14A27"/>
    <w:rsid w:val="31FD161E"/>
    <w:rsid w:val="3207424B"/>
    <w:rsid w:val="320F75A3"/>
    <w:rsid w:val="32130E41"/>
    <w:rsid w:val="32270449"/>
    <w:rsid w:val="32285F6F"/>
    <w:rsid w:val="32317519"/>
    <w:rsid w:val="323E5792"/>
    <w:rsid w:val="32456B21"/>
    <w:rsid w:val="324F5BF1"/>
    <w:rsid w:val="32517576"/>
    <w:rsid w:val="3273368E"/>
    <w:rsid w:val="32935ADE"/>
    <w:rsid w:val="3296737C"/>
    <w:rsid w:val="32987598"/>
    <w:rsid w:val="32A73338"/>
    <w:rsid w:val="32B37F2E"/>
    <w:rsid w:val="32BE5C2C"/>
    <w:rsid w:val="32C0264B"/>
    <w:rsid w:val="32D16607"/>
    <w:rsid w:val="32D85BE7"/>
    <w:rsid w:val="32DC7485"/>
    <w:rsid w:val="32DD31FD"/>
    <w:rsid w:val="32E20814"/>
    <w:rsid w:val="32FB6478"/>
    <w:rsid w:val="33124565"/>
    <w:rsid w:val="331309CD"/>
    <w:rsid w:val="33136C1F"/>
    <w:rsid w:val="331C1F78"/>
    <w:rsid w:val="331C5AD4"/>
    <w:rsid w:val="3321133C"/>
    <w:rsid w:val="33263B3F"/>
    <w:rsid w:val="332826CA"/>
    <w:rsid w:val="33354DE7"/>
    <w:rsid w:val="33386686"/>
    <w:rsid w:val="333C43C8"/>
    <w:rsid w:val="335C2374"/>
    <w:rsid w:val="336963EB"/>
    <w:rsid w:val="336B6A5B"/>
    <w:rsid w:val="33816EEB"/>
    <w:rsid w:val="338A5133"/>
    <w:rsid w:val="33957634"/>
    <w:rsid w:val="33995376"/>
    <w:rsid w:val="339E7474"/>
    <w:rsid w:val="33A01B47"/>
    <w:rsid w:val="33AB6E58"/>
    <w:rsid w:val="33BF2903"/>
    <w:rsid w:val="33C40EFA"/>
    <w:rsid w:val="33D62126"/>
    <w:rsid w:val="33DF6B01"/>
    <w:rsid w:val="33E81E5A"/>
    <w:rsid w:val="33EB55CD"/>
    <w:rsid w:val="33EC4C02"/>
    <w:rsid w:val="33F00D0E"/>
    <w:rsid w:val="33FB1B8D"/>
    <w:rsid w:val="33FE78CF"/>
    <w:rsid w:val="34034EE6"/>
    <w:rsid w:val="34056568"/>
    <w:rsid w:val="340D2360"/>
    <w:rsid w:val="3410665D"/>
    <w:rsid w:val="34160775"/>
    <w:rsid w:val="34190265"/>
    <w:rsid w:val="341B222F"/>
    <w:rsid w:val="34211214"/>
    <w:rsid w:val="342A4220"/>
    <w:rsid w:val="342E63AB"/>
    <w:rsid w:val="343E5F1E"/>
    <w:rsid w:val="344A48C2"/>
    <w:rsid w:val="3454129D"/>
    <w:rsid w:val="34784F8C"/>
    <w:rsid w:val="349124F1"/>
    <w:rsid w:val="34950E68"/>
    <w:rsid w:val="34986E94"/>
    <w:rsid w:val="34A73AC3"/>
    <w:rsid w:val="34AF33B3"/>
    <w:rsid w:val="34AF62C9"/>
    <w:rsid w:val="34CB4388"/>
    <w:rsid w:val="34CD2659"/>
    <w:rsid w:val="34D81ECE"/>
    <w:rsid w:val="34E15227"/>
    <w:rsid w:val="34FA6E12"/>
    <w:rsid w:val="350031D3"/>
    <w:rsid w:val="35103416"/>
    <w:rsid w:val="35132F06"/>
    <w:rsid w:val="35134CB4"/>
    <w:rsid w:val="351F18AB"/>
    <w:rsid w:val="35260E8C"/>
    <w:rsid w:val="3529097C"/>
    <w:rsid w:val="352B0250"/>
    <w:rsid w:val="352D221A"/>
    <w:rsid w:val="35325A82"/>
    <w:rsid w:val="3535217E"/>
    <w:rsid w:val="35415CC5"/>
    <w:rsid w:val="354D7158"/>
    <w:rsid w:val="354E03E2"/>
    <w:rsid w:val="35521C81"/>
    <w:rsid w:val="35661288"/>
    <w:rsid w:val="356814A4"/>
    <w:rsid w:val="356B689E"/>
    <w:rsid w:val="356E45E1"/>
    <w:rsid w:val="357339A5"/>
    <w:rsid w:val="358D5588"/>
    <w:rsid w:val="3591124E"/>
    <w:rsid w:val="3592207D"/>
    <w:rsid w:val="35951B6D"/>
    <w:rsid w:val="35A41DB0"/>
    <w:rsid w:val="35CB37E1"/>
    <w:rsid w:val="35D01220"/>
    <w:rsid w:val="35D22DC1"/>
    <w:rsid w:val="35D5640E"/>
    <w:rsid w:val="35F5260C"/>
    <w:rsid w:val="35F965A0"/>
    <w:rsid w:val="36301896"/>
    <w:rsid w:val="363366EC"/>
    <w:rsid w:val="363A3B40"/>
    <w:rsid w:val="363C648D"/>
    <w:rsid w:val="364F61C0"/>
    <w:rsid w:val="365302AE"/>
    <w:rsid w:val="365437D6"/>
    <w:rsid w:val="36607A0A"/>
    <w:rsid w:val="366E227C"/>
    <w:rsid w:val="366F2E0D"/>
    <w:rsid w:val="367125DA"/>
    <w:rsid w:val="36743E79"/>
    <w:rsid w:val="367B6A5C"/>
    <w:rsid w:val="36A35226"/>
    <w:rsid w:val="36A74ADA"/>
    <w:rsid w:val="36AD60D5"/>
    <w:rsid w:val="36B224F9"/>
    <w:rsid w:val="36BD312A"/>
    <w:rsid w:val="36CA1CEB"/>
    <w:rsid w:val="36CA3A99"/>
    <w:rsid w:val="36CC15BF"/>
    <w:rsid w:val="36E25286"/>
    <w:rsid w:val="36EB413B"/>
    <w:rsid w:val="36EC0CC9"/>
    <w:rsid w:val="36F32FEF"/>
    <w:rsid w:val="36F95BEA"/>
    <w:rsid w:val="37046FAB"/>
    <w:rsid w:val="370C5E5F"/>
    <w:rsid w:val="37113475"/>
    <w:rsid w:val="37182A56"/>
    <w:rsid w:val="371D006C"/>
    <w:rsid w:val="37217B5C"/>
    <w:rsid w:val="372413FB"/>
    <w:rsid w:val="373F410B"/>
    <w:rsid w:val="374C2700"/>
    <w:rsid w:val="37500442"/>
    <w:rsid w:val="37585548"/>
    <w:rsid w:val="376932B2"/>
    <w:rsid w:val="37702892"/>
    <w:rsid w:val="377F4883"/>
    <w:rsid w:val="378D6FA0"/>
    <w:rsid w:val="379D3621"/>
    <w:rsid w:val="37AC319E"/>
    <w:rsid w:val="37B22EAA"/>
    <w:rsid w:val="37B24C58"/>
    <w:rsid w:val="37BA58BB"/>
    <w:rsid w:val="37C8447C"/>
    <w:rsid w:val="37D526F5"/>
    <w:rsid w:val="37DF3574"/>
    <w:rsid w:val="37E42938"/>
    <w:rsid w:val="37EE7094"/>
    <w:rsid w:val="37EF7C5B"/>
    <w:rsid w:val="37FF748B"/>
    <w:rsid w:val="38003C16"/>
    <w:rsid w:val="380A05F1"/>
    <w:rsid w:val="381476C1"/>
    <w:rsid w:val="38296C89"/>
    <w:rsid w:val="383002EB"/>
    <w:rsid w:val="38397128"/>
    <w:rsid w:val="3857135C"/>
    <w:rsid w:val="38586797"/>
    <w:rsid w:val="385B709E"/>
    <w:rsid w:val="387719FE"/>
    <w:rsid w:val="388760E5"/>
    <w:rsid w:val="38AA55E5"/>
    <w:rsid w:val="38AC6F41"/>
    <w:rsid w:val="38B44A00"/>
    <w:rsid w:val="38B62526"/>
    <w:rsid w:val="38BC0149"/>
    <w:rsid w:val="38D87D1C"/>
    <w:rsid w:val="38DB01DF"/>
    <w:rsid w:val="38E55D2E"/>
    <w:rsid w:val="38F4304F"/>
    <w:rsid w:val="38F90665"/>
    <w:rsid w:val="390A4620"/>
    <w:rsid w:val="390C65EA"/>
    <w:rsid w:val="39161217"/>
    <w:rsid w:val="39180AEB"/>
    <w:rsid w:val="39205782"/>
    <w:rsid w:val="39241B86"/>
    <w:rsid w:val="393873DF"/>
    <w:rsid w:val="39445D84"/>
    <w:rsid w:val="395F2BBE"/>
    <w:rsid w:val="396226AE"/>
    <w:rsid w:val="39636459"/>
    <w:rsid w:val="396B7F6C"/>
    <w:rsid w:val="397523E2"/>
    <w:rsid w:val="397C3770"/>
    <w:rsid w:val="39846181"/>
    <w:rsid w:val="39924D42"/>
    <w:rsid w:val="39930ABA"/>
    <w:rsid w:val="39932868"/>
    <w:rsid w:val="39934616"/>
    <w:rsid w:val="39972358"/>
    <w:rsid w:val="39A22AAB"/>
    <w:rsid w:val="39AD1B7B"/>
    <w:rsid w:val="39B27192"/>
    <w:rsid w:val="39B417A9"/>
    <w:rsid w:val="39CB2002"/>
    <w:rsid w:val="39E3734B"/>
    <w:rsid w:val="39FC5695"/>
    <w:rsid w:val="3A006D8E"/>
    <w:rsid w:val="3A1C0AAF"/>
    <w:rsid w:val="3A217E73"/>
    <w:rsid w:val="3A3651E5"/>
    <w:rsid w:val="3A661D2A"/>
    <w:rsid w:val="3A6C7FD0"/>
    <w:rsid w:val="3A744481"/>
    <w:rsid w:val="3A8C7BEF"/>
    <w:rsid w:val="3A906246"/>
    <w:rsid w:val="3A9E14C4"/>
    <w:rsid w:val="3AB26D1E"/>
    <w:rsid w:val="3ABB02C8"/>
    <w:rsid w:val="3ABE56C2"/>
    <w:rsid w:val="3AC3717D"/>
    <w:rsid w:val="3AD13648"/>
    <w:rsid w:val="3AE315CD"/>
    <w:rsid w:val="3AFC7952"/>
    <w:rsid w:val="3B2349B7"/>
    <w:rsid w:val="3B295232"/>
    <w:rsid w:val="3B334302"/>
    <w:rsid w:val="3B3B31B7"/>
    <w:rsid w:val="3B455DE4"/>
    <w:rsid w:val="3B4958D4"/>
    <w:rsid w:val="3B4C0F20"/>
    <w:rsid w:val="3B4E5E34"/>
    <w:rsid w:val="3B616CFF"/>
    <w:rsid w:val="3B6259F6"/>
    <w:rsid w:val="3B6E0E96"/>
    <w:rsid w:val="3B6E70E8"/>
    <w:rsid w:val="3B750477"/>
    <w:rsid w:val="3B7B1805"/>
    <w:rsid w:val="3B862684"/>
    <w:rsid w:val="3B976654"/>
    <w:rsid w:val="3BA7084C"/>
    <w:rsid w:val="3BAC16BD"/>
    <w:rsid w:val="3BAC19BF"/>
    <w:rsid w:val="3BB014AF"/>
    <w:rsid w:val="3BB32D4D"/>
    <w:rsid w:val="3BC01EFC"/>
    <w:rsid w:val="3BCA786A"/>
    <w:rsid w:val="3BD31E2F"/>
    <w:rsid w:val="3BD333EF"/>
    <w:rsid w:val="3BD827B4"/>
    <w:rsid w:val="3BDF7FE6"/>
    <w:rsid w:val="3BF15831"/>
    <w:rsid w:val="3BFD221A"/>
    <w:rsid w:val="3C011D0B"/>
    <w:rsid w:val="3C0E4427"/>
    <w:rsid w:val="3C105946"/>
    <w:rsid w:val="3C1852A6"/>
    <w:rsid w:val="3C1A2DCC"/>
    <w:rsid w:val="3C1F3929"/>
    <w:rsid w:val="3C2E78F4"/>
    <w:rsid w:val="3C3420E0"/>
    <w:rsid w:val="3C460065"/>
    <w:rsid w:val="3C471448"/>
    <w:rsid w:val="3C5E53AF"/>
    <w:rsid w:val="3C5F759A"/>
    <w:rsid w:val="3C6C525A"/>
    <w:rsid w:val="3C7E335B"/>
    <w:rsid w:val="3C8A61A4"/>
    <w:rsid w:val="3CAB7EC8"/>
    <w:rsid w:val="3CBC20D5"/>
    <w:rsid w:val="3CCE23CB"/>
    <w:rsid w:val="3CD17D17"/>
    <w:rsid w:val="3D0A2E41"/>
    <w:rsid w:val="3D0F48FB"/>
    <w:rsid w:val="3D1D0DC6"/>
    <w:rsid w:val="3D1E069A"/>
    <w:rsid w:val="3D2A34E3"/>
    <w:rsid w:val="3D2E2FD3"/>
    <w:rsid w:val="3D393726"/>
    <w:rsid w:val="3D3C7F39"/>
    <w:rsid w:val="3D440F09"/>
    <w:rsid w:val="3D4504A0"/>
    <w:rsid w:val="3D600CB3"/>
    <w:rsid w:val="3D6469F5"/>
    <w:rsid w:val="3D743952"/>
    <w:rsid w:val="3D8449A1"/>
    <w:rsid w:val="3D8734BB"/>
    <w:rsid w:val="3D874491"/>
    <w:rsid w:val="3D915310"/>
    <w:rsid w:val="3D9A11D4"/>
    <w:rsid w:val="3DA16D89"/>
    <w:rsid w:val="3DA364BE"/>
    <w:rsid w:val="3DA46DF1"/>
    <w:rsid w:val="3DB2141D"/>
    <w:rsid w:val="3DC96858"/>
    <w:rsid w:val="3DCC459A"/>
    <w:rsid w:val="3DE041CB"/>
    <w:rsid w:val="3DE11DF4"/>
    <w:rsid w:val="3DE2791A"/>
    <w:rsid w:val="3DE74F30"/>
    <w:rsid w:val="3DE96EFA"/>
    <w:rsid w:val="3E0930F8"/>
    <w:rsid w:val="3E0D0E3B"/>
    <w:rsid w:val="3E0D48F6"/>
    <w:rsid w:val="3E111FAD"/>
    <w:rsid w:val="3E1868B4"/>
    <w:rsid w:val="3E1C2E2C"/>
    <w:rsid w:val="3E261EFC"/>
    <w:rsid w:val="3E2E71BA"/>
    <w:rsid w:val="3E3208A1"/>
    <w:rsid w:val="3E375EB7"/>
    <w:rsid w:val="3E377251"/>
    <w:rsid w:val="3E3E7246"/>
    <w:rsid w:val="3E416D36"/>
    <w:rsid w:val="3E42664B"/>
    <w:rsid w:val="3E43485C"/>
    <w:rsid w:val="3E5A7334"/>
    <w:rsid w:val="3E6F38A3"/>
    <w:rsid w:val="3E725142"/>
    <w:rsid w:val="3E7A5DA4"/>
    <w:rsid w:val="3E7B5D6B"/>
    <w:rsid w:val="3E843E66"/>
    <w:rsid w:val="3E8F51FE"/>
    <w:rsid w:val="3E926F87"/>
    <w:rsid w:val="3E9A59DE"/>
    <w:rsid w:val="3EA01CAF"/>
    <w:rsid w:val="3EAA48DB"/>
    <w:rsid w:val="3EAF4836"/>
    <w:rsid w:val="3EB968CD"/>
    <w:rsid w:val="3EBB0897"/>
    <w:rsid w:val="3EC33DFA"/>
    <w:rsid w:val="3ED43706"/>
    <w:rsid w:val="3ED5122D"/>
    <w:rsid w:val="3EDE4585"/>
    <w:rsid w:val="3EE17BD1"/>
    <w:rsid w:val="3EE80F60"/>
    <w:rsid w:val="3EEC4EF4"/>
    <w:rsid w:val="3F012022"/>
    <w:rsid w:val="3F060E16"/>
    <w:rsid w:val="3F147FA7"/>
    <w:rsid w:val="3F1D1096"/>
    <w:rsid w:val="3F2F0234"/>
    <w:rsid w:val="3F3348D1"/>
    <w:rsid w:val="3F380531"/>
    <w:rsid w:val="3F3B19D7"/>
    <w:rsid w:val="3F406FEE"/>
    <w:rsid w:val="3F43088C"/>
    <w:rsid w:val="3F450160"/>
    <w:rsid w:val="3F4C5993"/>
    <w:rsid w:val="3F604F9A"/>
    <w:rsid w:val="3F6363FE"/>
    <w:rsid w:val="3F6D76B7"/>
    <w:rsid w:val="3F756B8F"/>
    <w:rsid w:val="3F780536"/>
    <w:rsid w:val="3F7B3379"/>
    <w:rsid w:val="3F854A01"/>
    <w:rsid w:val="3F874C1D"/>
    <w:rsid w:val="3F8838CF"/>
    <w:rsid w:val="3F892743"/>
    <w:rsid w:val="3F95482B"/>
    <w:rsid w:val="3F9B2476"/>
    <w:rsid w:val="3FAC01DF"/>
    <w:rsid w:val="3FB53538"/>
    <w:rsid w:val="3FB672B0"/>
    <w:rsid w:val="3FBA6DA0"/>
    <w:rsid w:val="3FDF05B5"/>
    <w:rsid w:val="400B13AA"/>
    <w:rsid w:val="401144E6"/>
    <w:rsid w:val="40181D19"/>
    <w:rsid w:val="4019356B"/>
    <w:rsid w:val="401F4E55"/>
    <w:rsid w:val="402C1320"/>
    <w:rsid w:val="40356427"/>
    <w:rsid w:val="4037219F"/>
    <w:rsid w:val="404B17A6"/>
    <w:rsid w:val="405368AD"/>
    <w:rsid w:val="405745EF"/>
    <w:rsid w:val="40592157"/>
    <w:rsid w:val="405D184C"/>
    <w:rsid w:val="405F34A4"/>
    <w:rsid w:val="405F6737"/>
    <w:rsid w:val="406B009A"/>
    <w:rsid w:val="406E1CAE"/>
    <w:rsid w:val="406E7B8B"/>
    <w:rsid w:val="407C22A8"/>
    <w:rsid w:val="40994C08"/>
    <w:rsid w:val="40A0133A"/>
    <w:rsid w:val="40A435AC"/>
    <w:rsid w:val="40BB2DD0"/>
    <w:rsid w:val="40C31A53"/>
    <w:rsid w:val="40D45C40"/>
    <w:rsid w:val="40DB5220"/>
    <w:rsid w:val="40DE261A"/>
    <w:rsid w:val="40F938F8"/>
    <w:rsid w:val="40FF545D"/>
    <w:rsid w:val="410067C8"/>
    <w:rsid w:val="410127AD"/>
    <w:rsid w:val="411A234D"/>
    <w:rsid w:val="411C1395"/>
    <w:rsid w:val="411E0E78"/>
    <w:rsid w:val="412344D1"/>
    <w:rsid w:val="41377F7D"/>
    <w:rsid w:val="413D1A37"/>
    <w:rsid w:val="414A67AD"/>
    <w:rsid w:val="414F176A"/>
    <w:rsid w:val="41516DB4"/>
    <w:rsid w:val="41517290"/>
    <w:rsid w:val="41622D2E"/>
    <w:rsid w:val="416C5E78"/>
    <w:rsid w:val="41717932"/>
    <w:rsid w:val="417B430D"/>
    <w:rsid w:val="417D0085"/>
    <w:rsid w:val="4182744A"/>
    <w:rsid w:val="418F0D2A"/>
    <w:rsid w:val="41994793"/>
    <w:rsid w:val="419B49AF"/>
    <w:rsid w:val="419B675D"/>
    <w:rsid w:val="41A05B22"/>
    <w:rsid w:val="41A27AEC"/>
    <w:rsid w:val="41B82E6B"/>
    <w:rsid w:val="41BB295C"/>
    <w:rsid w:val="41C77552"/>
    <w:rsid w:val="41CA0DF1"/>
    <w:rsid w:val="41D01505"/>
    <w:rsid w:val="41DD5FAF"/>
    <w:rsid w:val="41F12821"/>
    <w:rsid w:val="41FF4F3E"/>
    <w:rsid w:val="42042555"/>
    <w:rsid w:val="42100EF9"/>
    <w:rsid w:val="421B164C"/>
    <w:rsid w:val="4230334A"/>
    <w:rsid w:val="42383FAC"/>
    <w:rsid w:val="4242307D"/>
    <w:rsid w:val="42446DF5"/>
    <w:rsid w:val="42474939"/>
    <w:rsid w:val="424C3C57"/>
    <w:rsid w:val="424D3EFC"/>
    <w:rsid w:val="424E37D0"/>
    <w:rsid w:val="42613FF3"/>
    <w:rsid w:val="42621029"/>
    <w:rsid w:val="42660D96"/>
    <w:rsid w:val="42725710"/>
    <w:rsid w:val="4278084D"/>
    <w:rsid w:val="427F607F"/>
    <w:rsid w:val="42813BA5"/>
    <w:rsid w:val="428667D2"/>
    <w:rsid w:val="42A17DA3"/>
    <w:rsid w:val="42A41642"/>
    <w:rsid w:val="42AC48D8"/>
    <w:rsid w:val="42B0448A"/>
    <w:rsid w:val="42B21FB1"/>
    <w:rsid w:val="42B23D5F"/>
    <w:rsid w:val="42CD1CE0"/>
    <w:rsid w:val="42D068DB"/>
    <w:rsid w:val="42D17CAC"/>
    <w:rsid w:val="42D33CD5"/>
    <w:rsid w:val="42D53EF1"/>
    <w:rsid w:val="42E1381E"/>
    <w:rsid w:val="42ED6459"/>
    <w:rsid w:val="42F205FF"/>
    <w:rsid w:val="42F223AD"/>
    <w:rsid w:val="42FE58DD"/>
    <w:rsid w:val="430420E0"/>
    <w:rsid w:val="43075564"/>
    <w:rsid w:val="430F7403"/>
    <w:rsid w:val="43174B3D"/>
    <w:rsid w:val="431A5724"/>
    <w:rsid w:val="434B790E"/>
    <w:rsid w:val="435B2648"/>
    <w:rsid w:val="435E3EE6"/>
    <w:rsid w:val="4360274F"/>
    <w:rsid w:val="43615785"/>
    <w:rsid w:val="43657023"/>
    <w:rsid w:val="43811983"/>
    <w:rsid w:val="43963680"/>
    <w:rsid w:val="4396542E"/>
    <w:rsid w:val="43977AB6"/>
    <w:rsid w:val="439D4A0F"/>
    <w:rsid w:val="43A075A0"/>
    <w:rsid w:val="43A22025"/>
    <w:rsid w:val="43A3342B"/>
    <w:rsid w:val="43AC2EA4"/>
    <w:rsid w:val="43AC6A00"/>
    <w:rsid w:val="43B65AD0"/>
    <w:rsid w:val="43C77C27"/>
    <w:rsid w:val="43DE09EE"/>
    <w:rsid w:val="43DE6DD5"/>
    <w:rsid w:val="43DF5027"/>
    <w:rsid w:val="43E20674"/>
    <w:rsid w:val="43E50164"/>
    <w:rsid w:val="43FB7987"/>
    <w:rsid w:val="44002FAD"/>
    <w:rsid w:val="44020D16"/>
    <w:rsid w:val="4439400C"/>
    <w:rsid w:val="443F1622"/>
    <w:rsid w:val="4440539A"/>
    <w:rsid w:val="444E3F5B"/>
    <w:rsid w:val="445157F9"/>
    <w:rsid w:val="44623562"/>
    <w:rsid w:val="446612A5"/>
    <w:rsid w:val="446677B2"/>
    <w:rsid w:val="44775260"/>
    <w:rsid w:val="44870EEC"/>
    <w:rsid w:val="44901E7E"/>
    <w:rsid w:val="449101DD"/>
    <w:rsid w:val="44953938"/>
    <w:rsid w:val="44983D5E"/>
    <w:rsid w:val="44AC2A30"/>
    <w:rsid w:val="44B6565C"/>
    <w:rsid w:val="44B813D4"/>
    <w:rsid w:val="44BF2763"/>
    <w:rsid w:val="44C77869"/>
    <w:rsid w:val="44D02BC2"/>
    <w:rsid w:val="44DE1391"/>
    <w:rsid w:val="44FA7C3F"/>
    <w:rsid w:val="451505D5"/>
    <w:rsid w:val="451B225C"/>
    <w:rsid w:val="45240818"/>
    <w:rsid w:val="452410C9"/>
    <w:rsid w:val="45252F0E"/>
    <w:rsid w:val="452B1BA6"/>
    <w:rsid w:val="45317DFB"/>
    <w:rsid w:val="45344EFF"/>
    <w:rsid w:val="45350C77"/>
    <w:rsid w:val="454B20CD"/>
    <w:rsid w:val="4554734F"/>
    <w:rsid w:val="455F7AA2"/>
    <w:rsid w:val="4561381A"/>
    <w:rsid w:val="456A4DC4"/>
    <w:rsid w:val="456D3CE4"/>
    <w:rsid w:val="45737DA4"/>
    <w:rsid w:val="4579042C"/>
    <w:rsid w:val="457C0654"/>
    <w:rsid w:val="457F0571"/>
    <w:rsid w:val="45851176"/>
    <w:rsid w:val="458F65D9"/>
    <w:rsid w:val="45967968"/>
    <w:rsid w:val="45A57BAB"/>
    <w:rsid w:val="45B85B30"/>
    <w:rsid w:val="45C51FFB"/>
    <w:rsid w:val="45C63B94"/>
    <w:rsid w:val="45CC3389"/>
    <w:rsid w:val="45D67D64"/>
    <w:rsid w:val="45D97854"/>
    <w:rsid w:val="45ED3300"/>
    <w:rsid w:val="45EE1552"/>
    <w:rsid w:val="45F36B68"/>
    <w:rsid w:val="45FD79E7"/>
    <w:rsid w:val="460E7DA5"/>
    <w:rsid w:val="4613720A"/>
    <w:rsid w:val="46237190"/>
    <w:rsid w:val="46422483"/>
    <w:rsid w:val="46503FBA"/>
    <w:rsid w:val="4659254A"/>
    <w:rsid w:val="465B0637"/>
    <w:rsid w:val="465E3F0D"/>
    <w:rsid w:val="46603AD2"/>
    <w:rsid w:val="466A16E6"/>
    <w:rsid w:val="466E61EE"/>
    <w:rsid w:val="46761547"/>
    <w:rsid w:val="4689127A"/>
    <w:rsid w:val="46893F2B"/>
    <w:rsid w:val="46935C55"/>
    <w:rsid w:val="46957C1F"/>
    <w:rsid w:val="469D0882"/>
    <w:rsid w:val="46AE2A8F"/>
    <w:rsid w:val="46AF5982"/>
    <w:rsid w:val="46C4686E"/>
    <w:rsid w:val="46C61A2D"/>
    <w:rsid w:val="46C978C9"/>
    <w:rsid w:val="46DD15C6"/>
    <w:rsid w:val="46E93AC7"/>
    <w:rsid w:val="46FC7C9E"/>
    <w:rsid w:val="46FD7572"/>
    <w:rsid w:val="47132B0A"/>
    <w:rsid w:val="47174AD8"/>
    <w:rsid w:val="47555600"/>
    <w:rsid w:val="47685334"/>
    <w:rsid w:val="476D46F8"/>
    <w:rsid w:val="4770243A"/>
    <w:rsid w:val="47777325"/>
    <w:rsid w:val="477B778F"/>
    <w:rsid w:val="477C493B"/>
    <w:rsid w:val="478203EC"/>
    <w:rsid w:val="47A3636C"/>
    <w:rsid w:val="47A85730"/>
    <w:rsid w:val="47B025FA"/>
    <w:rsid w:val="47B40579"/>
    <w:rsid w:val="47B42327"/>
    <w:rsid w:val="47CC58C3"/>
    <w:rsid w:val="47D429C9"/>
    <w:rsid w:val="47D46525"/>
    <w:rsid w:val="47E26E94"/>
    <w:rsid w:val="47E86474"/>
    <w:rsid w:val="47ED0202"/>
    <w:rsid w:val="47F00E85"/>
    <w:rsid w:val="47F46C1C"/>
    <w:rsid w:val="4803505C"/>
    <w:rsid w:val="4809698F"/>
    <w:rsid w:val="480A63EB"/>
    <w:rsid w:val="4811697D"/>
    <w:rsid w:val="481B05F8"/>
    <w:rsid w:val="481D7ECC"/>
    <w:rsid w:val="4839282C"/>
    <w:rsid w:val="48592ECE"/>
    <w:rsid w:val="48757D08"/>
    <w:rsid w:val="487A3E25"/>
    <w:rsid w:val="48877A3B"/>
    <w:rsid w:val="488B5503"/>
    <w:rsid w:val="48937E21"/>
    <w:rsid w:val="489A0361"/>
    <w:rsid w:val="48A64365"/>
    <w:rsid w:val="48A95C04"/>
    <w:rsid w:val="48B63E7D"/>
    <w:rsid w:val="48B94FF3"/>
    <w:rsid w:val="48BC5937"/>
    <w:rsid w:val="48C7608A"/>
    <w:rsid w:val="48D16F09"/>
    <w:rsid w:val="48D2515B"/>
    <w:rsid w:val="48DD58AD"/>
    <w:rsid w:val="48E37AAB"/>
    <w:rsid w:val="48EC789E"/>
    <w:rsid w:val="48FD4B4C"/>
    <w:rsid w:val="48FF75D2"/>
    <w:rsid w:val="490A68E0"/>
    <w:rsid w:val="490C1CEF"/>
    <w:rsid w:val="491055FE"/>
    <w:rsid w:val="49172B6D"/>
    <w:rsid w:val="492139EC"/>
    <w:rsid w:val="49227764"/>
    <w:rsid w:val="493354CD"/>
    <w:rsid w:val="493A4AAE"/>
    <w:rsid w:val="494553FA"/>
    <w:rsid w:val="495A5150"/>
    <w:rsid w:val="495F3470"/>
    <w:rsid w:val="495F5B3E"/>
    <w:rsid w:val="495F62C2"/>
    <w:rsid w:val="4968786D"/>
    <w:rsid w:val="496D6C31"/>
    <w:rsid w:val="496E4757"/>
    <w:rsid w:val="496F77D7"/>
    <w:rsid w:val="49746212"/>
    <w:rsid w:val="497654FD"/>
    <w:rsid w:val="497A134E"/>
    <w:rsid w:val="49830203"/>
    <w:rsid w:val="498D72D3"/>
    <w:rsid w:val="49900B72"/>
    <w:rsid w:val="499C12C5"/>
    <w:rsid w:val="49A87C69"/>
    <w:rsid w:val="49A95790"/>
    <w:rsid w:val="49B64211"/>
    <w:rsid w:val="49B91E77"/>
    <w:rsid w:val="49BA67E7"/>
    <w:rsid w:val="49BA799D"/>
    <w:rsid w:val="49BC54C3"/>
    <w:rsid w:val="49CB3958"/>
    <w:rsid w:val="49D22F38"/>
    <w:rsid w:val="49D24CE6"/>
    <w:rsid w:val="49D767A1"/>
    <w:rsid w:val="49D92519"/>
    <w:rsid w:val="49DA3B9B"/>
    <w:rsid w:val="49DB1DED"/>
    <w:rsid w:val="49DE1F71"/>
    <w:rsid w:val="49E14F29"/>
    <w:rsid w:val="49E8275C"/>
    <w:rsid w:val="49EC224C"/>
    <w:rsid w:val="49F6167F"/>
    <w:rsid w:val="4A056E6A"/>
    <w:rsid w:val="4A064FA0"/>
    <w:rsid w:val="4A16615C"/>
    <w:rsid w:val="4A3B4613"/>
    <w:rsid w:val="4A4424D7"/>
    <w:rsid w:val="4A4A0D21"/>
    <w:rsid w:val="4A4A6F73"/>
    <w:rsid w:val="4A4F532C"/>
    <w:rsid w:val="4A5751EC"/>
    <w:rsid w:val="4A655B5A"/>
    <w:rsid w:val="4A7364C9"/>
    <w:rsid w:val="4A7E09CA"/>
    <w:rsid w:val="4A7E6C1C"/>
    <w:rsid w:val="4A875AD1"/>
    <w:rsid w:val="4A9326C8"/>
    <w:rsid w:val="4A985F30"/>
    <w:rsid w:val="4AB80380"/>
    <w:rsid w:val="4AB82D0F"/>
    <w:rsid w:val="4AC42881"/>
    <w:rsid w:val="4AC76815"/>
    <w:rsid w:val="4AC91AA7"/>
    <w:rsid w:val="4AD131F0"/>
    <w:rsid w:val="4AE17D0E"/>
    <w:rsid w:val="4AE922E8"/>
    <w:rsid w:val="4AEB7664"/>
    <w:rsid w:val="4AF64A04"/>
    <w:rsid w:val="4AFD7C19"/>
    <w:rsid w:val="4B0567D1"/>
    <w:rsid w:val="4B0E61F2"/>
    <w:rsid w:val="4B133808"/>
    <w:rsid w:val="4B187071"/>
    <w:rsid w:val="4B1A0C18"/>
    <w:rsid w:val="4B236AAE"/>
    <w:rsid w:val="4B490FD8"/>
    <w:rsid w:val="4B5856BF"/>
    <w:rsid w:val="4B5C51AF"/>
    <w:rsid w:val="4B707271"/>
    <w:rsid w:val="4B7324F9"/>
    <w:rsid w:val="4B7A3887"/>
    <w:rsid w:val="4B83273C"/>
    <w:rsid w:val="4B887D52"/>
    <w:rsid w:val="4B8A1D1C"/>
    <w:rsid w:val="4B9739F7"/>
    <w:rsid w:val="4BA3693A"/>
    <w:rsid w:val="4BA44460"/>
    <w:rsid w:val="4BB5666E"/>
    <w:rsid w:val="4BB83532"/>
    <w:rsid w:val="4BC93EC7"/>
    <w:rsid w:val="4BD27220"/>
    <w:rsid w:val="4BDE353F"/>
    <w:rsid w:val="4BE47CCA"/>
    <w:rsid w:val="4BE86A43"/>
    <w:rsid w:val="4BED5E07"/>
    <w:rsid w:val="4BEE2503"/>
    <w:rsid w:val="4BFC24EE"/>
    <w:rsid w:val="4BFC604B"/>
    <w:rsid w:val="4C066EC9"/>
    <w:rsid w:val="4C0A4C0B"/>
    <w:rsid w:val="4C245A30"/>
    <w:rsid w:val="4C2555A1"/>
    <w:rsid w:val="4C3752D5"/>
    <w:rsid w:val="4C5B0FC3"/>
    <w:rsid w:val="4C72455F"/>
    <w:rsid w:val="4C742085"/>
    <w:rsid w:val="4C83676C"/>
    <w:rsid w:val="4C910E89"/>
    <w:rsid w:val="4C9B1D07"/>
    <w:rsid w:val="4CA566E2"/>
    <w:rsid w:val="4CAF57B3"/>
    <w:rsid w:val="4CB6685F"/>
    <w:rsid w:val="4CC367FE"/>
    <w:rsid w:val="4CCF375F"/>
    <w:rsid w:val="4CDF7E46"/>
    <w:rsid w:val="4CE30FB8"/>
    <w:rsid w:val="4CFB27A6"/>
    <w:rsid w:val="4CFD207A"/>
    <w:rsid w:val="4D023B34"/>
    <w:rsid w:val="4D077F3C"/>
    <w:rsid w:val="4D0E24D9"/>
    <w:rsid w:val="4D123355"/>
    <w:rsid w:val="4D135D42"/>
    <w:rsid w:val="4D183358"/>
    <w:rsid w:val="4D2A3B31"/>
    <w:rsid w:val="4D2C6E03"/>
    <w:rsid w:val="4D3006A2"/>
    <w:rsid w:val="4D312C52"/>
    <w:rsid w:val="4D330192"/>
    <w:rsid w:val="4D3637DE"/>
    <w:rsid w:val="4D3D691B"/>
    <w:rsid w:val="4D587BF8"/>
    <w:rsid w:val="4D6D5452"/>
    <w:rsid w:val="4D722A68"/>
    <w:rsid w:val="4D8D78A2"/>
    <w:rsid w:val="4D8E7176"/>
    <w:rsid w:val="4D905305"/>
    <w:rsid w:val="4D950505"/>
    <w:rsid w:val="4D964A72"/>
    <w:rsid w:val="4D9C1254"/>
    <w:rsid w:val="4DB27309"/>
    <w:rsid w:val="4DBB3CB6"/>
    <w:rsid w:val="4DBC1F35"/>
    <w:rsid w:val="4DDC25D7"/>
    <w:rsid w:val="4DE1374A"/>
    <w:rsid w:val="4DE60D60"/>
    <w:rsid w:val="4DE71AE4"/>
    <w:rsid w:val="4DF12FC4"/>
    <w:rsid w:val="4DF27705"/>
    <w:rsid w:val="4DF30D30"/>
    <w:rsid w:val="4DF3347D"/>
    <w:rsid w:val="4DFF1E22"/>
    <w:rsid w:val="4E04568A"/>
    <w:rsid w:val="4E1E499E"/>
    <w:rsid w:val="4E21448E"/>
    <w:rsid w:val="4E255D2C"/>
    <w:rsid w:val="4E2B0E69"/>
    <w:rsid w:val="4E320449"/>
    <w:rsid w:val="4E437F61"/>
    <w:rsid w:val="4E45017D"/>
    <w:rsid w:val="4E661EA1"/>
    <w:rsid w:val="4E6A373F"/>
    <w:rsid w:val="4E710F72"/>
    <w:rsid w:val="4E793892"/>
    <w:rsid w:val="4E800872"/>
    <w:rsid w:val="4E8A5B90"/>
    <w:rsid w:val="4EA56E6D"/>
    <w:rsid w:val="4EA85D29"/>
    <w:rsid w:val="4EAA6232"/>
    <w:rsid w:val="4EB1136E"/>
    <w:rsid w:val="4EC569ED"/>
    <w:rsid w:val="4EC60411"/>
    <w:rsid w:val="4EC92B5C"/>
    <w:rsid w:val="4ED50EA1"/>
    <w:rsid w:val="4ED646CD"/>
    <w:rsid w:val="4EDC2039"/>
    <w:rsid w:val="4EE47996"/>
    <w:rsid w:val="4EEC050C"/>
    <w:rsid w:val="4F043B94"/>
    <w:rsid w:val="4F104EC3"/>
    <w:rsid w:val="4F165675"/>
    <w:rsid w:val="4F244236"/>
    <w:rsid w:val="4F2D7EFC"/>
    <w:rsid w:val="4F343D4D"/>
    <w:rsid w:val="4F363F69"/>
    <w:rsid w:val="4F3F510F"/>
    <w:rsid w:val="4F47354A"/>
    <w:rsid w:val="4F4E12B3"/>
    <w:rsid w:val="4F642884"/>
    <w:rsid w:val="4F691C49"/>
    <w:rsid w:val="4F74239C"/>
    <w:rsid w:val="4F754A92"/>
    <w:rsid w:val="4F7F146C"/>
    <w:rsid w:val="4F8B7E11"/>
    <w:rsid w:val="4F8E16AF"/>
    <w:rsid w:val="4F8E345D"/>
    <w:rsid w:val="4F911C54"/>
    <w:rsid w:val="4F952A3E"/>
    <w:rsid w:val="4FA72771"/>
    <w:rsid w:val="4FA90297"/>
    <w:rsid w:val="4FC275AB"/>
    <w:rsid w:val="4FC41575"/>
    <w:rsid w:val="4FC82E13"/>
    <w:rsid w:val="4FD03A76"/>
    <w:rsid w:val="4FDA2B47"/>
    <w:rsid w:val="4FDD6193"/>
    <w:rsid w:val="4FE319FB"/>
    <w:rsid w:val="4FE625E0"/>
    <w:rsid w:val="4FED287A"/>
    <w:rsid w:val="4FF0236A"/>
    <w:rsid w:val="4FFC486B"/>
    <w:rsid w:val="4FFE51AD"/>
    <w:rsid w:val="500100D3"/>
    <w:rsid w:val="50011E81"/>
    <w:rsid w:val="50055E16"/>
    <w:rsid w:val="5021480F"/>
    <w:rsid w:val="50252F29"/>
    <w:rsid w:val="502838B2"/>
    <w:rsid w:val="503B1837"/>
    <w:rsid w:val="50454464"/>
    <w:rsid w:val="50493828"/>
    <w:rsid w:val="50642410"/>
    <w:rsid w:val="506D39BB"/>
    <w:rsid w:val="506F328F"/>
    <w:rsid w:val="50724B2D"/>
    <w:rsid w:val="50746AF7"/>
    <w:rsid w:val="507765E7"/>
    <w:rsid w:val="50962ECB"/>
    <w:rsid w:val="50966A6E"/>
    <w:rsid w:val="5099655E"/>
    <w:rsid w:val="50A42E38"/>
    <w:rsid w:val="50A4577F"/>
    <w:rsid w:val="50B213CE"/>
    <w:rsid w:val="50B73D1F"/>
    <w:rsid w:val="50BB0282"/>
    <w:rsid w:val="50BD5BC9"/>
    <w:rsid w:val="50BE7D72"/>
    <w:rsid w:val="50C11EEE"/>
    <w:rsid w:val="50C23D07"/>
    <w:rsid w:val="50CC06E1"/>
    <w:rsid w:val="50D61AAB"/>
    <w:rsid w:val="50E1189C"/>
    <w:rsid w:val="50E83041"/>
    <w:rsid w:val="50E97CFC"/>
    <w:rsid w:val="50F25C6E"/>
    <w:rsid w:val="50F47C38"/>
    <w:rsid w:val="50FA4028"/>
    <w:rsid w:val="510A5B49"/>
    <w:rsid w:val="510D65B7"/>
    <w:rsid w:val="511157AB"/>
    <w:rsid w:val="51231542"/>
    <w:rsid w:val="51257D49"/>
    <w:rsid w:val="512E4EF8"/>
    <w:rsid w:val="51387B25"/>
    <w:rsid w:val="5142540C"/>
    <w:rsid w:val="5147420C"/>
    <w:rsid w:val="51556929"/>
    <w:rsid w:val="51600E2A"/>
    <w:rsid w:val="51625545"/>
    <w:rsid w:val="516923D4"/>
    <w:rsid w:val="51695F30"/>
    <w:rsid w:val="516F72BF"/>
    <w:rsid w:val="51824B2F"/>
    <w:rsid w:val="518832C8"/>
    <w:rsid w:val="51917235"/>
    <w:rsid w:val="519A07DF"/>
    <w:rsid w:val="519D3C50"/>
    <w:rsid w:val="519D5BDA"/>
    <w:rsid w:val="51A0432A"/>
    <w:rsid w:val="51A86090"/>
    <w:rsid w:val="51A90A23"/>
    <w:rsid w:val="51AC406F"/>
    <w:rsid w:val="51B7396D"/>
    <w:rsid w:val="51B80C66"/>
    <w:rsid w:val="51C27D36"/>
    <w:rsid w:val="51CD2963"/>
    <w:rsid w:val="51D27F79"/>
    <w:rsid w:val="51FA3520"/>
    <w:rsid w:val="51FF6894"/>
    <w:rsid w:val="5209326F"/>
    <w:rsid w:val="520B6FE7"/>
    <w:rsid w:val="522956BF"/>
    <w:rsid w:val="522E4CC3"/>
    <w:rsid w:val="52320A18"/>
    <w:rsid w:val="52326C6A"/>
    <w:rsid w:val="5244713B"/>
    <w:rsid w:val="52495D62"/>
    <w:rsid w:val="526037D7"/>
    <w:rsid w:val="52615633"/>
    <w:rsid w:val="52691F60"/>
    <w:rsid w:val="526D1A50"/>
    <w:rsid w:val="526F4DE4"/>
    <w:rsid w:val="528943B0"/>
    <w:rsid w:val="52952D55"/>
    <w:rsid w:val="52974D1F"/>
    <w:rsid w:val="52977FD4"/>
    <w:rsid w:val="52A25790"/>
    <w:rsid w:val="52A96B6F"/>
    <w:rsid w:val="52AF02BB"/>
    <w:rsid w:val="52B07B8F"/>
    <w:rsid w:val="52B45975"/>
    <w:rsid w:val="52C04276"/>
    <w:rsid w:val="52D7511B"/>
    <w:rsid w:val="52D94AA4"/>
    <w:rsid w:val="52EA3A62"/>
    <w:rsid w:val="52F201A7"/>
    <w:rsid w:val="52F50BB8"/>
    <w:rsid w:val="52FB3500"/>
    <w:rsid w:val="52FB705C"/>
    <w:rsid w:val="52FD5035"/>
    <w:rsid w:val="53072D70"/>
    <w:rsid w:val="53097272"/>
    <w:rsid w:val="530F6FAB"/>
    <w:rsid w:val="53195734"/>
    <w:rsid w:val="531B5950"/>
    <w:rsid w:val="532F31A9"/>
    <w:rsid w:val="53316F22"/>
    <w:rsid w:val="53544462"/>
    <w:rsid w:val="535A6478"/>
    <w:rsid w:val="5362532D"/>
    <w:rsid w:val="53672943"/>
    <w:rsid w:val="536A41E2"/>
    <w:rsid w:val="536F17F8"/>
    <w:rsid w:val="538E7ED0"/>
    <w:rsid w:val="5397158E"/>
    <w:rsid w:val="53986FA1"/>
    <w:rsid w:val="53A2397B"/>
    <w:rsid w:val="53C2401E"/>
    <w:rsid w:val="53C953AC"/>
    <w:rsid w:val="53DF697E"/>
    <w:rsid w:val="53E36C9A"/>
    <w:rsid w:val="53F02939"/>
    <w:rsid w:val="54013861"/>
    <w:rsid w:val="540C7047"/>
    <w:rsid w:val="540E2DBF"/>
    <w:rsid w:val="5415239F"/>
    <w:rsid w:val="541668E7"/>
    <w:rsid w:val="541A79B6"/>
    <w:rsid w:val="541E2CB6"/>
    <w:rsid w:val="541F6D7A"/>
    <w:rsid w:val="5422686A"/>
    <w:rsid w:val="543071D9"/>
    <w:rsid w:val="54414F42"/>
    <w:rsid w:val="544669FD"/>
    <w:rsid w:val="54487265"/>
    <w:rsid w:val="54493DF7"/>
    <w:rsid w:val="544D6070"/>
    <w:rsid w:val="54501629"/>
    <w:rsid w:val="545729B8"/>
    <w:rsid w:val="54605E1E"/>
    <w:rsid w:val="5463135D"/>
    <w:rsid w:val="5463310B"/>
    <w:rsid w:val="546926EB"/>
    <w:rsid w:val="546E7D01"/>
    <w:rsid w:val="547215A0"/>
    <w:rsid w:val="54770964"/>
    <w:rsid w:val="547D1CF3"/>
    <w:rsid w:val="54971006"/>
    <w:rsid w:val="549A4653"/>
    <w:rsid w:val="549C661D"/>
    <w:rsid w:val="54A51975"/>
    <w:rsid w:val="54A61249"/>
    <w:rsid w:val="54A86D6F"/>
    <w:rsid w:val="54B3506A"/>
    <w:rsid w:val="54B576DE"/>
    <w:rsid w:val="54C618EB"/>
    <w:rsid w:val="54C811C0"/>
    <w:rsid w:val="54CA0D16"/>
    <w:rsid w:val="54DD4057"/>
    <w:rsid w:val="54E7490F"/>
    <w:rsid w:val="54F93A6F"/>
    <w:rsid w:val="54FE72D7"/>
    <w:rsid w:val="550764A4"/>
    <w:rsid w:val="55085A60"/>
    <w:rsid w:val="550A7A2A"/>
    <w:rsid w:val="550B2BF6"/>
    <w:rsid w:val="551268DF"/>
    <w:rsid w:val="55214EB5"/>
    <w:rsid w:val="55314FB7"/>
    <w:rsid w:val="55364EFD"/>
    <w:rsid w:val="55366A71"/>
    <w:rsid w:val="553700F3"/>
    <w:rsid w:val="553C395C"/>
    <w:rsid w:val="553D1BAE"/>
    <w:rsid w:val="553E76D4"/>
    <w:rsid w:val="55456CB4"/>
    <w:rsid w:val="554F368F"/>
    <w:rsid w:val="555869E7"/>
    <w:rsid w:val="555B2034"/>
    <w:rsid w:val="555D4828"/>
    <w:rsid w:val="55674E7D"/>
    <w:rsid w:val="556E620B"/>
    <w:rsid w:val="557A4C8B"/>
    <w:rsid w:val="55805F3E"/>
    <w:rsid w:val="558931E1"/>
    <w:rsid w:val="55923347"/>
    <w:rsid w:val="55925180"/>
    <w:rsid w:val="55983B1B"/>
    <w:rsid w:val="559B68D4"/>
    <w:rsid w:val="55A8376B"/>
    <w:rsid w:val="55AA4F6D"/>
    <w:rsid w:val="55BE59B9"/>
    <w:rsid w:val="55C23E61"/>
    <w:rsid w:val="55D02A22"/>
    <w:rsid w:val="55DC29B6"/>
    <w:rsid w:val="55DD4241"/>
    <w:rsid w:val="55F36710"/>
    <w:rsid w:val="55F561A8"/>
    <w:rsid w:val="55FF6E63"/>
    <w:rsid w:val="56026953"/>
    <w:rsid w:val="560C77D2"/>
    <w:rsid w:val="56130B60"/>
    <w:rsid w:val="56170651"/>
    <w:rsid w:val="561843C9"/>
    <w:rsid w:val="561E4621"/>
    <w:rsid w:val="56293EE0"/>
    <w:rsid w:val="5637484F"/>
    <w:rsid w:val="564156CE"/>
    <w:rsid w:val="5641747C"/>
    <w:rsid w:val="564725B8"/>
    <w:rsid w:val="56586573"/>
    <w:rsid w:val="566158BA"/>
    <w:rsid w:val="56666EE2"/>
    <w:rsid w:val="566B6D1E"/>
    <w:rsid w:val="56707D61"/>
    <w:rsid w:val="567333AD"/>
    <w:rsid w:val="567A473C"/>
    <w:rsid w:val="56876E58"/>
    <w:rsid w:val="569357FD"/>
    <w:rsid w:val="56981066"/>
    <w:rsid w:val="56A65531"/>
    <w:rsid w:val="56AB0D99"/>
    <w:rsid w:val="56B934B6"/>
    <w:rsid w:val="56C63E25"/>
    <w:rsid w:val="56CB4F97"/>
    <w:rsid w:val="56E04EE6"/>
    <w:rsid w:val="56F3629C"/>
    <w:rsid w:val="56FA1A70"/>
    <w:rsid w:val="57032A2C"/>
    <w:rsid w:val="570F5219"/>
    <w:rsid w:val="57346FE0"/>
    <w:rsid w:val="573A3ECB"/>
    <w:rsid w:val="574D1E50"/>
    <w:rsid w:val="575B5873"/>
    <w:rsid w:val="575D12B5"/>
    <w:rsid w:val="57610A87"/>
    <w:rsid w:val="57671164"/>
    <w:rsid w:val="577B1140"/>
    <w:rsid w:val="577B7F21"/>
    <w:rsid w:val="577D2735"/>
    <w:rsid w:val="577F181B"/>
    <w:rsid w:val="57803FD4"/>
    <w:rsid w:val="57875362"/>
    <w:rsid w:val="57921984"/>
    <w:rsid w:val="579737F0"/>
    <w:rsid w:val="579B2BBB"/>
    <w:rsid w:val="579E08FE"/>
    <w:rsid w:val="57AB7B30"/>
    <w:rsid w:val="57AF48B9"/>
    <w:rsid w:val="57AF5251"/>
    <w:rsid w:val="57B26373"/>
    <w:rsid w:val="57B63F04"/>
    <w:rsid w:val="57CD20C2"/>
    <w:rsid w:val="57CE11E3"/>
    <w:rsid w:val="57D675AB"/>
    <w:rsid w:val="57D95FDD"/>
    <w:rsid w:val="57E24C8E"/>
    <w:rsid w:val="580249E9"/>
    <w:rsid w:val="5806097D"/>
    <w:rsid w:val="583354EA"/>
    <w:rsid w:val="584B45E2"/>
    <w:rsid w:val="58672482"/>
    <w:rsid w:val="58675193"/>
    <w:rsid w:val="58690F0C"/>
    <w:rsid w:val="587873A1"/>
    <w:rsid w:val="58831FCD"/>
    <w:rsid w:val="58917D2F"/>
    <w:rsid w:val="5894085C"/>
    <w:rsid w:val="589917F1"/>
    <w:rsid w:val="589A2E73"/>
    <w:rsid w:val="589E6E07"/>
    <w:rsid w:val="589F492D"/>
    <w:rsid w:val="58A14202"/>
    <w:rsid w:val="58A261CC"/>
    <w:rsid w:val="58AE4F0C"/>
    <w:rsid w:val="58B85899"/>
    <w:rsid w:val="58C223CA"/>
    <w:rsid w:val="58C63C68"/>
    <w:rsid w:val="58CA7BFC"/>
    <w:rsid w:val="58D740C7"/>
    <w:rsid w:val="58E32A6C"/>
    <w:rsid w:val="58E363A9"/>
    <w:rsid w:val="58E80082"/>
    <w:rsid w:val="58EE31BF"/>
    <w:rsid w:val="58F5454D"/>
    <w:rsid w:val="59091DA7"/>
    <w:rsid w:val="59253085"/>
    <w:rsid w:val="592D1F39"/>
    <w:rsid w:val="592F3F03"/>
    <w:rsid w:val="593432C8"/>
    <w:rsid w:val="59350DEE"/>
    <w:rsid w:val="59367040"/>
    <w:rsid w:val="593908DE"/>
    <w:rsid w:val="594C6863"/>
    <w:rsid w:val="59550675"/>
    <w:rsid w:val="59575208"/>
    <w:rsid w:val="595A2602"/>
    <w:rsid w:val="595E1678"/>
    <w:rsid w:val="59682F71"/>
    <w:rsid w:val="596D5BD4"/>
    <w:rsid w:val="597E3DD8"/>
    <w:rsid w:val="598A2EE8"/>
    <w:rsid w:val="59927FEE"/>
    <w:rsid w:val="59975605"/>
    <w:rsid w:val="59A87812"/>
    <w:rsid w:val="59BE5287"/>
    <w:rsid w:val="59CC1752"/>
    <w:rsid w:val="59D95C1D"/>
    <w:rsid w:val="59EA1BD8"/>
    <w:rsid w:val="59F20A8D"/>
    <w:rsid w:val="59F667CF"/>
    <w:rsid w:val="59F80043"/>
    <w:rsid w:val="5A09252F"/>
    <w:rsid w:val="5A0B2778"/>
    <w:rsid w:val="5A137E88"/>
    <w:rsid w:val="5A144EA7"/>
    <w:rsid w:val="5A250E62"/>
    <w:rsid w:val="5A252C10"/>
    <w:rsid w:val="5A2A7C7B"/>
    <w:rsid w:val="5A3B0686"/>
    <w:rsid w:val="5A3E2560"/>
    <w:rsid w:val="5A581238"/>
    <w:rsid w:val="5A5D3B6E"/>
    <w:rsid w:val="5A637A76"/>
    <w:rsid w:val="5A655703"/>
    <w:rsid w:val="5A6B0F6B"/>
    <w:rsid w:val="5A6D33BA"/>
    <w:rsid w:val="5A736072"/>
    <w:rsid w:val="5A792B1F"/>
    <w:rsid w:val="5A874767"/>
    <w:rsid w:val="5A8C2C8F"/>
    <w:rsid w:val="5AA85BE2"/>
    <w:rsid w:val="5AAB75B9"/>
    <w:rsid w:val="5AAD6F28"/>
    <w:rsid w:val="5ACB7C5C"/>
    <w:rsid w:val="5ACD5782"/>
    <w:rsid w:val="5AD54636"/>
    <w:rsid w:val="5AD63A24"/>
    <w:rsid w:val="5ADA7E9F"/>
    <w:rsid w:val="5AED7BD2"/>
    <w:rsid w:val="5AF30F60"/>
    <w:rsid w:val="5AF34ABD"/>
    <w:rsid w:val="5B0171D9"/>
    <w:rsid w:val="5B1E422F"/>
    <w:rsid w:val="5B21162A"/>
    <w:rsid w:val="5B242EC8"/>
    <w:rsid w:val="5B2E1A1D"/>
    <w:rsid w:val="5B2E3D47"/>
    <w:rsid w:val="5B3475AF"/>
    <w:rsid w:val="5B3C46B5"/>
    <w:rsid w:val="5B3D3F8A"/>
    <w:rsid w:val="5B4D241F"/>
    <w:rsid w:val="5B6634E0"/>
    <w:rsid w:val="5B6D486F"/>
    <w:rsid w:val="5B745BFD"/>
    <w:rsid w:val="5B843A1C"/>
    <w:rsid w:val="5B857E0A"/>
    <w:rsid w:val="5B873E3F"/>
    <w:rsid w:val="5B885B4D"/>
    <w:rsid w:val="5B9C3001"/>
    <w:rsid w:val="5BB71F8E"/>
    <w:rsid w:val="5BBA55DA"/>
    <w:rsid w:val="5BC16969"/>
    <w:rsid w:val="5BC85F49"/>
    <w:rsid w:val="5BCA1CC1"/>
    <w:rsid w:val="5BCE7A03"/>
    <w:rsid w:val="5BEA5669"/>
    <w:rsid w:val="5BF64864"/>
    <w:rsid w:val="5C02690E"/>
    <w:rsid w:val="5C0431CA"/>
    <w:rsid w:val="5C196DA7"/>
    <w:rsid w:val="5C1D6295"/>
    <w:rsid w:val="5C221AFD"/>
    <w:rsid w:val="5C2A048C"/>
    <w:rsid w:val="5C2F1700"/>
    <w:rsid w:val="5C3B496D"/>
    <w:rsid w:val="5C4A029C"/>
    <w:rsid w:val="5C4A4BB0"/>
    <w:rsid w:val="5C6043D4"/>
    <w:rsid w:val="5C621EFA"/>
    <w:rsid w:val="5C642116"/>
    <w:rsid w:val="5C6A0DAE"/>
    <w:rsid w:val="5C6C4B26"/>
    <w:rsid w:val="5C80234E"/>
    <w:rsid w:val="5C8A680C"/>
    <w:rsid w:val="5C8C51C9"/>
    <w:rsid w:val="5C930305"/>
    <w:rsid w:val="5C997D95"/>
    <w:rsid w:val="5CA22C3E"/>
    <w:rsid w:val="5CA97B29"/>
    <w:rsid w:val="5CAC586B"/>
    <w:rsid w:val="5CB564CD"/>
    <w:rsid w:val="5CB63FF4"/>
    <w:rsid w:val="5CC44962"/>
    <w:rsid w:val="5CC91F79"/>
    <w:rsid w:val="5CD050B5"/>
    <w:rsid w:val="5CD31049"/>
    <w:rsid w:val="5CDA4186"/>
    <w:rsid w:val="5CDF354A"/>
    <w:rsid w:val="5D0C4701"/>
    <w:rsid w:val="5D0F0395"/>
    <w:rsid w:val="5D221076"/>
    <w:rsid w:val="5D290C69"/>
    <w:rsid w:val="5D2B49E2"/>
    <w:rsid w:val="5D2B6790"/>
    <w:rsid w:val="5D2E44D2"/>
    <w:rsid w:val="5D35760E"/>
    <w:rsid w:val="5D397964"/>
    <w:rsid w:val="5D3C274B"/>
    <w:rsid w:val="5D3C6BEF"/>
    <w:rsid w:val="5D467A6D"/>
    <w:rsid w:val="5D5061F6"/>
    <w:rsid w:val="5D5A391C"/>
    <w:rsid w:val="5D5F10C0"/>
    <w:rsid w:val="5D804D2D"/>
    <w:rsid w:val="5D891B7B"/>
    <w:rsid w:val="5D9E1657"/>
    <w:rsid w:val="5DAB167E"/>
    <w:rsid w:val="5DAD38EE"/>
    <w:rsid w:val="5DB46785"/>
    <w:rsid w:val="5DB669A1"/>
    <w:rsid w:val="5DB91FED"/>
    <w:rsid w:val="5DD07337"/>
    <w:rsid w:val="5DDE7CA6"/>
    <w:rsid w:val="5DFC1EDA"/>
    <w:rsid w:val="5E006862"/>
    <w:rsid w:val="5E0207B9"/>
    <w:rsid w:val="5E0A45F7"/>
    <w:rsid w:val="5E0C65C1"/>
    <w:rsid w:val="5E0F7E5F"/>
    <w:rsid w:val="5E1834A1"/>
    <w:rsid w:val="5E261785"/>
    <w:rsid w:val="5E2F22B0"/>
    <w:rsid w:val="5E40270F"/>
    <w:rsid w:val="5E413D91"/>
    <w:rsid w:val="5E48511F"/>
    <w:rsid w:val="5E4A7017"/>
    <w:rsid w:val="5E5166CA"/>
    <w:rsid w:val="5E552BBA"/>
    <w:rsid w:val="5E5D0BCB"/>
    <w:rsid w:val="5E611C10"/>
    <w:rsid w:val="5E677C9B"/>
    <w:rsid w:val="5E7A0F3F"/>
    <w:rsid w:val="5E7D58C6"/>
    <w:rsid w:val="5E875C48"/>
    <w:rsid w:val="5E9071F2"/>
    <w:rsid w:val="5E987E55"/>
    <w:rsid w:val="5EA06D09"/>
    <w:rsid w:val="5EB34C8F"/>
    <w:rsid w:val="5EBD78BB"/>
    <w:rsid w:val="5EC56770"/>
    <w:rsid w:val="5EF534F9"/>
    <w:rsid w:val="5EF808F3"/>
    <w:rsid w:val="5EFC7377"/>
    <w:rsid w:val="5F045CF8"/>
    <w:rsid w:val="5F06174D"/>
    <w:rsid w:val="5F2711D9"/>
    <w:rsid w:val="5F294F51"/>
    <w:rsid w:val="5F2D2C93"/>
    <w:rsid w:val="5F37766E"/>
    <w:rsid w:val="5F385194"/>
    <w:rsid w:val="5F3A3602"/>
    <w:rsid w:val="5F45733B"/>
    <w:rsid w:val="5F6277C6"/>
    <w:rsid w:val="5F6D0B1D"/>
    <w:rsid w:val="5F7563E8"/>
    <w:rsid w:val="5F8A1207"/>
    <w:rsid w:val="5F8D0B82"/>
    <w:rsid w:val="5FA34D03"/>
    <w:rsid w:val="5FA36AB1"/>
    <w:rsid w:val="5FAD16DE"/>
    <w:rsid w:val="5FAD5B82"/>
    <w:rsid w:val="5FAE5456"/>
    <w:rsid w:val="5FB213EA"/>
    <w:rsid w:val="5FC85E1B"/>
    <w:rsid w:val="5FCA6734"/>
    <w:rsid w:val="5FCC5339"/>
    <w:rsid w:val="5FCF5AF8"/>
    <w:rsid w:val="5FD255E8"/>
    <w:rsid w:val="5FDE21DF"/>
    <w:rsid w:val="5FE34A5B"/>
    <w:rsid w:val="5FE64BF0"/>
    <w:rsid w:val="5FE84E0C"/>
    <w:rsid w:val="5FED484D"/>
    <w:rsid w:val="5FFE1E36"/>
    <w:rsid w:val="601479AF"/>
    <w:rsid w:val="601D2D07"/>
    <w:rsid w:val="60200102"/>
    <w:rsid w:val="6022031E"/>
    <w:rsid w:val="60232584"/>
    <w:rsid w:val="60237BF2"/>
    <w:rsid w:val="60261490"/>
    <w:rsid w:val="602A01BA"/>
    <w:rsid w:val="603911C4"/>
    <w:rsid w:val="603D5158"/>
    <w:rsid w:val="60457B68"/>
    <w:rsid w:val="604858AA"/>
    <w:rsid w:val="604E1113"/>
    <w:rsid w:val="605204D7"/>
    <w:rsid w:val="60567FC7"/>
    <w:rsid w:val="605707E6"/>
    <w:rsid w:val="6057789C"/>
    <w:rsid w:val="6071416B"/>
    <w:rsid w:val="607330CE"/>
    <w:rsid w:val="6074044E"/>
    <w:rsid w:val="607448F1"/>
    <w:rsid w:val="60825176"/>
    <w:rsid w:val="608F5287"/>
    <w:rsid w:val="609B00D0"/>
    <w:rsid w:val="609F2AC4"/>
    <w:rsid w:val="60AE1BB1"/>
    <w:rsid w:val="60B92304"/>
    <w:rsid w:val="60DB671F"/>
    <w:rsid w:val="60E94998"/>
    <w:rsid w:val="60F17CF0"/>
    <w:rsid w:val="60FA2EE8"/>
    <w:rsid w:val="61047A23"/>
    <w:rsid w:val="61054A27"/>
    <w:rsid w:val="610A52BC"/>
    <w:rsid w:val="610E2650"/>
    <w:rsid w:val="610F1F6A"/>
    <w:rsid w:val="611D2366"/>
    <w:rsid w:val="61421856"/>
    <w:rsid w:val="61483DB4"/>
    <w:rsid w:val="615227C4"/>
    <w:rsid w:val="615269E1"/>
    <w:rsid w:val="61534507"/>
    <w:rsid w:val="615362B5"/>
    <w:rsid w:val="615A6839"/>
    <w:rsid w:val="61654E3F"/>
    <w:rsid w:val="61686204"/>
    <w:rsid w:val="616E1341"/>
    <w:rsid w:val="61706E67"/>
    <w:rsid w:val="6182292A"/>
    <w:rsid w:val="619F7F92"/>
    <w:rsid w:val="61AB60F1"/>
    <w:rsid w:val="61BC20AC"/>
    <w:rsid w:val="61EB2991"/>
    <w:rsid w:val="61F47A98"/>
    <w:rsid w:val="61F94C26"/>
    <w:rsid w:val="62000E56"/>
    <w:rsid w:val="621C2B4B"/>
    <w:rsid w:val="62210161"/>
    <w:rsid w:val="622B7232"/>
    <w:rsid w:val="62322322"/>
    <w:rsid w:val="62353C0D"/>
    <w:rsid w:val="62397BA1"/>
    <w:rsid w:val="624F3E49"/>
    <w:rsid w:val="62632286"/>
    <w:rsid w:val="6267026A"/>
    <w:rsid w:val="627B3D15"/>
    <w:rsid w:val="62885958"/>
    <w:rsid w:val="628A03FC"/>
    <w:rsid w:val="62922E0D"/>
    <w:rsid w:val="62AA6755"/>
    <w:rsid w:val="62BB05B6"/>
    <w:rsid w:val="62DA4EE0"/>
    <w:rsid w:val="62E418BB"/>
    <w:rsid w:val="62E73159"/>
    <w:rsid w:val="62F12229"/>
    <w:rsid w:val="62F37D50"/>
    <w:rsid w:val="62F40B65"/>
    <w:rsid w:val="62FC2CFE"/>
    <w:rsid w:val="62FD0BCE"/>
    <w:rsid w:val="63024505"/>
    <w:rsid w:val="630930CF"/>
    <w:rsid w:val="630A6E47"/>
    <w:rsid w:val="630C7063"/>
    <w:rsid w:val="630F445E"/>
    <w:rsid w:val="631927AD"/>
    <w:rsid w:val="63212B0F"/>
    <w:rsid w:val="632717A7"/>
    <w:rsid w:val="632779F9"/>
    <w:rsid w:val="632E6FDA"/>
    <w:rsid w:val="63311DA0"/>
    <w:rsid w:val="63367C3C"/>
    <w:rsid w:val="63393340"/>
    <w:rsid w:val="633D721D"/>
    <w:rsid w:val="634265E1"/>
    <w:rsid w:val="634E4F86"/>
    <w:rsid w:val="635600A5"/>
    <w:rsid w:val="635B1DB5"/>
    <w:rsid w:val="635D341B"/>
    <w:rsid w:val="63611187"/>
    <w:rsid w:val="636522D0"/>
    <w:rsid w:val="63711FED"/>
    <w:rsid w:val="6384309D"/>
    <w:rsid w:val="63860BC4"/>
    <w:rsid w:val="63880DDC"/>
    <w:rsid w:val="638D750D"/>
    <w:rsid w:val="638E1826"/>
    <w:rsid w:val="63A1155A"/>
    <w:rsid w:val="63A2643C"/>
    <w:rsid w:val="63AB23D8"/>
    <w:rsid w:val="63AC6CC0"/>
    <w:rsid w:val="63AC7EFE"/>
    <w:rsid w:val="63B53257"/>
    <w:rsid w:val="63EB4ECB"/>
    <w:rsid w:val="63ED479F"/>
    <w:rsid w:val="63F20007"/>
    <w:rsid w:val="63F41FD1"/>
    <w:rsid w:val="63F975E8"/>
    <w:rsid w:val="64055776"/>
    <w:rsid w:val="64236413"/>
    <w:rsid w:val="64240056"/>
    <w:rsid w:val="642F3009"/>
    <w:rsid w:val="64300B2F"/>
    <w:rsid w:val="64341C13"/>
    <w:rsid w:val="64393E88"/>
    <w:rsid w:val="643E143A"/>
    <w:rsid w:val="644004A0"/>
    <w:rsid w:val="64432611"/>
    <w:rsid w:val="64491666"/>
    <w:rsid w:val="64630F05"/>
    <w:rsid w:val="64713622"/>
    <w:rsid w:val="64744EC0"/>
    <w:rsid w:val="647C3D75"/>
    <w:rsid w:val="648570CD"/>
    <w:rsid w:val="648B6EEF"/>
    <w:rsid w:val="64AB3850"/>
    <w:rsid w:val="64B654D9"/>
    <w:rsid w:val="64C158BF"/>
    <w:rsid w:val="64C73242"/>
    <w:rsid w:val="64C9520C"/>
    <w:rsid w:val="64CE2822"/>
    <w:rsid w:val="64CE2EAA"/>
    <w:rsid w:val="64FB2EEB"/>
    <w:rsid w:val="65075D34"/>
    <w:rsid w:val="65167D25"/>
    <w:rsid w:val="651B533C"/>
    <w:rsid w:val="651F307E"/>
    <w:rsid w:val="65242442"/>
    <w:rsid w:val="65363F24"/>
    <w:rsid w:val="653C3090"/>
    <w:rsid w:val="653D3F7B"/>
    <w:rsid w:val="65420B1A"/>
    <w:rsid w:val="65476131"/>
    <w:rsid w:val="65501489"/>
    <w:rsid w:val="65510D5D"/>
    <w:rsid w:val="65532D27"/>
    <w:rsid w:val="65534AD5"/>
    <w:rsid w:val="655645C6"/>
    <w:rsid w:val="655D7702"/>
    <w:rsid w:val="657333CA"/>
    <w:rsid w:val="65854376"/>
    <w:rsid w:val="658630FD"/>
    <w:rsid w:val="658767BE"/>
    <w:rsid w:val="65892531"/>
    <w:rsid w:val="658B0713"/>
    <w:rsid w:val="658D32AB"/>
    <w:rsid w:val="658E3D60"/>
    <w:rsid w:val="659550EE"/>
    <w:rsid w:val="65A92947"/>
    <w:rsid w:val="65AA43C0"/>
    <w:rsid w:val="65AB4911"/>
    <w:rsid w:val="65C94D98"/>
    <w:rsid w:val="65CE23AE"/>
    <w:rsid w:val="65D11E9E"/>
    <w:rsid w:val="65DF0A5F"/>
    <w:rsid w:val="65EB2F60"/>
    <w:rsid w:val="65EE47FE"/>
    <w:rsid w:val="65FE0EE5"/>
    <w:rsid w:val="66012783"/>
    <w:rsid w:val="660364FC"/>
    <w:rsid w:val="66100C18"/>
    <w:rsid w:val="66195831"/>
    <w:rsid w:val="66214BD4"/>
    <w:rsid w:val="662E75B1"/>
    <w:rsid w:val="66342C2E"/>
    <w:rsid w:val="66344907"/>
    <w:rsid w:val="663E784C"/>
    <w:rsid w:val="66417024"/>
    <w:rsid w:val="66482160"/>
    <w:rsid w:val="66486604"/>
    <w:rsid w:val="664D3C1B"/>
    <w:rsid w:val="665C3E5E"/>
    <w:rsid w:val="665F6024"/>
    <w:rsid w:val="666B5E4F"/>
    <w:rsid w:val="66756CCD"/>
    <w:rsid w:val="667A42E4"/>
    <w:rsid w:val="667B2536"/>
    <w:rsid w:val="668B029F"/>
    <w:rsid w:val="668B4A71"/>
    <w:rsid w:val="668B6A45"/>
    <w:rsid w:val="66952ECC"/>
    <w:rsid w:val="66955D3B"/>
    <w:rsid w:val="669C24AC"/>
    <w:rsid w:val="669C425A"/>
    <w:rsid w:val="66A03D4A"/>
    <w:rsid w:val="66A3383B"/>
    <w:rsid w:val="66AA4BC9"/>
    <w:rsid w:val="66DC6D4D"/>
    <w:rsid w:val="66E225B5"/>
    <w:rsid w:val="66F145A6"/>
    <w:rsid w:val="67141D0B"/>
    <w:rsid w:val="67191D4F"/>
    <w:rsid w:val="67281F92"/>
    <w:rsid w:val="672B6B02"/>
    <w:rsid w:val="672F3F24"/>
    <w:rsid w:val="672F50CE"/>
    <w:rsid w:val="67317098"/>
    <w:rsid w:val="673E055F"/>
    <w:rsid w:val="67515045"/>
    <w:rsid w:val="67551CE3"/>
    <w:rsid w:val="675D60DF"/>
    <w:rsid w:val="677156E7"/>
    <w:rsid w:val="6773145F"/>
    <w:rsid w:val="677D22DE"/>
    <w:rsid w:val="678371C8"/>
    <w:rsid w:val="6784366C"/>
    <w:rsid w:val="679413D5"/>
    <w:rsid w:val="679715F1"/>
    <w:rsid w:val="679A180F"/>
    <w:rsid w:val="67A22552"/>
    <w:rsid w:val="67A71109"/>
    <w:rsid w:val="67B04461"/>
    <w:rsid w:val="67B22DCC"/>
    <w:rsid w:val="67B56133"/>
    <w:rsid w:val="67B6759E"/>
    <w:rsid w:val="67BE71AA"/>
    <w:rsid w:val="67C73559"/>
    <w:rsid w:val="67C75D7F"/>
    <w:rsid w:val="67CC0B6F"/>
    <w:rsid w:val="67CE58E2"/>
    <w:rsid w:val="67D0240D"/>
    <w:rsid w:val="67D5211A"/>
    <w:rsid w:val="67D90273"/>
    <w:rsid w:val="67DE5875"/>
    <w:rsid w:val="67E34BC7"/>
    <w:rsid w:val="67E55852"/>
    <w:rsid w:val="67E76FA7"/>
    <w:rsid w:val="67EB1AB4"/>
    <w:rsid w:val="67EC1211"/>
    <w:rsid w:val="67FA1285"/>
    <w:rsid w:val="68103152"/>
    <w:rsid w:val="68297D70"/>
    <w:rsid w:val="682E35D8"/>
    <w:rsid w:val="683706DE"/>
    <w:rsid w:val="68376930"/>
    <w:rsid w:val="683C5CF5"/>
    <w:rsid w:val="68457410"/>
    <w:rsid w:val="684E5A28"/>
    <w:rsid w:val="68551F4F"/>
    <w:rsid w:val="685748DD"/>
    <w:rsid w:val="685C6397"/>
    <w:rsid w:val="68684D3C"/>
    <w:rsid w:val="68692862"/>
    <w:rsid w:val="687C10C9"/>
    <w:rsid w:val="68840C16"/>
    <w:rsid w:val="68866F70"/>
    <w:rsid w:val="68876EFB"/>
    <w:rsid w:val="68884654"/>
    <w:rsid w:val="688A2F04"/>
    <w:rsid w:val="689F444F"/>
    <w:rsid w:val="68A5389A"/>
    <w:rsid w:val="68B96DBB"/>
    <w:rsid w:val="68BC0BE4"/>
    <w:rsid w:val="68C1269E"/>
    <w:rsid w:val="68CA2805"/>
    <w:rsid w:val="68D07B85"/>
    <w:rsid w:val="68D66149"/>
    <w:rsid w:val="68D75A1D"/>
    <w:rsid w:val="68D979E8"/>
    <w:rsid w:val="68E65C61"/>
    <w:rsid w:val="68E937A3"/>
    <w:rsid w:val="68EB3277"/>
    <w:rsid w:val="68F24605"/>
    <w:rsid w:val="68F640F6"/>
    <w:rsid w:val="68F95994"/>
    <w:rsid w:val="69026F3E"/>
    <w:rsid w:val="69110F2F"/>
    <w:rsid w:val="691D5B26"/>
    <w:rsid w:val="69232A11"/>
    <w:rsid w:val="693E15D3"/>
    <w:rsid w:val="69456E2B"/>
    <w:rsid w:val="694F7CAA"/>
    <w:rsid w:val="69584DB0"/>
    <w:rsid w:val="69627681"/>
    <w:rsid w:val="696A0640"/>
    <w:rsid w:val="6977531D"/>
    <w:rsid w:val="698F00A6"/>
    <w:rsid w:val="6994390F"/>
    <w:rsid w:val="699833FF"/>
    <w:rsid w:val="69983D07"/>
    <w:rsid w:val="69992CD3"/>
    <w:rsid w:val="69995197"/>
    <w:rsid w:val="69A578CA"/>
    <w:rsid w:val="69BF6BDD"/>
    <w:rsid w:val="69CB37D4"/>
    <w:rsid w:val="69CC2BFF"/>
    <w:rsid w:val="69DD7064"/>
    <w:rsid w:val="69DF102E"/>
    <w:rsid w:val="69E14DA6"/>
    <w:rsid w:val="69E20B1E"/>
    <w:rsid w:val="69F60125"/>
    <w:rsid w:val="69FD55B8"/>
    <w:rsid w:val="69FF6FDA"/>
    <w:rsid w:val="6A010FA4"/>
    <w:rsid w:val="6A0501B7"/>
    <w:rsid w:val="6A0B1C62"/>
    <w:rsid w:val="6A1C4030"/>
    <w:rsid w:val="6A1F767C"/>
    <w:rsid w:val="6A2406C8"/>
    <w:rsid w:val="6A283551"/>
    <w:rsid w:val="6A3C6480"/>
    <w:rsid w:val="6A4D41E9"/>
    <w:rsid w:val="6A682DD1"/>
    <w:rsid w:val="6A6D03E7"/>
    <w:rsid w:val="6A7259FE"/>
    <w:rsid w:val="6A793230"/>
    <w:rsid w:val="6A837C0B"/>
    <w:rsid w:val="6A845731"/>
    <w:rsid w:val="6A8D0A8A"/>
    <w:rsid w:val="6A94006A"/>
    <w:rsid w:val="6A955B90"/>
    <w:rsid w:val="6A9C0CCD"/>
    <w:rsid w:val="6AB9187F"/>
    <w:rsid w:val="6ACB3360"/>
    <w:rsid w:val="6AD20B92"/>
    <w:rsid w:val="6AD93CCF"/>
    <w:rsid w:val="6ADE0BD1"/>
    <w:rsid w:val="6AE709BB"/>
    <w:rsid w:val="6AE82164"/>
    <w:rsid w:val="6AE96859"/>
    <w:rsid w:val="6AF10862"/>
    <w:rsid w:val="6B0D1BCA"/>
    <w:rsid w:val="6B147746"/>
    <w:rsid w:val="6B19056F"/>
    <w:rsid w:val="6B1B42E7"/>
    <w:rsid w:val="6B24787C"/>
    <w:rsid w:val="6B30073A"/>
    <w:rsid w:val="6B43739A"/>
    <w:rsid w:val="6B460C38"/>
    <w:rsid w:val="6B4C44A1"/>
    <w:rsid w:val="6B573233"/>
    <w:rsid w:val="6B5949F9"/>
    <w:rsid w:val="6B5B6274"/>
    <w:rsid w:val="6B5D66AE"/>
    <w:rsid w:val="6B67752D"/>
    <w:rsid w:val="6B8D6867"/>
    <w:rsid w:val="6B9320D0"/>
    <w:rsid w:val="6B935D53"/>
    <w:rsid w:val="6BB9765C"/>
    <w:rsid w:val="6BBD539F"/>
    <w:rsid w:val="6BC524A5"/>
    <w:rsid w:val="6BC56001"/>
    <w:rsid w:val="6BD91AAD"/>
    <w:rsid w:val="6BEA3CBA"/>
    <w:rsid w:val="6BF3491C"/>
    <w:rsid w:val="6C084362"/>
    <w:rsid w:val="6C103720"/>
    <w:rsid w:val="6C152AE5"/>
    <w:rsid w:val="6C196F71"/>
    <w:rsid w:val="6C226FCB"/>
    <w:rsid w:val="6C31226F"/>
    <w:rsid w:val="6C335661"/>
    <w:rsid w:val="6C3A69EF"/>
    <w:rsid w:val="6C411B2C"/>
    <w:rsid w:val="6C552F0B"/>
    <w:rsid w:val="6C64581A"/>
    <w:rsid w:val="6C8B2DA7"/>
    <w:rsid w:val="6C8C67B7"/>
    <w:rsid w:val="6C9A56E0"/>
    <w:rsid w:val="6C9D744C"/>
    <w:rsid w:val="6CA87DFD"/>
    <w:rsid w:val="6CB06CB1"/>
    <w:rsid w:val="6CC22541"/>
    <w:rsid w:val="6CC24780"/>
    <w:rsid w:val="6CC72BB6"/>
    <w:rsid w:val="6CD75FEC"/>
    <w:rsid w:val="6CDE737B"/>
    <w:rsid w:val="6CE4695B"/>
    <w:rsid w:val="6CEF0BB5"/>
    <w:rsid w:val="6D056FFD"/>
    <w:rsid w:val="6D0D7C60"/>
    <w:rsid w:val="6D167928"/>
    <w:rsid w:val="6D1F7993"/>
    <w:rsid w:val="6D21370B"/>
    <w:rsid w:val="6D26299B"/>
    <w:rsid w:val="6D266F73"/>
    <w:rsid w:val="6D2B26D1"/>
    <w:rsid w:val="6D4772EC"/>
    <w:rsid w:val="6D521B17"/>
    <w:rsid w:val="6D5B6DAA"/>
    <w:rsid w:val="6D6B4986"/>
    <w:rsid w:val="6D700DE2"/>
    <w:rsid w:val="6D7952F5"/>
    <w:rsid w:val="6D797B10"/>
    <w:rsid w:val="6D7B72BF"/>
    <w:rsid w:val="6D855A48"/>
    <w:rsid w:val="6D9078AF"/>
    <w:rsid w:val="6DA00AD4"/>
    <w:rsid w:val="6DAA3FEF"/>
    <w:rsid w:val="6DAC56CB"/>
    <w:rsid w:val="6DB14A8F"/>
    <w:rsid w:val="6DB63E53"/>
    <w:rsid w:val="6DC0172B"/>
    <w:rsid w:val="6DCA78FF"/>
    <w:rsid w:val="6DCB690C"/>
    <w:rsid w:val="6DD41A5B"/>
    <w:rsid w:val="6DD62748"/>
    <w:rsid w:val="6DE9247B"/>
    <w:rsid w:val="6DEF3809"/>
    <w:rsid w:val="6DEF55B7"/>
    <w:rsid w:val="6DF43C2E"/>
    <w:rsid w:val="6DF51CA3"/>
    <w:rsid w:val="6E0A23F1"/>
    <w:rsid w:val="6E105C5A"/>
    <w:rsid w:val="6E21673D"/>
    <w:rsid w:val="6E2214E9"/>
    <w:rsid w:val="6E290AC9"/>
    <w:rsid w:val="6E2F3C06"/>
    <w:rsid w:val="6E423939"/>
    <w:rsid w:val="6E4B4EE4"/>
    <w:rsid w:val="6E4E6782"/>
    <w:rsid w:val="6E557E91"/>
    <w:rsid w:val="6E587601"/>
    <w:rsid w:val="6E5B49FB"/>
    <w:rsid w:val="6E7D0E15"/>
    <w:rsid w:val="6E7D2BC3"/>
    <w:rsid w:val="6E8335BD"/>
    <w:rsid w:val="6E8977BA"/>
    <w:rsid w:val="6E8E12EF"/>
    <w:rsid w:val="6E906D9A"/>
    <w:rsid w:val="6E972936"/>
    <w:rsid w:val="6E9B505B"/>
    <w:rsid w:val="6EA840E4"/>
    <w:rsid w:val="6EB02F99"/>
    <w:rsid w:val="6ECA6234"/>
    <w:rsid w:val="6ECD58F9"/>
    <w:rsid w:val="6ED07197"/>
    <w:rsid w:val="6ED446C5"/>
    <w:rsid w:val="6ED70525"/>
    <w:rsid w:val="6EDF73DA"/>
    <w:rsid w:val="6EED7D49"/>
    <w:rsid w:val="6EEE3AC1"/>
    <w:rsid w:val="6EEF1D13"/>
    <w:rsid w:val="6EF47329"/>
    <w:rsid w:val="6EFC4430"/>
    <w:rsid w:val="6F0532E4"/>
    <w:rsid w:val="6F086931"/>
    <w:rsid w:val="6F1352D6"/>
    <w:rsid w:val="6F2474E3"/>
    <w:rsid w:val="6F2614AD"/>
    <w:rsid w:val="6F280D81"/>
    <w:rsid w:val="6F2A7D94"/>
    <w:rsid w:val="6F2E2059"/>
    <w:rsid w:val="6F3516F0"/>
    <w:rsid w:val="6F375468"/>
    <w:rsid w:val="6F3B6D06"/>
    <w:rsid w:val="6F467459"/>
    <w:rsid w:val="6F490CF7"/>
    <w:rsid w:val="6F5C0A2B"/>
    <w:rsid w:val="6F6D0E8A"/>
    <w:rsid w:val="6F743FC6"/>
    <w:rsid w:val="6F8331F1"/>
    <w:rsid w:val="6F9C351D"/>
    <w:rsid w:val="6FA128E1"/>
    <w:rsid w:val="6FA91941"/>
    <w:rsid w:val="6FAE1A09"/>
    <w:rsid w:val="6FBD596D"/>
    <w:rsid w:val="6FCD36D6"/>
    <w:rsid w:val="6FD74555"/>
    <w:rsid w:val="6FD75BF8"/>
    <w:rsid w:val="6FD809F9"/>
    <w:rsid w:val="6FDB4045"/>
    <w:rsid w:val="6FDE3B35"/>
    <w:rsid w:val="6FE70C3C"/>
    <w:rsid w:val="6FF43359"/>
    <w:rsid w:val="700A0487"/>
    <w:rsid w:val="700A492A"/>
    <w:rsid w:val="700A66D9"/>
    <w:rsid w:val="700D7F77"/>
    <w:rsid w:val="700F1F41"/>
    <w:rsid w:val="70147557"/>
    <w:rsid w:val="701557A9"/>
    <w:rsid w:val="70196E45"/>
    <w:rsid w:val="701D28B0"/>
    <w:rsid w:val="701D465E"/>
    <w:rsid w:val="701E2184"/>
    <w:rsid w:val="7020414E"/>
    <w:rsid w:val="70207CAA"/>
    <w:rsid w:val="702F613F"/>
    <w:rsid w:val="70313C65"/>
    <w:rsid w:val="7036571F"/>
    <w:rsid w:val="704020FA"/>
    <w:rsid w:val="704465A3"/>
    <w:rsid w:val="70457711"/>
    <w:rsid w:val="705C33D8"/>
    <w:rsid w:val="705F60D2"/>
    <w:rsid w:val="706109EE"/>
    <w:rsid w:val="707029DF"/>
    <w:rsid w:val="70741DA4"/>
    <w:rsid w:val="707723D0"/>
    <w:rsid w:val="707D50FC"/>
    <w:rsid w:val="70860455"/>
    <w:rsid w:val="70891CF3"/>
    <w:rsid w:val="70904E30"/>
    <w:rsid w:val="709D579F"/>
    <w:rsid w:val="70BB2848"/>
    <w:rsid w:val="70C90342"/>
    <w:rsid w:val="70C920F0"/>
    <w:rsid w:val="70CB230C"/>
    <w:rsid w:val="70CC398E"/>
    <w:rsid w:val="70CF34F5"/>
    <w:rsid w:val="70D32F6E"/>
    <w:rsid w:val="70E00B0E"/>
    <w:rsid w:val="70EB650A"/>
    <w:rsid w:val="70F3716D"/>
    <w:rsid w:val="70F5661B"/>
    <w:rsid w:val="70F57389"/>
    <w:rsid w:val="710D46D2"/>
    <w:rsid w:val="711A0B9D"/>
    <w:rsid w:val="71235CA4"/>
    <w:rsid w:val="71360107"/>
    <w:rsid w:val="713954C7"/>
    <w:rsid w:val="713B688E"/>
    <w:rsid w:val="714A1482"/>
    <w:rsid w:val="71551BD5"/>
    <w:rsid w:val="71566079"/>
    <w:rsid w:val="715C7408"/>
    <w:rsid w:val="71791D68"/>
    <w:rsid w:val="717B5AE0"/>
    <w:rsid w:val="71803FA0"/>
    <w:rsid w:val="718F50E7"/>
    <w:rsid w:val="71922E29"/>
    <w:rsid w:val="71950224"/>
    <w:rsid w:val="719C15B2"/>
    <w:rsid w:val="719C5A56"/>
    <w:rsid w:val="71A62431"/>
    <w:rsid w:val="71AF6E76"/>
    <w:rsid w:val="71C07997"/>
    <w:rsid w:val="71D43752"/>
    <w:rsid w:val="71E01DE7"/>
    <w:rsid w:val="71E82A49"/>
    <w:rsid w:val="71EA4A14"/>
    <w:rsid w:val="71EF3DD8"/>
    <w:rsid w:val="71F118FE"/>
    <w:rsid w:val="71F1796A"/>
    <w:rsid w:val="71F65166"/>
    <w:rsid w:val="71F72C8D"/>
    <w:rsid w:val="720C3444"/>
    <w:rsid w:val="720C6738"/>
    <w:rsid w:val="72154626"/>
    <w:rsid w:val="72233A82"/>
    <w:rsid w:val="72262B5D"/>
    <w:rsid w:val="72273572"/>
    <w:rsid w:val="72283FF7"/>
    <w:rsid w:val="722E7212"/>
    <w:rsid w:val="72361A07"/>
    <w:rsid w:val="723932A5"/>
    <w:rsid w:val="723A0474"/>
    <w:rsid w:val="723D0FE7"/>
    <w:rsid w:val="7249798C"/>
    <w:rsid w:val="72514A93"/>
    <w:rsid w:val="725923E4"/>
    <w:rsid w:val="725B76BF"/>
    <w:rsid w:val="72600832"/>
    <w:rsid w:val="726E2F4F"/>
    <w:rsid w:val="727147ED"/>
    <w:rsid w:val="727B1B10"/>
    <w:rsid w:val="727B38BE"/>
    <w:rsid w:val="727D13E4"/>
    <w:rsid w:val="72850298"/>
    <w:rsid w:val="72864BF7"/>
    <w:rsid w:val="728704B4"/>
    <w:rsid w:val="728C1627"/>
    <w:rsid w:val="729023FC"/>
    <w:rsid w:val="72A252EE"/>
    <w:rsid w:val="72A526E9"/>
    <w:rsid w:val="72BD7A32"/>
    <w:rsid w:val="72D26E7F"/>
    <w:rsid w:val="72DA6836"/>
    <w:rsid w:val="72E43211"/>
    <w:rsid w:val="72E74AAF"/>
    <w:rsid w:val="72F00843"/>
    <w:rsid w:val="72F773E8"/>
    <w:rsid w:val="72F83160"/>
    <w:rsid w:val="730218E9"/>
    <w:rsid w:val="73027B3B"/>
    <w:rsid w:val="73104006"/>
    <w:rsid w:val="73155AC0"/>
    <w:rsid w:val="731D16EF"/>
    <w:rsid w:val="731D6723"/>
    <w:rsid w:val="732609E1"/>
    <w:rsid w:val="732D18E8"/>
    <w:rsid w:val="734B7734"/>
    <w:rsid w:val="73506AF8"/>
    <w:rsid w:val="73593BFF"/>
    <w:rsid w:val="73612AB3"/>
    <w:rsid w:val="73682094"/>
    <w:rsid w:val="737722D7"/>
    <w:rsid w:val="737A1DC7"/>
    <w:rsid w:val="737A5923"/>
    <w:rsid w:val="73836ECE"/>
    <w:rsid w:val="73920EBF"/>
    <w:rsid w:val="73966C01"/>
    <w:rsid w:val="7399049F"/>
    <w:rsid w:val="739E1612"/>
    <w:rsid w:val="73A34E7A"/>
    <w:rsid w:val="73AA26AC"/>
    <w:rsid w:val="73C0646E"/>
    <w:rsid w:val="73CF5C6F"/>
    <w:rsid w:val="73D8658A"/>
    <w:rsid w:val="73F13E37"/>
    <w:rsid w:val="74035919"/>
    <w:rsid w:val="74075FB0"/>
    <w:rsid w:val="740A314B"/>
    <w:rsid w:val="74193F58"/>
    <w:rsid w:val="742064CB"/>
    <w:rsid w:val="742222F5"/>
    <w:rsid w:val="74404DBF"/>
    <w:rsid w:val="74416441"/>
    <w:rsid w:val="74476126"/>
    <w:rsid w:val="745B5755"/>
    <w:rsid w:val="745E5245"/>
    <w:rsid w:val="746D7236"/>
    <w:rsid w:val="74706664"/>
    <w:rsid w:val="7475660B"/>
    <w:rsid w:val="747F3682"/>
    <w:rsid w:val="74940C67"/>
    <w:rsid w:val="749C4185"/>
    <w:rsid w:val="74A62B9B"/>
    <w:rsid w:val="74BB61F3"/>
    <w:rsid w:val="74C0380A"/>
    <w:rsid w:val="74D13C69"/>
    <w:rsid w:val="74E4399C"/>
    <w:rsid w:val="74E514C2"/>
    <w:rsid w:val="74FA4F6E"/>
    <w:rsid w:val="750162FC"/>
    <w:rsid w:val="75067759"/>
    <w:rsid w:val="75157FF9"/>
    <w:rsid w:val="75295853"/>
    <w:rsid w:val="752E6DCD"/>
    <w:rsid w:val="7533222E"/>
    <w:rsid w:val="753A7A60"/>
    <w:rsid w:val="753C37D8"/>
    <w:rsid w:val="7544415F"/>
    <w:rsid w:val="7551380D"/>
    <w:rsid w:val="75600BE5"/>
    <w:rsid w:val="7564475C"/>
    <w:rsid w:val="75790588"/>
    <w:rsid w:val="757A4300"/>
    <w:rsid w:val="7583797F"/>
    <w:rsid w:val="759E1D9D"/>
    <w:rsid w:val="75A31161"/>
    <w:rsid w:val="75A849CA"/>
    <w:rsid w:val="75AD3D8E"/>
    <w:rsid w:val="75B50E95"/>
    <w:rsid w:val="75C80BC8"/>
    <w:rsid w:val="75D20F1D"/>
    <w:rsid w:val="75D9781B"/>
    <w:rsid w:val="75DA2C18"/>
    <w:rsid w:val="75DC28C5"/>
    <w:rsid w:val="75DE488F"/>
    <w:rsid w:val="75E17EDC"/>
    <w:rsid w:val="75E33C54"/>
    <w:rsid w:val="75F54412"/>
    <w:rsid w:val="760F2C9B"/>
    <w:rsid w:val="761A519B"/>
    <w:rsid w:val="761D08E0"/>
    <w:rsid w:val="76206C56"/>
    <w:rsid w:val="763224E5"/>
    <w:rsid w:val="76373F9F"/>
    <w:rsid w:val="76393874"/>
    <w:rsid w:val="764B35A7"/>
    <w:rsid w:val="764C63FC"/>
    <w:rsid w:val="765B5EE0"/>
    <w:rsid w:val="765D347C"/>
    <w:rsid w:val="766E5C13"/>
    <w:rsid w:val="766F7295"/>
    <w:rsid w:val="76826699"/>
    <w:rsid w:val="76BD6253"/>
    <w:rsid w:val="76C87133"/>
    <w:rsid w:val="76CD08D5"/>
    <w:rsid w:val="76CE66B2"/>
    <w:rsid w:val="76D812DE"/>
    <w:rsid w:val="76DB4B92"/>
    <w:rsid w:val="76DF08BF"/>
    <w:rsid w:val="76EA2DC0"/>
    <w:rsid w:val="76EE0B02"/>
    <w:rsid w:val="76F0487A"/>
    <w:rsid w:val="76F61765"/>
    <w:rsid w:val="76FC739A"/>
    <w:rsid w:val="77052AA4"/>
    <w:rsid w:val="770A5210"/>
    <w:rsid w:val="770E4D00"/>
    <w:rsid w:val="770E764D"/>
    <w:rsid w:val="77100FE4"/>
    <w:rsid w:val="77136511"/>
    <w:rsid w:val="771D4F43"/>
    <w:rsid w:val="771F0CBB"/>
    <w:rsid w:val="77340A39"/>
    <w:rsid w:val="77351FD0"/>
    <w:rsid w:val="77472422"/>
    <w:rsid w:val="77476464"/>
    <w:rsid w:val="77495D38"/>
    <w:rsid w:val="774A385E"/>
    <w:rsid w:val="775A6197"/>
    <w:rsid w:val="775C3CBE"/>
    <w:rsid w:val="776B5CAF"/>
    <w:rsid w:val="777F31F2"/>
    <w:rsid w:val="77843214"/>
    <w:rsid w:val="77844FC2"/>
    <w:rsid w:val="778E7BEF"/>
    <w:rsid w:val="77905715"/>
    <w:rsid w:val="779276DF"/>
    <w:rsid w:val="7794747D"/>
    <w:rsid w:val="77AC2431"/>
    <w:rsid w:val="77AD4519"/>
    <w:rsid w:val="77AF4370"/>
    <w:rsid w:val="77B92EBE"/>
    <w:rsid w:val="77BA6C36"/>
    <w:rsid w:val="77CD0717"/>
    <w:rsid w:val="77D1700D"/>
    <w:rsid w:val="77DC6BAC"/>
    <w:rsid w:val="77EC04CC"/>
    <w:rsid w:val="77F35CA4"/>
    <w:rsid w:val="77FE2FC7"/>
    <w:rsid w:val="780879A1"/>
    <w:rsid w:val="78112CFA"/>
    <w:rsid w:val="7820118F"/>
    <w:rsid w:val="78283BA0"/>
    <w:rsid w:val="78436C2C"/>
    <w:rsid w:val="784529A4"/>
    <w:rsid w:val="78485FF0"/>
    <w:rsid w:val="784D1858"/>
    <w:rsid w:val="78540E39"/>
    <w:rsid w:val="78574485"/>
    <w:rsid w:val="785C1A9B"/>
    <w:rsid w:val="78775729"/>
    <w:rsid w:val="788259A6"/>
    <w:rsid w:val="788716C6"/>
    <w:rsid w:val="78931961"/>
    <w:rsid w:val="78A27DF6"/>
    <w:rsid w:val="78A42DB0"/>
    <w:rsid w:val="78A656AB"/>
    <w:rsid w:val="78B2245C"/>
    <w:rsid w:val="78C57641"/>
    <w:rsid w:val="78C733B9"/>
    <w:rsid w:val="78DB6E64"/>
    <w:rsid w:val="78E172CC"/>
    <w:rsid w:val="78EA1D1F"/>
    <w:rsid w:val="78EA52F9"/>
    <w:rsid w:val="78EF6552"/>
    <w:rsid w:val="78FD502C"/>
    <w:rsid w:val="78FD6DDA"/>
    <w:rsid w:val="7904172F"/>
    <w:rsid w:val="790F7E27"/>
    <w:rsid w:val="791D56CF"/>
    <w:rsid w:val="792702FB"/>
    <w:rsid w:val="79297BCF"/>
    <w:rsid w:val="792A231A"/>
    <w:rsid w:val="792F0F5E"/>
    <w:rsid w:val="79316829"/>
    <w:rsid w:val="793B3DA7"/>
    <w:rsid w:val="793F3897"/>
    <w:rsid w:val="79425135"/>
    <w:rsid w:val="79426EE3"/>
    <w:rsid w:val="79440F0B"/>
    <w:rsid w:val="794819BB"/>
    <w:rsid w:val="794C7D62"/>
    <w:rsid w:val="79654980"/>
    <w:rsid w:val="796C5D0E"/>
    <w:rsid w:val="797D43BF"/>
    <w:rsid w:val="797E66A9"/>
    <w:rsid w:val="798518A4"/>
    <w:rsid w:val="79907C4E"/>
    <w:rsid w:val="7997722F"/>
    <w:rsid w:val="79A61220"/>
    <w:rsid w:val="79A97383"/>
    <w:rsid w:val="79AB6836"/>
    <w:rsid w:val="79B26829"/>
    <w:rsid w:val="79C16FDE"/>
    <w:rsid w:val="79C773E8"/>
    <w:rsid w:val="79D57D57"/>
    <w:rsid w:val="79DC2E94"/>
    <w:rsid w:val="79DE680B"/>
    <w:rsid w:val="79E27E8B"/>
    <w:rsid w:val="79E81839"/>
    <w:rsid w:val="79EA1711"/>
    <w:rsid w:val="79EA1A55"/>
    <w:rsid w:val="79EA4A7D"/>
    <w:rsid w:val="79F301DD"/>
    <w:rsid w:val="79F850CE"/>
    <w:rsid w:val="79FD443C"/>
    <w:rsid w:val="7A066163"/>
    <w:rsid w:val="7A146AD1"/>
    <w:rsid w:val="7A162166"/>
    <w:rsid w:val="7A1D1975"/>
    <w:rsid w:val="7A1E3999"/>
    <w:rsid w:val="7A2465E9"/>
    <w:rsid w:val="7A28432B"/>
    <w:rsid w:val="7A2F7467"/>
    <w:rsid w:val="7A3E5150"/>
    <w:rsid w:val="7A3E5CDE"/>
    <w:rsid w:val="7A4670D6"/>
    <w:rsid w:val="7A49604F"/>
    <w:rsid w:val="7A534B63"/>
    <w:rsid w:val="7A615382"/>
    <w:rsid w:val="7A635363"/>
    <w:rsid w:val="7A67303B"/>
    <w:rsid w:val="7A6D4434"/>
    <w:rsid w:val="7A796935"/>
    <w:rsid w:val="7A805F15"/>
    <w:rsid w:val="7A85177D"/>
    <w:rsid w:val="7A8552D9"/>
    <w:rsid w:val="7A97325F"/>
    <w:rsid w:val="7A9E45ED"/>
    <w:rsid w:val="7AAB1D04"/>
    <w:rsid w:val="7AAF05A8"/>
    <w:rsid w:val="7AB43E11"/>
    <w:rsid w:val="7AB636E5"/>
    <w:rsid w:val="7ABA4368"/>
    <w:rsid w:val="7ABE4C8F"/>
    <w:rsid w:val="7AC878BC"/>
    <w:rsid w:val="7ACA7190"/>
    <w:rsid w:val="7AD05746"/>
    <w:rsid w:val="7ADB6ED8"/>
    <w:rsid w:val="7ADC6EC3"/>
    <w:rsid w:val="7AF91823"/>
    <w:rsid w:val="7AFB559C"/>
    <w:rsid w:val="7B073F40"/>
    <w:rsid w:val="7B1B79EC"/>
    <w:rsid w:val="7B2368A0"/>
    <w:rsid w:val="7B252618"/>
    <w:rsid w:val="7B257FFD"/>
    <w:rsid w:val="7B343476"/>
    <w:rsid w:val="7B364826"/>
    <w:rsid w:val="7B3E36DA"/>
    <w:rsid w:val="7B5A2978"/>
    <w:rsid w:val="7B5A7E4C"/>
    <w:rsid w:val="7B667AF9"/>
    <w:rsid w:val="7B6A2721"/>
    <w:rsid w:val="7B6E2211"/>
    <w:rsid w:val="7B714A7F"/>
    <w:rsid w:val="7B737828"/>
    <w:rsid w:val="7B7468F8"/>
    <w:rsid w:val="7B7610C6"/>
    <w:rsid w:val="7B783090"/>
    <w:rsid w:val="7B8437E3"/>
    <w:rsid w:val="7B890DF9"/>
    <w:rsid w:val="7B917CAE"/>
    <w:rsid w:val="7B95779E"/>
    <w:rsid w:val="7BAD0F8C"/>
    <w:rsid w:val="7BAE260E"/>
    <w:rsid w:val="7BB045D8"/>
    <w:rsid w:val="7BBD0AA3"/>
    <w:rsid w:val="7BBD6CF5"/>
    <w:rsid w:val="7BC938EC"/>
    <w:rsid w:val="7BCB31C0"/>
    <w:rsid w:val="7BDB7E29"/>
    <w:rsid w:val="7BEE0103"/>
    <w:rsid w:val="7BEE3352"/>
    <w:rsid w:val="7BFD13FC"/>
    <w:rsid w:val="7BFF730D"/>
    <w:rsid w:val="7C0A0FE4"/>
    <w:rsid w:val="7C124E50"/>
    <w:rsid w:val="7C211032"/>
    <w:rsid w:val="7C254906"/>
    <w:rsid w:val="7C262AEC"/>
    <w:rsid w:val="7C26489A"/>
    <w:rsid w:val="7C2F7BF3"/>
    <w:rsid w:val="7C324FED"/>
    <w:rsid w:val="7C52743D"/>
    <w:rsid w:val="7C590818"/>
    <w:rsid w:val="7C5A2796"/>
    <w:rsid w:val="7C6D24C9"/>
    <w:rsid w:val="7C765821"/>
    <w:rsid w:val="7C7C10F6"/>
    <w:rsid w:val="7C853BEA"/>
    <w:rsid w:val="7C881368"/>
    <w:rsid w:val="7C8B294F"/>
    <w:rsid w:val="7C907F65"/>
    <w:rsid w:val="7C961A20"/>
    <w:rsid w:val="7C9B7036"/>
    <w:rsid w:val="7CAB2FF1"/>
    <w:rsid w:val="7CAD6D69"/>
    <w:rsid w:val="7CB74812"/>
    <w:rsid w:val="7CC3658D"/>
    <w:rsid w:val="7CE27788"/>
    <w:rsid w:val="7CE56503"/>
    <w:rsid w:val="7CEA7721"/>
    <w:rsid w:val="7CF14EA8"/>
    <w:rsid w:val="7CFB5D27"/>
    <w:rsid w:val="7D0B583E"/>
    <w:rsid w:val="7D0C32F1"/>
    <w:rsid w:val="7D0F408D"/>
    <w:rsid w:val="7D344D95"/>
    <w:rsid w:val="7D3B627A"/>
    <w:rsid w:val="7D3E3E65"/>
    <w:rsid w:val="7D423956"/>
    <w:rsid w:val="7D4274B2"/>
    <w:rsid w:val="7D491C6C"/>
    <w:rsid w:val="7D537911"/>
    <w:rsid w:val="7D5429C0"/>
    <w:rsid w:val="7D670130"/>
    <w:rsid w:val="7D6E6D43"/>
    <w:rsid w:val="7D6F1533"/>
    <w:rsid w:val="7D722672"/>
    <w:rsid w:val="7D80447E"/>
    <w:rsid w:val="7D8E6B9B"/>
    <w:rsid w:val="7D935F5F"/>
    <w:rsid w:val="7D9615AC"/>
    <w:rsid w:val="7D9A5540"/>
    <w:rsid w:val="7DA0242A"/>
    <w:rsid w:val="7DA22646"/>
    <w:rsid w:val="7DA912DF"/>
    <w:rsid w:val="7DB163E5"/>
    <w:rsid w:val="7DB57A34"/>
    <w:rsid w:val="7DBD2FDC"/>
    <w:rsid w:val="7DC12ACC"/>
    <w:rsid w:val="7DC223A1"/>
    <w:rsid w:val="7DC4436B"/>
    <w:rsid w:val="7DE14F1D"/>
    <w:rsid w:val="7DE60973"/>
    <w:rsid w:val="7DEF0916"/>
    <w:rsid w:val="7DFD5ACF"/>
    <w:rsid w:val="7E026C41"/>
    <w:rsid w:val="7E064983"/>
    <w:rsid w:val="7E094473"/>
    <w:rsid w:val="7E1E5218"/>
    <w:rsid w:val="7E464D80"/>
    <w:rsid w:val="7E576F8D"/>
    <w:rsid w:val="7E617E0B"/>
    <w:rsid w:val="7E8F2BCB"/>
    <w:rsid w:val="7E97382D"/>
    <w:rsid w:val="7E9A4E1F"/>
    <w:rsid w:val="7EA63A70"/>
    <w:rsid w:val="7EA7723A"/>
    <w:rsid w:val="7EB02B41"/>
    <w:rsid w:val="7EB937A4"/>
    <w:rsid w:val="7EBB576E"/>
    <w:rsid w:val="7ED20D09"/>
    <w:rsid w:val="7EE60311"/>
    <w:rsid w:val="7EED169F"/>
    <w:rsid w:val="7EED5B43"/>
    <w:rsid w:val="7EF42A2E"/>
    <w:rsid w:val="7EF50554"/>
    <w:rsid w:val="7EF56FBB"/>
    <w:rsid w:val="7EF649F8"/>
    <w:rsid w:val="7F005876"/>
    <w:rsid w:val="7F0768EB"/>
    <w:rsid w:val="7F076C05"/>
    <w:rsid w:val="7F0C421B"/>
    <w:rsid w:val="7F143BEC"/>
    <w:rsid w:val="7F231565"/>
    <w:rsid w:val="7F25708B"/>
    <w:rsid w:val="7F2839F3"/>
    <w:rsid w:val="7F3472CE"/>
    <w:rsid w:val="7F363046"/>
    <w:rsid w:val="7F385010"/>
    <w:rsid w:val="7F3D43D5"/>
    <w:rsid w:val="7F4320F7"/>
    <w:rsid w:val="7F4E3438"/>
    <w:rsid w:val="7F5B2AAD"/>
    <w:rsid w:val="7F6F47AA"/>
    <w:rsid w:val="7F715AF2"/>
    <w:rsid w:val="7F82628B"/>
    <w:rsid w:val="7F886E69"/>
    <w:rsid w:val="7F912972"/>
    <w:rsid w:val="7F947D6D"/>
    <w:rsid w:val="7FAE76E1"/>
    <w:rsid w:val="7FC22B2C"/>
    <w:rsid w:val="7FCC39AA"/>
    <w:rsid w:val="7FCC7507"/>
    <w:rsid w:val="7FD14B1D"/>
    <w:rsid w:val="7FDC1E3F"/>
    <w:rsid w:val="7FE17456"/>
    <w:rsid w:val="7FEE3921"/>
    <w:rsid w:val="7FF151BF"/>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82"/>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3"/>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3"/>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2"/>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6"/>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next w:val="4"/>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4">
    <w:name w:val="Body Text Indent"/>
    <w:basedOn w:val="1"/>
    <w:next w:val="5"/>
    <w:link w:val="264"/>
    <w:autoRedefine/>
    <w:qFormat/>
    <w:uiPriority w:val="0"/>
    <w:pPr>
      <w:spacing w:line="480" w:lineRule="exact"/>
      <w:ind w:firstLine="480" w:firstLineChars="200"/>
    </w:pPr>
    <w:rPr>
      <w:rFonts w:ascii="宋体" w:hAnsi="宋体"/>
      <w:sz w:val="24"/>
    </w:rPr>
  </w:style>
  <w:style w:type="paragraph" w:styleId="5">
    <w:name w:val="envelope return"/>
    <w:basedOn w:val="1"/>
    <w:autoRedefine/>
    <w:qFormat/>
    <w:uiPriority w:val="0"/>
    <w:pPr>
      <w:snapToGrid w:val="0"/>
    </w:pPr>
    <w:rPr>
      <w:rFonts w:ascii="Arial" w:hAnsi="Arial" w:cs="Arial"/>
      <w:sz w:val="24"/>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28"/>
    <w:autoRedefine/>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1"/>
    <w:autoRedefine/>
    <w:qFormat/>
    <w:uiPriority w:val="0"/>
    <w:pPr>
      <w:shd w:val="clear" w:color="auto" w:fill="000080"/>
    </w:pPr>
  </w:style>
  <w:style w:type="paragraph" w:styleId="21">
    <w:name w:val="annotation text"/>
    <w:basedOn w:val="1"/>
    <w:link w:val="343"/>
    <w:autoRedefine/>
    <w:qFormat/>
    <w:uiPriority w:val="99"/>
    <w:pPr>
      <w:jc w:val="left"/>
    </w:pPr>
  </w:style>
  <w:style w:type="paragraph" w:styleId="22">
    <w:name w:val="Salutation"/>
    <w:basedOn w:val="1"/>
    <w:next w:val="1"/>
    <w:link w:val="297"/>
    <w:autoRedefine/>
    <w:qFormat/>
    <w:uiPriority w:val="0"/>
    <w:rPr>
      <w:rFonts w:ascii="仿宋_GB2312" w:eastAsia="仿宋_GB2312"/>
      <w:sz w:val="28"/>
      <w:szCs w:val="20"/>
    </w:rPr>
  </w:style>
  <w:style w:type="paragraph" w:styleId="23">
    <w:name w:val="Body Text 3"/>
    <w:basedOn w:val="1"/>
    <w:link w:val="329"/>
    <w:autoRedefine/>
    <w:qFormat/>
    <w:uiPriority w:val="0"/>
    <w:pPr>
      <w:jc w:val="center"/>
    </w:pPr>
    <w:rPr>
      <w:szCs w:val="20"/>
    </w:rPr>
  </w:style>
  <w:style w:type="paragraph" w:styleId="24">
    <w:name w:val="List Bullet 3"/>
    <w:basedOn w:val="1"/>
    <w:autoRedefine/>
    <w:unhideWhenUsed/>
    <w:qFormat/>
    <w:uiPriority w:val="0"/>
    <w:pPr>
      <w:snapToGrid w:val="0"/>
      <w:spacing w:line="360" w:lineRule="auto"/>
      <w:ind w:left="360" w:right="238" w:hanging="360"/>
      <w:contextualSpacing/>
    </w:pPr>
    <w:rPr>
      <w:sz w:val="24"/>
    </w:rPr>
  </w:style>
  <w:style w:type="paragraph" w:styleId="25">
    <w:name w:val="Body Text"/>
    <w:basedOn w:val="1"/>
    <w:next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4"/>
    <w:autoRedefine/>
    <w:qFormat/>
    <w:uiPriority w:val="0"/>
    <w:rPr>
      <w:rFonts w:ascii="宋体" w:hAnsi="Courier New" w:cs="Arial"/>
      <w:snapToGrid w:val="0"/>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autoRedefine/>
    <w:qFormat/>
    <w:uiPriority w:val="0"/>
    <w:pPr>
      <w:ind w:left="2940" w:leftChars="1400"/>
    </w:pPr>
  </w:style>
  <w:style w:type="paragraph" w:styleId="36">
    <w:name w:val="Date"/>
    <w:basedOn w:val="1"/>
    <w:next w:val="1"/>
    <w:link w:val="180"/>
    <w:autoRedefine/>
    <w:qFormat/>
    <w:uiPriority w:val="0"/>
    <w:pPr>
      <w:ind w:left="100" w:leftChars="2500"/>
    </w:pPr>
    <w:rPr>
      <w:rFonts w:ascii="宋体"/>
      <w:sz w:val="24"/>
      <w:szCs w:val="21"/>
      <w:lang w:val="zh-CN"/>
    </w:rPr>
  </w:style>
  <w:style w:type="paragraph" w:styleId="37">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8">
    <w:name w:val="endnote text"/>
    <w:basedOn w:val="1"/>
    <w:link w:val="930"/>
    <w:autoRedefine/>
    <w:qFormat/>
    <w:uiPriority w:val="0"/>
    <w:rPr>
      <w:lang w:val="zh-CN"/>
    </w:rPr>
  </w:style>
  <w:style w:type="paragraph" w:styleId="39">
    <w:name w:val="Balloon Text"/>
    <w:basedOn w:val="1"/>
    <w:link w:val="187"/>
    <w:autoRedefine/>
    <w:qFormat/>
    <w:uiPriority w:val="0"/>
    <w:rPr>
      <w:sz w:val="18"/>
      <w:szCs w:val="18"/>
    </w:rPr>
  </w:style>
  <w:style w:type="paragraph" w:styleId="40">
    <w:name w:val="footer"/>
    <w:basedOn w:val="1"/>
    <w:link w:val="382"/>
    <w:autoRedefine/>
    <w:qFormat/>
    <w:uiPriority w:val="99"/>
    <w:pPr>
      <w:tabs>
        <w:tab w:val="center" w:pos="4153"/>
        <w:tab w:val="right" w:pos="8306"/>
      </w:tabs>
      <w:snapToGrid w:val="0"/>
      <w:jc w:val="left"/>
    </w:pPr>
    <w:rPr>
      <w:sz w:val="18"/>
      <w:szCs w:val="18"/>
    </w:rPr>
  </w:style>
  <w:style w:type="paragraph" w:styleId="41">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3"/>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4"/>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1"/>
    <w:autoRedefine/>
    <w:qFormat/>
    <w:uiPriority w:val="0"/>
    <w:pPr>
      <w:spacing w:after="120" w:line="480" w:lineRule="auto"/>
    </w:pPr>
  </w:style>
  <w:style w:type="paragraph" w:styleId="57">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1"/>
    <w:next w:val="21"/>
    <w:link w:val="95"/>
    <w:autoRedefine/>
    <w:qFormat/>
    <w:uiPriority w:val="0"/>
    <w:rPr>
      <w:b/>
      <w:bCs/>
    </w:rPr>
  </w:style>
  <w:style w:type="paragraph" w:styleId="61">
    <w:name w:val="Body Text First Indent"/>
    <w:basedOn w:val="25"/>
    <w:next w:val="1"/>
    <w:link w:val="320"/>
    <w:autoRedefine/>
    <w:qFormat/>
    <w:uiPriority w:val="0"/>
    <w:pPr>
      <w:ind w:firstLine="420"/>
    </w:pPr>
    <w:rPr>
      <w:rFonts w:hAnsi="Calibri" w:cs="Times New Roman"/>
      <w:snapToGrid/>
      <w:szCs w:val="20"/>
    </w:rPr>
  </w:style>
  <w:style w:type="paragraph" w:styleId="62">
    <w:name w:val="Body Text First Indent 2"/>
    <w:basedOn w:val="4"/>
    <w:next w:val="1"/>
    <w:link w:val="120"/>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表格文字"/>
    <w:basedOn w:val="1"/>
    <w:next w:val="3"/>
    <w:autoRedefine/>
    <w:qFormat/>
    <w:uiPriority w:val="0"/>
    <w:pPr>
      <w:adjustRightInd/>
      <w:ind w:firstLine="200" w:firstLineChars="200"/>
    </w:pPr>
    <w:rPr>
      <w:rFonts w:ascii="Arial" w:hAnsi="Arial"/>
      <w:spacing w:val="-5"/>
      <w:kern w:val="0"/>
      <w:sz w:val="24"/>
      <w:szCs w:val="20"/>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字符"/>
    <w:link w:val="60"/>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文本首行缩进 2 字符"/>
    <w:link w:val="62"/>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0"/>
    <w:autoRedefine/>
    <w:qFormat/>
    <w:uiPriority w:val="0"/>
    <w:rPr>
      <w:rFonts w:ascii="Arial" w:hAnsi="Arial" w:eastAsia="黑体" w:cs="Arial"/>
      <w:snapToGrid w:val="0"/>
      <w:kern w:val="0"/>
      <w:szCs w:val="21"/>
    </w:rPr>
  </w:style>
  <w:style w:type="character" w:customStyle="1" w:styleId="124">
    <w:name w:val="纯文本 字符1"/>
    <w:link w:val="33"/>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字符"/>
    <w:link w:val="47"/>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字符"/>
    <w:link w:val="10"/>
    <w:autoRedefine/>
    <w:qFormat/>
    <w:uiPriority w:val="0"/>
    <w:rPr>
      <w:rFonts w:ascii="Arial" w:hAnsi="Arial" w:eastAsia="黑体"/>
      <w:b/>
      <w:bCs/>
      <w:kern w:val="2"/>
      <w:sz w:val="24"/>
      <w:szCs w:val="24"/>
    </w:rPr>
  </w:style>
  <w:style w:type="character" w:customStyle="1" w:styleId="147">
    <w:name w:val="纯文本 Char_0"/>
    <w:link w:val="148"/>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2"/>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字符"/>
    <w:link w:val="36"/>
    <w:autoRedefine/>
    <w:qFormat/>
    <w:uiPriority w:val="0"/>
    <w:rPr>
      <w:rFonts w:ascii="宋体"/>
      <w:kern w:val="2"/>
      <w:sz w:val="24"/>
      <w:szCs w:val="21"/>
      <w:lang w:val="zh-CN"/>
    </w:rPr>
  </w:style>
  <w:style w:type="character" w:customStyle="1" w:styleId="181">
    <w:name w:val="标题 9 字符"/>
    <w:link w:val="13"/>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字符1"/>
    <w:link w:val="39"/>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字符2"/>
    <w:link w:val="3"/>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7"/>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字符"/>
    <w:link w:val="20"/>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0"/>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字符"/>
    <w:link w:val="30"/>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8"/>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字符"/>
    <w:link w:val="18"/>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字符1"/>
    <w:link w:val="4"/>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字符1"/>
    <w:link w:val="6"/>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字符"/>
    <w:link w:val="59"/>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字符"/>
    <w:link w:val="9"/>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字符"/>
    <w:link w:val="22"/>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字符"/>
    <w:link w:val="57"/>
    <w:autoRedefine/>
    <w:qFormat/>
    <w:uiPriority w:val="0"/>
    <w:rPr>
      <w:rFonts w:ascii="黑体" w:hAnsi="Courier New" w:eastAsia="黑体"/>
    </w:rPr>
  </w:style>
  <w:style w:type="character" w:customStyle="1" w:styleId="301">
    <w:name w:val="正文文本 2 字符1"/>
    <w:link w:val="56"/>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8"/>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字符"/>
    <w:link w:val="11"/>
    <w:autoRedefine/>
    <w:qFormat/>
    <w:uiPriority w:val="0"/>
    <w:rPr>
      <w:b/>
      <w:bCs/>
      <w:kern w:val="2"/>
      <w:sz w:val="24"/>
      <w:szCs w:val="24"/>
    </w:rPr>
  </w:style>
  <w:style w:type="character" w:customStyle="1" w:styleId="307">
    <w:name w:val="正文文本缩进 2 字符"/>
    <w:link w:val="37"/>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字符"/>
    <w:link w:val="50"/>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文本首行缩进 字符"/>
    <w:link w:val="61"/>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字符1"/>
    <w:link w:val="8"/>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字符"/>
    <w:link w:val="23"/>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字符1"/>
    <w:link w:val="21"/>
    <w:autoRedefine/>
    <w:qFormat/>
    <w:uiPriority w:val="99"/>
    <w:rPr>
      <w:kern w:val="2"/>
      <w:sz w:val="21"/>
      <w:szCs w:val="24"/>
    </w:rPr>
  </w:style>
  <w:style w:type="character" w:customStyle="1" w:styleId="344">
    <w:name w:val="签名 字符"/>
    <w:link w:val="42"/>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字符"/>
    <w:link w:val="12"/>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字符"/>
    <w:link w:val="53"/>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字符2"/>
    <w:link w:val="40"/>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字符2"/>
    <w:link w:val="41"/>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0"/>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3"/>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字符"/>
    <w:link w:val="25"/>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0"/>
    <w:autoRedefine/>
    <w:qFormat/>
    <w:uiPriority w:val="0"/>
    <w:rPr>
      <w:rFonts w:ascii="Arial" w:hAnsi="Arial" w:eastAsia="黑体" w:cs="Arial"/>
      <w:snapToGrid w:val="0"/>
      <w:kern w:val="0"/>
      <w:szCs w:val="21"/>
    </w:rPr>
  </w:style>
  <w:style w:type="character" w:customStyle="1" w:styleId="431">
    <w:name w:val="hui"/>
    <w:basedOn w:val="70"/>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10"/>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6"/>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7"/>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9"/>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7"/>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6"/>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8">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autoRedefine/>
    <w:qFormat/>
    <w:uiPriority w:val="0"/>
    <w:pPr>
      <w:adjustRightInd/>
      <w:ind w:firstLine="420" w:firstLineChars="200"/>
    </w:pPr>
    <w:rPr>
      <w:rFonts w:eastAsia="仿宋_GB2312"/>
      <w:sz w:val="28"/>
    </w:rPr>
  </w:style>
  <w:style w:type="paragraph" w:customStyle="1" w:styleId="520">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autoRedefine/>
    <w:qFormat/>
    <w:uiPriority w:val="0"/>
    <w:pPr>
      <w:adjustRightInd/>
      <w:ind w:firstLine="200" w:firstLineChars="200"/>
      <w:jc w:val="right"/>
    </w:pPr>
  </w:style>
  <w:style w:type="paragraph" w:customStyle="1" w:styleId="523">
    <w:name w:val="Char Char11 Char Char Char Char Char Char Char Char Char"/>
    <w:basedOn w:val="1"/>
    <w:autoRedefine/>
    <w:qFormat/>
    <w:uiPriority w:val="0"/>
    <w:pPr>
      <w:spacing w:line="360" w:lineRule="auto"/>
    </w:pPr>
    <w:rPr>
      <w:szCs w:val="20"/>
    </w:rPr>
  </w:style>
  <w:style w:type="paragraph" w:customStyle="1" w:styleId="524">
    <w:name w:val="正文1.25"/>
    <w:basedOn w:val="1"/>
    <w:autoRedefine/>
    <w:qFormat/>
    <w:uiPriority w:val="0"/>
    <w:pPr>
      <w:adjustRightInd/>
      <w:spacing w:line="300" w:lineRule="auto"/>
      <w:ind w:firstLine="480" w:firstLineChars="200"/>
    </w:pPr>
    <w:rPr>
      <w:sz w:val="24"/>
      <w:szCs w:val="20"/>
    </w:rPr>
  </w:style>
  <w:style w:type="paragraph" w:customStyle="1" w:styleId="525">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autoRedefine/>
    <w:qFormat/>
    <w:uiPriority w:val="6"/>
    <w:rPr>
      <w:rFonts w:ascii="仿宋_GB2312" w:eastAsia="仿宋_GB2312"/>
      <w:b/>
      <w:sz w:val="32"/>
      <w:szCs w:val="20"/>
    </w:rPr>
  </w:style>
  <w:style w:type="paragraph" w:customStyle="1" w:styleId="529">
    <w:name w:val="列出段落2"/>
    <w:basedOn w:val="1"/>
    <w:autoRedefine/>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autoRedefine/>
    <w:qFormat/>
    <w:uiPriority w:val="0"/>
    <w:rPr>
      <w:rFonts w:eastAsia="仿宋_GB2312"/>
      <w:sz w:val="28"/>
      <w:szCs w:val="20"/>
    </w:rPr>
  </w:style>
  <w:style w:type="paragraph" w:customStyle="1" w:styleId="531">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8"/>
    <w:autoRedefine/>
    <w:qFormat/>
    <w:uiPriority w:val="0"/>
    <w:pPr>
      <w:widowControl/>
      <w:jc w:val="left"/>
    </w:pPr>
    <w:rPr>
      <w:rFonts w:cs="宋体"/>
      <w:sz w:val="24"/>
      <w:szCs w:val="20"/>
    </w:rPr>
  </w:style>
  <w:style w:type="paragraph" w:customStyle="1" w:styleId="533">
    <w:name w:val="彩色列表 - 强调文字颜色 11"/>
    <w:basedOn w:val="1"/>
    <w:autoRedefine/>
    <w:qFormat/>
    <w:uiPriority w:val="0"/>
    <w:pPr>
      <w:adjustRightInd/>
      <w:ind w:firstLine="420" w:firstLineChars="200"/>
    </w:pPr>
    <w:rPr>
      <w:rFonts w:ascii="Calibri" w:hAnsi="Calibri"/>
      <w:szCs w:val="22"/>
    </w:rPr>
  </w:style>
  <w:style w:type="paragraph" w:customStyle="1" w:styleId="534">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autoRedefine/>
    <w:qFormat/>
    <w:uiPriority w:val="6"/>
    <w:rPr>
      <w:szCs w:val="20"/>
    </w:rPr>
  </w:style>
  <w:style w:type="paragraph" w:customStyle="1" w:styleId="538">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4"/>
    <w:next w:val="234"/>
    <w:autoRedefine/>
    <w:qFormat/>
    <w:uiPriority w:val="0"/>
    <w:pPr>
      <w:spacing w:after="68"/>
    </w:pPr>
    <w:rPr>
      <w:rFonts w:ascii="FHLHE E+ Futura Bk" w:eastAsia="FHLHE E+ Futura Bk" w:cs="Times New Roman"/>
      <w:color w:val="auto"/>
    </w:rPr>
  </w:style>
  <w:style w:type="paragraph" w:customStyle="1" w:styleId="544">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4"/>
    <w:next w:val="234"/>
    <w:autoRedefine/>
    <w:qFormat/>
    <w:uiPriority w:val="0"/>
    <w:rPr>
      <w:rFonts w:ascii="宋体" w:eastAsia="宋体" w:cs="Times New Roman"/>
      <w:color w:val="auto"/>
    </w:rPr>
  </w:style>
  <w:style w:type="paragraph" w:customStyle="1" w:styleId="548">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autoRedefine/>
    <w:qFormat/>
    <w:uiPriority w:val="0"/>
    <w:rPr>
      <w:rFonts w:ascii="仿宋_GB2312" w:eastAsia="仿宋_GB2312"/>
      <w:b/>
      <w:sz w:val="32"/>
      <w:szCs w:val="32"/>
    </w:rPr>
  </w:style>
  <w:style w:type="paragraph" w:customStyle="1" w:styleId="550">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autoRedefine/>
    <w:qFormat/>
    <w:uiPriority w:val="0"/>
    <w:pPr>
      <w:spacing w:line="360" w:lineRule="auto"/>
    </w:pPr>
    <w:rPr>
      <w:szCs w:val="20"/>
    </w:rPr>
  </w:style>
  <w:style w:type="paragraph" w:customStyle="1" w:styleId="553">
    <w:name w:val="Char"/>
    <w:basedOn w:val="1"/>
    <w:autoRedefine/>
    <w:qFormat/>
    <w:uiPriority w:val="0"/>
    <w:rPr>
      <w:rFonts w:ascii="仿宋_GB2312" w:eastAsia="仿宋_GB2312"/>
      <w:b/>
      <w:sz w:val="32"/>
      <w:szCs w:val="32"/>
    </w:rPr>
  </w:style>
  <w:style w:type="paragraph" w:customStyle="1" w:styleId="554">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autoRedefine/>
    <w:qFormat/>
    <w:uiPriority w:val="0"/>
    <w:rPr>
      <w:szCs w:val="20"/>
    </w:rPr>
  </w:style>
  <w:style w:type="paragraph" w:customStyle="1" w:styleId="557">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8">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0">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3"/>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autoRedefine/>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2">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3">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autoRedefine/>
    <w:qFormat/>
    <w:uiPriority w:val="0"/>
    <w:rPr>
      <w:szCs w:val="20"/>
    </w:rPr>
  </w:style>
  <w:style w:type="paragraph" w:customStyle="1" w:styleId="580">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autoRedefine/>
    <w:qFormat/>
    <w:uiPriority w:val="0"/>
    <w:rPr>
      <w:rFonts w:ascii="Tahoma" w:hAnsi="Tahoma"/>
      <w:sz w:val="24"/>
      <w:szCs w:val="20"/>
    </w:rPr>
  </w:style>
  <w:style w:type="paragraph" w:customStyle="1" w:styleId="582">
    <w:name w:val="标题五"/>
    <w:basedOn w:val="1"/>
    <w:autoRedefine/>
    <w:qFormat/>
    <w:uiPriority w:val="0"/>
    <w:pPr>
      <w:adjustRightInd/>
      <w:spacing w:before="156" w:beforeLines="50" w:line="360" w:lineRule="auto"/>
    </w:pPr>
    <w:rPr>
      <w:b/>
      <w:sz w:val="24"/>
    </w:rPr>
  </w:style>
  <w:style w:type="paragraph" w:customStyle="1" w:styleId="583">
    <w:name w:val="Char Char1101"/>
    <w:basedOn w:val="1"/>
    <w:autoRedefine/>
    <w:qFormat/>
    <w:uiPriority w:val="0"/>
    <w:pPr>
      <w:spacing w:line="360" w:lineRule="auto"/>
    </w:pPr>
    <w:rPr>
      <w:rFonts w:ascii="Tahoma" w:hAnsi="Tahoma"/>
      <w:sz w:val="24"/>
      <w:szCs w:val="20"/>
    </w:rPr>
  </w:style>
  <w:style w:type="paragraph" w:customStyle="1" w:styleId="584">
    <w:name w:val="Char Char Char Char Char Char Char Char1"/>
    <w:basedOn w:val="1"/>
    <w:autoRedefine/>
    <w:qFormat/>
    <w:uiPriority w:val="0"/>
    <w:pPr>
      <w:tabs>
        <w:tab w:val="left" w:pos="360"/>
      </w:tabs>
    </w:pPr>
    <w:rPr>
      <w:sz w:val="24"/>
      <w:szCs w:val="20"/>
    </w:rPr>
  </w:style>
  <w:style w:type="paragraph" w:customStyle="1" w:styleId="585">
    <w:name w:val="Char Char Char 字元 字元"/>
    <w:basedOn w:val="1"/>
    <w:autoRedefine/>
    <w:qFormat/>
    <w:uiPriority w:val="0"/>
    <w:pPr>
      <w:adjustRightInd/>
      <w:spacing w:line="360" w:lineRule="auto"/>
      <w:ind w:firstLine="200" w:firstLineChars="200"/>
    </w:pPr>
    <w:rPr>
      <w:szCs w:val="20"/>
    </w:rPr>
  </w:style>
  <w:style w:type="paragraph" w:customStyle="1" w:styleId="586">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autoRedefine/>
    <w:qFormat/>
    <w:uiPriority w:val="0"/>
    <w:rPr>
      <w:rFonts w:ascii="仿宋_GB2312" w:eastAsia="仿宋_GB2312"/>
      <w:b/>
      <w:sz w:val="32"/>
      <w:szCs w:val="32"/>
    </w:rPr>
  </w:style>
  <w:style w:type="paragraph" w:customStyle="1" w:styleId="588">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autoRedefine/>
    <w:qFormat/>
    <w:uiPriority w:val="0"/>
    <w:pPr>
      <w:adjustRightInd/>
    </w:pPr>
    <w:rPr>
      <w:sz w:val="18"/>
      <w:szCs w:val="20"/>
    </w:rPr>
  </w:style>
  <w:style w:type="paragraph" w:customStyle="1" w:styleId="593">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8">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autoRedefine/>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autoRedefine/>
    <w:qFormat/>
    <w:uiPriority w:val="0"/>
    <w:pPr>
      <w:snapToGrid w:val="0"/>
      <w:spacing w:line="360" w:lineRule="auto"/>
    </w:pPr>
    <w:rPr>
      <w:rFonts w:ascii="宋体"/>
      <w:b/>
      <w:sz w:val="24"/>
      <w:szCs w:val="20"/>
    </w:rPr>
  </w:style>
  <w:style w:type="paragraph" w:customStyle="1" w:styleId="603">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7"/>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autoRedefine/>
    <w:qFormat/>
    <w:uiPriority w:val="7"/>
    <w:pPr>
      <w:adjustRightInd/>
    </w:pPr>
    <w:rPr>
      <w:rFonts w:ascii="宋体" w:hAnsi="Courier New"/>
    </w:rPr>
  </w:style>
  <w:style w:type="paragraph" w:customStyle="1" w:styleId="606">
    <w:name w:val="Char3"/>
    <w:basedOn w:val="1"/>
    <w:autoRedefine/>
    <w:qFormat/>
    <w:uiPriority w:val="0"/>
    <w:pPr>
      <w:adjustRightInd/>
    </w:pPr>
    <w:rPr>
      <w:rFonts w:ascii="仿宋_GB2312" w:eastAsia="仿宋_GB2312"/>
      <w:b/>
      <w:sz w:val="32"/>
      <w:szCs w:val="32"/>
    </w:rPr>
  </w:style>
  <w:style w:type="paragraph" w:customStyle="1" w:styleId="60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7"/>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autoRedefine/>
    <w:qFormat/>
    <w:uiPriority w:val="0"/>
    <w:pPr>
      <w:widowControl/>
      <w:adjustRightInd/>
      <w:spacing w:after="160" w:line="240" w:lineRule="exact"/>
      <w:jc w:val="left"/>
    </w:pPr>
    <w:rPr>
      <w:szCs w:val="20"/>
    </w:rPr>
  </w:style>
  <w:style w:type="paragraph" w:customStyle="1" w:styleId="615">
    <w:name w:val="表格标题2"/>
    <w:basedOn w:val="616"/>
    <w:autoRedefine/>
    <w:qFormat/>
    <w:uiPriority w:val="0"/>
    <w:rPr>
      <w:b/>
    </w:rPr>
  </w:style>
  <w:style w:type="paragraph" w:customStyle="1" w:styleId="616">
    <w:name w:val="表格内文"/>
    <w:basedOn w:val="1"/>
    <w:autoRedefine/>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autoRedefine/>
    <w:qFormat/>
    <w:uiPriority w:val="0"/>
    <w:rPr>
      <w:rFonts w:ascii="仿宋_GB2312" w:eastAsia="仿宋_GB2312"/>
      <w:b/>
      <w:sz w:val="32"/>
      <w:szCs w:val="32"/>
    </w:rPr>
  </w:style>
  <w:style w:type="paragraph" w:customStyle="1" w:styleId="618">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autoRedefine/>
    <w:qFormat/>
    <w:uiPriority w:val="0"/>
    <w:pPr>
      <w:spacing w:line="360" w:lineRule="auto"/>
    </w:pPr>
    <w:rPr>
      <w:szCs w:val="20"/>
    </w:rPr>
  </w:style>
  <w:style w:type="paragraph" w:customStyle="1" w:styleId="621">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3">
    <w:name w:val="MM Topic 1"/>
    <w:basedOn w:val="6"/>
    <w:autoRedefine/>
    <w:qFormat/>
    <w:uiPriority w:val="0"/>
    <w:pPr>
      <w:tabs>
        <w:tab w:val="left" w:pos="840"/>
      </w:tabs>
      <w:adjustRightInd/>
      <w:ind w:left="840" w:hanging="420"/>
    </w:pPr>
  </w:style>
  <w:style w:type="paragraph" w:customStyle="1" w:styleId="624">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autoRedefine/>
    <w:qFormat/>
    <w:uiPriority w:val="0"/>
    <w:pPr>
      <w:spacing w:line="360" w:lineRule="auto"/>
      <w:ind w:firstLine="200" w:firstLineChars="200"/>
    </w:pPr>
    <w:rPr>
      <w:kern w:val="0"/>
      <w:sz w:val="24"/>
      <w:szCs w:val="20"/>
    </w:rPr>
  </w:style>
  <w:style w:type="paragraph" w:customStyle="1" w:styleId="626">
    <w:name w:val="表格"/>
    <w:basedOn w:val="1"/>
    <w:autoRedefine/>
    <w:qFormat/>
    <w:uiPriority w:val="0"/>
    <w:pPr>
      <w:snapToGrid w:val="0"/>
      <w:ind w:firstLine="42" w:firstLineChars="21"/>
    </w:pPr>
    <w:rPr>
      <w:rFonts w:ascii="宋体" w:hAnsi="宋体"/>
      <w:kern w:val="0"/>
      <w:sz w:val="20"/>
      <w:szCs w:val="20"/>
    </w:rPr>
  </w:style>
  <w:style w:type="paragraph" w:customStyle="1" w:styleId="627">
    <w:name w:val="标书标题4"/>
    <w:basedOn w:val="8"/>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autoRedefine/>
    <w:qFormat/>
    <w:uiPriority w:val="0"/>
    <w:pPr>
      <w:adjustRightInd/>
      <w:spacing w:line="300" w:lineRule="auto"/>
      <w:jc w:val="center"/>
    </w:pPr>
  </w:style>
  <w:style w:type="paragraph" w:customStyle="1" w:styleId="632">
    <w:name w:val="_Style 6"/>
    <w:basedOn w:val="1"/>
    <w:autoRedefine/>
    <w:qFormat/>
    <w:uiPriority w:val="34"/>
    <w:pPr>
      <w:adjustRightInd/>
      <w:ind w:firstLine="420" w:firstLineChars="200"/>
    </w:pPr>
    <w:rPr>
      <w:rFonts w:eastAsia="仿宋_GB2312"/>
      <w:sz w:val="28"/>
    </w:rPr>
  </w:style>
  <w:style w:type="paragraph" w:customStyle="1" w:styleId="633">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autoRedefine/>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autoRedefine/>
    <w:qFormat/>
    <w:uiPriority w:val="0"/>
    <w:rPr>
      <w:rFonts w:ascii="仿宋_GB2312" w:eastAsia="仿宋_GB2312"/>
      <w:b/>
      <w:sz w:val="32"/>
      <w:szCs w:val="20"/>
    </w:rPr>
  </w:style>
  <w:style w:type="paragraph" w:customStyle="1" w:styleId="643">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autoRedefine/>
    <w:qFormat/>
    <w:uiPriority w:val="0"/>
    <w:pPr>
      <w:adjustRightInd/>
      <w:ind w:firstLine="200" w:firstLineChars="200"/>
    </w:pPr>
    <w:rPr>
      <w:rFonts w:ascii="Tahoma" w:hAnsi="Tahoma"/>
      <w:sz w:val="24"/>
      <w:szCs w:val="20"/>
    </w:rPr>
  </w:style>
  <w:style w:type="paragraph" w:customStyle="1" w:styleId="645">
    <w:name w:val="a1"/>
    <w:basedOn w:val="1"/>
    <w:autoRedefine/>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autoRedefine/>
    <w:qFormat/>
    <w:uiPriority w:val="0"/>
    <w:pPr>
      <w:spacing w:after="156" w:afterLines="50"/>
      <w:jc w:val="left"/>
      <w:outlineLvl w:val="3"/>
    </w:pPr>
    <w:rPr>
      <w:sz w:val="24"/>
      <w:szCs w:val="24"/>
    </w:rPr>
  </w:style>
  <w:style w:type="paragraph" w:customStyle="1" w:styleId="647">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autoRedefine/>
    <w:qFormat/>
    <w:uiPriority w:val="0"/>
    <w:pPr>
      <w:adjustRightInd/>
    </w:pPr>
    <w:rPr>
      <w:rFonts w:ascii="Tahoma" w:hAnsi="Tahoma"/>
      <w:sz w:val="24"/>
      <w:szCs w:val="20"/>
    </w:rPr>
  </w:style>
  <w:style w:type="paragraph" w:customStyle="1" w:styleId="652">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autoRedefine/>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autoRedefine/>
    <w:qFormat/>
    <w:uiPriority w:val="0"/>
    <w:pPr>
      <w:tabs>
        <w:tab w:val="left" w:pos="1260"/>
        <w:tab w:val="left" w:pos="1680"/>
        <w:tab w:val="left" w:pos="2100"/>
      </w:tabs>
      <w:ind w:left="0"/>
      <w:outlineLvl w:val="3"/>
    </w:pPr>
  </w:style>
  <w:style w:type="paragraph" w:customStyle="1" w:styleId="655">
    <w:name w:val="一级条标题"/>
    <w:basedOn w:val="656"/>
    <w:next w:val="638"/>
    <w:autoRedefine/>
    <w:qFormat/>
    <w:uiPriority w:val="0"/>
    <w:pPr>
      <w:tabs>
        <w:tab w:val="left" w:pos="1260"/>
        <w:tab w:val="left" w:pos="1680"/>
      </w:tabs>
      <w:spacing w:before="0" w:beforeLines="0" w:after="0" w:afterLines="0"/>
      <w:ind w:left="1680"/>
      <w:outlineLvl w:val="2"/>
    </w:pPr>
  </w:style>
  <w:style w:type="paragraph" w:customStyle="1" w:styleId="656">
    <w:name w:val="章标题"/>
    <w:next w:val="638"/>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6"/>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6"/>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autoRedefine/>
    <w:qFormat/>
    <w:uiPriority w:val="0"/>
    <w:pPr>
      <w:tabs>
        <w:tab w:val="left" w:pos="840"/>
      </w:tabs>
      <w:spacing w:after="0"/>
      <w:ind w:left="900"/>
    </w:pPr>
  </w:style>
  <w:style w:type="paragraph" w:customStyle="1" w:styleId="664">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autoRedefine/>
    <w:qFormat/>
    <w:uiPriority w:val="6"/>
    <w:pPr>
      <w:widowControl/>
      <w:adjustRightInd/>
      <w:ind w:left="720" w:hanging="720"/>
    </w:pPr>
    <w:rPr>
      <w:color w:val="000000"/>
      <w:kern w:val="0"/>
      <w:sz w:val="24"/>
      <w:szCs w:val="20"/>
      <w:lang w:val="en-GB"/>
    </w:rPr>
  </w:style>
  <w:style w:type="paragraph" w:customStyle="1" w:styleId="666">
    <w:name w:val="表1"/>
    <w:basedOn w:val="1"/>
    <w:autoRedefine/>
    <w:qFormat/>
    <w:uiPriority w:val="0"/>
    <w:pPr>
      <w:tabs>
        <w:tab w:val="left" w:pos="703"/>
      </w:tabs>
      <w:adjustRightInd/>
      <w:spacing w:line="360" w:lineRule="auto"/>
      <w:ind w:left="703"/>
      <w:jc w:val="center"/>
    </w:pPr>
  </w:style>
  <w:style w:type="paragraph" w:customStyle="1" w:styleId="667">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autoRedefine/>
    <w:qFormat/>
    <w:uiPriority w:val="0"/>
    <w:pPr>
      <w:jc w:val="left"/>
      <w:outlineLvl w:val="1"/>
    </w:pPr>
    <w:rPr>
      <w:rFonts w:ascii="Times New Roman" w:hAnsi="Times New Roman" w:eastAsia="仿宋"/>
      <w:sz w:val="30"/>
    </w:rPr>
  </w:style>
  <w:style w:type="paragraph" w:customStyle="1" w:styleId="671">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autoRedefine/>
    <w:qFormat/>
    <w:uiPriority w:val="0"/>
    <w:pPr>
      <w:tabs>
        <w:tab w:val="left" w:pos="840"/>
      </w:tabs>
      <w:adjustRightInd/>
      <w:ind w:left="840" w:hanging="420"/>
    </w:pPr>
  </w:style>
  <w:style w:type="paragraph" w:customStyle="1" w:styleId="677">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8"/>
    <w:autoRedefine/>
    <w:qFormat/>
    <w:uiPriority w:val="0"/>
    <w:pPr>
      <w:tabs>
        <w:tab w:val="left" w:pos="2100"/>
      </w:tabs>
      <w:adjustRightInd/>
      <w:ind w:left="2100" w:hanging="420"/>
    </w:pPr>
    <w:rPr>
      <w:lang w:val="en-US"/>
    </w:rPr>
  </w:style>
  <w:style w:type="paragraph" w:customStyle="1" w:styleId="685">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autoRedefine/>
    <w:qFormat/>
    <w:uiPriority w:val="6"/>
    <w:pPr>
      <w:spacing w:line="360" w:lineRule="auto"/>
    </w:pPr>
    <w:rPr>
      <w:szCs w:val="20"/>
    </w:rPr>
  </w:style>
  <w:style w:type="paragraph" w:customStyle="1" w:styleId="688">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5"/>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4">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autoRedefine/>
    <w:qFormat/>
    <w:uiPriority w:val="0"/>
    <w:pPr>
      <w:adjustRightInd/>
      <w:spacing w:line="360" w:lineRule="auto"/>
      <w:jc w:val="center"/>
    </w:pPr>
    <w:rPr>
      <w:sz w:val="24"/>
    </w:rPr>
  </w:style>
  <w:style w:type="paragraph" w:customStyle="1" w:styleId="698">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autoRedefine/>
    <w:qFormat/>
    <w:uiPriority w:val="6"/>
    <w:rPr>
      <w:rFonts w:ascii="仿宋_GB2312" w:eastAsia="仿宋_GB2312"/>
      <w:b/>
      <w:sz w:val="32"/>
      <w:szCs w:val="32"/>
    </w:rPr>
  </w:style>
  <w:style w:type="paragraph" w:customStyle="1" w:styleId="700">
    <w:name w:val="正文缩进1"/>
    <w:basedOn w:val="1"/>
    <w:next w:val="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autoRedefine/>
    <w:qFormat/>
    <w:uiPriority w:val="0"/>
    <w:pPr>
      <w:widowControl/>
      <w:adjustRightInd/>
      <w:spacing w:after="160" w:line="240" w:lineRule="exact"/>
      <w:jc w:val="left"/>
    </w:pPr>
    <w:rPr>
      <w:szCs w:val="20"/>
    </w:rPr>
  </w:style>
  <w:style w:type="paragraph" w:customStyle="1" w:styleId="703">
    <w:name w:val="Char Char1121"/>
    <w:basedOn w:val="1"/>
    <w:autoRedefine/>
    <w:qFormat/>
    <w:uiPriority w:val="0"/>
    <w:pPr>
      <w:spacing w:line="360" w:lineRule="auto"/>
    </w:pPr>
    <w:rPr>
      <w:szCs w:val="20"/>
    </w:rPr>
  </w:style>
  <w:style w:type="paragraph" w:customStyle="1" w:styleId="704">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autoRedefine/>
    <w:qFormat/>
    <w:uiPriority w:val="0"/>
    <w:rPr>
      <w:rFonts w:ascii="Times New Roman" w:hAnsi="Times New Roman" w:eastAsia="宋体" w:cs="Times New Roman"/>
      <w:lang w:val="en-US" w:eastAsia="en-US" w:bidi="ar-SA"/>
    </w:rPr>
  </w:style>
  <w:style w:type="paragraph" w:customStyle="1" w:styleId="707">
    <w:name w:val="带编号样式"/>
    <w:basedOn w:val="625"/>
    <w:autoRedefine/>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1">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autoRedefine/>
    <w:qFormat/>
    <w:uiPriority w:val="0"/>
    <w:pPr>
      <w:spacing w:line="240" w:lineRule="atLeast"/>
      <w:ind w:left="420" w:firstLine="420"/>
    </w:pPr>
    <w:rPr>
      <w:sz w:val="24"/>
    </w:rPr>
  </w:style>
  <w:style w:type="paragraph" w:customStyle="1" w:styleId="714">
    <w:name w:val="WW-正文文字缩进 2"/>
    <w:basedOn w:val="1"/>
    <w:autoRedefine/>
    <w:qFormat/>
    <w:uiPriority w:val="0"/>
    <w:pPr>
      <w:suppressAutoHyphens/>
      <w:adjustRightInd/>
      <w:ind w:firstLine="420"/>
    </w:pPr>
    <w:rPr>
      <w:kern w:val="1"/>
      <w:szCs w:val="20"/>
    </w:rPr>
  </w:style>
  <w:style w:type="paragraph" w:customStyle="1" w:styleId="715">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autoRedefine/>
    <w:qFormat/>
    <w:uiPriority w:val="0"/>
    <w:pPr>
      <w:adjustRightInd/>
      <w:spacing w:line="400" w:lineRule="exact"/>
      <w:ind w:firstLine="200" w:firstLineChars="200"/>
    </w:pPr>
    <w:rPr>
      <w:rFonts w:ascii="Arial" w:hAnsi="Arial"/>
    </w:rPr>
  </w:style>
  <w:style w:type="paragraph" w:customStyle="1" w:styleId="718">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autoRedefine/>
    <w:qFormat/>
    <w:uiPriority w:val="0"/>
    <w:pPr>
      <w:spacing w:after="120" w:line="480" w:lineRule="auto"/>
      <w:ind w:left="420" w:leftChars="200"/>
    </w:pPr>
    <w:rPr>
      <w:sz w:val="24"/>
      <w:szCs w:val="20"/>
    </w:rPr>
  </w:style>
  <w:style w:type="paragraph" w:customStyle="1" w:styleId="721">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7"/>
    <w:autoRedefine/>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5">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autoRedefine/>
    <w:qFormat/>
    <w:uiPriority w:val="0"/>
    <w:rPr>
      <w:rFonts w:ascii="仿宋_GB2312" w:eastAsia="仿宋_GB2312"/>
      <w:b/>
      <w:sz w:val="32"/>
      <w:szCs w:val="20"/>
    </w:rPr>
  </w:style>
  <w:style w:type="paragraph" w:customStyle="1" w:styleId="730">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8"/>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autoRedefine/>
    <w:qFormat/>
    <w:uiPriority w:val="0"/>
    <w:rPr>
      <w:rFonts w:ascii="仿宋_GB2312" w:eastAsia="仿宋_GB2312"/>
      <w:b/>
      <w:sz w:val="32"/>
      <w:szCs w:val="32"/>
    </w:rPr>
  </w:style>
  <w:style w:type="paragraph" w:customStyle="1" w:styleId="734">
    <w:name w:val="Char3 Char Char Char1"/>
    <w:basedOn w:val="1"/>
    <w:autoRedefine/>
    <w:qFormat/>
    <w:uiPriority w:val="6"/>
    <w:pPr>
      <w:widowControl/>
      <w:adjustRightInd/>
      <w:spacing w:after="160" w:line="240" w:lineRule="exact"/>
      <w:jc w:val="left"/>
    </w:pPr>
    <w:rPr>
      <w:szCs w:val="20"/>
    </w:rPr>
  </w:style>
  <w:style w:type="paragraph" w:customStyle="1" w:styleId="735">
    <w:name w:val="Char1 Char Char Char21"/>
    <w:basedOn w:val="1"/>
    <w:autoRedefine/>
    <w:qFormat/>
    <w:uiPriority w:val="0"/>
    <w:rPr>
      <w:rFonts w:ascii="Tahoma" w:hAnsi="Tahoma"/>
      <w:sz w:val="24"/>
      <w:szCs w:val="20"/>
    </w:rPr>
  </w:style>
  <w:style w:type="paragraph" w:customStyle="1" w:styleId="736">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autoRedefine/>
    <w:qFormat/>
    <w:uiPriority w:val="0"/>
    <w:pPr>
      <w:spacing w:line="360" w:lineRule="auto"/>
      <w:ind w:firstLine="200" w:firstLineChars="200"/>
    </w:pPr>
    <w:rPr>
      <w:sz w:val="24"/>
    </w:rPr>
  </w:style>
  <w:style w:type="paragraph" w:customStyle="1" w:styleId="73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autoRedefine/>
    <w:qFormat/>
    <w:uiPriority w:val="0"/>
    <w:pPr>
      <w:adjustRightInd/>
      <w:ind w:firstLine="200" w:firstLineChars="200"/>
    </w:pPr>
    <w:rPr>
      <w:rFonts w:ascii="Tahoma" w:hAnsi="Tahoma"/>
      <w:sz w:val="24"/>
      <w:szCs w:val="20"/>
    </w:rPr>
  </w:style>
  <w:style w:type="paragraph" w:customStyle="1" w:styleId="744">
    <w:name w:val="_标题2"/>
    <w:basedOn w:val="711"/>
    <w:next w:val="711"/>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autoRedefine/>
    <w:qFormat/>
    <w:uiPriority w:val="0"/>
    <w:pPr>
      <w:adjustRightInd/>
      <w:spacing w:line="360" w:lineRule="auto"/>
    </w:pPr>
    <w:rPr>
      <w:rFonts w:ascii="宋体" w:hAnsi="宋体"/>
      <w:szCs w:val="20"/>
    </w:rPr>
  </w:style>
  <w:style w:type="paragraph" w:customStyle="1" w:styleId="750">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autoRedefine/>
    <w:qFormat/>
    <w:uiPriority w:val="0"/>
    <w:pPr>
      <w:adjustRightInd/>
    </w:pPr>
    <w:rPr>
      <w:rFonts w:ascii="Tahoma" w:hAnsi="Tahoma"/>
      <w:sz w:val="24"/>
    </w:rPr>
  </w:style>
  <w:style w:type="paragraph" w:customStyle="1" w:styleId="752">
    <w:name w:val="Char Char Char Char11"/>
    <w:basedOn w:val="1"/>
    <w:autoRedefine/>
    <w:qFormat/>
    <w:uiPriority w:val="0"/>
    <w:rPr>
      <w:rFonts w:ascii="Tahoma" w:hAnsi="Tahoma"/>
      <w:sz w:val="24"/>
      <w:szCs w:val="20"/>
    </w:rPr>
  </w:style>
  <w:style w:type="paragraph" w:customStyle="1" w:styleId="753">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autoRedefine/>
    <w:qFormat/>
    <w:uiPriority w:val="0"/>
    <w:rPr>
      <w:rFonts w:ascii="Tahoma" w:hAnsi="Tahoma"/>
      <w:sz w:val="24"/>
      <w:szCs w:val="20"/>
    </w:rPr>
  </w:style>
  <w:style w:type="paragraph" w:customStyle="1" w:styleId="755">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autoRedefine/>
    <w:qFormat/>
    <w:uiPriority w:val="0"/>
    <w:pPr>
      <w:adjustRightInd/>
    </w:pPr>
    <w:rPr>
      <w:szCs w:val="20"/>
    </w:rPr>
  </w:style>
  <w:style w:type="paragraph" w:customStyle="1" w:styleId="757">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autoRedefine/>
    <w:qFormat/>
    <w:uiPriority w:val="34"/>
    <w:pPr>
      <w:adjustRightInd/>
      <w:ind w:firstLine="420" w:firstLineChars="200"/>
    </w:pPr>
    <w:rPr>
      <w:rFonts w:eastAsia="仿宋_GB2312"/>
      <w:sz w:val="28"/>
    </w:rPr>
  </w:style>
  <w:style w:type="paragraph" w:customStyle="1" w:styleId="760">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autoRedefine/>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autoRedefine/>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5"/>
    <w:autoRedefine/>
    <w:qFormat/>
    <w:uiPriority w:val="0"/>
    <w:pPr>
      <w:autoSpaceDE/>
      <w:autoSpaceDN/>
      <w:snapToGrid w:val="0"/>
      <w:ind w:firstLine="480" w:firstLineChars="200"/>
    </w:pPr>
    <w:rPr>
      <w:rFonts w:ascii="Times New Roman"/>
      <w:szCs w:val="24"/>
      <w:lang w:val="en-US"/>
    </w:rPr>
  </w:style>
  <w:style w:type="paragraph" w:customStyle="1" w:styleId="768">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autoRedefine/>
    <w:qFormat/>
    <w:uiPriority w:val="0"/>
    <w:rPr>
      <w:rFonts w:ascii="宋体" w:hAnsi="Times New Roman" w:eastAsia="宋体" w:cs="Times New Roman"/>
      <w:kern w:val="2"/>
      <w:lang w:val="en-US" w:eastAsia="zh-CN" w:bidi="ar-SA"/>
    </w:rPr>
  </w:style>
  <w:style w:type="paragraph" w:customStyle="1" w:styleId="770">
    <w:name w:val="MM Title"/>
    <w:basedOn w:val="59"/>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autoRedefine/>
    <w:qFormat/>
    <w:uiPriority w:val="0"/>
    <w:pPr>
      <w:tabs>
        <w:tab w:val="left" w:pos="360"/>
      </w:tabs>
    </w:pPr>
    <w:rPr>
      <w:sz w:val="24"/>
      <w:szCs w:val="20"/>
    </w:rPr>
  </w:style>
  <w:style w:type="paragraph" w:customStyle="1" w:styleId="774">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3"/>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autoRedefine/>
    <w:qFormat/>
    <w:uiPriority w:val="0"/>
    <w:pPr>
      <w:widowControl/>
      <w:adjustRightInd/>
    </w:pPr>
    <w:rPr>
      <w:kern w:val="0"/>
      <w:szCs w:val="21"/>
    </w:rPr>
  </w:style>
  <w:style w:type="paragraph" w:customStyle="1" w:styleId="783">
    <w:name w:val="Char6"/>
    <w:basedOn w:val="1"/>
    <w:autoRedefine/>
    <w:qFormat/>
    <w:uiPriority w:val="0"/>
    <w:rPr>
      <w:rFonts w:ascii="仿宋_GB2312" w:eastAsia="仿宋_GB2312"/>
      <w:b/>
      <w:sz w:val="32"/>
      <w:szCs w:val="32"/>
    </w:rPr>
  </w:style>
  <w:style w:type="paragraph" w:customStyle="1" w:styleId="784">
    <w:name w:val="Char111"/>
    <w:basedOn w:val="1"/>
    <w:autoRedefine/>
    <w:qFormat/>
    <w:uiPriority w:val="0"/>
    <w:rPr>
      <w:rFonts w:ascii="仿宋_GB2312" w:eastAsia="仿宋_GB2312"/>
      <w:b/>
      <w:sz w:val="32"/>
      <w:szCs w:val="32"/>
    </w:rPr>
  </w:style>
  <w:style w:type="paragraph" w:customStyle="1" w:styleId="785">
    <w:name w:val="标题3"/>
    <w:basedOn w:val="7"/>
    <w:next w:val="53"/>
    <w:autoRedefine/>
    <w:qFormat/>
    <w:uiPriority w:val="0"/>
    <w:pPr>
      <w:tabs>
        <w:tab w:val="clear" w:pos="900"/>
      </w:tabs>
      <w:spacing w:after="0" w:line="360" w:lineRule="auto"/>
    </w:pPr>
    <w:rPr>
      <w:rFonts w:ascii="仿宋" w:hAnsi="仿宋" w:eastAsia="仿宋" w:cs="仿宋"/>
    </w:rPr>
  </w:style>
  <w:style w:type="paragraph" w:customStyle="1" w:styleId="786">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autoRedefine/>
    <w:qFormat/>
    <w:uiPriority w:val="0"/>
    <w:pPr>
      <w:adjustRightInd/>
      <w:ind w:firstLine="200" w:firstLineChars="200"/>
    </w:pPr>
    <w:rPr>
      <w:rFonts w:ascii="Tahoma" w:hAnsi="Tahoma"/>
      <w:sz w:val="24"/>
      <w:szCs w:val="20"/>
    </w:rPr>
  </w:style>
  <w:style w:type="paragraph" w:customStyle="1" w:styleId="789">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6"/>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autoRedefine/>
    <w:qFormat/>
    <w:uiPriority w:val="0"/>
    <w:rPr>
      <w:rFonts w:ascii="仿宋_GB2312" w:eastAsia="仿宋_GB2312"/>
      <w:b/>
      <w:sz w:val="32"/>
      <w:szCs w:val="32"/>
    </w:rPr>
  </w:style>
  <w:style w:type="paragraph" w:customStyle="1" w:styleId="792">
    <w:name w:val="五级条标题"/>
    <w:basedOn w:val="793"/>
    <w:next w:val="638"/>
    <w:autoRedefine/>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autoRedefine/>
    <w:qFormat/>
    <w:uiPriority w:val="0"/>
    <w:pPr>
      <w:tabs>
        <w:tab w:val="left" w:pos="2940"/>
        <w:tab w:val="clear" w:pos="2520"/>
      </w:tabs>
      <w:ind w:left="2940"/>
      <w:outlineLvl w:val="5"/>
    </w:pPr>
  </w:style>
  <w:style w:type="paragraph" w:customStyle="1" w:styleId="794">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autoRedefine/>
    <w:qFormat/>
    <w:uiPriority w:val="0"/>
    <w:rPr>
      <w:rFonts w:ascii="仿宋_GB2312" w:eastAsia="仿宋_GB2312"/>
      <w:b/>
      <w:sz w:val="32"/>
      <w:szCs w:val="32"/>
    </w:rPr>
  </w:style>
  <w:style w:type="paragraph" w:customStyle="1" w:styleId="796">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autoRedefine/>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0">
    <w:name w:val="单元格左对齐"/>
    <w:basedOn w:val="1"/>
    <w:autoRedefine/>
    <w:qFormat/>
    <w:uiPriority w:val="0"/>
    <w:pPr>
      <w:adjustRightInd/>
      <w:spacing w:line="360" w:lineRule="auto"/>
    </w:pPr>
    <w:rPr>
      <w:sz w:val="24"/>
    </w:rPr>
  </w:style>
  <w:style w:type="paragraph" w:customStyle="1" w:styleId="801">
    <w:name w:val="正文主体"/>
    <w:basedOn w:val="622"/>
    <w:autoRedefine/>
    <w:qFormat/>
    <w:uiPriority w:val="0"/>
  </w:style>
  <w:style w:type="paragraph" w:customStyle="1" w:styleId="802">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autoRedefine/>
    <w:qFormat/>
    <w:uiPriority w:val="0"/>
    <w:pPr>
      <w:adjustRightInd/>
      <w:spacing w:line="360" w:lineRule="auto"/>
      <w:ind w:firstLine="480" w:firstLineChars="200"/>
    </w:pPr>
    <w:rPr>
      <w:sz w:val="24"/>
      <w:szCs w:val="20"/>
    </w:rPr>
  </w:style>
  <w:style w:type="paragraph" w:customStyle="1" w:styleId="806">
    <w:name w:val="P1"/>
    <w:basedOn w:val="1"/>
    <w:autoRedefine/>
    <w:qFormat/>
    <w:uiPriority w:val="0"/>
    <w:pPr>
      <w:adjustRightInd/>
      <w:spacing w:line="288" w:lineRule="auto"/>
      <w:ind w:firstLine="425" w:firstLineChars="200"/>
    </w:pPr>
  </w:style>
  <w:style w:type="paragraph" w:customStyle="1" w:styleId="807">
    <w:name w:val="列表内容"/>
    <w:basedOn w:val="1"/>
    <w:next w:val="1"/>
    <w:autoRedefine/>
    <w:qFormat/>
    <w:uiPriority w:val="0"/>
    <w:pPr>
      <w:widowControl/>
      <w:tabs>
        <w:tab w:val="left" w:pos="840"/>
      </w:tabs>
      <w:ind w:left="840" w:hanging="420"/>
      <w:jc w:val="left"/>
    </w:pPr>
    <w:rPr>
      <w:kern w:val="0"/>
      <w:sz w:val="18"/>
    </w:rPr>
  </w:style>
  <w:style w:type="paragraph" w:customStyle="1" w:styleId="808">
    <w:name w:val="Char Char11 Char Char Char1"/>
    <w:basedOn w:val="1"/>
    <w:autoRedefine/>
    <w:qFormat/>
    <w:uiPriority w:val="6"/>
    <w:pPr>
      <w:spacing w:line="360" w:lineRule="auto"/>
    </w:pPr>
    <w:rPr>
      <w:szCs w:val="20"/>
    </w:rPr>
  </w:style>
  <w:style w:type="paragraph" w:customStyle="1" w:styleId="809">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0">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autoRedefine/>
    <w:qFormat/>
    <w:uiPriority w:val="0"/>
    <w:pPr>
      <w:spacing w:line="360" w:lineRule="auto"/>
    </w:pPr>
    <w:rPr>
      <w:szCs w:val="20"/>
    </w:rPr>
  </w:style>
  <w:style w:type="paragraph" w:customStyle="1" w:styleId="815">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autoRedefine/>
    <w:qFormat/>
    <w:uiPriority w:val="0"/>
    <w:rPr>
      <w:rFonts w:ascii="仿宋_GB2312" w:eastAsia="仿宋_GB2312"/>
      <w:b/>
      <w:sz w:val="32"/>
      <w:szCs w:val="32"/>
    </w:rPr>
  </w:style>
  <w:style w:type="paragraph" w:customStyle="1" w:styleId="818">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1">
    <w:name w:val="Char Char4 Char Char"/>
    <w:basedOn w:val="1"/>
    <w:autoRedefine/>
    <w:qFormat/>
    <w:uiPriority w:val="0"/>
    <w:pPr>
      <w:widowControl/>
      <w:adjustRightInd/>
      <w:spacing w:after="160" w:line="240" w:lineRule="exact"/>
      <w:jc w:val="left"/>
    </w:pPr>
  </w:style>
  <w:style w:type="paragraph" w:customStyle="1" w:styleId="822">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autoRedefine/>
    <w:qFormat/>
    <w:uiPriority w:val="0"/>
    <w:pPr>
      <w:spacing w:line="360" w:lineRule="auto"/>
    </w:pPr>
    <w:rPr>
      <w:szCs w:val="20"/>
    </w:rPr>
  </w:style>
  <w:style w:type="paragraph" w:customStyle="1" w:styleId="824">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8"/>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autoRedefine/>
    <w:qFormat/>
    <w:uiPriority w:val="0"/>
    <w:pPr>
      <w:adjustRightInd/>
      <w:ind w:firstLine="200" w:firstLineChars="200"/>
    </w:pPr>
    <w:rPr>
      <w:rFonts w:ascii="Tahoma" w:hAnsi="Tahoma"/>
      <w:sz w:val="24"/>
      <w:szCs w:val="20"/>
    </w:rPr>
  </w:style>
  <w:style w:type="paragraph" w:customStyle="1" w:styleId="831">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autoRedefine/>
    <w:qFormat/>
    <w:uiPriority w:val="0"/>
    <w:pPr>
      <w:tabs>
        <w:tab w:val="left" w:pos="0"/>
      </w:tabs>
      <w:ind w:left="900" w:firstLine="0" w:firstLineChars="0"/>
    </w:pPr>
  </w:style>
  <w:style w:type="paragraph" w:customStyle="1" w:styleId="834">
    <w:name w:val="Bulleted List"/>
    <w:basedOn w:val="1"/>
    <w:autoRedefine/>
    <w:qFormat/>
    <w:uiPriority w:val="0"/>
    <w:pPr>
      <w:tabs>
        <w:tab w:val="left" w:pos="1260"/>
      </w:tabs>
      <w:adjustRightInd/>
      <w:ind w:left="1260" w:hanging="420"/>
    </w:pPr>
  </w:style>
  <w:style w:type="paragraph" w:customStyle="1" w:styleId="835">
    <w:name w:val="样式 正文文本缩进 2 + 仿宋_GB2312 黑色 行距: 1.5 倍行距"/>
    <w:basedOn w:val="37"/>
    <w:autoRedefine/>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autoRedefine/>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autoRedefine/>
    <w:qFormat/>
    <w:uiPriority w:val="0"/>
    <w:rPr>
      <w:rFonts w:ascii="Tahoma" w:hAnsi="Tahoma" w:cs="仿宋_GB2312"/>
      <w:sz w:val="24"/>
      <w:szCs w:val="20"/>
    </w:rPr>
  </w:style>
  <w:style w:type="paragraph" w:customStyle="1" w:styleId="838">
    <w:name w:val="正文1"/>
    <w:basedOn w:val="32"/>
    <w:autoRedefine/>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7"/>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7"/>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20"/>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6"/>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7"/>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6"/>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7"/>
    <w:autoRedefine/>
    <w:qFormat/>
    <w:uiPriority w:val="0"/>
    <w:rPr>
      <w:b w:val="0"/>
      <w:sz w:val="20"/>
    </w:rPr>
  </w:style>
  <w:style w:type="paragraph" w:customStyle="1" w:styleId="892">
    <w:name w:val="正文首行缩进1"/>
    <w:basedOn w:val="25"/>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9"/>
    <w:next w:val="1"/>
    <w:autoRedefine/>
    <w:qFormat/>
    <w:uiPriority w:val="0"/>
    <w:pPr>
      <w:tabs>
        <w:tab w:val="left" w:pos="1080"/>
      </w:tabs>
      <w:ind w:left="1080" w:hanging="1080"/>
    </w:pPr>
  </w:style>
  <w:style w:type="paragraph" w:customStyle="1" w:styleId="895">
    <w:name w:val="数字标题1"/>
    <w:basedOn w:val="6"/>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2"/>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0">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6"/>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字符"/>
    <w:link w:val="38"/>
    <w:autoRedefine/>
    <w:qFormat/>
    <w:uiPriority w:val="0"/>
    <w:rPr>
      <w:kern w:val="2"/>
      <w:sz w:val="21"/>
      <w:szCs w:val="24"/>
      <w:lang w:val="zh-CN"/>
    </w:rPr>
  </w:style>
  <w:style w:type="character" w:customStyle="1" w:styleId="931">
    <w:name w:val="无间隔 字符"/>
    <w:link w:val="482"/>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7"/>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NormalCharacter"/>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110F9B-553D-46D9-8B20-2C24A4E9E881}">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78</Pages>
  <Words>39898</Words>
  <Characters>43039</Characters>
  <Lines>320</Lines>
  <Paragraphs>90</Paragraphs>
  <TotalTime>234</TotalTime>
  <ScaleCrop>false</ScaleCrop>
  <LinksUpToDate>false</LinksUpToDate>
  <CharactersWithSpaces>48264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2023-08-18T04:39:00Z</dcterms:created>
  <dc:creator>玥</dc:creator>
  <cp:lastModifiedBy>WPS_1632919802</cp:lastModifiedBy>
  <cp:lastPrinted>2023-08-18T06:10:00Z</cp:lastPrinted>
  <dcterms:modified xsi:type="dcterms:W3CDTF">2023-12-29T06:03:53Z</dcterms:modified>
  <dc:title>杭州市市民卡扩大发卡工程</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FAC0947D04E544088D3FC31F743E735C_13</vt:lpwstr>
  </property>
</Properties>
</file>