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eastAsia="宋体"/>
          <w:b w:val="0"/>
          <w:bCs/>
          <w:color w:val="auto"/>
          <w:sz w:val="52"/>
          <w:szCs w:val="52"/>
        </w:rPr>
      </w:pPr>
      <w:bookmarkStart w:id="0" w:name="_Toc494407521"/>
      <w:bookmarkStart w:id="1" w:name="_Toc482280311"/>
      <w:bookmarkStart w:id="2" w:name="OLE_LINK3"/>
      <w:r>
        <w:rPr>
          <w:rFonts w:hint="eastAsia" w:ascii="宋体" w:eastAsia="宋体"/>
          <w:b w:val="0"/>
          <w:color w:val="auto"/>
          <w:spacing w:val="20"/>
          <w:sz w:val="84"/>
        </w:rPr>
        <w:t>瓯海区（分散）采购</w:t>
      </w:r>
    </w:p>
    <w:p>
      <w:pPr>
        <w:ind w:firstLine="2350" w:firstLineChars="235"/>
        <w:rPr>
          <w:rFonts w:ascii="宋体" w:eastAsia="宋体"/>
          <w:b w:val="0"/>
          <w:bCs/>
          <w:color w:val="auto"/>
          <w:spacing w:val="140"/>
          <w:sz w:val="72"/>
        </w:rPr>
      </w:pPr>
    </w:p>
    <w:p>
      <w:pPr>
        <w:jc w:val="center"/>
        <w:rPr>
          <w:rFonts w:ascii="宋体" w:eastAsia="宋体"/>
          <w:b w:val="0"/>
          <w:bCs/>
          <w:color w:val="auto"/>
          <w:spacing w:val="140"/>
          <w:sz w:val="72"/>
        </w:rPr>
      </w:pPr>
    </w:p>
    <w:p>
      <w:pPr>
        <w:keepNext w:val="0"/>
        <w:keepLines w:val="0"/>
        <w:pageBreakBefore w:val="0"/>
        <w:widowControl w:val="0"/>
        <w:kinsoku/>
        <w:wordWrap/>
        <w:overflowPunct/>
        <w:topLinePunct w:val="0"/>
        <w:autoSpaceDE/>
        <w:autoSpaceDN/>
        <w:bidi w:val="0"/>
        <w:adjustRightInd w:val="0"/>
        <w:snapToGrid w:val="0"/>
        <w:spacing w:line="360" w:lineRule="auto"/>
        <w:ind w:right="363"/>
        <w:jc w:val="center"/>
        <w:textAlignment w:val="auto"/>
        <w:rPr>
          <w:rFonts w:hint="eastAsia" w:ascii="宋体" w:eastAsia="宋体"/>
          <w:b w:val="0"/>
          <w:bCs/>
          <w:color w:val="auto"/>
          <w:sz w:val="84"/>
          <w:szCs w:val="84"/>
        </w:rPr>
      </w:pPr>
      <w:r>
        <w:rPr>
          <w:rFonts w:hint="eastAsia" w:ascii="宋体" w:eastAsia="宋体"/>
          <w:b w:val="0"/>
          <w:bCs/>
          <w:color w:val="auto"/>
          <w:sz w:val="84"/>
          <w:szCs w:val="84"/>
        </w:rPr>
        <w:t>招 标 文 件</w:t>
      </w:r>
    </w:p>
    <w:p>
      <w:pPr>
        <w:keepNext w:val="0"/>
        <w:keepLines w:val="0"/>
        <w:pageBreakBefore w:val="0"/>
        <w:widowControl w:val="0"/>
        <w:kinsoku/>
        <w:wordWrap/>
        <w:overflowPunct/>
        <w:topLinePunct w:val="0"/>
        <w:autoSpaceDE/>
        <w:autoSpaceDN/>
        <w:bidi w:val="0"/>
        <w:adjustRightInd w:val="0"/>
        <w:snapToGrid w:val="0"/>
        <w:spacing w:line="360" w:lineRule="auto"/>
        <w:ind w:right="363"/>
        <w:jc w:val="center"/>
        <w:textAlignment w:val="auto"/>
        <w:rPr>
          <w:rFonts w:hint="eastAsia" w:eastAsia="宋体"/>
          <w:lang w:eastAsia="zh-CN"/>
        </w:rPr>
      </w:pPr>
      <w:r>
        <w:rPr>
          <w:rFonts w:hint="eastAsia"/>
          <w:sz w:val="48"/>
          <w:szCs w:val="48"/>
          <w:lang w:eastAsia="zh-CN"/>
        </w:rPr>
        <w:t>（电子投标）</w:t>
      </w:r>
    </w:p>
    <w:p>
      <w:pPr>
        <w:ind w:left="1888" w:leftChars="899" w:firstLine="208" w:firstLineChars="87"/>
        <w:rPr>
          <w:rFonts w:ascii="宋体" w:eastAsia="宋体"/>
          <w:b w:val="0"/>
          <w:bCs/>
          <w:color w:val="auto"/>
          <w:sz w:val="24"/>
        </w:rPr>
      </w:pPr>
    </w:p>
    <w:p>
      <w:pPr>
        <w:ind w:left="1888" w:leftChars="899" w:firstLine="208" w:firstLineChars="87"/>
        <w:rPr>
          <w:rFonts w:ascii="宋体" w:eastAsia="宋体"/>
          <w:b w:val="0"/>
          <w:bCs/>
          <w:color w:val="auto"/>
          <w:sz w:val="24"/>
        </w:rPr>
      </w:pPr>
    </w:p>
    <w:p>
      <w:pPr>
        <w:ind w:left="1888" w:leftChars="899" w:firstLine="208" w:firstLineChars="87"/>
        <w:rPr>
          <w:rFonts w:ascii="宋体" w:eastAsia="宋体"/>
          <w:b w:val="0"/>
          <w:bCs/>
          <w:color w:val="auto"/>
          <w:sz w:val="24"/>
        </w:rPr>
      </w:pPr>
    </w:p>
    <w:p>
      <w:pPr>
        <w:spacing w:line="800" w:lineRule="exact"/>
        <w:ind w:left="3635" w:leftChars="531" w:hanging="2520" w:hangingChars="700"/>
        <w:rPr>
          <w:rFonts w:hint="default" w:ascii="宋体" w:eastAsia="宋体"/>
          <w:b w:val="0"/>
          <w:color w:val="auto"/>
          <w:sz w:val="28"/>
          <w:szCs w:val="28"/>
          <w:lang w:val="en-US" w:eastAsia="zh-CN"/>
        </w:rPr>
      </w:pPr>
      <w:r>
        <w:rPr>
          <w:rFonts w:hint="eastAsia" w:ascii="宋体" w:eastAsia="宋体"/>
          <w:b w:val="0"/>
          <w:color w:val="auto"/>
          <w:spacing w:val="40"/>
          <w:sz w:val="28"/>
          <w:szCs w:val="28"/>
        </w:rPr>
        <w:t>项目编号：</w:t>
      </w:r>
      <w:r>
        <w:rPr>
          <w:rFonts w:hint="eastAsia" w:ascii="宋体" w:eastAsia="宋体"/>
          <w:b w:val="0"/>
          <w:color w:val="auto"/>
          <w:sz w:val="28"/>
          <w:szCs w:val="28"/>
          <w:lang w:val="en-US" w:eastAsia="zh-CN"/>
        </w:rPr>
        <w:t xml:space="preserve"> ZJSG20200216</w:t>
      </w:r>
    </w:p>
    <w:p>
      <w:pPr>
        <w:spacing w:line="800" w:lineRule="exact"/>
        <w:ind w:firstLine="1080" w:firstLineChars="300"/>
        <w:rPr>
          <w:rFonts w:hint="eastAsia" w:ascii="宋体" w:eastAsia="宋体"/>
          <w:b w:val="0"/>
          <w:color w:val="auto"/>
          <w:sz w:val="28"/>
          <w:szCs w:val="28"/>
          <w:lang w:eastAsia="zh-CN"/>
        </w:rPr>
      </w:pPr>
      <w:r>
        <w:rPr>
          <w:rFonts w:hint="eastAsia" w:ascii="宋体" w:eastAsia="宋体"/>
          <w:b w:val="0"/>
          <w:color w:val="auto"/>
          <w:spacing w:val="40"/>
          <w:sz w:val="28"/>
          <w:szCs w:val="28"/>
        </w:rPr>
        <w:t>项目名称：</w:t>
      </w:r>
      <w:r>
        <w:rPr>
          <w:rFonts w:hint="eastAsia" w:ascii="宋体" w:eastAsia="宋体"/>
          <w:b w:val="0"/>
          <w:color w:val="auto"/>
          <w:sz w:val="28"/>
          <w:szCs w:val="28"/>
          <w:lang w:eastAsia="zh-CN"/>
        </w:rPr>
        <w:t>浙江大学温州研究院办公家具采购项目</w:t>
      </w:r>
    </w:p>
    <w:p>
      <w:pPr>
        <w:spacing w:line="800" w:lineRule="exact"/>
        <w:ind w:firstLine="1080" w:firstLineChars="300"/>
        <w:rPr>
          <w:rFonts w:ascii="宋体" w:eastAsia="宋体"/>
          <w:b w:val="0"/>
          <w:color w:val="auto"/>
          <w:spacing w:val="40"/>
          <w:sz w:val="28"/>
          <w:szCs w:val="28"/>
        </w:rPr>
      </w:pPr>
      <w:r>
        <w:rPr>
          <w:rFonts w:hint="eastAsia" w:ascii="宋体" w:eastAsia="宋体"/>
          <w:b w:val="0"/>
          <w:color w:val="auto"/>
          <w:spacing w:val="40"/>
          <w:sz w:val="28"/>
          <w:szCs w:val="28"/>
        </w:rPr>
        <w:t>采购方式：公开招标</w:t>
      </w:r>
    </w:p>
    <w:p>
      <w:pPr>
        <w:spacing w:line="600" w:lineRule="exact"/>
        <w:ind w:firstLine="1144" w:firstLineChars="300"/>
        <w:rPr>
          <w:rFonts w:ascii="宋体" w:eastAsia="宋体"/>
          <w:color w:val="auto"/>
          <w:spacing w:val="40"/>
          <w:sz w:val="30"/>
          <w:szCs w:val="30"/>
        </w:rPr>
      </w:pPr>
    </w:p>
    <w:p>
      <w:pPr>
        <w:spacing w:line="600" w:lineRule="exact"/>
        <w:ind w:firstLine="1144" w:firstLineChars="300"/>
        <w:rPr>
          <w:rFonts w:ascii="宋体" w:eastAsia="宋体"/>
          <w:color w:val="auto"/>
          <w:spacing w:val="40"/>
          <w:sz w:val="30"/>
          <w:szCs w:val="30"/>
        </w:rPr>
      </w:pPr>
    </w:p>
    <w:p>
      <w:pPr>
        <w:spacing w:line="600" w:lineRule="exact"/>
        <w:ind w:firstLine="1144" w:firstLineChars="300"/>
        <w:rPr>
          <w:rFonts w:ascii="宋体" w:eastAsia="宋体"/>
          <w:color w:val="auto"/>
          <w:spacing w:val="40"/>
          <w:sz w:val="30"/>
          <w:szCs w:val="30"/>
        </w:rPr>
      </w:pPr>
    </w:p>
    <w:p>
      <w:pPr>
        <w:spacing w:line="600" w:lineRule="exact"/>
        <w:ind w:firstLine="1144" w:firstLineChars="300"/>
        <w:rPr>
          <w:rFonts w:ascii="宋体" w:eastAsia="宋体"/>
          <w:color w:val="auto"/>
          <w:spacing w:val="40"/>
          <w:sz w:val="30"/>
          <w:szCs w:val="30"/>
        </w:rPr>
      </w:pPr>
    </w:p>
    <w:p>
      <w:pPr>
        <w:spacing w:line="600" w:lineRule="exact"/>
        <w:jc w:val="center"/>
        <w:rPr>
          <w:rFonts w:hint="eastAsia" w:ascii="宋体" w:eastAsia="宋体" w:cs="宋体"/>
          <w:b w:val="0"/>
          <w:color w:val="auto"/>
          <w:spacing w:val="30"/>
          <w:kern w:val="2"/>
          <w:sz w:val="30"/>
          <w:szCs w:val="22"/>
          <w:lang w:eastAsia="zh-CN"/>
        </w:rPr>
      </w:pPr>
      <w:r>
        <w:rPr>
          <w:rFonts w:hint="eastAsia" w:ascii="宋体" w:eastAsia="宋体" w:cs="宋体"/>
          <w:b w:val="0"/>
          <w:color w:val="auto"/>
          <w:spacing w:val="30"/>
          <w:kern w:val="2"/>
          <w:sz w:val="30"/>
          <w:szCs w:val="22"/>
        </w:rPr>
        <w:t>采 购 人:</w:t>
      </w:r>
      <w:r>
        <w:rPr>
          <w:rFonts w:hint="eastAsia" w:ascii="宋体" w:eastAsia="宋体" w:cs="宋体"/>
          <w:b w:val="0"/>
          <w:color w:val="auto"/>
          <w:spacing w:val="30"/>
          <w:kern w:val="2"/>
          <w:sz w:val="30"/>
          <w:szCs w:val="22"/>
          <w:lang w:eastAsia="zh-CN"/>
        </w:rPr>
        <w:t>浙江大学温州研究院</w:t>
      </w:r>
    </w:p>
    <w:p>
      <w:pPr>
        <w:spacing w:line="600" w:lineRule="exact"/>
        <w:jc w:val="center"/>
        <w:rPr>
          <w:rFonts w:hint="eastAsia" w:ascii="宋体" w:eastAsia="宋体" w:cs="宋体"/>
          <w:b w:val="0"/>
          <w:color w:val="auto"/>
          <w:spacing w:val="30"/>
          <w:kern w:val="2"/>
          <w:sz w:val="30"/>
          <w:szCs w:val="22"/>
          <w:lang w:eastAsia="zh-CN"/>
        </w:rPr>
      </w:pPr>
      <w:r>
        <w:rPr>
          <w:rFonts w:hint="eastAsia" w:ascii="宋体" w:eastAsia="宋体" w:cs="宋体"/>
          <w:b w:val="0"/>
          <w:color w:val="auto"/>
          <w:spacing w:val="30"/>
          <w:kern w:val="2"/>
          <w:sz w:val="30"/>
          <w:szCs w:val="22"/>
        </w:rPr>
        <w:t xml:space="preserve">  采购代理公司</w:t>
      </w:r>
      <w:r>
        <w:rPr>
          <w:rFonts w:hint="eastAsia" w:ascii="宋体" w:eastAsia="宋体" w:cs="宋体"/>
          <w:b w:val="0"/>
          <w:color w:val="auto"/>
          <w:spacing w:val="30"/>
          <w:kern w:val="2"/>
          <w:sz w:val="30"/>
          <w:szCs w:val="22"/>
          <w:lang w:eastAsia="zh-CN"/>
        </w:rPr>
        <w:t>：浙江省工程咨询有限公司</w:t>
      </w:r>
    </w:p>
    <w:p>
      <w:pPr>
        <w:rPr>
          <w:rFonts w:ascii="宋体" w:eastAsia="宋体"/>
          <w:color w:val="auto"/>
          <w:spacing w:val="40"/>
          <w:sz w:val="28"/>
        </w:rPr>
      </w:pPr>
    </w:p>
    <w:p>
      <w:pPr>
        <w:ind w:firstLine="3060" w:firstLineChars="850"/>
        <w:rPr>
          <w:rFonts w:ascii="宋体" w:eastAsia="宋体" w:cs="宋体"/>
          <w:b w:val="0"/>
          <w:color w:val="auto"/>
          <w:spacing w:val="40"/>
          <w:kern w:val="2"/>
          <w:sz w:val="28"/>
          <w:szCs w:val="22"/>
        </w:rPr>
      </w:pPr>
      <w:r>
        <w:rPr>
          <w:rFonts w:hint="eastAsia" w:ascii="宋体" w:eastAsia="宋体" w:cs="宋体"/>
          <w:b w:val="0"/>
          <w:color w:val="auto"/>
          <w:spacing w:val="40"/>
          <w:kern w:val="2"/>
          <w:sz w:val="28"/>
          <w:szCs w:val="22"/>
        </w:rPr>
        <w:t>二0</w:t>
      </w:r>
      <w:r>
        <w:rPr>
          <w:rFonts w:hint="eastAsia" w:ascii="宋体" w:eastAsia="宋体" w:cs="宋体"/>
          <w:b w:val="0"/>
          <w:color w:val="auto"/>
          <w:spacing w:val="40"/>
          <w:kern w:val="2"/>
          <w:sz w:val="28"/>
          <w:szCs w:val="22"/>
          <w:lang w:val="en-US" w:eastAsia="zh-CN"/>
        </w:rPr>
        <w:t>二0</w:t>
      </w:r>
      <w:r>
        <w:rPr>
          <w:rFonts w:hint="eastAsia" w:ascii="宋体" w:eastAsia="宋体" w:cs="宋体"/>
          <w:b w:val="0"/>
          <w:color w:val="auto"/>
          <w:spacing w:val="40"/>
          <w:kern w:val="2"/>
          <w:sz w:val="28"/>
          <w:szCs w:val="22"/>
        </w:rPr>
        <w:t>年</w:t>
      </w:r>
      <w:r>
        <w:rPr>
          <w:rFonts w:hint="eastAsia" w:ascii="宋体" w:eastAsia="宋体" w:cs="宋体"/>
          <w:b w:val="0"/>
          <w:color w:val="auto"/>
          <w:spacing w:val="40"/>
          <w:kern w:val="2"/>
          <w:sz w:val="28"/>
          <w:szCs w:val="22"/>
          <w:lang w:val="en-US" w:eastAsia="zh-CN"/>
        </w:rPr>
        <w:t>三</w:t>
      </w:r>
      <w:r>
        <w:rPr>
          <w:rFonts w:hint="eastAsia" w:ascii="宋体" w:eastAsia="宋体" w:cs="宋体"/>
          <w:b w:val="0"/>
          <w:color w:val="auto"/>
          <w:spacing w:val="40"/>
          <w:kern w:val="2"/>
          <w:sz w:val="28"/>
          <w:szCs w:val="22"/>
        </w:rPr>
        <w:t>月</w:t>
      </w: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hint="eastAsia" w:ascii="宋体" w:eastAsia="宋体"/>
          <w:color w:val="auto"/>
          <w:sz w:val="28"/>
          <w:szCs w:val="28"/>
          <w:lang w:eastAsia="zh-CN"/>
        </w:rPr>
        <w:t>浙江省工程咨询有限公司</w:t>
      </w:r>
      <w:r>
        <w:rPr>
          <w:rFonts w:hint="eastAsia" w:ascii="宋体" w:eastAsia="宋体"/>
          <w:color w:val="auto"/>
          <w:sz w:val="28"/>
          <w:szCs w:val="28"/>
        </w:rPr>
        <w:t>关于</w:t>
      </w:r>
      <w:r>
        <w:rPr>
          <w:rFonts w:hint="eastAsia" w:ascii="宋体" w:eastAsia="宋体"/>
          <w:color w:val="auto"/>
          <w:sz w:val="28"/>
          <w:szCs w:val="28"/>
          <w:lang w:eastAsia="zh-CN"/>
        </w:rPr>
        <w:t>浙江大学温州研究院办公家具采购项目</w:t>
      </w:r>
      <w:r>
        <w:rPr>
          <w:rFonts w:hint="eastAsia" w:ascii="宋体" w:eastAsia="宋体"/>
          <w:color w:val="auto"/>
          <w:sz w:val="28"/>
          <w:szCs w:val="28"/>
        </w:rPr>
        <w:t>的公开</w:t>
      </w:r>
      <w:r>
        <w:rPr>
          <w:rFonts w:ascii="宋体" w:eastAsia="宋体"/>
          <w:color w:val="auto"/>
          <w:sz w:val="28"/>
          <w:szCs w:val="28"/>
        </w:rPr>
        <w:t>招标公告</w:t>
      </w:r>
      <w:bookmarkEnd w:id="0"/>
      <w:bookmarkEnd w:id="1"/>
    </w:p>
    <w:p>
      <w:pPr>
        <w:widowControl/>
        <w:spacing w:line="360" w:lineRule="auto"/>
        <w:ind w:firstLine="540"/>
        <w:jc w:val="left"/>
        <w:rPr>
          <w:rFonts w:ascii="宋体" w:eastAsia="宋体"/>
          <w:b w:val="0"/>
          <w:color w:val="auto"/>
          <w:sz w:val="22"/>
        </w:rPr>
      </w:pPr>
      <w:r>
        <w:rPr>
          <w:rFonts w:hint="eastAsia" w:ascii="宋体" w:eastAsia="宋体"/>
          <w:b w:val="0"/>
          <w:color w:val="auto"/>
          <w:sz w:val="22"/>
        </w:rPr>
        <w:t>根据《中华人民共和国政府采购法》等有关规定，</w:t>
      </w:r>
      <w:r>
        <w:rPr>
          <w:rFonts w:hint="eastAsia" w:ascii="宋体" w:eastAsia="宋体"/>
          <w:b w:val="0"/>
          <w:color w:val="auto"/>
          <w:sz w:val="22"/>
          <w:lang w:eastAsia="zh-CN"/>
        </w:rPr>
        <w:t>浙江省工程咨询有限公司</w:t>
      </w:r>
      <w:r>
        <w:rPr>
          <w:rFonts w:hint="eastAsia" w:ascii="宋体" w:eastAsia="宋体"/>
          <w:b w:val="0"/>
          <w:color w:val="auto"/>
          <w:sz w:val="22"/>
        </w:rPr>
        <w:t>受</w:t>
      </w:r>
      <w:r>
        <w:rPr>
          <w:rFonts w:hint="eastAsia" w:ascii="宋体" w:eastAsia="宋体"/>
          <w:b w:val="0"/>
          <w:color w:val="auto"/>
          <w:sz w:val="22"/>
          <w:lang w:eastAsia="zh-CN"/>
        </w:rPr>
        <w:t>浙江大学温州研究院</w:t>
      </w:r>
      <w:r>
        <w:rPr>
          <w:rFonts w:hint="eastAsia" w:ascii="宋体" w:eastAsia="宋体"/>
          <w:b w:val="0"/>
          <w:color w:val="auto"/>
          <w:sz w:val="22"/>
        </w:rPr>
        <w:t>委托，就</w:t>
      </w:r>
      <w:r>
        <w:rPr>
          <w:rFonts w:hint="eastAsia" w:ascii="宋体" w:eastAsia="宋体"/>
          <w:b w:val="0"/>
          <w:color w:val="auto"/>
          <w:sz w:val="22"/>
          <w:lang w:eastAsia="zh-CN"/>
        </w:rPr>
        <w:t>浙江大学温州研究院办公家具采购项目</w:t>
      </w:r>
      <w:r>
        <w:rPr>
          <w:rFonts w:hint="eastAsia" w:ascii="宋体" w:eastAsia="宋体"/>
          <w:b w:val="0"/>
          <w:color w:val="auto"/>
          <w:sz w:val="22"/>
        </w:rPr>
        <w:t>进行公开招标，欢迎国内合格的供应商前来投标。</w:t>
      </w:r>
    </w:p>
    <w:p>
      <w:pPr>
        <w:widowControl/>
        <w:spacing w:line="360" w:lineRule="auto"/>
        <w:ind w:firstLine="540"/>
        <w:jc w:val="left"/>
        <w:rPr>
          <w:rFonts w:hint="eastAsia" w:ascii="宋体" w:eastAsia="宋体"/>
          <w:color w:val="auto"/>
          <w:sz w:val="22"/>
          <w:lang w:val="en-US" w:eastAsia="zh-CN"/>
        </w:rPr>
      </w:pPr>
      <w:r>
        <w:rPr>
          <w:rFonts w:hint="eastAsia" w:ascii="宋体" w:eastAsia="宋体"/>
          <w:color w:val="auto"/>
          <w:sz w:val="22"/>
        </w:rPr>
        <w:t>一．招标项目编号：</w:t>
      </w:r>
      <w:r>
        <w:rPr>
          <w:rFonts w:hint="eastAsia" w:ascii="宋体" w:eastAsia="宋体"/>
          <w:color w:val="auto"/>
          <w:sz w:val="22"/>
          <w:lang w:val="en-US" w:eastAsia="zh-CN"/>
        </w:rPr>
        <w:t>ZJSG20200216</w:t>
      </w:r>
    </w:p>
    <w:p>
      <w:pPr>
        <w:widowControl/>
        <w:spacing w:line="360" w:lineRule="auto"/>
        <w:ind w:firstLine="540"/>
        <w:jc w:val="left"/>
        <w:rPr>
          <w:rFonts w:ascii="宋体" w:eastAsia="宋体"/>
          <w:color w:val="auto"/>
          <w:sz w:val="22"/>
        </w:rPr>
      </w:pPr>
      <w:r>
        <w:rPr>
          <w:rFonts w:hint="eastAsia" w:ascii="宋体" w:eastAsia="宋体"/>
          <w:color w:val="auto"/>
          <w:sz w:val="22"/>
        </w:rPr>
        <w:t>二．采购组织类型：</w:t>
      </w:r>
      <w:r>
        <w:rPr>
          <w:rFonts w:ascii="宋体" w:eastAsia="宋体"/>
          <w:color w:val="auto"/>
          <w:sz w:val="22"/>
        </w:rPr>
        <w:t>分散采购委托代理</w:t>
      </w:r>
    </w:p>
    <w:p>
      <w:pPr>
        <w:widowControl/>
        <w:spacing w:line="360" w:lineRule="auto"/>
        <w:ind w:firstLine="540"/>
        <w:jc w:val="left"/>
        <w:rPr>
          <w:rFonts w:ascii="宋体" w:eastAsia="宋体"/>
          <w:color w:val="auto"/>
          <w:sz w:val="22"/>
        </w:rPr>
      </w:pPr>
      <w:r>
        <w:rPr>
          <w:rFonts w:hint="eastAsia" w:ascii="宋体" w:eastAsia="宋体"/>
          <w:color w:val="auto"/>
          <w:sz w:val="22"/>
        </w:rPr>
        <w:t>三．招标项目概况（具体见招标文件）：</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854"/>
        <w:gridCol w:w="847"/>
        <w:gridCol w:w="994"/>
        <w:gridCol w:w="2166"/>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vAlign w:val="center"/>
          </w:tcPr>
          <w:p>
            <w:pPr>
              <w:spacing w:line="440" w:lineRule="exact"/>
              <w:jc w:val="center"/>
              <w:rPr>
                <w:rFonts w:ascii="宋体" w:eastAsia="宋体"/>
                <w:b w:val="0"/>
                <w:color w:val="auto"/>
                <w:sz w:val="22"/>
                <w:szCs w:val="22"/>
              </w:rPr>
            </w:pPr>
            <w:r>
              <w:rPr>
                <w:rFonts w:hint="eastAsia" w:ascii="宋体" w:eastAsia="宋体"/>
                <w:b w:val="0"/>
                <w:color w:val="auto"/>
                <w:sz w:val="22"/>
                <w:szCs w:val="22"/>
              </w:rPr>
              <w:t>序号</w:t>
            </w:r>
          </w:p>
        </w:tc>
        <w:tc>
          <w:tcPr>
            <w:tcW w:w="1482" w:type="pct"/>
            <w:vAlign w:val="center"/>
          </w:tcPr>
          <w:p>
            <w:pPr>
              <w:spacing w:line="440" w:lineRule="exact"/>
              <w:ind w:firstLine="540"/>
              <w:rPr>
                <w:rFonts w:ascii="宋体" w:eastAsia="宋体"/>
                <w:b w:val="0"/>
                <w:color w:val="auto"/>
                <w:sz w:val="22"/>
                <w:szCs w:val="22"/>
              </w:rPr>
            </w:pPr>
            <w:r>
              <w:rPr>
                <w:rFonts w:hint="eastAsia" w:ascii="宋体" w:eastAsia="宋体"/>
                <w:b w:val="0"/>
                <w:color w:val="auto"/>
                <w:sz w:val="22"/>
                <w:szCs w:val="22"/>
              </w:rPr>
              <w:t>项目名称</w:t>
            </w:r>
          </w:p>
        </w:tc>
        <w:tc>
          <w:tcPr>
            <w:tcW w:w="440" w:type="pct"/>
            <w:vAlign w:val="center"/>
          </w:tcPr>
          <w:p>
            <w:pPr>
              <w:spacing w:line="440" w:lineRule="exact"/>
              <w:jc w:val="center"/>
              <w:rPr>
                <w:rFonts w:ascii="宋体" w:eastAsia="宋体"/>
                <w:b w:val="0"/>
                <w:color w:val="auto"/>
                <w:sz w:val="22"/>
                <w:szCs w:val="22"/>
              </w:rPr>
            </w:pPr>
            <w:r>
              <w:rPr>
                <w:rFonts w:hint="eastAsia" w:ascii="宋体" w:eastAsia="宋体"/>
                <w:b w:val="0"/>
                <w:color w:val="auto"/>
                <w:sz w:val="22"/>
                <w:szCs w:val="22"/>
              </w:rPr>
              <w:t>数量</w:t>
            </w:r>
          </w:p>
        </w:tc>
        <w:tc>
          <w:tcPr>
            <w:tcW w:w="516" w:type="pct"/>
            <w:vAlign w:val="center"/>
          </w:tcPr>
          <w:p>
            <w:pPr>
              <w:spacing w:line="440" w:lineRule="exact"/>
              <w:jc w:val="center"/>
              <w:rPr>
                <w:rFonts w:ascii="宋体" w:eastAsia="宋体"/>
                <w:b w:val="0"/>
                <w:color w:val="auto"/>
                <w:sz w:val="22"/>
                <w:szCs w:val="22"/>
              </w:rPr>
            </w:pPr>
            <w:r>
              <w:rPr>
                <w:rFonts w:hint="eastAsia" w:ascii="宋体" w:eastAsia="宋体"/>
                <w:b w:val="0"/>
                <w:color w:val="auto"/>
                <w:sz w:val="22"/>
                <w:szCs w:val="22"/>
              </w:rPr>
              <w:t>单位</w:t>
            </w:r>
          </w:p>
        </w:tc>
        <w:tc>
          <w:tcPr>
            <w:tcW w:w="1125" w:type="pct"/>
            <w:vAlign w:val="center"/>
          </w:tcPr>
          <w:p>
            <w:pPr>
              <w:spacing w:line="440" w:lineRule="exact"/>
              <w:rPr>
                <w:rFonts w:ascii="宋体" w:eastAsia="宋体"/>
                <w:b w:val="0"/>
                <w:color w:val="auto"/>
                <w:sz w:val="22"/>
                <w:szCs w:val="22"/>
              </w:rPr>
            </w:pPr>
            <w:r>
              <w:rPr>
                <w:rFonts w:hint="eastAsia" w:ascii="宋体" w:eastAsia="宋体"/>
                <w:b w:val="0"/>
                <w:color w:val="auto"/>
                <w:sz w:val="22"/>
                <w:szCs w:val="22"/>
              </w:rPr>
              <w:t>预算金额（万元）</w:t>
            </w:r>
          </w:p>
        </w:tc>
        <w:tc>
          <w:tcPr>
            <w:tcW w:w="1021" w:type="pct"/>
            <w:vAlign w:val="center"/>
          </w:tcPr>
          <w:p>
            <w:pPr>
              <w:spacing w:line="440" w:lineRule="exact"/>
              <w:jc w:val="center"/>
              <w:rPr>
                <w:rFonts w:ascii="宋体" w:eastAsia="宋体"/>
                <w:b w:val="0"/>
                <w:color w:val="auto"/>
                <w:sz w:val="22"/>
                <w:szCs w:val="22"/>
              </w:rPr>
            </w:pPr>
            <w:r>
              <w:rPr>
                <w:rFonts w:hint="eastAsia" w:ascii="宋体" w:eastAsia="宋体"/>
                <w:b w:val="0"/>
                <w:color w:val="auto"/>
                <w:sz w:val="22"/>
                <w:szCs w:val="22"/>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416" w:type="pct"/>
            <w:vAlign w:val="center"/>
          </w:tcPr>
          <w:p>
            <w:pPr>
              <w:widowControl/>
              <w:spacing w:line="360" w:lineRule="auto"/>
              <w:jc w:val="center"/>
              <w:rPr>
                <w:rFonts w:ascii="宋体" w:eastAsia="宋体"/>
                <w:b w:val="0"/>
                <w:color w:val="auto"/>
                <w:sz w:val="22"/>
              </w:rPr>
            </w:pPr>
            <w:r>
              <w:rPr>
                <w:rFonts w:hint="eastAsia" w:ascii="宋体" w:eastAsia="宋体"/>
                <w:b w:val="0"/>
                <w:color w:val="auto"/>
                <w:sz w:val="22"/>
              </w:rPr>
              <w:t>1</w:t>
            </w:r>
          </w:p>
        </w:tc>
        <w:tc>
          <w:tcPr>
            <w:tcW w:w="1482" w:type="pct"/>
            <w:vAlign w:val="center"/>
          </w:tcPr>
          <w:p>
            <w:pPr>
              <w:widowControl/>
              <w:spacing w:line="360" w:lineRule="auto"/>
              <w:jc w:val="left"/>
              <w:rPr>
                <w:rFonts w:hint="eastAsia" w:ascii="宋体" w:eastAsia="宋体"/>
                <w:b w:val="0"/>
                <w:color w:val="auto"/>
                <w:sz w:val="22"/>
                <w:lang w:eastAsia="zh-CN"/>
              </w:rPr>
            </w:pPr>
            <w:r>
              <w:rPr>
                <w:rFonts w:hint="eastAsia" w:ascii="宋体" w:eastAsia="宋体"/>
                <w:b w:val="0"/>
                <w:color w:val="auto"/>
                <w:sz w:val="22"/>
                <w:lang w:eastAsia="zh-CN"/>
              </w:rPr>
              <w:t>浙江大学温州研究院办公家具采购项目</w:t>
            </w:r>
          </w:p>
        </w:tc>
        <w:tc>
          <w:tcPr>
            <w:tcW w:w="440" w:type="pct"/>
            <w:vAlign w:val="center"/>
          </w:tcPr>
          <w:p>
            <w:pPr>
              <w:widowControl/>
              <w:spacing w:line="360" w:lineRule="auto"/>
              <w:jc w:val="center"/>
              <w:rPr>
                <w:rFonts w:ascii="宋体" w:eastAsia="宋体"/>
                <w:b w:val="0"/>
                <w:color w:val="auto"/>
                <w:sz w:val="22"/>
              </w:rPr>
            </w:pPr>
            <w:r>
              <w:rPr>
                <w:rFonts w:hint="eastAsia" w:ascii="宋体" w:eastAsia="宋体"/>
                <w:b w:val="0"/>
                <w:color w:val="auto"/>
                <w:sz w:val="22"/>
              </w:rPr>
              <w:t>1</w:t>
            </w:r>
          </w:p>
        </w:tc>
        <w:tc>
          <w:tcPr>
            <w:tcW w:w="516" w:type="pct"/>
            <w:vAlign w:val="center"/>
          </w:tcPr>
          <w:p>
            <w:pPr>
              <w:widowControl/>
              <w:spacing w:line="360" w:lineRule="auto"/>
              <w:jc w:val="center"/>
              <w:rPr>
                <w:rFonts w:ascii="宋体" w:eastAsia="宋体"/>
                <w:b w:val="0"/>
                <w:color w:val="auto"/>
                <w:sz w:val="22"/>
              </w:rPr>
            </w:pPr>
            <w:r>
              <w:rPr>
                <w:rFonts w:hint="eastAsia" w:ascii="宋体" w:eastAsia="宋体"/>
                <w:b w:val="0"/>
                <w:color w:val="auto"/>
                <w:sz w:val="22"/>
              </w:rPr>
              <w:t>项</w:t>
            </w:r>
          </w:p>
        </w:tc>
        <w:tc>
          <w:tcPr>
            <w:tcW w:w="1125" w:type="pct"/>
            <w:vAlign w:val="center"/>
          </w:tcPr>
          <w:p>
            <w:pPr>
              <w:widowControl/>
              <w:spacing w:line="360" w:lineRule="auto"/>
              <w:jc w:val="center"/>
              <w:rPr>
                <w:rFonts w:hint="default" w:ascii="宋体" w:eastAsia="宋体"/>
                <w:b w:val="0"/>
                <w:color w:val="auto"/>
                <w:sz w:val="22"/>
                <w:lang w:val="en-US" w:eastAsia="zh-CN"/>
              </w:rPr>
            </w:pPr>
            <w:r>
              <w:rPr>
                <w:rFonts w:hint="eastAsia" w:ascii="宋体" w:eastAsia="宋体"/>
                <w:b w:val="0"/>
                <w:color w:val="auto"/>
                <w:sz w:val="22"/>
                <w:lang w:val="en-US" w:eastAsia="zh-CN"/>
              </w:rPr>
              <w:t>95.2849</w:t>
            </w:r>
          </w:p>
        </w:tc>
        <w:tc>
          <w:tcPr>
            <w:tcW w:w="1021" w:type="pct"/>
            <w:vAlign w:val="center"/>
          </w:tcPr>
          <w:p>
            <w:pPr>
              <w:widowControl/>
              <w:spacing w:line="360" w:lineRule="auto"/>
              <w:jc w:val="center"/>
              <w:rPr>
                <w:rFonts w:ascii="宋体" w:eastAsia="宋体"/>
                <w:b w:val="0"/>
                <w:color w:val="auto"/>
                <w:sz w:val="22"/>
              </w:rPr>
            </w:pPr>
            <w:r>
              <w:rPr>
                <w:rFonts w:hint="eastAsia" w:ascii="宋体" w:eastAsia="宋体"/>
                <w:b w:val="0"/>
                <w:color w:val="auto"/>
                <w:sz w:val="22"/>
              </w:rPr>
              <w:t>具体见招标文件</w:t>
            </w:r>
          </w:p>
        </w:tc>
      </w:tr>
    </w:tbl>
    <w:p>
      <w:pPr>
        <w:widowControl/>
        <w:spacing w:line="360" w:lineRule="auto"/>
        <w:ind w:firstLine="540"/>
        <w:jc w:val="left"/>
        <w:rPr>
          <w:rFonts w:ascii="宋体" w:eastAsia="宋体"/>
          <w:color w:val="auto"/>
          <w:sz w:val="22"/>
        </w:rPr>
      </w:pPr>
      <w:r>
        <w:rPr>
          <w:rFonts w:hint="eastAsia" w:ascii="宋体" w:eastAsia="宋体"/>
          <w:color w:val="auto"/>
          <w:sz w:val="22"/>
        </w:rPr>
        <w:t>四．投标供应商资格要求:</w:t>
      </w:r>
    </w:p>
    <w:p>
      <w:pPr>
        <w:widowControl/>
        <w:spacing w:line="380" w:lineRule="exact"/>
        <w:ind w:firstLine="540"/>
        <w:jc w:val="left"/>
        <w:rPr>
          <w:rFonts w:ascii="宋体" w:eastAsia="宋体"/>
          <w:b w:val="0"/>
          <w:color w:val="auto"/>
          <w:sz w:val="22"/>
        </w:rPr>
      </w:pPr>
      <w:r>
        <w:rPr>
          <w:rFonts w:hint="eastAsia" w:ascii="宋体" w:eastAsia="宋体"/>
          <w:b w:val="0"/>
          <w:color w:val="auto"/>
          <w:sz w:val="22"/>
        </w:rPr>
        <w:t>1、符合《中华人民共和国政府采购法》第二十二条对供应商主体的要求；</w:t>
      </w:r>
    </w:p>
    <w:p>
      <w:pPr>
        <w:widowControl/>
        <w:spacing w:line="380" w:lineRule="exact"/>
        <w:ind w:firstLine="540"/>
        <w:jc w:val="left"/>
        <w:rPr>
          <w:rFonts w:ascii="宋体" w:eastAsia="宋体"/>
          <w:b w:val="0"/>
          <w:color w:val="auto"/>
          <w:sz w:val="22"/>
        </w:rPr>
      </w:pPr>
      <w:r>
        <w:rPr>
          <w:rFonts w:hint="eastAsia" w:ascii="宋体" w:eastAsia="宋体"/>
          <w:b w:val="0"/>
          <w:color w:val="auto"/>
          <w:sz w:val="22"/>
          <w:lang w:val="en-US" w:eastAsia="zh-CN"/>
        </w:rPr>
        <w:t>2</w:t>
      </w:r>
      <w:r>
        <w:rPr>
          <w:rFonts w:hint="eastAsia" w:ascii="宋体" w:eastAsia="宋体"/>
          <w:b w:val="0"/>
          <w:color w:val="auto"/>
          <w:sz w:val="22"/>
        </w:rPr>
        <w:t>、</w:t>
      </w:r>
      <w:r>
        <w:rPr>
          <w:rFonts w:ascii="宋体" w:eastAsia="宋体"/>
          <w:b w:val="0"/>
          <w:color w:val="auto"/>
          <w:sz w:val="22"/>
        </w:rPr>
        <w:t>本项目不接受联合体投标。</w:t>
      </w:r>
    </w:p>
    <w:p>
      <w:pPr>
        <w:widowControl/>
        <w:spacing w:line="380" w:lineRule="exact"/>
        <w:ind w:firstLine="540"/>
        <w:jc w:val="left"/>
        <w:rPr>
          <w:rFonts w:hint="eastAsia" w:ascii="宋体" w:eastAsia="宋体"/>
          <w:b/>
          <w:bCs/>
          <w:color w:val="auto"/>
          <w:sz w:val="22"/>
          <w:szCs w:val="22"/>
        </w:rPr>
      </w:pPr>
      <w:r>
        <w:rPr>
          <w:rFonts w:hint="eastAsia" w:ascii="宋体" w:eastAsia="宋体"/>
          <w:b/>
          <w:bCs/>
          <w:color w:val="auto"/>
          <w:sz w:val="22"/>
          <w:szCs w:val="22"/>
        </w:rPr>
        <w:t>五．招标文件发售时间、地址、售价:</w:t>
      </w:r>
    </w:p>
    <w:p>
      <w:pPr>
        <w:widowControl/>
        <w:spacing w:line="380" w:lineRule="exact"/>
        <w:ind w:firstLine="540"/>
        <w:jc w:val="left"/>
        <w:rPr>
          <w:rFonts w:hint="eastAsia" w:ascii="宋体" w:eastAsia="宋体"/>
          <w:b w:val="0"/>
          <w:color w:val="auto"/>
          <w:sz w:val="22"/>
          <w:szCs w:val="22"/>
        </w:rPr>
      </w:pPr>
      <w:r>
        <w:rPr>
          <w:rFonts w:hint="eastAsia" w:ascii="宋体" w:eastAsia="宋体"/>
          <w:b w:val="0"/>
          <w:color w:val="auto"/>
          <w:sz w:val="22"/>
          <w:szCs w:val="22"/>
        </w:rPr>
        <w:t>本项目采购文件实行“政采云平台”在线获取，不提供采购文件纸质版。供应商获取采购文件前应先完成“政采云平台”的账号注册同时办理CA领取。</w:t>
      </w:r>
    </w:p>
    <w:p>
      <w:pPr>
        <w:widowControl/>
        <w:spacing w:line="380" w:lineRule="exact"/>
        <w:ind w:firstLine="540"/>
        <w:jc w:val="left"/>
        <w:rPr>
          <w:rFonts w:hint="eastAsia" w:ascii="宋体" w:eastAsia="宋体"/>
          <w:b w:val="0"/>
          <w:color w:val="auto"/>
          <w:sz w:val="22"/>
          <w:szCs w:val="22"/>
        </w:rPr>
      </w:pPr>
      <w:r>
        <w:rPr>
          <w:rFonts w:hint="eastAsia" w:ascii="宋体" w:eastAsia="宋体"/>
          <w:b w:val="0"/>
          <w:color w:val="auto"/>
          <w:sz w:val="22"/>
          <w:szCs w:val="22"/>
        </w:rPr>
        <w:t>地点：政采云平台（http://zfcg.czt.zj.gov.cn）。</w:t>
      </w:r>
    </w:p>
    <w:p>
      <w:pPr>
        <w:widowControl/>
        <w:spacing w:line="380" w:lineRule="exact"/>
        <w:ind w:firstLine="540"/>
        <w:jc w:val="left"/>
        <w:rPr>
          <w:rFonts w:hint="eastAsia" w:ascii="宋体" w:eastAsia="宋体"/>
          <w:b w:val="0"/>
          <w:color w:val="auto"/>
          <w:sz w:val="22"/>
          <w:szCs w:val="22"/>
        </w:rPr>
      </w:pPr>
      <w:r>
        <w:rPr>
          <w:rFonts w:hint="eastAsia" w:ascii="宋体" w:eastAsia="宋体"/>
          <w:b w:val="0"/>
          <w:color w:val="auto"/>
          <w:sz w:val="22"/>
          <w:szCs w:val="22"/>
        </w:rPr>
        <w:t>方式：潜在投标人登陆政采云平台，在线申请获取采购文件（进入“项目采购”应用，在获取采购文件菜单中选择项目，申请获取采购文件，本项目采购文件不收取工本费；仅需浏览采购文件的供应商可点击“游客，浏览采购文件”直接下载采购文件浏览）。</w:t>
      </w:r>
    </w:p>
    <w:p>
      <w:pPr>
        <w:widowControl/>
        <w:spacing w:line="380" w:lineRule="exact"/>
        <w:ind w:firstLine="540"/>
        <w:jc w:val="left"/>
        <w:rPr>
          <w:rFonts w:hint="eastAsia" w:ascii="宋体" w:eastAsia="宋体"/>
          <w:b w:val="0"/>
          <w:color w:val="auto"/>
          <w:sz w:val="22"/>
          <w:szCs w:val="22"/>
        </w:rPr>
      </w:pPr>
      <w:r>
        <w:rPr>
          <w:rFonts w:hint="eastAsia" w:ascii="宋体" w:eastAsia="宋体"/>
          <w:b w:val="0"/>
          <w:color w:val="auto"/>
          <w:sz w:val="22"/>
          <w:szCs w:val="22"/>
        </w:rPr>
        <w:t>供应商获取采购文件时须提交的文件资料：无。</w:t>
      </w:r>
    </w:p>
    <w:p>
      <w:pPr>
        <w:widowControl/>
        <w:spacing w:line="380" w:lineRule="exact"/>
        <w:ind w:firstLine="540"/>
        <w:jc w:val="left"/>
        <w:rPr>
          <w:rFonts w:hint="eastAsia" w:ascii="宋体" w:eastAsia="宋体"/>
          <w:b w:val="0"/>
          <w:color w:val="auto"/>
          <w:sz w:val="22"/>
          <w:szCs w:val="22"/>
        </w:rPr>
      </w:pPr>
      <w:r>
        <w:rPr>
          <w:rFonts w:hint="eastAsia" w:ascii="宋体" w:eastAsia="宋体"/>
          <w:b w:val="0"/>
          <w:color w:val="auto"/>
          <w:sz w:val="22"/>
          <w:szCs w:val="22"/>
        </w:rPr>
        <w:t>提示：招标公告附件内的采购文件（或采购需求）仅供阅览使用，供应商只有在“政采云平台”完成获取采购文件申请并下载了采购文件后才视作依法获取采购文件（法律法规所指的供应商获取采购文件时间以供应商完成获取采购文件申请后下载采购文件的时间为准）。</w:t>
      </w:r>
    </w:p>
    <w:p>
      <w:pPr>
        <w:widowControl/>
        <w:spacing w:line="380" w:lineRule="exact"/>
        <w:ind w:firstLine="540"/>
        <w:jc w:val="left"/>
        <w:rPr>
          <w:rFonts w:hint="eastAsia" w:ascii="宋体" w:eastAsia="宋体"/>
          <w:b w:val="0"/>
          <w:color w:val="auto"/>
          <w:sz w:val="22"/>
          <w:szCs w:val="22"/>
        </w:rPr>
      </w:pPr>
      <w:r>
        <w:rPr>
          <w:rFonts w:hint="eastAsia" w:ascii="宋体" w:eastAsia="宋体"/>
          <w:b w:val="0"/>
          <w:color w:val="auto"/>
          <w:sz w:val="22"/>
          <w:szCs w:val="22"/>
        </w:rPr>
        <w:t>注：请供应商按上述要求获取采购文件，如未在“政采云”系统内完成相关流程，引起的投标无效责任自负。</w:t>
      </w:r>
    </w:p>
    <w:p>
      <w:pPr>
        <w:snapToGrid w:val="0"/>
        <w:spacing w:line="440" w:lineRule="atLeast"/>
        <w:ind w:firstLine="480"/>
        <w:rPr>
          <w:rFonts w:ascii="宋体" w:eastAsia="宋体"/>
          <w:color w:val="auto"/>
          <w:sz w:val="22"/>
          <w:szCs w:val="24"/>
        </w:rPr>
      </w:pPr>
      <w:r>
        <w:rPr>
          <w:rFonts w:hint="eastAsia" w:ascii="宋体" w:eastAsia="宋体"/>
          <w:color w:val="auto"/>
          <w:sz w:val="22"/>
        </w:rPr>
        <w:t>六、投标截止时间</w:t>
      </w:r>
      <w:r>
        <w:rPr>
          <w:rFonts w:hint="eastAsia" w:ascii="宋体" w:eastAsia="宋体"/>
          <w:color w:val="auto"/>
          <w:sz w:val="22"/>
          <w:szCs w:val="24"/>
        </w:rPr>
        <w:t>：20</w:t>
      </w:r>
      <w:r>
        <w:rPr>
          <w:rFonts w:hint="eastAsia" w:ascii="宋体" w:eastAsia="宋体"/>
          <w:color w:val="auto"/>
          <w:sz w:val="22"/>
          <w:szCs w:val="24"/>
          <w:lang w:val="en-US" w:eastAsia="zh-CN"/>
        </w:rPr>
        <w:t>20</w:t>
      </w:r>
      <w:r>
        <w:rPr>
          <w:rFonts w:hint="eastAsia" w:ascii="宋体" w:eastAsia="宋体"/>
          <w:color w:val="auto"/>
          <w:sz w:val="22"/>
          <w:szCs w:val="24"/>
        </w:rPr>
        <w:t>年</w:t>
      </w:r>
      <w:r>
        <w:rPr>
          <w:rFonts w:hint="eastAsia" w:ascii="宋体" w:eastAsia="宋体"/>
          <w:color w:val="auto"/>
          <w:sz w:val="22"/>
          <w:szCs w:val="24"/>
          <w:lang w:val="en-US" w:eastAsia="zh-CN"/>
        </w:rPr>
        <w:t>4</w:t>
      </w:r>
      <w:r>
        <w:rPr>
          <w:rFonts w:hint="eastAsia" w:ascii="宋体" w:eastAsia="宋体"/>
          <w:color w:val="auto"/>
          <w:sz w:val="22"/>
          <w:szCs w:val="24"/>
        </w:rPr>
        <w:t>月</w:t>
      </w:r>
      <w:r>
        <w:rPr>
          <w:rFonts w:hint="eastAsia" w:ascii="宋体" w:eastAsia="宋体"/>
          <w:color w:val="auto"/>
          <w:sz w:val="22"/>
          <w:szCs w:val="24"/>
          <w:lang w:val="en-US" w:eastAsia="zh-CN"/>
        </w:rPr>
        <w:t xml:space="preserve"> 16</w:t>
      </w:r>
      <w:r>
        <w:rPr>
          <w:rFonts w:hint="eastAsia" w:ascii="宋体" w:eastAsia="宋体"/>
          <w:color w:val="auto"/>
          <w:sz w:val="22"/>
          <w:szCs w:val="24"/>
        </w:rPr>
        <w:t xml:space="preserve">日　09:30 </w:t>
      </w:r>
    </w:p>
    <w:p>
      <w:pPr>
        <w:snapToGrid w:val="0"/>
        <w:spacing w:line="440" w:lineRule="atLeast"/>
        <w:ind w:firstLine="480"/>
        <w:rPr>
          <w:rFonts w:ascii="宋体" w:eastAsia="宋体"/>
          <w:b w:val="0"/>
          <w:color w:val="auto"/>
          <w:sz w:val="22"/>
        </w:rPr>
      </w:pPr>
      <w:r>
        <w:rPr>
          <w:rFonts w:hint="eastAsia" w:ascii="宋体" w:eastAsia="宋体"/>
          <w:color w:val="auto"/>
          <w:sz w:val="22"/>
        </w:rPr>
        <w:t>七、投标地点</w:t>
      </w:r>
      <w:r>
        <w:rPr>
          <w:rFonts w:hint="eastAsia" w:ascii="宋体" w:eastAsia="宋体"/>
          <w:color w:val="auto"/>
          <w:sz w:val="22"/>
          <w:szCs w:val="24"/>
        </w:rPr>
        <w:t>：</w:t>
      </w:r>
      <w:r>
        <w:rPr>
          <w:rFonts w:hint="eastAsia" w:ascii="宋体" w:eastAsia="宋体"/>
          <w:b w:val="0"/>
          <w:color w:val="auto"/>
          <w:sz w:val="22"/>
        </w:rPr>
        <w:t>瓯海区行政中心2号楼三楼公共资源交易大厅</w:t>
      </w:r>
      <w:r>
        <w:rPr>
          <w:rFonts w:ascii="宋体" w:eastAsia="宋体"/>
          <w:b w:val="0"/>
          <w:color w:val="auto"/>
          <w:sz w:val="22"/>
        </w:rPr>
        <w:t>（</w:t>
      </w:r>
      <w:r>
        <w:rPr>
          <w:rFonts w:hint="eastAsia" w:ascii="宋体" w:eastAsia="宋体"/>
          <w:b w:val="0"/>
          <w:color w:val="auto"/>
          <w:sz w:val="22"/>
        </w:rPr>
        <w:t>瓯海娄桥洲洋路2号</w:t>
      </w:r>
      <w:r>
        <w:rPr>
          <w:rFonts w:ascii="宋体" w:eastAsia="宋体"/>
          <w:b w:val="0"/>
          <w:color w:val="auto"/>
          <w:sz w:val="22"/>
        </w:rPr>
        <w:t>）</w:t>
      </w:r>
    </w:p>
    <w:p>
      <w:pPr>
        <w:snapToGrid w:val="0"/>
        <w:spacing w:line="440" w:lineRule="atLeast"/>
        <w:ind w:firstLine="480"/>
        <w:rPr>
          <w:rFonts w:ascii="宋体" w:eastAsia="宋体"/>
          <w:color w:val="auto"/>
          <w:sz w:val="22"/>
          <w:szCs w:val="24"/>
        </w:rPr>
      </w:pPr>
      <w:r>
        <w:rPr>
          <w:rFonts w:hint="eastAsia" w:ascii="宋体" w:eastAsia="宋体"/>
          <w:color w:val="auto"/>
          <w:sz w:val="22"/>
        </w:rPr>
        <w:t>八、开标时间</w:t>
      </w:r>
      <w:r>
        <w:rPr>
          <w:rFonts w:hint="eastAsia" w:ascii="宋体" w:eastAsia="宋体"/>
          <w:color w:val="auto"/>
          <w:sz w:val="22"/>
          <w:szCs w:val="24"/>
        </w:rPr>
        <w:t>：20</w:t>
      </w:r>
      <w:r>
        <w:rPr>
          <w:rFonts w:hint="eastAsia" w:ascii="宋体" w:eastAsia="宋体"/>
          <w:color w:val="auto"/>
          <w:sz w:val="22"/>
          <w:szCs w:val="24"/>
          <w:lang w:val="en-US" w:eastAsia="zh-CN"/>
        </w:rPr>
        <w:t>20</w:t>
      </w:r>
      <w:r>
        <w:rPr>
          <w:rFonts w:hint="eastAsia" w:ascii="宋体" w:eastAsia="宋体"/>
          <w:color w:val="auto"/>
          <w:sz w:val="22"/>
          <w:szCs w:val="24"/>
        </w:rPr>
        <w:t>年</w:t>
      </w:r>
      <w:r>
        <w:rPr>
          <w:rFonts w:hint="eastAsia" w:ascii="宋体" w:eastAsia="宋体"/>
          <w:color w:val="auto"/>
          <w:sz w:val="22"/>
          <w:szCs w:val="24"/>
          <w:lang w:val="en-US" w:eastAsia="zh-CN"/>
        </w:rPr>
        <w:t>4</w:t>
      </w:r>
      <w:r>
        <w:rPr>
          <w:rFonts w:hint="eastAsia" w:ascii="宋体" w:eastAsia="宋体"/>
          <w:color w:val="auto"/>
          <w:sz w:val="22"/>
          <w:szCs w:val="24"/>
        </w:rPr>
        <w:t>月</w:t>
      </w:r>
      <w:r>
        <w:rPr>
          <w:rFonts w:hint="eastAsia" w:ascii="宋体" w:eastAsia="宋体"/>
          <w:color w:val="auto"/>
          <w:sz w:val="22"/>
          <w:szCs w:val="24"/>
          <w:lang w:val="en-US" w:eastAsia="zh-CN"/>
        </w:rPr>
        <w:t>16</w:t>
      </w:r>
      <w:r>
        <w:rPr>
          <w:rFonts w:hint="eastAsia" w:ascii="宋体" w:eastAsia="宋体"/>
          <w:color w:val="auto"/>
          <w:sz w:val="22"/>
          <w:szCs w:val="24"/>
        </w:rPr>
        <w:t>日09:30</w:t>
      </w:r>
    </w:p>
    <w:p>
      <w:pPr>
        <w:snapToGrid w:val="0"/>
        <w:spacing w:line="440" w:lineRule="atLeast"/>
        <w:ind w:firstLine="480"/>
        <w:rPr>
          <w:rFonts w:ascii="宋体" w:eastAsia="宋体"/>
          <w:b w:val="0"/>
          <w:color w:val="auto"/>
          <w:sz w:val="22"/>
        </w:rPr>
      </w:pPr>
      <w:r>
        <w:rPr>
          <w:rFonts w:hint="eastAsia" w:ascii="宋体" w:eastAsia="宋体"/>
          <w:color w:val="auto"/>
          <w:sz w:val="22"/>
        </w:rPr>
        <w:t>九、开标地点：</w:t>
      </w:r>
      <w:r>
        <w:rPr>
          <w:rFonts w:hint="eastAsia" w:ascii="宋体" w:eastAsia="宋体"/>
          <w:b w:val="0"/>
          <w:color w:val="auto"/>
          <w:sz w:val="22"/>
        </w:rPr>
        <w:t>瓯海区行政中心2号楼三楼公共资源交易大厅</w:t>
      </w:r>
      <w:r>
        <w:rPr>
          <w:rFonts w:ascii="宋体" w:eastAsia="宋体"/>
          <w:b w:val="0"/>
          <w:color w:val="auto"/>
          <w:sz w:val="22"/>
        </w:rPr>
        <w:t>（</w:t>
      </w:r>
      <w:r>
        <w:rPr>
          <w:rFonts w:hint="eastAsia" w:ascii="宋体" w:eastAsia="宋体"/>
          <w:b w:val="0"/>
          <w:color w:val="auto"/>
          <w:sz w:val="22"/>
        </w:rPr>
        <w:t>瓯海娄桥洲洋路2号</w:t>
      </w:r>
      <w:r>
        <w:rPr>
          <w:rFonts w:ascii="宋体" w:eastAsia="宋体"/>
          <w:b w:val="0"/>
          <w:color w:val="auto"/>
          <w:sz w:val="22"/>
        </w:rPr>
        <w:t>）</w:t>
      </w:r>
    </w:p>
    <w:p>
      <w:pPr>
        <w:snapToGrid w:val="0"/>
        <w:spacing w:line="440" w:lineRule="atLeast"/>
        <w:ind w:firstLine="480"/>
        <w:rPr>
          <w:rFonts w:ascii="宋体" w:eastAsia="宋体"/>
          <w:color w:val="auto"/>
          <w:szCs w:val="21"/>
        </w:rPr>
      </w:pPr>
      <w:bookmarkStart w:id="195" w:name="_GoBack"/>
      <w:bookmarkEnd w:id="195"/>
    </w:p>
    <w:p>
      <w:pPr>
        <w:widowControl/>
        <w:spacing w:line="440" w:lineRule="atLeast"/>
        <w:ind w:firstLine="442" w:firstLineChars="200"/>
        <w:jc w:val="left"/>
        <w:rPr>
          <w:rFonts w:hint="eastAsia" w:ascii="宋体" w:eastAsia="宋体"/>
          <w:color w:val="auto"/>
          <w:sz w:val="22"/>
        </w:rPr>
      </w:pPr>
      <w:r>
        <w:rPr>
          <w:rFonts w:hint="eastAsia" w:ascii="宋体" w:eastAsia="宋体"/>
          <w:color w:val="auto"/>
          <w:sz w:val="22"/>
        </w:rPr>
        <w:t>十、在线投标响应（电子投标）说明</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eastAsia="宋体"/>
          <w:b w:val="0"/>
          <w:bCs/>
          <w:color w:val="auto"/>
          <w:sz w:val="22"/>
        </w:rPr>
      </w:pPr>
      <w:r>
        <w:rPr>
          <w:rFonts w:hint="eastAsia" w:ascii="宋体" w:eastAsia="宋体"/>
          <w:b w:val="0"/>
          <w:bCs/>
          <w:color w:val="auto"/>
          <w:sz w:val="22"/>
          <w:lang w:val="en-US" w:eastAsia="zh-CN"/>
        </w:rPr>
        <w:t>1、</w:t>
      </w:r>
      <w:r>
        <w:rPr>
          <w:rFonts w:hint="eastAsia" w:ascii="宋体" w:eastAsia="宋体"/>
          <w:b w:val="0"/>
          <w:bCs/>
          <w:color w:val="auto"/>
          <w:sz w:val="22"/>
        </w:rPr>
        <w:t>本项目通过“政采云平台（www.zcygov.cn）”实行在线投标响应（电子投标），供应商应先安装“政采云电子交易客户端”，并按照本采购文件和“政采云平台”的要求，通过“政采云电子交易客户端”编制并加密投标文件。供应商未按规定加密的投标文件，“政采云平台”将予以拒收。</w:t>
      </w:r>
      <w:r>
        <w:rPr>
          <w:rFonts w:hint="eastAsia" w:ascii="宋体" w:eastAsia="宋体"/>
          <w:b w:val="0"/>
          <w:bCs/>
          <w:color w:val="auto"/>
          <w:sz w:val="22"/>
          <w:lang w:val="en-US" w:eastAsia="zh-CN"/>
        </w:rPr>
        <w:t>2、</w:t>
      </w:r>
      <w:r>
        <w:rPr>
          <w:rFonts w:hint="eastAsia" w:ascii="宋体" w:eastAsia="宋体"/>
          <w:b w:val="0"/>
          <w:bCs/>
          <w:color w:val="auto"/>
          <w:sz w:val="22"/>
        </w:rPr>
        <w:t>“政采云电子交易客户端”请自行前往“浙江政府采购网-下载专区-电子交易客户端”进行下载；电子投标具体操作流程详见本公告附件《供应商项目采购-电子招投标操作指南》；通过“政采云平台”参与在线投标时如遇平台技术问题详询400-881-7190。</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eastAsia="宋体"/>
          <w:b w:val="0"/>
          <w:bCs/>
          <w:color w:val="auto"/>
          <w:sz w:val="22"/>
        </w:rPr>
      </w:pPr>
      <w:r>
        <w:rPr>
          <w:rFonts w:hint="eastAsia" w:ascii="宋体" w:eastAsia="宋体"/>
          <w:b w:val="0"/>
          <w:bCs/>
          <w:color w:val="auto"/>
          <w:sz w:val="22"/>
          <w:lang w:val="en-US" w:eastAsia="zh-CN"/>
        </w:rPr>
        <w:t>3、</w:t>
      </w:r>
      <w:r>
        <w:rPr>
          <w:rFonts w:hint="eastAsia" w:ascii="宋体" w:eastAsia="宋体"/>
          <w:b w:val="0"/>
          <w:bCs/>
          <w:color w:val="auto"/>
          <w:sz w:val="22"/>
        </w:rPr>
        <w:t>为确保网上操作合法、有效和安全，投标人应当在投标文件递交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eastAsia="宋体"/>
          <w:b w:val="0"/>
          <w:bCs/>
          <w:color w:val="auto"/>
          <w:sz w:val="22"/>
        </w:rPr>
        <w:fldChar w:fldCharType="begin"/>
      </w:r>
      <w:r>
        <w:rPr>
          <w:rFonts w:hint="eastAsia" w:ascii="宋体" w:eastAsia="宋体"/>
          <w:b w:val="0"/>
          <w:bCs/>
          <w:color w:val="auto"/>
          <w:sz w:val="22"/>
        </w:rPr>
        <w:instrText xml:space="preserve"> HYPERLINK "http://www.zjzfcg.gov.cn/bidClientTemplate/2019-05-27/12945.html" \o "CA驱动和申领流程" \t "_blank" </w:instrText>
      </w:r>
      <w:r>
        <w:rPr>
          <w:rFonts w:hint="eastAsia" w:ascii="宋体" w:eastAsia="宋体"/>
          <w:b w:val="0"/>
          <w:bCs/>
          <w:color w:val="auto"/>
          <w:sz w:val="22"/>
        </w:rPr>
        <w:fldChar w:fldCharType="separate"/>
      </w:r>
      <w:r>
        <w:rPr>
          <w:rFonts w:hint="eastAsia" w:ascii="宋体" w:eastAsia="宋体"/>
          <w:b w:val="0"/>
          <w:bCs/>
          <w:color w:val="auto"/>
          <w:sz w:val="22"/>
        </w:rPr>
        <w:t>CA驱动和申领流程</w:t>
      </w:r>
      <w:r>
        <w:rPr>
          <w:rFonts w:hint="eastAsia" w:ascii="宋体" w:eastAsia="宋体"/>
          <w:b w:val="0"/>
          <w:bCs/>
          <w:color w:val="auto"/>
          <w:sz w:val="22"/>
        </w:rPr>
        <w:fldChar w:fldCharType="end"/>
      </w:r>
      <w:r>
        <w:rPr>
          <w:rFonts w:hint="eastAsia" w:ascii="宋体" w:eastAsia="宋体"/>
          <w:b w:val="0"/>
          <w:bCs/>
          <w:color w:val="auto"/>
          <w:sz w:val="22"/>
        </w:rPr>
        <w:t>”进行查阅。</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eastAsia="宋体"/>
          <w:b w:val="0"/>
          <w:bCs/>
          <w:color w:val="auto"/>
          <w:sz w:val="22"/>
        </w:rPr>
      </w:pPr>
      <w:r>
        <w:rPr>
          <w:rFonts w:hint="eastAsia" w:ascii="宋体" w:eastAsia="宋体"/>
          <w:b w:val="0"/>
          <w:bCs/>
          <w:color w:val="auto"/>
          <w:sz w:val="22"/>
          <w:lang w:val="en-US" w:eastAsia="zh-CN"/>
        </w:rPr>
        <w:t>4、</w:t>
      </w:r>
      <w:r>
        <w:rPr>
          <w:rFonts w:hint="eastAsia" w:ascii="宋体" w:eastAsia="宋体"/>
          <w:b w:val="0"/>
          <w:bCs/>
          <w:color w:val="auto"/>
          <w:sz w:val="22"/>
        </w:rPr>
        <w:t>投标人应当在投标文件递交截止时间前，将生成的“电子加密投标文件”上传递交至“政采云平台”。投标文件递交截止时间以后上传递交的投标文件将被“政采云平台”拒收。</w:t>
      </w:r>
    </w:p>
    <w:p>
      <w:pPr>
        <w:pStyle w:val="94"/>
        <w:keepNext w:val="0"/>
        <w:keepLines w:val="0"/>
        <w:pageBreakBefore w:val="0"/>
        <w:widowControl/>
        <w:kinsoku/>
        <w:wordWrap/>
        <w:overflowPunct/>
        <w:topLinePunct w:val="0"/>
        <w:autoSpaceDE w:val="0"/>
        <w:autoSpaceDN w:val="0"/>
        <w:bidi w:val="0"/>
        <w:adjustRightInd w:val="0"/>
        <w:snapToGrid/>
        <w:spacing w:line="360" w:lineRule="auto"/>
        <w:jc w:val="both"/>
        <w:textAlignment w:val="auto"/>
        <w:rPr>
          <w:rFonts w:hint="eastAsia" w:ascii="宋体" w:eastAsia="宋体"/>
          <w:b w:val="0"/>
          <w:bCs/>
          <w:color w:val="auto"/>
          <w:sz w:val="22"/>
          <w:highlight w:val="none"/>
        </w:rPr>
      </w:pPr>
      <w:r>
        <w:rPr>
          <w:rFonts w:hint="eastAsia" w:ascii="宋体" w:eastAsia="宋体"/>
          <w:b w:val="0"/>
          <w:bCs/>
          <w:color w:val="auto"/>
          <w:sz w:val="22"/>
          <w:lang w:val="en-US" w:eastAsia="zh-CN"/>
        </w:rPr>
        <w:t>5、</w:t>
      </w:r>
      <w:r>
        <w:rPr>
          <w:rFonts w:hint="eastAsia" w:ascii="宋体" w:eastAsia="宋体"/>
          <w:b w:val="0"/>
          <w:bCs/>
          <w:color w:val="auto"/>
          <w:sz w:val="22"/>
        </w:rPr>
        <w:t>投标人在“政采云平台”完成“电子加密投标文件”的上传递交后，还可以向采购代理机构递交以介质（U盘）存储的数据电文形式的“备份投标文件”，“备份投标文件”应当密封包装并在包装上标注投标项目名称、投标单位名称并加盖公章，</w:t>
      </w:r>
      <w:r>
        <w:rPr>
          <w:rFonts w:hint="eastAsia" w:ascii="宋体" w:eastAsia="宋体"/>
          <w:b w:val="0"/>
          <w:bCs/>
          <w:color w:val="auto"/>
          <w:sz w:val="22"/>
          <w:highlight w:val="none"/>
        </w:rPr>
        <w:t>“备份投标文件”必须在</w:t>
      </w:r>
      <w:r>
        <w:rPr>
          <w:rFonts w:hint="eastAsia" w:ascii="新宋体" w:hAnsi="新宋体" w:eastAsia="新宋体" w:cs="新宋体"/>
          <w:sz w:val="22"/>
          <w:highlight w:val="none"/>
        </w:rPr>
        <w:t>投标人在“政采云平台”完成“电子加密投标文件”的上传递交后，</w:t>
      </w:r>
      <w:r>
        <w:rPr>
          <w:rFonts w:hint="eastAsia" w:ascii="新宋体" w:hAnsi="新宋体" w:eastAsia="新宋体" w:cs="新宋体"/>
          <w:sz w:val="22"/>
          <w:highlight w:val="none"/>
          <w:lang w:val="en-US" w:eastAsia="zh-CN"/>
        </w:rPr>
        <w:t>备份投标文件由</w:t>
      </w:r>
      <w:r>
        <w:rPr>
          <w:rFonts w:hint="eastAsia" w:ascii="宋体" w:eastAsia="宋体" w:cs="Arial"/>
          <w:b w:val="0"/>
          <w:color w:val="auto"/>
          <w:sz w:val="22"/>
          <w:szCs w:val="22"/>
          <w:highlight w:val="none"/>
        </w:rPr>
        <w:t>法定代表人或其授权代表须携带“身份证原件”</w:t>
      </w:r>
      <w:r>
        <w:rPr>
          <w:rFonts w:hint="eastAsia" w:ascii="新宋体" w:hAnsi="新宋体" w:eastAsia="新宋体" w:cs="新宋体"/>
          <w:sz w:val="22"/>
          <w:highlight w:val="none"/>
          <w:lang w:val="en-US" w:eastAsia="zh-CN"/>
        </w:rPr>
        <w:t>在开标截止前和样品一起送到瓯海交易中心收标区递交</w:t>
      </w:r>
      <w:r>
        <w:rPr>
          <w:rFonts w:hint="eastAsia" w:ascii="新宋体" w:hAnsi="新宋体" w:eastAsia="新宋体" w:cs="新宋体"/>
          <w:sz w:val="22"/>
          <w:highlight w:val="none"/>
        </w:rPr>
        <w:t>；</w:t>
      </w:r>
      <w:r>
        <w:rPr>
          <w:rFonts w:hint="eastAsia" w:ascii="宋体" w:eastAsia="宋体"/>
          <w:b w:val="0"/>
          <w:bCs/>
          <w:color w:val="auto"/>
          <w:sz w:val="22"/>
          <w:highlight w:val="none"/>
        </w:rPr>
        <w:t>否则视作投标人未提交“备份投标文件</w:t>
      </w:r>
      <w:r>
        <w:rPr>
          <w:rFonts w:hint="eastAsia"/>
          <w:b w:val="0"/>
          <w:bCs/>
          <w:color w:val="auto"/>
          <w:sz w:val="22"/>
          <w:highlight w:val="none"/>
          <w:lang w:val="en-US" w:eastAsia="zh-CN"/>
        </w:rPr>
        <w:t>和样品</w:t>
      </w:r>
      <w:r>
        <w:rPr>
          <w:rFonts w:hint="eastAsia" w:ascii="宋体" w:eastAsia="宋体"/>
          <w:b w:val="0"/>
          <w:bCs/>
          <w:color w:val="auto"/>
          <w:sz w:val="22"/>
          <w:highlight w:val="none"/>
        </w:rPr>
        <w:t>”。</w:t>
      </w:r>
    </w:p>
    <w:p>
      <w:pPr>
        <w:widowControl/>
        <w:spacing w:line="440" w:lineRule="atLeast"/>
        <w:jc w:val="left"/>
        <w:rPr>
          <w:rFonts w:hint="eastAsia" w:ascii="宋体" w:eastAsia="宋体"/>
          <w:b w:val="0"/>
          <w:bCs/>
          <w:color w:val="auto"/>
          <w:sz w:val="22"/>
        </w:rPr>
      </w:pPr>
      <w:r>
        <w:rPr>
          <w:rFonts w:hint="eastAsia" w:ascii="宋体" w:eastAsia="宋体"/>
          <w:b w:val="0"/>
          <w:bCs/>
          <w:color w:val="auto"/>
          <w:sz w:val="22"/>
          <w:highlight w:val="none"/>
          <w:lang w:val="en-US" w:eastAsia="zh-CN"/>
        </w:rPr>
        <w:t>6、</w:t>
      </w:r>
      <w:r>
        <w:rPr>
          <w:rFonts w:hint="eastAsia" w:ascii="宋体" w:eastAsia="宋体"/>
          <w:b w:val="0"/>
          <w:bCs/>
          <w:color w:val="auto"/>
          <w:sz w:val="22"/>
          <w:highlight w:val="none"/>
        </w:rPr>
        <w:t>通过“政采云平台”上传递交的“电子加密投标文件”无法按时解</w:t>
      </w:r>
      <w:r>
        <w:rPr>
          <w:rFonts w:hint="eastAsia" w:ascii="宋体" w:eastAsia="宋体"/>
          <w:b w:val="0"/>
          <w:bCs/>
          <w:color w:val="auto"/>
          <w:sz w:val="22"/>
        </w:rPr>
        <w:t>密，投标人递交了备份投标文件的，以备份投标文件为依据，否则视为投标文件撤回。 通过“政采云平台”上传递交的“电子加密投标文件”已按时解密的，“备份投标文件”自动失效。投标人仅递交备份投标文件的，投标无效。</w:t>
      </w:r>
    </w:p>
    <w:p>
      <w:pPr>
        <w:widowControl/>
        <w:spacing w:line="440" w:lineRule="atLeast"/>
        <w:jc w:val="left"/>
        <w:rPr>
          <w:rFonts w:hint="eastAsia" w:ascii="宋体" w:eastAsia="宋体"/>
          <w:b w:val="0"/>
          <w:bCs/>
          <w:color w:val="auto"/>
          <w:sz w:val="22"/>
          <w:highlight w:val="none"/>
        </w:rPr>
      </w:pPr>
      <w:r>
        <w:rPr>
          <w:rFonts w:hint="eastAsia" w:ascii="宋体" w:eastAsia="宋体"/>
          <w:b w:val="0"/>
          <w:bCs/>
          <w:color w:val="auto"/>
          <w:sz w:val="22"/>
          <w:lang w:val="en-US" w:eastAsia="zh-CN"/>
        </w:rPr>
        <w:t>7、</w:t>
      </w:r>
      <w:r>
        <w:rPr>
          <w:rFonts w:hint="eastAsia" w:ascii="宋体" w:eastAsia="宋体"/>
          <w:b w:val="0"/>
          <w:bCs/>
          <w:color w:val="auto"/>
          <w:sz w:val="22"/>
        </w:rPr>
        <w:t>为贯彻落实新型冠状病毒感染的肺炎疫情防控工作要求，根据《浙江省财政厅关于做好新型冠状病毒感染的肺炎疫情防控期间政府采购管理工作的通知》（浙财采监[2020]1号）、《浙江省财政厅关于进一步做好新冠肺炎疫情防控期间政府采购管理工作的通知》（浙财采监[2020]2号）等文件要求，本项目经采购单位负责人同意，按照“不见面、少接触”的原则进行采购活动</w:t>
      </w:r>
      <w:r>
        <w:rPr>
          <w:rFonts w:hint="eastAsia" w:ascii="宋体" w:eastAsia="宋体"/>
          <w:b w:val="0"/>
          <w:bCs/>
          <w:color w:val="auto"/>
          <w:sz w:val="22"/>
          <w:highlight w:val="none"/>
        </w:rPr>
        <w:t>。投标人无需在开标当天到达开标现场对电子投标进行解密，可在公司办公场地在规定时间内对电子投标文件进行解密。重要提醒：解密用的CA为制作投标文件的CA。</w:t>
      </w:r>
    </w:p>
    <w:p>
      <w:pPr>
        <w:widowControl/>
        <w:spacing w:line="440" w:lineRule="atLeast"/>
        <w:jc w:val="left"/>
        <w:rPr>
          <w:rFonts w:hint="eastAsia" w:ascii="宋体" w:eastAsia="宋体"/>
          <w:b w:val="0"/>
          <w:bCs/>
          <w:color w:val="auto"/>
          <w:sz w:val="22"/>
        </w:rPr>
      </w:pPr>
      <w:r>
        <w:rPr>
          <w:rFonts w:hint="eastAsia" w:ascii="宋体" w:eastAsia="宋体"/>
          <w:b w:val="0"/>
          <w:bCs/>
          <w:color w:val="auto"/>
          <w:sz w:val="22"/>
          <w:lang w:val="en-US" w:eastAsia="zh-CN"/>
        </w:rPr>
        <w:t>8、</w:t>
      </w:r>
      <w:r>
        <w:rPr>
          <w:rFonts w:hint="eastAsia" w:ascii="宋体" w:eastAsia="宋体"/>
          <w:b w:val="0"/>
          <w:bCs/>
          <w:color w:val="auto"/>
          <w:sz w:val="22"/>
        </w:rPr>
        <w:t>本项目由采购代理机构做好“备份电子投标文件”的签收工作后，与投标资料一并归档。投标人授权代表</w:t>
      </w:r>
      <w:r>
        <w:rPr>
          <w:rFonts w:hint="eastAsia" w:ascii="宋体" w:eastAsia="宋体"/>
          <w:b w:val="0"/>
          <w:bCs/>
          <w:color w:val="auto"/>
          <w:sz w:val="22"/>
          <w:lang w:val="en-US" w:eastAsia="zh-CN"/>
        </w:rPr>
        <w:t>递交备份投标文件和样品后可以</w:t>
      </w:r>
      <w:r>
        <w:rPr>
          <w:rFonts w:hint="eastAsia" w:ascii="宋体" w:eastAsia="宋体"/>
          <w:b w:val="0"/>
          <w:bCs/>
          <w:color w:val="auto"/>
          <w:sz w:val="22"/>
        </w:rPr>
        <w:t>不参加现场开标活动，由采购代理机构或采购人派出工作人员进行现场监督。采购代理机构将记录所有投标文件的开封过程的有关内容，并由采购代理机构或采购人的监督人员签字确认。评审小组要求供应商澄清、说明或者补正，须通过政采云平台要求澄清、说明或者补正。</w:t>
      </w:r>
    </w:p>
    <w:p>
      <w:pPr>
        <w:widowControl/>
        <w:spacing w:line="440" w:lineRule="atLeast"/>
        <w:jc w:val="left"/>
        <w:rPr>
          <w:rFonts w:hint="eastAsia" w:ascii="宋体" w:eastAsia="宋体"/>
          <w:b w:val="0"/>
          <w:bCs/>
          <w:color w:val="auto"/>
          <w:sz w:val="22"/>
        </w:rPr>
      </w:pPr>
      <w:r>
        <w:rPr>
          <w:rFonts w:hint="eastAsia" w:ascii="宋体" w:eastAsia="宋体"/>
          <w:b w:val="0"/>
          <w:bCs/>
          <w:color w:val="auto"/>
          <w:sz w:val="22"/>
          <w:lang w:val="en-US" w:eastAsia="zh-CN"/>
        </w:rPr>
        <w:t>9、</w:t>
      </w:r>
      <w:r>
        <w:rPr>
          <w:rFonts w:hint="eastAsia" w:ascii="宋体" w:eastAsia="宋体"/>
          <w:b w:val="0"/>
          <w:bCs/>
          <w:color w:val="auto"/>
          <w:sz w:val="22"/>
        </w:rPr>
        <w:t>电子投标操作指南详见：“</w:t>
      </w:r>
      <w:r>
        <w:rPr>
          <w:rFonts w:hint="eastAsia" w:ascii="宋体" w:eastAsia="宋体"/>
          <w:b w:val="0"/>
          <w:bCs/>
          <w:color w:val="auto"/>
          <w:sz w:val="22"/>
        </w:rPr>
        <w:fldChar w:fldCharType="begin"/>
      </w:r>
      <w:r>
        <w:rPr>
          <w:rFonts w:hint="eastAsia" w:ascii="宋体" w:eastAsia="宋体"/>
          <w:b w:val="0"/>
          <w:bCs/>
          <w:color w:val="auto"/>
          <w:sz w:val="22"/>
        </w:rPr>
        <w:instrText xml:space="preserve"> HYPERLINK "https://edu.zcygov.cn/luban/e-biding" </w:instrText>
      </w:r>
      <w:r>
        <w:rPr>
          <w:rFonts w:hint="eastAsia" w:ascii="宋体" w:eastAsia="宋体"/>
          <w:b w:val="0"/>
          <w:bCs/>
          <w:color w:val="auto"/>
          <w:sz w:val="22"/>
        </w:rPr>
        <w:fldChar w:fldCharType="separate"/>
      </w:r>
      <w:r>
        <w:rPr>
          <w:rFonts w:hint="eastAsia" w:ascii="宋体" w:eastAsia="宋体"/>
          <w:b w:val="0"/>
          <w:bCs/>
          <w:color w:val="auto"/>
          <w:sz w:val="22"/>
        </w:rPr>
        <w:t>https://edu.zcygov.cn/luban/e-biding</w:t>
      </w:r>
      <w:r>
        <w:rPr>
          <w:rFonts w:hint="eastAsia" w:ascii="宋体" w:eastAsia="宋体"/>
          <w:b w:val="0"/>
          <w:bCs/>
          <w:color w:val="auto"/>
          <w:sz w:val="22"/>
        </w:rPr>
        <w:fldChar w:fldCharType="end"/>
      </w:r>
      <w:r>
        <w:rPr>
          <w:rFonts w:hint="eastAsia" w:ascii="宋体" w:eastAsia="宋体"/>
          <w:b w:val="0"/>
          <w:bCs/>
          <w:color w:val="auto"/>
          <w:sz w:val="22"/>
        </w:rPr>
        <w:t>”</w:t>
      </w:r>
    </w:p>
    <w:p>
      <w:pPr>
        <w:widowControl/>
        <w:spacing w:line="440" w:lineRule="atLeast"/>
        <w:jc w:val="left"/>
        <w:rPr>
          <w:rFonts w:ascii="宋体" w:eastAsia="宋体" w:cs="Arial"/>
          <w:b w:val="0"/>
          <w:bCs/>
          <w:color w:val="auto"/>
          <w:sz w:val="24"/>
          <w:szCs w:val="24"/>
        </w:rPr>
      </w:pPr>
      <w:r>
        <w:rPr>
          <w:rFonts w:hint="eastAsia" w:ascii="宋体" w:eastAsia="宋体" w:cs="Arial"/>
          <w:bCs/>
          <w:color w:val="auto"/>
          <w:sz w:val="24"/>
          <w:szCs w:val="24"/>
          <w:lang w:val="en-US" w:eastAsia="zh-CN"/>
        </w:rPr>
        <w:t>十一、</w:t>
      </w:r>
      <w:r>
        <w:rPr>
          <w:rFonts w:hint="eastAsia" w:ascii="宋体" w:eastAsia="宋体" w:cs="Arial"/>
          <w:bCs/>
          <w:color w:val="auto"/>
          <w:sz w:val="24"/>
          <w:szCs w:val="24"/>
        </w:rPr>
        <w:t>其他事项：</w:t>
      </w:r>
    </w:p>
    <w:p>
      <w:pPr>
        <w:keepNext w:val="0"/>
        <w:keepLines w:val="0"/>
        <w:pageBreakBefore w:val="0"/>
        <w:widowControl/>
        <w:kinsoku/>
        <w:wordWrap/>
        <w:overflowPunct/>
        <w:topLinePunct w:val="0"/>
        <w:autoSpaceDE/>
        <w:autoSpaceDN/>
        <w:bidi w:val="0"/>
        <w:adjustRightInd/>
        <w:spacing w:line="320" w:lineRule="exact"/>
        <w:ind w:firstLine="440" w:firstLineChars="200"/>
        <w:jc w:val="left"/>
        <w:textAlignment w:val="auto"/>
        <w:rPr>
          <w:rFonts w:ascii="宋体" w:eastAsia="宋体"/>
          <w:b w:val="0"/>
          <w:color w:val="auto"/>
          <w:sz w:val="22"/>
          <w:szCs w:val="24"/>
        </w:rPr>
      </w:pPr>
      <w:r>
        <w:rPr>
          <w:rFonts w:hint="eastAsia" w:ascii="宋体" w:eastAsia="宋体"/>
          <w:b w:val="0"/>
          <w:color w:val="auto"/>
          <w:sz w:val="22"/>
          <w:szCs w:val="24"/>
        </w:rPr>
        <w:t>1、本项目采购文件公告期限为公告发布次日起五个工作日。</w:t>
      </w:r>
    </w:p>
    <w:p>
      <w:pPr>
        <w:keepNext w:val="0"/>
        <w:keepLines w:val="0"/>
        <w:pageBreakBefore w:val="0"/>
        <w:widowControl/>
        <w:kinsoku/>
        <w:wordWrap/>
        <w:overflowPunct/>
        <w:topLinePunct w:val="0"/>
        <w:autoSpaceDE/>
        <w:autoSpaceDN/>
        <w:bidi w:val="0"/>
        <w:adjustRightInd/>
        <w:spacing w:line="320" w:lineRule="exact"/>
        <w:ind w:firstLine="440" w:firstLineChars="200"/>
        <w:jc w:val="left"/>
        <w:textAlignment w:val="auto"/>
        <w:rPr>
          <w:rFonts w:ascii="宋体" w:eastAsia="宋体"/>
          <w:b w:val="0"/>
          <w:color w:val="auto"/>
          <w:sz w:val="22"/>
          <w:szCs w:val="24"/>
        </w:rPr>
      </w:pPr>
      <w:r>
        <w:rPr>
          <w:rFonts w:ascii="宋体" w:eastAsia="宋体"/>
          <w:b w:val="0"/>
          <w:color w:val="auto"/>
          <w:sz w:val="22"/>
          <w:szCs w:val="24"/>
        </w:rPr>
        <w:t>2</w:t>
      </w:r>
      <w:r>
        <w:rPr>
          <w:rFonts w:hint="eastAsia" w:ascii="宋体" w:eastAsia="宋体"/>
          <w:b w:val="0"/>
          <w:color w:val="auto"/>
          <w:sz w:val="22"/>
          <w:szCs w:val="24"/>
        </w:rPr>
        <w:t>、招标文件提供期限时间之后有潜在供应商提出要求获取招标文件的，将允许其获取，但该供应商如对招标文件有异议的，应于自招标文件提供期限满之日起七个工作日内以书面形式向代理机构提出。</w:t>
      </w:r>
    </w:p>
    <w:p>
      <w:pPr>
        <w:keepNext w:val="0"/>
        <w:keepLines w:val="0"/>
        <w:pageBreakBefore w:val="0"/>
        <w:widowControl/>
        <w:kinsoku/>
        <w:wordWrap/>
        <w:overflowPunct/>
        <w:topLinePunct w:val="0"/>
        <w:autoSpaceDE/>
        <w:autoSpaceDN/>
        <w:bidi w:val="0"/>
        <w:adjustRightInd/>
        <w:spacing w:line="320" w:lineRule="exact"/>
        <w:ind w:firstLine="440" w:firstLineChars="200"/>
        <w:jc w:val="left"/>
        <w:textAlignment w:val="auto"/>
        <w:rPr>
          <w:rFonts w:ascii="宋体" w:eastAsia="宋体"/>
          <w:b w:val="0"/>
          <w:color w:val="auto"/>
          <w:sz w:val="22"/>
          <w:szCs w:val="24"/>
        </w:rPr>
      </w:pPr>
      <w:r>
        <w:rPr>
          <w:rFonts w:ascii="宋体" w:eastAsia="宋体"/>
          <w:b w:val="0"/>
          <w:color w:val="auto"/>
          <w:sz w:val="22"/>
          <w:szCs w:val="24"/>
        </w:rPr>
        <w:t>3</w:t>
      </w:r>
      <w:r>
        <w:rPr>
          <w:rFonts w:hint="eastAsia" w:ascii="宋体" w:eastAsia="宋体"/>
          <w:b w:val="0"/>
          <w:color w:val="auto"/>
          <w:sz w:val="22"/>
          <w:szCs w:val="24"/>
        </w:rPr>
        <w:t>、供应商知道或者应知其权益受到损害之日起七个工作日内，以书面形式向采购人（或采购代理机构）提出质疑。供应商应知其权益受到损害之日，是指：对可以质疑的采购文件提出质疑的，为收到采购文件之日（含网上报名下载采购文件）或者采购文件公告期限届满之日（</w:t>
      </w:r>
      <w:r>
        <w:rPr>
          <w:rFonts w:ascii="宋体" w:eastAsia="宋体"/>
          <w:b w:val="0"/>
          <w:color w:val="auto"/>
          <w:sz w:val="22"/>
          <w:szCs w:val="24"/>
        </w:rPr>
        <w:t>采购文件在</w:t>
      </w:r>
      <w:r>
        <w:rPr>
          <w:rFonts w:hint="eastAsia" w:ascii="宋体" w:eastAsia="宋体"/>
          <w:b w:val="0"/>
          <w:color w:val="auto"/>
          <w:sz w:val="22"/>
          <w:szCs w:val="24"/>
        </w:rPr>
        <w:t>招标文件公告期限</w:t>
      </w:r>
      <w:r>
        <w:rPr>
          <w:rFonts w:ascii="宋体" w:eastAsia="宋体"/>
          <w:b w:val="0"/>
          <w:color w:val="auto"/>
          <w:sz w:val="22"/>
          <w:szCs w:val="24"/>
        </w:rPr>
        <w:t>后获得的，自</w:t>
      </w:r>
      <w:r>
        <w:rPr>
          <w:rFonts w:hint="eastAsia" w:ascii="宋体" w:eastAsia="宋体"/>
          <w:b w:val="0"/>
          <w:color w:val="auto"/>
          <w:sz w:val="22"/>
          <w:szCs w:val="24"/>
        </w:rPr>
        <w:t>采购文件公告期限届满之日</w:t>
      </w:r>
      <w:r>
        <w:rPr>
          <w:rFonts w:ascii="宋体" w:eastAsia="宋体"/>
          <w:b w:val="0"/>
          <w:color w:val="auto"/>
          <w:sz w:val="22"/>
          <w:szCs w:val="24"/>
        </w:rPr>
        <w:t>起计算</w:t>
      </w:r>
      <w:r>
        <w:rPr>
          <w:rFonts w:hint="eastAsia" w:ascii="宋体" w:eastAsia="宋体"/>
          <w:b w:val="0"/>
          <w:color w:val="auto"/>
          <w:sz w:val="22"/>
          <w:szCs w:val="24"/>
        </w:rPr>
        <w:t>）；对采购过程提出质疑的，为各采购程序环节结束之日；对中标或者成交结果提出质疑的，为中标或者成交结果公告期限届满之日。</w:t>
      </w:r>
    </w:p>
    <w:p>
      <w:pPr>
        <w:keepNext w:val="0"/>
        <w:keepLines w:val="0"/>
        <w:pageBreakBefore w:val="0"/>
        <w:widowControl/>
        <w:kinsoku/>
        <w:wordWrap/>
        <w:overflowPunct/>
        <w:topLinePunct w:val="0"/>
        <w:autoSpaceDE/>
        <w:autoSpaceDN/>
        <w:bidi w:val="0"/>
        <w:adjustRightInd/>
        <w:spacing w:line="320" w:lineRule="exact"/>
        <w:ind w:firstLine="440" w:firstLineChars="200"/>
        <w:jc w:val="left"/>
        <w:textAlignment w:val="auto"/>
        <w:rPr>
          <w:rFonts w:ascii="宋体" w:eastAsia="宋体"/>
          <w:b w:val="0"/>
          <w:color w:val="auto"/>
          <w:sz w:val="22"/>
          <w:szCs w:val="24"/>
        </w:rPr>
      </w:pPr>
      <w:r>
        <w:rPr>
          <w:rFonts w:ascii="宋体" w:eastAsia="宋体"/>
          <w:b w:val="0"/>
          <w:color w:val="auto"/>
          <w:sz w:val="22"/>
          <w:szCs w:val="24"/>
        </w:rPr>
        <w:t>4</w:t>
      </w:r>
      <w:r>
        <w:rPr>
          <w:rFonts w:hint="eastAsia" w:ascii="宋体" w:eastAsia="宋体"/>
          <w:b w:val="0"/>
          <w:color w:val="auto"/>
          <w:sz w:val="22"/>
          <w:szCs w:val="24"/>
        </w:rPr>
        <w:t>、供应商质疑应当有明确的请求和必要的证明材料；采购人及招标代理机构按</w:t>
      </w:r>
      <w:r>
        <w:rPr>
          <w:rFonts w:ascii="宋体" w:eastAsia="宋体"/>
          <w:b w:val="0"/>
          <w:color w:val="auto"/>
          <w:sz w:val="22"/>
          <w:szCs w:val="24"/>
        </w:rPr>
        <w:t>《</w:t>
      </w:r>
      <w:r>
        <w:rPr>
          <w:rFonts w:hint="eastAsia" w:ascii="Times New Roman" w:hAnsi="Times New Roman" w:eastAsia="宋体"/>
          <w:b w:val="0"/>
          <w:color w:val="auto"/>
          <w:sz w:val="23"/>
          <w:szCs w:val="23"/>
        </w:rPr>
        <w:t>政府采购质疑和投诉办法</w:t>
      </w:r>
      <w:r>
        <w:rPr>
          <w:rFonts w:ascii="宋体" w:eastAsia="宋体"/>
          <w:b w:val="0"/>
          <w:color w:val="auto"/>
          <w:sz w:val="22"/>
          <w:szCs w:val="24"/>
        </w:rPr>
        <w:t>》</w:t>
      </w:r>
      <w:r>
        <w:rPr>
          <w:rFonts w:hint="eastAsia" w:ascii="宋体" w:eastAsia="宋体"/>
          <w:b w:val="0"/>
          <w:color w:val="auto"/>
          <w:sz w:val="22"/>
          <w:szCs w:val="24"/>
        </w:rPr>
        <w:t>进行处理供应商质疑事项。</w:t>
      </w:r>
    </w:p>
    <w:p>
      <w:pPr>
        <w:keepNext w:val="0"/>
        <w:keepLines w:val="0"/>
        <w:pageBreakBefore w:val="0"/>
        <w:widowControl/>
        <w:kinsoku/>
        <w:wordWrap/>
        <w:overflowPunct/>
        <w:topLinePunct w:val="0"/>
        <w:autoSpaceDE/>
        <w:autoSpaceDN/>
        <w:bidi w:val="0"/>
        <w:adjustRightInd/>
        <w:spacing w:line="320" w:lineRule="exact"/>
        <w:ind w:firstLine="440" w:firstLineChars="200"/>
        <w:jc w:val="left"/>
        <w:textAlignment w:val="auto"/>
        <w:rPr>
          <w:rFonts w:ascii="宋体" w:eastAsia="宋体"/>
          <w:b w:val="0"/>
          <w:color w:val="auto"/>
          <w:sz w:val="22"/>
          <w:szCs w:val="24"/>
        </w:rPr>
      </w:pPr>
      <w:r>
        <w:rPr>
          <w:rFonts w:ascii="宋体" w:eastAsia="宋体"/>
          <w:b w:val="0"/>
          <w:color w:val="auto"/>
          <w:sz w:val="22"/>
          <w:szCs w:val="24"/>
        </w:rPr>
        <w:t>5</w:t>
      </w:r>
      <w:r>
        <w:rPr>
          <w:rFonts w:hint="eastAsia" w:ascii="宋体" w:eastAsia="宋体"/>
          <w:b w:val="0"/>
          <w:color w:val="auto"/>
          <w:sz w:val="22"/>
          <w:szCs w:val="24"/>
        </w:rPr>
        <w:t>、潜在供应商可在浙江政府采购网http://www.zjzfcg.gov.cn进行免费注册，具体详见浙江政府采购网供应商注册要求；</w:t>
      </w:r>
    </w:p>
    <w:p>
      <w:pPr>
        <w:keepNext w:val="0"/>
        <w:keepLines w:val="0"/>
        <w:pageBreakBefore w:val="0"/>
        <w:kinsoku/>
        <w:wordWrap/>
        <w:overflowPunct/>
        <w:topLinePunct w:val="0"/>
        <w:autoSpaceDE/>
        <w:autoSpaceDN/>
        <w:bidi w:val="0"/>
        <w:adjustRightInd/>
        <w:snapToGrid w:val="0"/>
        <w:spacing w:line="320" w:lineRule="exact"/>
        <w:ind w:firstLine="480"/>
        <w:textAlignment w:val="auto"/>
        <w:rPr>
          <w:rFonts w:ascii="宋体" w:eastAsia="宋体"/>
          <w:color w:val="auto"/>
          <w:sz w:val="22"/>
        </w:rPr>
      </w:pPr>
      <w:r>
        <w:rPr>
          <w:rFonts w:hint="eastAsia" w:ascii="宋体" w:eastAsia="宋体"/>
          <w:color w:val="auto"/>
          <w:sz w:val="22"/>
        </w:rPr>
        <w:t>十一、联系方式</w:t>
      </w: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hint="eastAsia" w:ascii="宋体" w:eastAsia="宋体"/>
          <w:b w:val="0"/>
          <w:color w:val="auto"/>
          <w:sz w:val="22"/>
          <w:lang w:eastAsia="zh-CN"/>
        </w:rPr>
      </w:pPr>
      <w:r>
        <w:rPr>
          <w:rFonts w:hint="eastAsia" w:ascii="宋体" w:eastAsia="宋体"/>
          <w:b w:val="0"/>
          <w:color w:val="auto"/>
          <w:sz w:val="22"/>
        </w:rPr>
        <w:t>采 购 单位：</w:t>
      </w:r>
      <w:r>
        <w:rPr>
          <w:rFonts w:hint="eastAsia" w:ascii="宋体" w:eastAsia="宋体"/>
          <w:b w:val="0"/>
          <w:color w:val="auto"/>
          <w:sz w:val="22"/>
          <w:lang w:eastAsia="zh-CN"/>
        </w:rPr>
        <w:t>浙江大学温州研究院</w:t>
      </w: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hint="default" w:ascii="宋体" w:eastAsia="宋体"/>
          <w:b w:val="0"/>
          <w:color w:val="auto"/>
          <w:sz w:val="22"/>
          <w:lang w:val="en-US" w:eastAsia="zh-CN"/>
        </w:rPr>
      </w:pPr>
      <w:r>
        <w:rPr>
          <w:rFonts w:hint="eastAsia" w:ascii="宋体" w:eastAsia="宋体"/>
          <w:b w:val="0"/>
          <w:color w:val="auto"/>
          <w:sz w:val="22"/>
        </w:rPr>
        <w:t>联 系 人：</w:t>
      </w:r>
      <w:r>
        <w:rPr>
          <w:rFonts w:hint="eastAsia" w:ascii="宋体" w:eastAsia="宋体"/>
          <w:b w:val="0"/>
          <w:color w:val="auto"/>
          <w:sz w:val="22"/>
          <w:lang w:val="en-US" w:eastAsia="zh-CN"/>
        </w:rPr>
        <w:t>郑女士</w:t>
      </w:r>
    </w:p>
    <w:p>
      <w:pPr>
        <w:widowControl/>
        <w:spacing w:line="380" w:lineRule="exact"/>
        <w:ind w:firstLine="540"/>
        <w:jc w:val="left"/>
        <w:rPr>
          <w:rFonts w:hint="eastAsia" w:ascii="宋体" w:eastAsia="宋体"/>
          <w:b w:val="0"/>
          <w:color w:val="auto"/>
          <w:sz w:val="22"/>
          <w:lang w:val="en-US" w:eastAsia="zh-CN"/>
        </w:rPr>
      </w:pPr>
      <w:bookmarkStart w:id="3" w:name="OLE_LINK1"/>
      <w:r>
        <w:rPr>
          <w:rFonts w:hint="eastAsia" w:ascii="宋体" w:eastAsia="宋体"/>
          <w:b w:val="0"/>
          <w:color w:val="auto"/>
          <w:sz w:val="22"/>
        </w:rPr>
        <w:t>地址：</w:t>
      </w:r>
      <w:r>
        <w:rPr>
          <w:rFonts w:hint="eastAsia" w:ascii="宋体" w:eastAsia="宋体"/>
          <w:b w:val="0"/>
          <w:color w:val="auto"/>
          <w:sz w:val="22"/>
          <w:lang w:val="en-US" w:eastAsia="zh-CN"/>
        </w:rPr>
        <w:t>温州市瓯海区东方南路38号温州市国家大学科技园9号楼三楼</w:t>
      </w:r>
    </w:p>
    <w:p>
      <w:pPr>
        <w:widowControl/>
        <w:spacing w:line="380" w:lineRule="exact"/>
        <w:ind w:firstLine="540"/>
        <w:jc w:val="left"/>
        <w:rPr>
          <w:rFonts w:hint="eastAsia" w:ascii="宋体" w:eastAsia="宋体"/>
          <w:b w:val="0"/>
          <w:color w:val="auto"/>
          <w:sz w:val="22"/>
        </w:rPr>
      </w:pPr>
      <w:r>
        <w:rPr>
          <w:rFonts w:hint="eastAsia" w:ascii="宋体" w:eastAsia="宋体"/>
          <w:b w:val="0"/>
          <w:color w:val="auto"/>
          <w:sz w:val="22"/>
        </w:rPr>
        <w:t>联系电话：0577</w:t>
      </w:r>
      <w:r>
        <w:rPr>
          <w:rFonts w:hint="eastAsia" w:ascii="宋体" w:eastAsia="宋体"/>
          <w:b w:val="0"/>
          <w:color w:val="auto"/>
          <w:sz w:val="22"/>
          <w:lang w:val="en-US" w:eastAsia="zh-CN"/>
        </w:rPr>
        <w:t>-</w:t>
      </w:r>
      <w:r>
        <w:rPr>
          <w:rFonts w:hint="eastAsia" w:ascii="宋体" w:eastAsia="宋体"/>
          <w:b w:val="0"/>
          <w:color w:val="auto"/>
          <w:sz w:val="22"/>
        </w:rPr>
        <w:t>88060025</w:t>
      </w: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hint="eastAsia" w:ascii="宋体" w:eastAsia="宋体"/>
          <w:b w:val="0"/>
          <w:color w:val="auto"/>
          <w:sz w:val="22"/>
          <w:lang w:eastAsia="zh-CN"/>
        </w:rPr>
      </w:pPr>
      <w:r>
        <w:rPr>
          <w:rFonts w:hint="eastAsia" w:ascii="宋体" w:eastAsia="宋体"/>
          <w:b w:val="0"/>
          <w:color w:val="auto"/>
          <w:sz w:val="22"/>
        </w:rPr>
        <w:t>采购代理机构：</w:t>
      </w:r>
      <w:r>
        <w:rPr>
          <w:rFonts w:hint="eastAsia" w:ascii="宋体" w:eastAsia="宋体"/>
          <w:b w:val="0"/>
          <w:color w:val="auto"/>
          <w:sz w:val="22"/>
          <w:lang w:eastAsia="zh-CN"/>
        </w:rPr>
        <w:t>浙江省工程咨询有限公司</w:t>
      </w: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hint="eastAsia" w:ascii="宋体" w:eastAsia="宋体"/>
          <w:b w:val="0"/>
          <w:color w:val="auto"/>
          <w:sz w:val="22"/>
          <w:lang w:val="en-US" w:eastAsia="zh-CN"/>
        </w:rPr>
      </w:pPr>
      <w:r>
        <w:rPr>
          <w:rFonts w:hint="eastAsia" w:ascii="宋体" w:eastAsia="宋体"/>
          <w:b w:val="0"/>
          <w:color w:val="auto"/>
          <w:sz w:val="22"/>
        </w:rPr>
        <w:t xml:space="preserve"> 地址：温州市</w:t>
      </w:r>
      <w:r>
        <w:rPr>
          <w:rFonts w:hint="eastAsia" w:ascii="宋体" w:eastAsia="宋体"/>
          <w:b w:val="0"/>
          <w:color w:val="auto"/>
          <w:sz w:val="22"/>
          <w:lang w:val="en-US" w:eastAsia="zh-CN"/>
        </w:rPr>
        <w:t>上江路80号新邻里中心4楼16-17号</w:t>
      </w: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hint="eastAsia" w:ascii="宋体" w:eastAsia="宋体"/>
          <w:b w:val="0"/>
          <w:color w:val="auto"/>
          <w:sz w:val="22"/>
          <w:lang w:val="en-US" w:eastAsia="zh-CN"/>
        </w:rPr>
      </w:pPr>
      <w:r>
        <w:rPr>
          <w:rFonts w:hint="eastAsia" w:ascii="宋体" w:eastAsia="宋体"/>
          <w:b w:val="0"/>
          <w:color w:val="auto"/>
          <w:sz w:val="22"/>
        </w:rPr>
        <w:t xml:space="preserve"> 联系人：</w:t>
      </w:r>
      <w:r>
        <w:rPr>
          <w:rFonts w:hint="eastAsia" w:ascii="宋体" w:eastAsia="宋体"/>
          <w:b w:val="0"/>
          <w:color w:val="auto"/>
          <w:sz w:val="22"/>
          <w:lang w:val="en-US" w:eastAsia="zh-CN"/>
        </w:rPr>
        <w:t>陈女士</w:t>
      </w:r>
      <w:r>
        <w:rPr>
          <w:rFonts w:hint="eastAsia" w:ascii="宋体" w:eastAsia="宋体"/>
          <w:b w:val="0"/>
          <w:color w:val="auto"/>
          <w:sz w:val="22"/>
        </w:rPr>
        <w:t xml:space="preserve">  联系电话：</w:t>
      </w:r>
      <w:r>
        <w:rPr>
          <w:rFonts w:hint="eastAsia" w:ascii="宋体" w:eastAsia="宋体"/>
          <w:b w:val="0"/>
          <w:color w:val="auto"/>
          <w:sz w:val="22"/>
          <w:lang w:val="en-US" w:eastAsia="zh-CN"/>
        </w:rPr>
        <w:t>15805872316</w:t>
      </w:r>
      <w:r>
        <w:rPr>
          <w:rFonts w:hint="eastAsia" w:ascii="宋体" w:eastAsia="宋体"/>
          <w:b w:val="0"/>
          <w:color w:val="auto"/>
          <w:sz w:val="22"/>
        </w:rPr>
        <w:t>传真：0577-</w:t>
      </w:r>
      <w:r>
        <w:rPr>
          <w:rFonts w:hint="eastAsia" w:ascii="宋体" w:eastAsia="宋体"/>
          <w:b w:val="0"/>
          <w:color w:val="auto"/>
          <w:sz w:val="22"/>
          <w:lang w:val="en-US" w:eastAsia="zh-CN"/>
        </w:rPr>
        <w:t>88863066</w:t>
      </w: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ascii="宋体" w:eastAsia="宋体"/>
          <w:b w:val="0"/>
          <w:color w:val="auto"/>
          <w:sz w:val="22"/>
        </w:rPr>
      </w:pPr>
      <w:r>
        <w:rPr>
          <w:rFonts w:hint="eastAsia" w:ascii="宋体" w:eastAsia="宋体"/>
          <w:b w:val="0"/>
          <w:color w:val="auto"/>
          <w:sz w:val="22"/>
        </w:rPr>
        <w:t>同级政府采购监督管理部门名称：温州市瓯海区财政局</w:t>
      </w: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ascii="宋体" w:eastAsia="宋体"/>
          <w:b w:val="0"/>
          <w:color w:val="auto"/>
          <w:sz w:val="22"/>
        </w:rPr>
      </w:pPr>
      <w:r>
        <w:rPr>
          <w:rFonts w:hint="eastAsia" w:ascii="宋体" w:eastAsia="宋体"/>
          <w:b w:val="0"/>
          <w:color w:val="auto"/>
          <w:sz w:val="22"/>
        </w:rPr>
        <w:t>联系人：虞先生</w:t>
      </w: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ascii="宋体" w:eastAsia="宋体"/>
          <w:b w:val="0"/>
          <w:color w:val="auto"/>
          <w:sz w:val="22"/>
        </w:rPr>
      </w:pPr>
      <w:r>
        <w:rPr>
          <w:rFonts w:hint="eastAsia" w:ascii="宋体" w:eastAsia="宋体"/>
          <w:b w:val="0"/>
          <w:color w:val="auto"/>
          <w:sz w:val="22"/>
        </w:rPr>
        <w:t>联系电话：</w:t>
      </w:r>
      <w:r>
        <w:rPr>
          <w:rFonts w:ascii="宋体" w:eastAsia="宋体"/>
          <w:b w:val="0"/>
          <w:color w:val="auto"/>
          <w:sz w:val="22"/>
        </w:rPr>
        <w:t xml:space="preserve"> 0577</w:t>
      </w:r>
      <w:r>
        <w:rPr>
          <w:rFonts w:hint="eastAsia" w:ascii="宋体" w:eastAsia="宋体"/>
          <w:b w:val="0"/>
          <w:color w:val="auto"/>
          <w:sz w:val="22"/>
        </w:rPr>
        <w:t>-88522238</w:t>
      </w: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hint="eastAsia" w:ascii="宋体" w:eastAsia="宋体"/>
          <w:b w:val="0"/>
          <w:color w:val="auto"/>
          <w:sz w:val="22"/>
        </w:rPr>
      </w:pPr>
      <w:r>
        <w:rPr>
          <w:rFonts w:hint="eastAsia" w:ascii="宋体" w:eastAsia="宋体"/>
          <w:b w:val="0"/>
          <w:color w:val="auto"/>
          <w:sz w:val="22"/>
        </w:rPr>
        <w:t>地址：温州市新瓯海区行政审批中心1号楼</w:t>
      </w: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hint="eastAsia" w:ascii="宋体" w:eastAsia="宋体"/>
          <w:b w:val="0"/>
          <w:color w:val="auto"/>
          <w:sz w:val="22"/>
        </w:rPr>
      </w:pPr>
    </w:p>
    <w:p>
      <w:pPr>
        <w:keepNext w:val="0"/>
        <w:keepLines w:val="0"/>
        <w:pageBreakBefore w:val="0"/>
        <w:widowControl/>
        <w:kinsoku/>
        <w:wordWrap/>
        <w:overflowPunct/>
        <w:topLinePunct w:val="0"/>
        <w:autoSpaceDE/>
        <w:autoSpaceDN/>
        <w:bidi w:val="0"/>
        <w:adjustRightInd/>
        <w:spacing w:line="320" w:lineRule="exact"/>
        <w:ind w:firstLine="540"/>
        <w:jc w:val="left"/>
        <w:textAlignment w:val="auto"/>
        <w:rPr>
          <w:rFonts w:hint="eastAsia" w:ascii="宋体" w:eastAsia="宋体"/>
          <w:b w:val="0"/>
          <w:color w:val="auto"/>
          <w:sz w:val="22"/>
        </w:rPr>
      </w:pPr>
    </w:p>
    <w:p>
      <w:pPr>
        <w:widowControl/>
        <w:spacing w:line="380" w:lineRule="exact"/>
        <w:ind w:firstLine="540"/>
        <w:jc w:val="left"/>
        <w:rPr>
          <w:rFonts w:hint="eastAsia" w:ascii="宋体" w:eastAsia="宋体"/>
          <w:b w:val="0"/>
          <w:color w:val="auto"/>
          <w:sz w:val="22"/>
        </w:rPr>
      </w:pPr>
    </w:p>
    <w:p>
      <w:pPr>
        <w:widowControl/>
        <w:spacing w:line="380" w:lineRule="exact"/>
        <w:ind w:firstLine="540"/>
        <w:jc w:val="left"/>
        <w:rPr>
          <w:rFonts w:hint="eastAsia" w:ascii="宋体" w:eastAsia="宋体"/>
          <w:b w:val="0"/>
          <w:color w:val="auto"/>
          <w:sz w:val="22"/>
        </w:rPr>
      </w:pPr>
    </w:p>
    <w:p>
      <w:pPr>
        <w:widowControl/>
        <w:spacing w:line="380" w:lineRule="exact"/>
        <w:ind w:firstLine="540"/>
        <w:jc w:val="left"/>
        <w:rPr>
          <w:rFonts w:hint="eastAsia" w:ascii="宋体" w:eastAsia="宋体"/>
          <w:b w:val="0"/>
          <w:color w:val="auto"/>
          <w:sz w:val="22"/>
        </w:rPr>
      </w:pPr>
    </w:p>
    <w:p>
      <w:pPr>
        <w:widowControl/>
        <w:spacing w:line="380" w:lineRule="exact"/>
        <w:ind w:firstLine="540"/>
        <w:jc w:val="left"/>
        <w:rPr>
          <w:rFonts w:hint="eastAsia" w:ascii="宋体" w:eastAsia="宋体"/>
          <w:b w:val="0"/>
          <w:color w:val="auto"/>
          <w:sz w:val="22"/>
        </w:rPr>
      </w:pPr>
    </w:p>
    <w:p>
      <w:pPr>
        <w:widowControl/>
        <w:spacing w:line="380" w:lineRule="exact"/>
        <w:jc w:val="right"/>
        <w:rPr>
          <w:rFonts w:hint="eastAsia" w:ascii="宋体" w:eastAsia="宋体"/>
          <w:b w:val="0"/>
          <w:color w:val="auto"/>
          <w:sz w:val="22"/>
          <w:lang w:eastAsia="zh-CN"/>
        </w:rPr>
      </w:pPr>
      <w:r>
        <w:rPr>
          <w:rFonts w:hint="eastAsia" w:ascii="宋体" w:eastAsia="宋体"/>
          <w:b w:val="0"/>
          <w:color w:val="auto"/>
          <w:sz w:val="22"/>
          <w:lang w:eastAsia="zh-CN"/>
        </w:rPr>
        <w:t>浙江大学温州研究院</w:t>
      </w:r>
    </w:p>
    <w:p>
      <w:pPr>
        <w:widowControl/>
        <w:spacing w:line="380" w:lineRule="exact"/>
        <w:jc w:val="right"/>
        <w:rPr>
          <w:rFonts w:hint="eastAsia" w:ascii="宋体" w:eastAsia="宋体"/>
          <w:b w:val="0"/>
          <w:color w:val="auto"/>
          <w:sz w:val="22"/>
          <w:lang w:eastAsia="zh-CN"/>
        </w:rPr>
      </w:pPr>
      <w:r>
        <w:rPr>
          <w:rFonts w:hint="eastAsia" w:ascii="宋体" w:eastAsia="宋体"/>
          <w:b w:val="0"/>
          <w:color w:val="auto"/>
          <w:sz w:val="22"/>
        </w:rPr>
        <w:t xml:space="preserve">                                </w:t>
      </w:r>
      <w:r>
        <w:rPr>
          <w:rFonts w:hint="eastAsia" w:ascii="宋体" w:eastAsia="宋体"/>
          <w:b w:val="0"/>
          <w:color w:val="auto"/>
          <w:sz w:val="22"/>
          <w:lang w:eastAsia="zh-CN"/>
        </w:rPr>
        <w:t>浙江省工程咨询有限公司</w:t>
      </w:r>
    </w:p>
    <w:p>
      <w:pPr>
        <w:widowControl/>
        <w:spacing w:line="380" w:lineRule="exact"/>
        <w:jc w:val="right"/>
        <w:rPr>
          <w:rFonts w:ascii="宋体" w:eastAsia="宋体"/>
          <w:b w:val="0"/>
          <w:color w:val="auto"/>
          <w:sz w:val="22"/>
        </w:rPr>
      </w:pPr>
      <w:r>
        <w:rPr>
          <w:rFonts w:hint="eastAsia" w:ascii="宋体" w:eastAsia="宋体"/>
          <w:b w:val="0"/>
          <w:color w:val="auto"/>
          <w:sz w:val="22"/>
        </w:rPr>
        <w:t>20</w:t>
      </w:r>
      <w:r>
        <w:rPr>
          <w:rFonts w:hint="eastAsia" w:ascii="宋体" w:eastAsia="宋体"/>
          <w:b w:val="0"/>
          <w:color w:val="auto"/>
          <w:sz w:val="22"/>
          <w:lang w:val="en-US" w:eastAsia="zh-CN"/>
        </w:rPr>
        <w:t>20</w:t>
      </w:r>
      <w:r>
        <w:rPr>
          <w:rFonts w:hint="eastAsia" w:ascii="宋体" w:eastAsia="宋体"/>
          <w:b w:val="0"/>
          <w:color w:val="auto"/>
          <w:sz w:val="22"/>
        </w:rPr>
        <w:t>年</w:t>
      </w:r>
      <w:r>
        <w:rPr>
          <w:rFonts w:hint="eastAsia" w:ascii="宋体" w:eastAsia="宋体"/>
          <w:b w:val="0"/>
          <w:color w:val="auto"/>
          <w:sz w:val="22"/>
          <w:lang w:val="en-US" w:eastAsia="zh-CN"/>
        </w:rPr>
        <w:t>3</w:t>
      </w:r>
      <w:r>
        <w:rPr>
          <w:rFonts w:hint="eastAsia" w:ascii="宋体" w:eastAsia="宋体"/>
          <w:b w:val="0"/>
          <w:color w:val="auto"/>
          <w:sz w:val="22"/>
        </w:rPr>
        <w:t>月</w:t>
      </w:r>
      <w:r>
        <w:rPr>
          <w:rFonts w:hint="eastAsia" w:ascii="宋体" w:eastAsia="宋体"/>
          <w:b w:val="0"/>
          <w:color w:val="auto"/>
          <w:sz w:val="22"/>
          <w:lang w:val="en-US" w:eastAsia="zh-CN"/>
        </w:rPr>
        <w:t>23</w:t>
      </w:r>
      <w:r>
        <w:rPr>
          <w:rFonts w:hint="eastAsia" w:ascii="宋体" w:eastAsia="宋体"/>
          <w:b w:val="0"/>
          <w:color w:val="auto"/>
          <w:sz w:val="22"/>
        </w:rPr>
        <w:t>日</w:t>
      </w:r>
      <w:bookmarkEnd w:id="3"/>
    </w:p>
    <w:p>
      <w:pPr>
        <w:widowControl/>
        <w:spacing w:line="360" w:lineRule="auto"/>
        <w:jc w:val="right"/>
        <w:rPr>
          <w:rFonts w:ascii="宋体" w:eastAsia="宋体"/>
          <w:b w:val="0"/>
          <w:color w:val="auto"/>
          <w:sz w:val="22"/>
        </w:rPr>
      </w:pPr>
    </w:p>
    <w:p>
      <w:pPr>
        <w:widowControl/>
        <w:spacing w:line="360" w:lineRule="auto"/>
        <w:jc w:val="right"/>
        <w:rPr>
          <w:rFonts w:ascii="宋体" w:eastAsia="宋体"/>
          <w:b w:val="0"/>
          <w:color w:val="auto"/>
          <w:sz w:val="22"/>
        </w:rPr>
      </w:pPr>
    </w:p>
    <w:p>
      <w:pPr>
        <w:widowControl/>
        <w:spacing w:line="360" w:lineRule="auto"/>
        <w:jc w:val="right"/>
        <w:rPr>
          <w:rFonts w:ascii="宋体" w:eastAsia="宋体"/>
          <w:b w:val="0"/>
          <w:color w:val="auto"/>
          <w:sz w:val="22"/>
        </w:rPr>
      </w:pPr>
    </w:p>
    <w:p>
      <w:pPr>
        <w:widowControl/>
        <w:spacing w:line="360" w:lineRule="auto"/>
        <w:jc w:val="both"/>
        <w:rPr>
          <w:rFonts w:ascii="宋体" w:eastAsia="宋体"/>
          <w:b w:val="0"/>
          <w:color w:val="auto"/>
          <w:sz w:val="22"/>
        </w:rPr>
      </w:pPr>
    </w:p>
    <w:bookmarkEnd w:id="2"/>
    <w:p>
      <w:pPr>
        <w:pStyle w:val="60"/>
        <w:jc w:val="center"/>
        <w:rPr>
          <w:rFonts w:ascii="宋体" w:hAnsi="宋体"/>
          <w:color w:val="auto"/>
        </w:rPr>
      </w:pPr>
      <w:r>
        <w:rPr>
          <w:rFonts w:ascii="宋体" w:hAnsi="宋体"/>
          <w:color w:val="auto"/>
          <w:lang w:val="zh-CN"/>
        </w:rPr>
        <w:t>招标文件目录</w:t>
      </w:r>
    </w:p>
    <w:p>
      <w:pPr>
        <w:pStyle w:val="70"/>
      </w:pPr>
      <w:r>
        <w:fldChar w:fldCharType="begin"/>
      </w:r>
      <w:r>
        <w:instrText xml:space="preserve"> TOC \o "1-3" \h \z \u </w:instrText>
      </w:r>
      <w:r>
        <w:fldChar w:fldCharType="separate"/>
      </w:r>
      <w:r>
        <w:fldChar w:fldCharType="begin"/>
      </w:r>
      <w:r>
        <w:instrText xml:space="preserve"> HYPERLINK \l "_Toc494407521" </w:instrText>
      </w:r>
      <w:r>
        <w:fldChar w:fldCharType="separate"/>
      </w:r>
      <w:r>
        <w:rPr>
          <w:rStyle w:val="28"/>
          <w:rFonts w:hint="eastAsia"/>
          <w:b w:val="0"/>
          <w:color w:val="auto"/>
        </w:rPr>
        <w:t>关于</w:t>
      </w:r>
      <w:r>
        <w:rPr>
          <w:rStyle w:val="28"/>
          <w:rFonts w:hint="eastAsia"/>
          <w:b w:val="0"/>
          <w:color w:val="auto"/>
          <w:lang w:eastAsia="zh-CN"/>
        </w:rPr>
        <w:t>浙江大学温州研究院办公家具采购项目</w:t>
      </w:r>
      <w:r>
        <w:rPr>
          <w:rStyle w:val="28"/>
          <w:rFonts w:hint="eastAsia"/>
          <w:b w:val="0"/>
          <w:color w:val="auto"/>
        </w:rPr>
        <w:t>的公开招标公告</w:t>
      </w:r>
      <w:r>
        <w:tab/>
      </w:r>
      <w:r>
        <w:rPr>
          <w:rFonts w:hint="eastAsia"/>
        </w:rPr>
        <w:t>1</w:t>
      </w:r>
      <w:r>
        <w:rPr>
          <w:rFonts w:hint="eastAsia"/>
        </w:rPr>
        <w:fldChar w:fldCharType="end"/>
      </w:r>
    </w:p>
    <w:p>
      <w:pPr>
        <w:pStyle w:val="70"/>
      </w:pPr>
      <w:r>
        <w:fldChar w:fldCharType="begin"/>
      </w:r>
      <w:r>
        <w:instrText xml:space="preserve"> HYPERLINK \l "_Toc494407523" </w:instrText>
      </w:r>
      <w:r>
        <w:fldChar w:fldCharType="separate"/>
      </w:r>
      <w:r>
        <w:rPr>
          <w:rStyle w:val="28"/>
          <w:rFonts w:hint="eastAsia"/>
          <w:b w:val="0"/>
          <w:color w:val="auto"/>
        </w:rPr>
        <w:t>第一部分投标邀请函（投标须知前附表）</w:t>
      </w:r>
      <w:r>
        <w:tab/>
      </w:r>
      <w:r>
        <w:fldChar w:fldCharType="begin"/>
      </w:r>
      <w:r>
        <w:instrText xml:space="preserve"> PAGEREF _Toc494407523 \h </w:instrText>
      </w:r>
      <w:r>
        <w:fldChar w:fldCharType="separate"/>
      </w:r>
      <w:r>
        <w:t>6</w:t>
      </w:r>
      <w:r>
        <w:fldChar w:fldCharType="end"/>
      </w:r>
      <w:r>
        <w:fldChar w:fldCharType="end"/>
      </w:r>
    </w:p>
    <w:p>
      <w:pPr>
        <w:pStyle w:val="70"/>
      </w:pPr>
      <w:r>
        <w:fldChar w:fldCharType="begin"/>
      </w:r>
      <w:r>
        <w:instrText xml:space="preserve"> HYPERLINK \l "_Toc494407525" </w:instrText>
      </w:r>
      <w:r>
        <w:fldChar w:fldCharType="separate"/>
      </w:r>
      <w:r>
        <w:rPr>
          <w:rStyle w:val="28"/>
          <w:rFonts w:hint="eastAsia"/>
          <w:b w:val="0"/>
          <w:color w:val="auto"/>
        </w:rPr>
        <w:t>第二部分招标内容及要求</w:t>
      </w:r>
      <w:r>
        <w:tab/>
      </w:r>
      <w:r>
        <w:rPr>
          <w:rFonts w:hint="eastAsia"/>
        </w:rPr>
        <w:t>7</w:t>
      </w:r>
      <w:r>
        <w:rPr>
          <w:rFonts w:hint="eastAsia"/>
        </w:rPr>
        <w:fldChar w:fldCharType="end"/>
      </w:r>
    </w:p>
    <w:p>
      <w:pPr>
        <w:pStyle w:val="70"/>
      </w:pPr>
      <w:r>
        <w:fldChar w:fldCharType="begin"/>
      </w:r>
      <w:r>
        <w:instrText xml:space="preserve"> HYPERLINK \l "_Toc494407526" </w:instrText>
      </w:r>
      <w:r>
        <w:fldChar w:fldCharType="separate"/>
      </w:r>
      <w:r>
        <w:rPr>
          <w:rStyle w:val="28"/>
          <w:rFonts w:hint="eastAsia"/>
          <w:b w:val="0"/>
          <w:color w:val="auto"/>
        </w:rPr>
        <w:t>一、采购总说明</w:t>
      </w:r>
      <w:r>
        <w:tab/>
      </w:r>
      <w:r>
        <w:fldChar w:fldCharType="begin"/>
      </w:r>
      <w:r>
        <w:instrText xml:space="preserve"> PAGEREF _Toc494407526 \h </w:instrText>
      </w:r>
      <w:r>
        <w:fldChar w:fldCharType="separate"/>
      </w:r>
      <w:r>
        <w:t>9</w:t>
      </w:r>
      <w:r>
        <w:fldChar w:fldCharType="end"/>
      </w:r>
      <w:r>
        <w:fldChar w:fldCharType="end"/>
      </w:r>
    </w:p>
    <w:p>
      <w:pPr>
        <w:pStyle w:val="70"/>
      </w:pPr>
      <w:r>
        <w:fldChar w:fldCharType="begin"/>
      </w:r>
      <w:r>
        <w:instrText xml:space="preserve"> HYPERLINK \l "_Toc494407527" </w:instrText>
      </w:r>
      <w:r>
        <w:fldChar w:fldCharType="separate"/>
      </w:r>
      <w:r>
        <w:rPr>
          <w:rStyle w:val="28"/>
          <w:rFonts w:hint="eastAsia"/>
          <w:b w:val="0"/>
          <w:color w:val="auto"/>
        </w:rPr>
        <w:t>二、总体技术要求</w:t>
      </w:r>
      <w:r>
        <w:tab/>
      </w:r>
      <w:r>
        <w:fldChar w:fldCharType="begin"/>
      </w:r>
      <w:r>
        <w:instrText xml:space="preserve"> PAGEREF _Toc494407527 \h </w:instrText>
      </w:r>
      <w:r>
        <w:fldChar w:fldCharType="separate"/>
      </w:r>
      <w:r>
        <w:t>9</w:t>
      </w:r>
      <w:r>
        <w:fldChar w:fldCharType="end"/>
      </w:r>
      <w:r>
        <w:fldChar w:fldCharType="end"/>
      </w:r>
    </w:p>
    <w:p>
      <w:pPr>
        <w:pStyle w:val="70"/>
      </w:pPr>
      <w:r>
        <w:fldChar w:fldCharType="begin"/>
      </w:r>
      <w:r>
        <w:instrText xml:space="preserve"> HYPERLINK \l "_Toc494407528" </w:instrText>
      </w:r>
      <w:r>
        <w:fldChar w:fldCharType="separate"/>
      </w:r>
      <w:r>
        <w:rPr>
          <w:rStyle w:val="28"/>
          <w:rFonts w:hint="eastAsia"/>
          <w:b w:val="0"/>
          <w:color w:val="auto"/>
        </w:rPr>
        <w:t>三、采购内容</w:t>
      </w:r>
      <w:bookmarkStart w:id="4" w:name="_Hlt494407645"/>
      <w:r>
        <w:rPr>
          <w:rStyle w:val="28"/>
          <w:rFonts w:hint="eastAsia"/>
          <w:b w:val="0"/>
          <w:color w:val="auto"/>
        </w:rPr>
        <w:t>及</w:t>
      </w:r>
      <w:bookmarkEnd w:id="4"/>
      <w:r>
        <w:rPr>
          <w:rStyle w:val="28"/>
          <w:rFonts w:hint="eastAsia"/>
          <w:b w:val="0"/>
          <w:color w:val="auto"/>
        </w:rPr>
        <w:t>具体要求</w:t>
      </w:r>
      <w:r>
        <w:tab/>
      </w:r>
      <w:r>
        <w:fldChar w:fldCharType="begin"/>
      </w:r>
      <w:r>
        <w:instrText xml:space="preserve"> PAGEREF _Toc494407528 \h </w:instrText>
      </w:r>
      <w:r>
        <w:fldChar w:fldCharType="separate"/>
      </w:r>
      <w:r>
        <w:t>9</w:t>
      </w:r>
      <w:r>
        <w:fldChar w:fldCharType="end"/>
      </w:r>
      <w:r>
        <w:fldChar w:fldCharType="end"/>
      </w:r>
    </w:p>
    <w:p>
      <w:pPr>
        <w:pStyle w:val="70"/>
      </w:pPr>
      <w:r>
        <w:fldChar w:fldCharType="begin"/>
      </w:r>
      <w:r>
        <w:instrText xml:space="preserve"> HYPERLINK \l "_Toc494407531" </w:instrText>
      </w:r>
      <w:r>
        <w:fldChar w:fldCharType="separate"/>
      </w:r>
      <w:r>
        <w:rPr>
          <w:rStyle w:val="28"/>
          <w:rFonts w:hint="eastAsia"/>
          <w:b w:val="0"/>
          <w:color w:val="auto"/>
        </w:rPr>
        <w:t>第三部分供应商须知</w:t>
      </w:r>
      <w:r>
        <w:tab/>
      </w:r>
      <w:r>
        <w:fldChar w:fldCharType="begin"/>
      </w:r>
      <w:r>
        <w:instrText xml:space="preserve"> PAGEREF _Toc494407531 \h </w:instrText>
      </w:r>
      <w:r>
        <w:fldChar w:fldCharType="separate"/>
      </w:r>
      <w:r>
        <w:t>23</w:t>
      </w:r>
      <w:r>
        <w:fldChar w:fldCharType="end"/>
      </w:r>
      <w:r>
        <w:fldChar w:fldCharType="end"/>
      </w:r>
    </w:p>
    <w:p>
      <w:pPr>
        <w:pStyle w:val="70"/>
      </w:pPr>
      <w:r>
        <w:fldChar w:fldCharType="begin"/>
      </w:r>
      <w:r>
        <w:instrText xml:space="preserve"> HYPERLINK \l "_Toc494407532" </w:instrText>
      </w:r>
      <w:r>
        <w:fldChar w:fldCharType="separate"/>
      </w:r>
      <w:r>
        <w:rPr>
          <w:rStyle w:val="28"/>
          <w:rFonts w:hint="eastAsia"/>
          <w:b w:val="0"/>
          <w:color w:val="auto"/>
        </w:rPr>
        <w:t>一、说明</w:t>
      </w:r>
      <w:r>
        <w:tab/>
      </w:r>
      <w:r>
        <w:fldChar w:fldCharType="begin"/>
      </w:r>
      <w:r>
        <w:instrText xml:space="preserve"> PAGEREF _Toc494407532 \h </w:instrText>
      </w:r>
      <w:r>
        <w:fldChar w:fldCharType="separate"/>
      </w:r>
      <w:r>
        <w:t>28</w:t>
      </w:r>
      <w:r>
        <w:fldChar w:fldCharType="end"/>
      </w:r>
      <w:r>
        <w:fldChar w:fldCharType="end"/>
      </w:r>
    </w:p>
    <w:p>
      <w:pPr>
        <w:pStyle w:val="70"/>
      </w:pPr>
      <w:r>
        <w:fldChar w:fldCharType="begin"/>
      </w:r>
      <w:r>
        <w:instrText xml:space="preserve"> HYPERLINK \l "_Toc494407533" </w:instrText>
      </w:r>
      <w:r>
        <w:fldChar w:fldCharType="separate"/>
      </w:r>
      <w:r>
        <w:rPr>
          <w:rStyle w:val="28"/>
          <w:rFonts w:hint="eastAsia"/>
          <w:b w:val="0"/>
          <w:color w:val="auto"/>
        </w:rPr>
        <w:t>二、招标文件</w:t>
      </w:r>
      <w:r>
        <w:tab/>
      </w:r>
      <w:bookmarkStart w:id="5" w:name="_Hlt499304798"/>
      <w:bookmarkStart w:id="6" w:name="_Hlt499304799"/>
      <w:r>
        <w:fldChar w:fldCharType="begin"/>
      </w:r>
      <w:r>
        <w:instrText xml:space="preserve"> PAGEREF _Toc494407533 \h </w:instrText>
      </w:r>
      <w:r>
        <w:fldChar w:fldCharType="separate"/>
      </w:r>
      <w:r>
        <w:t>29</w:t>
      </w:r>
      <w:r>
        <w:fldChar w:fldCharType="end"/>
      </w:r>
      <w:bookmarkEnd w:id="5"/>
      <w:bookmarkEnd w:id="6"/>
      <w:r>
        <w:fldChar w:fldCharType="end"/>
      </w:r>
    </w:p>
    <w:p>
      <w:pPr>
        <w:pStyle w:val="70"/>
      </w:pPr>
      <w:r>
        <w:fldChar w:fldCharType="begin"/>
      </w:r>
      <w:r>
        <w:instrText xml:space="preserve"> HYPERLINK \l "_Toc494407534" </w:instrText>
      </w:r>
      <w:r>
        <w:fldChar w:fldCharType="separate"/>
      </w:r>
      <w:r>
        <w:rPr>
          <w:rStyle w:val="28"/>
          <w:rFonts w:hint="eastAsia"/>
          <w:b w:val="0"/>
          <w:color w:val="auto"/>
        </w:rPr>
        <w:t>三、投标文件</w:t>
      </w:r>
      <w:r>
        <w:tab/>
      </w:r>
      <w:r>
        <w:rPr>
          <w:rFonts w:hint="eastAsia"/>
        </w:rPr>
        <w:t>21</w:t>
      </w:r>
      <w:r>
        <w:rPr>
          <w:rFonts w:hint="eastAsia"/>
        </w:rPr>
        <w:fldChar w:fldCharType="end"/>
      </w:r>
    </w:p>
    <w:p>
      <w:pPr>
        <w:pStyle w:val="70"/>
      </w:pPr>
      <w:r>
        <w:fldChar w:fldCharType="begin"/>
      </w:r>
      <w:r>
        <w:instrText xml:space="preserve"> HYPERLINK \l "_Toc494407535" </w:instrText>
      </w:r>
      <w:r>
        <w:fldChar w:fldCharType="separate"/>
      </w:r>
      <w:r>
        <w:rPr>
          <w:rStyle w:val="28"/>
          <w:rFonts w:hint="eastAsia"/>
          <w:b w:val="0"/>
          <w:color w:val="auto"/>
        </w:rPr>
        <w:t>四、投标文件的密封与递交</w:t>
      </w:r>
      <w:r>
        <w:tab/>
      </w:r>
      <w:r>
        <w:rPr>
          <w:rFonts w:hint="eastAsia"/>
        </w:rPr>
        <w:t>24</w:t>
      </w:r>
      <w:r>
        <w:rPr>
          <w:rFonts w:hint="eastAsia"/>
        </w:rPr>
        <w:fldChar w:fldCharType="end"/>
      </w:r>
    </w:p>
    <w:p>
      <w:pPr>
        <w:pStyle w:val="70"/>
      </w:pPr>
      <w:r>
        <w:fldChar w:fldCharType="begin"/>
      </w:r>
      <w:r>
        <w:instrText xml:space="preserve"> HYPERLINK \l "_Toc494407536" </w:instrText>
      </w:r>
      <w:r>
        <w:fldChar w:fldCharType="separate"/>
      </w:r>
      <w:r>
        <w:rPr>
          <w:rStyle w:val="28"/>
          <w:rFonts w:hint="eastAsia"/>
          <w:b w:val="0"/>
          <w:color w:val="auto"/>
        </w:rPr>
        <w:t>五、开标和评标</w:t>
      </w:r>
      <w:r>
        <w:tab/>
      </w:r>
      <w:r>
        <w:rPr>
          <w:rFonts w:hint="eastAsia"/>
        </w:rPr>
        <w:t>25</w:t>
      </w:r>
      <w:r>
        <w:rPr>
          <w:rFonts w:hint="eastAsia"/>
        </w:rPr>
        <w:fldChar w:fldCharType="end"/>
      </w:r>
    </w:p>
    <w:p>
      <w:pPr>
        <w:pStyle w:val="70"/>
      </w:pPr>
      <w:r>
        <w:fldChar w:fldCharType="begin"/>
      </w:r>
      <w:r>
        <w:instrText xml:space="preserve"> HYPERLINK \l "_Toc494407537" </w:instrText>
      </w:r>
      <w:r>
        <w:fldChar w:fldCharType="separate"/>
      </w:r>
      <w:r>
        <w:rPr>
          <w:rStyle w:val="28"/>
          <w:rFonts w:hint="eastAsia"/>
          <w:b w:val="0"/>
          <w:color w:val="auto"/>
        </w:rPr>
        <w:t>六、授予合同</w:t>
      </w:r>
      <w:r>
        <w:tab/>
      </w:r>
      <w:r>
        <w:rPr>
          <w:rFonts w:hint="eastAsia"/>
        </w:rPr>
        <w:t>29</w:t>
      </w:r>
      <w:r>
        <w:rPr>
          <w:rFonts w:hint="eastAsia"/>
        </w:rPr>
        <w:fldChar w:fldCharType="end"/>
      </w:r>
    </w:p>
    <w:p>
      <w:pPr>
        <w:pStyle w:val="70"/>
      </w:pPr>
      <w:r>
        <w:fldChar w:fldCharType="begin"/>
      </w:r>
      <w:r>
        <w:instrText xml:space="preserve"> HYPERLINK \l "_Toc494407538" </w:instrText>
      </w:r>
      <w:r>
        <w:fldChar w:fldCharType="separate"/>
      </w:r>
      <w:r>
        <w:rPr>
          <w:rStyle w:val="28"/>
          <w:rFonts w:hint="eastAsia"/>
          <w:b w:val="0"/>
          <w:color w:val="auto"/>
        </w:rPr>
        <w:t>第四部分政府采购政策功能相关说明</w:t>
      </w:r>
      <w:r>
        <w:tab/>
      </w:r>
      <w:r>
        <w:rPr>
          <w:rFonts w:hint="eastAsia"/>
        </w:rPr>
        <w:t>30</w:t>
      </w:r>
      <w:r>
        <w:rPr>
          <w:rFonts w:hint="eastAsia"/>
        </w:rPr>
        <w:fldChar w:fldCharType="end"/>
      </w:r>
    </w:p>
    <w:p>
      <w:pPr>
        <w:pStyle w:val="70"/>
      </w:pPr>
      <w:r>
        <w:fldChar w:fldCharType="begin"/>
      </w:r>
      <w:r>
        <w:instrText xml:space="preserve"> HYPERLINK \l "_Toc494407539" </w:instrText>
      </w:r>
      <w:r>
        <w:fldChar w:fldCharType="separate"/>
      </w:r>
      <w:r>
        <w:rPr>
          <w:rStyle w:val="28"/>
          <w:rFonts w:hint="eastAsia"/>
          <w:b w:val="0"/>
          <w:color w:val="auto"/>
        </w:rPr>
        <w:t>第五部分合同主要条款</w:t>
      </w:r>
      <w:r>
        <w:tab/>
      </w:r>
      <w:r>
        <w:rPr>
          <w:rFonts w:hint="eastAsia"/>
        </w:rPr>
        <w:t>35</w:t>
      </w:r>
      <w:r>
        <w:rPr>
          <w:rFonts w:hint="eastAsia"/>
        </w:rPr>
        <w:fldChar w:fldCharType="end"/>
      </w:r>
    </w:p>
    <w:p>
      <w:pPr>
        <w:pStyle w:val="70"/>
      </w:pPr>
      <w:r>
        <w:fldChar w:fldCharType="begin"/>
      </w:r>
      <w:r>
        <w:instrText xml:space="preserve"> HYPERLINK \l "_Toc494407540" </w:instrText>
      </w:r>
      <w:r>
        <w:fldChar w:fldCharType="separate"/>
      </w:r>
      <w:r>
        <w:rPr>
          <w:rStyle w:val="28"/>
          <w:rFonts w:hint="eastAsia"/>
          <w:b w:val="0"/>
          <w:color w:val="auto"/>
        </w:rPr>
        <w:t>第六部分附件—投标文件格式</w:t>
      </w:r>
      <w:r>
        <w:tab/>
      </w:r>
      <w:r>
        <w:rPr>
          <w:rFonts w:hint="eastAsia"/>
        </w:rPr>
        <w:t>41</w:t>
      </w:r>
      <w:r>
        <w:rPr>
          <w:rFonts w:hint="eastAsia"/>
        </w:rPr>
        <w:fldChar w:fldCharType="end"/>
      </w:r>
    </w:p>
    <w:p>
      <w:pPr>
        <w:pStyle w:val="70"/>
      </w:pPr>
      <w:r>
        <w:fldChar w:fldCharType="begin"/>
      </w:r>
      <w:r>
        <w:instrText xml:space="preserve"> HYPERLINK \l "_Toc494407541" </w:instrText>
      </w:r>
      <w:r>
        <w:fldChar w:fldCharType="separate"/>
      </w:r>
      <w:r>
        <w:rPr>
          <w:rStyle w:val="28"/>
          <w:rFonts w:hint="eastAsia"/>
          <w:b w:val="0"/>
          <w:color w:val="auto"/>
        </w:rPr>
        <w:t>一、商务报价标部分格式</w:t>
      </w:r>
      <w:r>
        <w:tab/>
      </w:r>
      <w:r>
        <w:rPr>
          <w:rFonts w:hint="eastAsia"/>
        </w:rPr>
        <w:t>41</w:t>
      </w:r>
      <w:r>
        <w:rPr>
          <w:rFonts w:hint="eastAsia"/>
        </w:rPr>
        <w:fldChar w:fldCharType="end"/>
      </w:r>
    </w:p>
    <w:p>
      <w:pPr>
        <w:pStyle w:val="70"/>
      </w:pPr>
      <w:r>
        <w:fldChar w:fldCharType="begin"/>
      </w:r>
      <w:r>
        <w:instrText xml:space="preserve"> HYPERLINK \l "_Toc494407542" </w:instrText>
      </w:r>
      <w:r>
        <w:fldChar w:fldCharType="separate"/>
      </w:r>
      <w:r>
        <w:rPr>
          <w:rStyle w:val="28"/>
          <w:rFonts w:hint="eastAsia"/>
          <w:b w:val="0"/>
          <w:color w:val="auto"/>
        </w:rPr>
        <w:t>附件一开标一览表</w:t>
      </w:r>
      <w:r>
        <w:tab/>
      </w:r>
      <w:r>
        <w:rPr>
          <w:rFonts w:hint="eastAsia"/>
        </w:rPr>
        <w:t>41</w:t>
      </w:r>
      <w:r>
        <w:rPr>
          <w:rFonts w:hint="eastAsia"/>
        </w:rPr>
        <w:fldChar w:fldCharType="end"/>
      </w:r>
    </w:p>
    <w:p>
      <w:pPr>
        <w:pStyle w:val="70"/>
      </w:pPr>
      <w:r>
        <w:fldChar w:fldCharType="begin"/>
      </w:r>
      <w:r>
        <w:instrText xml:space="preserve"> HYPERLINK \l "_Toc494407543" </w:instrText>
      </w:r>
      <w:r>
        <w:fldChar w:fldCharType="separate"/>
      </w:r>
      <w:r>
        <w:rPr>
          <w:rStyle w:val="28"/>
          <w:rFonts w:hint="eastAsia"/>
          <w:b w:val="0"/>
          <w:color w:val="auto"/>
        </w:rPr>
        <w:t>附件二</w:t>
      </w:r>
      <w:r>
        <w:rPr>
          <w:rStyle w:val="28"/>
          <w:rFonts w:hint="eastAsia"/>
          <w:b w:val="0"/>
          <w:color w:val="auto"/>
          <w:lang w:val="zh-CN"/>
        </w:rPr>
        <w:t>投标货物数量、价格表</w:t>
      </w:r>
      <w:r>
        <w:tab/>
      </w:r>
      <w:r>
        <w:rPr>
          <w:rFonts w:hint="eastAsia"/>
        </w:rPr>
        <w:t>42</w:t>
      </w:r>
      <w:r>
        <w:rPr>
          <w:rFonts w:hint="eastAsia"/>
        </w:rPr>
        <w:fldChar w:fldCharType="end"/>
      </w:r>
    </w:p>
    <w:p>
      <w:pPr>
        <w:pStyle w:val="70"/>
      </w:pPr>
      <w:r>
        <w:fldChar w:fldCharType="begin"/>
      </w:r>
      <w:r>
        <w:instrText xml:space="preserve"> HYPERLINK \l "_Toc494407544" </w:instrText>
      </w:r>
      <w:r>
        <w:fldChar w:fldCharType="separate"/>
      </w:r>
      <w:r>
        <w:rPr>
          <w:rStyle w:val="28"/>
          <w:rFonts w:hint="eastAsia"/>
          <w:b w:val="0"/>
          <w:color w:val="auto"/>
        </w:rPr>
        <w:t>附件三随机备品备件、专用工具清单</w:t>
      </w:r>
      <w:r>
        <w:tab/>
      </w:r>
      <w:r>
        <w:rPr>
          <w:rFonts w:hint="eastAsia"/>
        </w:rPr>
        <w:t>43</w:t>
      </w:r>
      <w:r>
        <w:rPr>
          <w:rFonts w:hint="eastAsia"/>
        </w:rPr>
        <w:fldChar w:fldCharType="end"/>
      </w:r>
    </w:p>
    <w:p>
      <w:pPr>
        <w:pStyle w:val="70"/>
      </w:pPr>
      <w:r>
        <w:fldChar w:fldCharType="begin"/>
      </w:r>
      <w:r>
        <w:instrText xml:space="preserve"> HYPERLINK \l "_Toc494407545" </w:instrText>
      </w:r>
      <w:r>
        <w:fldChar w:fldCharType="separate"/>
      </w:r>
      <w:r>
        <w:rPr>
          <w:rStyle w:val="28"/>
          <w:rFonts w:hint="eastAsia"/>
          <w:b w:val="0"/>
          <w:color w:val="auto"/>
        </w:rPr>
        <w:t>附件四产品零件、易损件、备品备件报价表</w:t>
      </w:r>
      <w:r>
        <w:tab/>
      </w:r>
      <w:r>
        <w:rPr>
          <w:rFonts w:hint="eastAsia"/>
        </w:rPr>
        <w:t>44</w:t>
      </w:r>
      <w:r>
        <w:rPr>
          <w:rFonts w:hint="eastAsia"/>
        </w:rPr>
        <w:fldChar w:fldCharType="end"/>
      </w:r>
    </w:p>
    <w:p>
      <w:pPr>
        <w:pStyle w:val="70"/>
      </w:pPr>
      <w:r>
        <w:fldChar w:fldCharType="begin"/>
      </w:r>
      <w:r>
        <w:instrText xml:space="preserve"> HYPERLINK \l "_Toc494407546" </w:instrText>
      </w:r>
      <w:r>
        <w:fldChar w:fldCharType="separate"/>
      </w:r>
      <w:r>
        <w:rPr>
          <w:rStyle w:val="28"/>
          <w:rFonts w:hint="eastAsia"/>
          <w:b w:val="0"/>
          <w:color w:val="auto"/>
        </w:rPr>
        <w:t>二、资信标部分格式</w:t>
      </w:r>
      <w:r>
        <w:tab/>
      </w:r>
      <w:r>
        <w:rPr>
          <w:rFonts w:hint="eastAsia"/>
        </w:rPr>
        <w:t>45</w:t>
      </w:r>
      <w:r>
        <w:rPr>
          <w:rFonts w:hint="eastAsia"/>
        </w:rPr>
        <w:fldChar w:fldCharType="end"/>
      </w:r>
    </w:p>
    <w:p>
      <w:pPr>
        <w:pStyle w:val="70"/>
      </w:pPr>
      <w:r>
        <w:fldChar w:fldCharType="begin"/>
      </w:r>
      <w:r>
        <w:instrText xml:space="preserve"> HYPERLINK \l "_Toc494407547" </w:instrText>
      </w:r>
      <w:r>
        <w:fldChar w:fldCharType="separate"/>
      </w:r>
      <w:r>
        <w:rPr>
          <w:rStyle w:val="28"/>
          <w:rFonts w:hint="eastAsia"/>
          <w:b w:val="0"/>
          <w:color w:val="auto"/>
        </w:rPr>
        <w:t>附件五投标函</w:t>
      </w:r>
      <w:r>
        <w:tab/>
      </w:r>
      <w:r>
        <w:rPr>
          <w:rFonts w:hint="eastAsia"/>
        </w:rPr>
        <w:t>45</w:t>
      </w:r>
      <w:r>
        <w:rPr>
          <w:rFonts w:hint="eastAsia"/>
        </w:rPr>
        <w:fldChar w:fldCharType="end"/>
      </w:r>
    </w:p>
    <w:p>
      <w:pPr>
        <w:pStyle w:val="70"/>
      </w:pPr>
      <w:r>
        <w:fldChar w:fldCharType="begin"/>
      </w:r>
      <w:r>
        <w:instrText xml:space="preserve"> HYPERLINK \l "_Toc494407548" </w:instrText>
      </w:r>
      <w:r>
        <w:fldChar w:fldCharType="separate"/>
      </w:r>
      <w:r>
        <w:rPr>
          <w:rStyle w:val="28"/>
          <w:rFonts w:hint="eastAsia"/>
          <w:b w:val="0"/>
          <w:color w:val="auto"/>
        </w:rPr>
        <w:t>附件六法定人代表授权书</w:t>
      </w:r>
      <w:r>
        <w:tab/>
      </w:r>
      <w:r>
        <w:rPr>
          <w:rFonts w:hint="eastAsia"/>
        </w:rPr>
        <w:t>46</w:t>
      </w:r>
      <w:r>
        <w:rPr>
          <w:rFonts w:hint="eastAsia"/>
        </w:rPr>
        <w:fldChar w:fldCharType="end"/>
      </w:r>
    </w:p>
    <w:p>
      <w:pPr>
        <w:pStyle w:val="70"/>
      </w:pPr>
      <w:r>
        <w:fldChar w:fldCharType="begin"/>
      </w:r>
      <w:r>
        <w:instrText xml:space="preserve"> HYPERLINK \l "_Toc494407549" </w:instrText>
      </w:r>
      <w:r>
        <w:fldChar w:fldCharType="separate"/>
      </w:r>
      <w:r>
        <w:rPr>
          <w:rStyle w:val="28"/>
          <w:rFonts w:hint="eastAsia"/>
          <w:b w:val="0"/>
          <w:color w:val="auto"/>
        </w:rPr>
        <w:t>附件七</w:t>
      </w:r>
      <w:r>
        <w:rPr>
          <w:rStyle w:val="28"/>
          <w:rFonts w:hint="eastAsia"/>
          <w:b w:val="0"/>
          <w:color w:val="auto"/>
          <w:lang w:val="zh-CN"/>
        </w:rPr>
        <w:t>供应商参与政府采购活动投标资格声明函</w:t>
      </w:r>
      <w:r>
        <w:tab/>
      </w:r>
      <w:r>
        <w:rPr>
          <w:rFonts w:hint="eastAsia"/>
        </w:rPr>
        <w:t>47</w:t>
      </w:r>
      <w:r>
        <w:rPr>
          <w:rFonts w:hint="eastAsia"/>
        </w:rPr>
        <w:fldChar w:fldCharType="end"/>
      </w:r>
    </w:p>
    <w:p>
      <w:pPr>
        <w:pStyle w:val="70"/>
      </w:pPr>
      <w:r>
        <w:fldChar w:fldCharType="begin"/>
      </w:r>
      <w:r>
        <w:instrText xml:space="preserve"> HYPERLINK \l "_Toc494407550" </w:instrText>
      </w:r>
      <w:r>
        <w:fldChar w:fldCharType="separate"/>
      </w:r>
      <w:r>
        <w:rPr>
          <w:rStyle w:val="28"/>
          <w:rFonts w:hint="eastAsia"/>
          <w:b w:val="0"/>
          <w:color w:val="auto"/>
        </w:rPr>
        <w:t>附件八法定代表人诚信投标承诺书</w:t>
      </w:r>
      <w:r>
        <w:tab/>
      </w:r>
      <w:r>
        <w:rPr>
          <w:rFonts w:hint="eastAsia"/>
        </w:rPr>
        <w:t>48</w:t>
      </w:r>
      <w:r>
        <w:rPr>
          <w:rFonts w:hint="eastAsia"/>
        </w:rPr>
        <w:fldChar w:fldCharType="end"/>
      </w:r>
    </w:p>
    <w:p>
      <w:pPr>
        <w:pStyle w:val="70"/>
      </w:pPr>
      <w:r>
        <w:fldChar w:fldCharType="begin"/>
      </w:r>
      <w:r>
        <w:instrText xml:space="preserve"> HYPERLINK \l "_Toc494407551" </w:instrText>
      </w:r>
      <w:r>
        <w:fldChar w:fldCharType="separate"/>
      </w:r>
      <w:r>
        <w:rPr>
          <w:rStyle w:val="28"/>
          <w:rFonts w:hint="eastAsia"/>
          <w:b w:val="0"/>
          <w:color w:val="auto"/>
        </w:rPr>
        <w:t>附件九业绩清单</w:t>
      </w:r>
      <w:r>
        <w:tab/>
      </w:r>
      <w:r>
        <w:rPr>
          <w:rFonts w:hint="eastAsia"/>
        </w:rPr>
        <w:t>49</w:t>
      </w:r>
      <w:r>
        <w:rPr>
          <w:rFonts w:hint="eastAsia"/>
        </w:rPr>
        <w:fldChar w:fldCharType="end"/>
      </w:r>
    </w:p>
    <w:p>
      <w:pPr>
        <w:pStyle w:val="70"/>
      </w:pPr>
      <w:r>
        <w:fldChar w:fldCharType="begin"/>
      </w:r>
      <w:r>
        <w:instrText xml:space="preserve"> HYPERLINK \l "_Toc494407552" </w:instrText>
      </w:r>
      <w:r>
        <w:fldChar w:fldCharType="separate"/>
      </w:r>
      <w:r>
        <w:rPr>
          <w:rStyle w:val="28"/>
          <w:rFonts w:hint="eastAsia"/>
          <w:b w:val="0"/>
          <w:color w:val="auto"/>
        </w:rPr>
        <w:t>三、技术标部分格式</w:t>
      </w:r>
      <w:r>
        <w:tab/>
      </w:r>
      <w:r>
        <w:rPr>
          <w:rFonts w:hint="eastAsia"/>
        </w:rPr>
        <w:t>50</w:t>
      </w:r>
      <w:r>
        <w:rPr>
          <w:rFonts w:hint="eastAsia"/>
        </w:rPr>
        <w:fldChar w:fldCharType="end"/>
      </w:r>
    </w:p>
    <w:p>
      <w:pPr>
        <w:pStyle w:val="70"/>
      </w:pPr>
      <w:r>
        <w:fldChar w:fldCharType="begin"/>
      </w:r>
      <w:r>
        <w:instrText xml:space="preserve"> HYPERLINK \l "_Toc494407553" </w:instrText>
      </w:r>
      <w:r>
        <w:fldChar w:fldCharType="separate"/>
      </w:r>
      <w:r>
        <w:rPr>
          <w:rStyle w:val="28"/>
          <w:rFonts w:hint="eastAsia"/>
          <w:b w:val="0"/>
          <w:color w:val="auto"/>
        </w:rPr>
        <w:t>附件十商务、技术偏离表</w:t>
      </w:r>
      <w:r>
        <w:tab/>
      </w:r>
      <w:r>
        <w:rPr>
          <w:rFonts w:hint="eastAsia"/>
        </w:rPr>
        <w:t>50</w:t>
      </w:r>
      <w:r>
        <w:rPr>
          <w:rFonts w:hint="eastAsia"/>
        </w:rPr>
        <w:fldChar w:fldCharType="end"/>
      </w:r>
    </w:p>
    <w:p>
      <w:pPr>
        <w:pStyle w:val="70"/>
      </w:pPr>
      <w:r>
        <w:fldChar w:fldCharType="begin"/>
      </w:r>
      <w:r>
        <w:instrText xml:space="preserve"> HYPERLINK \l "_Toc494407554" </w:instrText>
      </w:r>
      <w:r>
        <w:fldChar w:fldCharType="separate"/>
      </w:r>
      <w:r>
        <w:rPr>
          <w:rStyle w:val="28"/>
          <w:rFonts w:hint="eastAsia"/>
          <w:b w:val="0"/>
          <w:color w:val="auto"/>
        </w:rPr>
        <w:t>附件十一投标产品配置清单</w:t>
      </w:r>
      <w:r>
        <w:tab/>
      </w:r>
      <w:r>
        <w:rPr>
          <w:rFonts w:hint="eastAsia"/>
        </w:rPr>
        <w:t>51</w:t>
      </w:r>
      <w:r>
        <w:rPr>
          <w:rFonts w:hint="eastAsia"/>
        </w:rPr>
        <w:fldChar w:fldCharType="end"/>
      </w:r>
    </w:p>
    <w:p>
      <w:pPr>
        <w:pStyle w:val="70"/>
      </w:pPr>
      <w:r>
        <w:fldChar w:fldCharType="begin"/>
      </w:r>
      <w:r>
        <w:instrText xml:space="preserve"> HYPERLINK \l "_Toc494407555" </w:instrText>
      </w:r>
      <w:r>
        <w:fldChar w:fldCharType="separate"/>
      </w:r>
      <w:r>
        <w:rPr>
          <w:rStyle w:val="28"/>
          <w:rFonts w:hint="eastAsia"/>
          <w:b w:val="0"/>
          <w:color w:val="auto"/>
        </w:rPr>
        <w:t>附件十二节能环保产品声明函</w:t>
      </w:r>
      <w:r>
        <w:tab/>
      </w:r>
      <w:r>
        <w:rPr>
          <w:rFonts w:hint="eastAsia"/>
        </w:rPr>
        <w:t>52</w:t>
      </w:r>
      <w:r>
        <w:rPr>
          <w:rFonts w:hint="eastAsia"/>
        </w:rPr>
        <w:fldChar w:fldCharType="end"/>
      </w:r>
    </w:p>
    <w:p>
      <w:pPr>
        <w:pStyle w:val="70"/>
      </w:pPr>
      <w:r>
        <w:fldChar w:fldCharType="begin"/>
      </w:r>
      <w:r>
        <w:instrText xml:space="preserve"> HYPERLINK \l "_Toc494407556" </w:instrText>
      </w:r>
      <w:r>
        <w:fldChar w:fldCharType="separate"/>
      </w:r>
      <w:r>
        <w:rPr>
          <w:rStyle w:val="28"/>
          <w:rFonts w:hint="eastAsia"/>
          <w:b w:val="0"/>
          <w:color w:val="auto"/>
        </w:rPr>
        <w:t>附件十三节能（环保）产品清单</w:t>
      </w:r>
      <w:r>
        <w:tab/>
      </w:r>
      <w:r>
        <w:rPr>
          <w:rFonts w:hint="eastAsia"/>
        </w:rPr>
        <w:t>53</w:t>
      </w:r>
      <w:r>
        <w:rPr>
          <w:rFonts w:hint="eastAsia"/>
        </w:rPr>
        <w:fldChar w:fldCharType="end"/>
      </w:r>
    </w:p>
    <w:p>
      <w:pPr>
        <w:pStyle w:val="70"/>
      </w:pPr>
      <w:r>
        <w:fldChar w:fldCharType="begin"/>
      </w:r>
      <w:r>
        <w:instrText xml:space="preserve"> HYPERLINK \l "_Toc494407557" </w:instrText>
      </w:r>
      <w:r>
        <w:fldChar w:fldCharType="separate"/>
      </w:r>
      <w:r>
        <w:rPr>
          <w:rStyle w:val="28"/>
          <w:rFonts w:hint="eastAsia"/>
          <w:b w:val="0"/>
          <w:color w:val="auto"/>
        </w:rPr>
        <w:t>附件十四</w:t>
      </w:r>
      <w:r>
        <w:rPr>
          <w:rStyle w:val="28"/>
          <w:rFonts w:hint="eastAsia"/>
          <w:b w:val="0"/>
          <w:bCs/>
          <w:color w:val="auto"/>
        </w:rPr>
        <w:t>供应商项目服务人员</w:t>
      </w:r>
      <w:r>
        <w:tab/>
      </w:r>
      <w:r>
        <w:rPr>
          <w:rFonts w:hint="eastAsia"/>
        </w:rPr>
        <w:t>54</w:t>
      </w:r>
      <w:r>
        <w:rPr>
          <w:rFonts w:hint="eastAsia"/>
        </w:rPr>
        <w:fldChar w:fldCharType="end"/>
      </w:r>
    </w:p>
    <w:p>
      <w:pPr>
        <w:pStyle w:val="70"/>
      </w:pPr>
      <w:r>
        <w:fldChar w:fldCharType="begin"/>
      </w:r>
      <w:r>
        <w:instrText xml:space="preserve"> HYPERLINK \l "_Toc494407559" </w:instrText>
      </w:r>
      <w:r>
        <w:fldChar w:fldCharType="separate"/>
      </w:r>
      <w:r>
        <w:rPr>
          <w:rStyle w:val="28"/>
          <w:rFonts w:hint="eastAsia"/>
          <w:b w:val="0"/>
          <w:color w:val="auto"/>
        </w:rPr>
        <w:t>第七部分评标办法</w:t>
      </w:r>
      <w:r>
        <w:tab/>
      </w:r>
      <w:r>
        <w:rPr>
          <w:rFonts w:hint="eastAsia"/>
        </w:rPr>
        <w:t>55</w:t>
      </w:r>
      <w:r>
        <w:rPr>
          <w:rFonts w:hint="eastAsia"/>
        </w:rPr>
        <w:fldChar w:fldCharType="end"/>
      </w:r>
    </w:p>
    <w:p>
      <w:pPr>
        <w:rPr>
          <w:rFonts w:ascii="宋体" w:eastAsia="宋体"/>
          <w:color w:val="auto"/>
        </w:rPr>
      </w:pPr>
      <w:r>
        <w:rPr>
          <w:rFonts w:ascii="宋体" w:eastAsia="宋体"/>
          <w:bCs/>
          <w:color w:val="auto"/>
          <w:lang w:val="zh-CN"/>
        </w:rPr>
        <w:fldChar w:fldCharType="end"/>
      </w:r>
    </w:p>
    <w:p>
      <w:pPr>
        <w:spacing w:line="480" w:lineRule="auto"/>
        <w:rPr>
          <w:rFonts w:ascii="新宋体" w:hAnsi="新宋体" w:eastAsia="新宋体" w:cs="新宋体"/>
          <w:b/>
          <w:bCs/>
          <w:color w:val="auto"/>
          <w:sz w:val="22"/>
          <w:szCs w:val="22"/>
          <w:highlight w:val="none"/>
        </w:rPr>
      </w:pPr>
      <w:r>
        <w:rPr>
          <w:rFonts w:hint="eastAsia" w:ascii="宋体" w:eastAsia="宋体"/>
          <w:b w:val="0"/>
          <w:color w:val="auto"/>
          <w:sz w:val="24"/>
          <w:lang w:val="zh-CN"/>
        </w:rPr>
        <w:tab/>
      </w:r>
      <w:r>
        <w:rPr>
          <w:rFonts w:hint="eastAsia" w:ascii="新宋体" w:hAnsi="新宋体" w:eastAsia="新宋体" w:cs="新宋体"/>
          <w:b/>
          <w:bCs/>
          <w:color w:val="auto"/>
          <w:sz w:val="22"/>
          <w:szCs w:val="22"/>
          <w:highlight w:val="none"/>
        </w:rPr>
        <w:t>注：招标文件中加“▲”且加下划线的条款，为招标的实质性要求和条件，着重提醒各投标人注意，并认真查看招标文件中的每一个条款及要求，因误读招标文件而造成的后果，采购人概不负责。</w:t>
      </w:r>
    </w:p>
    <w:p>
      <w:pPr>
        <w:spacing w:line="360" w:lineRule="exact"/>
        <w:ind w:left="538" w:leftChars="256"/>
        <w:jc w:val="right"/>
        <w:rPr>
          <w:rFonts w:ascii="新宋体" w:hAnsi="新宋体" w:eastAsia="新宋体" w:cs="新宋体"/>
          <w:b/>
          <w:bCs/>
          <w:color w:val="auto"/>
          <w:sz w:val="22"/>
          <w:szCs w:val="22"/>
          <w:highlight w:val="none"/>
        </w:rPr>
      </w:pPr>
    </w:p>
    <w:p>
      <w:pPr>
        <w:tabs>
          <w:tab w:val="left" w:pos="1025"/>
        </w:tabs>
        <w:autoSpaceDE w:val="0"/>
        <w:autoSpaceDN w:val="0"/>
        <w:adjustRightInd w:val="0"/>
        <w:spacing w:line="500" w:lineRule="atLeast"/>
        <w:textAlignment w:val="baseline"/>
        <w:rPr>
          <w:rFonts w:ascii="宋体" w:eastAsia="宋体"/>
          <w:b w:val="0"/>
          <w:color w:val="auto"/>
          <w:sz w:val="24"/>
          <w:lang w:val="zh-CN"/>
        </w:rPr>
      </w:pPr>
    </w:p>
    <w:p>
      <w:pPr>
        <w:autoSpaceDE w:val="0"/>
        <w:autoSpaceDN w:val="0"/>
        <w:adjustRightInd w:val="0"/>
        <w:spacing w:line="500" w:lineRule="atLeast"/>
        <w:textAlignment w:val="baseline"/>
        <w:rPr>
          <w:rFonts w:ascii="宋体" w:eastAsia="宋体"/>
          <w:b w:val="0"/>
          <w:color w:val="auto"/>
          <w:sz w:val="24"/>
          <w:lang w:val="zh-CN"/>
        </w:rPr>
      </w:pPr>
    </w:p>
    <w:p>
      <w:pPr>
        <w:autoSpaceDE w:val="0"/>
        <w:autoSpaceDN w:val="0"/>
        <w:adjustRightInd w:val="0"/>
        <w:snapToGrid w:val="0"/>
        <w:spacing w:line="454" w:lineRule="atLeast"/>
        <w:jc w:val="both"/>
        <w:textAlignment w:val="bottom"/>
        <w:outlineLvl w:val="0"/>
        <w:rPr>
          <w:rFonts w:hint="eastAsia" w:ascii="宋体" w:eastAsia="宋体"/>
          <w:color w:val="auto"/>
          <w:sz w:val="28"/>
          <w:szCs w:val="28"/>
        </w:rPr>
      </w:pPr>
      <w:bookmarkStart w:id="7" w:name="_Toc483388386"/>
      <w:bookmarkStart w:id="8" w:name="_Toc494407523"/>
    </w:p>
    <w:p>
      <w:pPr>
        <w:numPr>
          <w:ilvl w:val="0"/>
          <w:numId w:val="2"/>
        </w:numPr>
        <w:autoSpaceDE w:val="0"/>
        <w:autoSpaceDN w:val="0"/>
        <w:adjustRightInd w:val="0"/>
        <w:snapToGrid w:val="0"/>
        <w:spacing w:line="454" w:lineRule="atLeast"/>
        <w:jc w:val="center"/>
        <w:textAlignment w:val="bottom"/>
        <w:outlineLvl w:val="0"/>
        <w:rPr>
          <w:rFonts w:hint="eastAsia" w:ascii="宋体" w:eastAsia="宋体"/>
          <w:color w:val="auto"/>
          <w:sz w:val="28"/>
          <w:szCs w:val="28"/>
        </w:rPr>
      </w:pPr>
      <w:r>
        <w:rPr>
          <w:rFonts w:hint="eastAsia" w:ascii="宋体" w:eastAsia="宋体"/>
          <w:color w:val="auto"/>
          <w:sz w:val="28"/>
          <w:szCs w:val="28"/>
        </w:rPr>
        <w:t xml:space="preserve">  投标邀请函（投标须知前附表）</w:t>
      </w:r>
      <w:bookmarkEnd w:id="7"/>
      <w:bookmarkEnd w:id="8"/>
    </w:p>
    <w:p>
      <w:pPr>
        <w:pStyle w:val="2"/>
        <w:numPr>
          <w:ilvl w:val="0"/>
          <w:numId w:val="0"/>
        </w:numPr>
      </w:pPr>
    </w:p>
    <w:tbl>
      <w:tblPr>
        <w:tblStyle w:val="22"/>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64"/>
        <w:gridCol w:w="1884"/>
        <w:gridCol w:w="7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spacing w:line="400" w:lineRule="atLeast"/>
              <w:jc w:val="right"/>
              <w:rPr>
                <w:rFonts w:ascii="宋体" w:eastAsia="宋体" w:cs="Arial"/>
                <w:b w:val="0"/>
                <w:color w:val="auto"/>
                <w:sz w:val="22"/>
                <w:szCs w:val="22"/>
              </w:rPr>
            </w:pPr>
            <w:r>
              <w:rPr>
                <w:rFonts w:hint="eastAsia" w:ascii="宋体" w:eastAsia="宋体" w:cs="Arial"/>
                <w:b w:val="0"/>
                <w:color w:val="auto"/>
                <w:sz w:val="22"/>
                <w:szCs w:val="22"/>
              </w:rPr>
              <w:t>项号</w:t>
            </w:r>
          </w:p>
        </w:tc>
        <w:tc>
          <w:tcPr>
            <w:tcW w:w="1884" w:type="dxa"/>
            <w:vAlign w:val="center"/>
          </w:tcPr>
          <w:p>
            <w:pPr>
              <w:spacing w:line="400" w:lineRule="atLeast"/>
              <w:jc w:val="center"/>
              <w:rPr>
                <w:rFonts w:ascii="宋体" w:eastAsia="宋体" w:cs="Arial"/>
                <w:b w:val="0"/>
                <w:color w:val="auto"/>
                <w:sz w:val="22"/>
                <w:szCs w:val="22"/>
              </w:rPr>
            </w:pPr>
            <w:r>
              <w:rPr>
                <w:rFonts w:hint="eastAsia" w:ascii="宋体" w:eastAsia="宋体" w:cs="Arial"/>
                <w:b w:val="0"/>
                <w:color w:val="auto"/>
                <w:sz w:val="22"/>
                <w:szCs w:val="22"/>
              </w:rPr>
              <w:t>内容</w:t>
            </w:r>
          </w:p>
        </w:tc>
        <w:tc>
          <w:tcPr>
            <w:tcW w:w="7623" w:type="dxa"/>
            <w:vAlign w:val="center"/>
          </w:tcPr>
          <w:p>
            <w:pPr>
              <w:spacing w:line="400" w:lineRule="atLeast"/>
              <w:jc w:val="center"/>
              <w:rPr>
                <w:rFonts w:ascii="宋体" w:eastAsia="宋体" w:cs="Arial"/>
                <w:b w:val="0"/>
                <w:color w:val="auto"/>
                <w:sz w:val="22"/>
                <w:szCs w:val="22"/>
              </w:rPr>
            </w:pPr>
            <w:r>
              <w:rPr>
                <w:rFonts w:hint="eastAsia" w:ascii="宋体" w:eastAsia="宋体" w:cs="Arial"/>
                <w:b w:val="0"/>
                <w:color w:val="auto"/>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rPr>
                <w:rFonts w:ascii="宋体" w:eastAsia="宋体"/>
                <w:b w:val="0"/>
                <w:color w:val="auto"/>
                <w:sz w:val="22"/>
                <w:szCs w:val="22"/>
              </w:rPr>
            </w:pPr>
            <w:r>
              <w:rPr>
                <w:rFonts w:hint="eastAsia" w:ascii="宋体" w:eastAsia="宋体"/>
                <w:b w:val="0"/>
                <w:color w:val="auto"/>
                <w:sz w:val="22"/>
                <w:szCs w:val="22"/>
              </w:rPr>
              <w:t>项目名称</w:t>
            </w:r>
          </w:p>
        </w:tc>
        <w:tc>
          <w:tcPr>
            <w:tcW w:w="7623" w:type="dxa"/>
            <w:vAlign w:val="center"/>
          </w:tcPr>
          <w:p>
            <w:pPr>
              <w:autoSpaceDE w:val="0"/>
              <w:autoSpaceDN w:val="0"/>
              <w:adjustRightInd w:val="0"/>
              <w:snapToGrid w:val="0"/>
              <w:spacing w:line="454" w:lineRule="atLeast"/>
              <w:textAlignment w:val="bottom"/>
              <w:outlineLvl w:val="0"/>
              <w:rPr>
                <w:rFonts w:hint="eastAsia" w:ascii="宋体" w:eastAsia="宋体"/>
                <w:b w:val="0"/>
                <w:color w:val="auto"/>
                <w:sz w:val="22"/>
                <w:szCs w:val="22"/>
                <w:lang w:eastAsia="zh-CN"/>
              </w:rPr>
            </w:pPr>
            <w:r>
              <w:rPr>
                <w:rFonts w:hint="eastAsia" w:ascii="宋体" w:eastAsia="宋体"/>
                <w:b w:val="0"/>
                <w:color w:val="auto"/>
                <w:sz w:val="22"/>
                <w:szCs w:val="22"/>
                <w:lang w:eastAsia="zh-CN"/>
              </w:rPr>
              <w:t>浙江大学温州研究院办公家具采购项目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rPr>
                <w:rFonts w:ascii="宋体" w:eastAsia="宋体"/>
                <w:b w:val="0"/>
                <w:color w:val="auto"/>
                <w:sz w:val="22"/>
                <w:szCs w:val="22"/>
              </w:rPr>
            </w:pPr>
            <w:r>
              <w:rPr>
                <w:rFonts w:hint="eastAsia" w:ascii="宋体" w:eastAsia="宋体"/>
                <w:b w:val="0"/>
                <w:color w:val="auto"/>
                <w:sz w:val="22"/>
                <w:szCs w:val="22"/>
              </w:rPr>
              <w:t>项目编号</w:t>
            </w:r>
          </w:p>
        </w:tc>
        <w:tc>
          <w:tcPr>
            <w:tcW w:w="7623" w:type="dxa"/>
            <w:vAlign w:val="center"/>
          </w:tcPr>
          <w:p>
            <w:pPr>
              <w:rPr>
                <w:rFonts w:ascii="宋体" w:eastAsia="宋体"/>
                <w:b w:val="0"/>
                <w:color w:val="auto"/>
                <w:sz w:val="22"/>
                <w:szCs w:val="22"/>
              </w:rPr>
            </w:pPr>
            <w:r>
              <w:rPr>
                <w:rFonts w:hint="eastAsia" w:ascii="宋体" w:eastAsia="宋体"/>
                <w:b w:val="0"/>
                <w:color w:val="auto"/>
                <w:sz w:val="22"/>
                <w:szCs w:val="22"/>
                <w:lang w:val="en-US" w:eastAsia="zh-CN"/>
              </w:rPr>
              <w:t>ZJSG20200216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rPr>
                <w:rFonts w:ascii="宋体" w:eastAsia="宋体" w:cs="Arial"/>
                <w:b w:val="0"/>
                <w:color w:val="auto"/>
                <w:sz w:val="22"/>
                <w:szCs w:val="22"/>
              </w:rPr>
            </w:pPr>
            <w:r>
              <w:rPr>
                <w:rFonts w:hint="eastAsia" w:ascii="宋体" w:eastAsia="宋体"/>
                <w:b w:val="0"/>
                <w:color w:val="auto"/>
                <w:sz w:val="22"/>
                <w:szCs w:val="22"/>
              </w:rPr>
              <w:t>资金来源</w:t>
            </w:r>
          </w:p>
        </w:tc>
        <w:tc>
          <w:tcPr>
            <w:tcW w:w="7623" w:type="dxa"/>
            <w:vAlign w:val="center"/>
          </w:tcPr>
          <w:p>
            <w:pPr>
              <w:rPr>
                <w:rFonts w:ascii="宋体" w:eastAsia="宋体" w:cs="Arial"/>
                <w:b w:val="0"/>
                <w:color w:val="auto"/>
                <w:sz w:val="22"/>
                <w:szCs w:val="22"/>
              </w:rPr>
            </w:pPr>
            <w:r>
              <w:rPr>
                <w:rFonts w:hint="eastAsia" w:ascii="宋体" w:eastAsia="宋体"/>
                <w:b w:val="0"/>
                <w:color w:val="auto"/>
                <w:sz w:val="22"/>
                <w:szCs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rPr>
                <w:rFonts w:ascii="宋体" w:eastAsia="宋体"/>
                <w:b w:val="0"/>
                <w:color w:val="auto"/>
                <w:sz w:val="22"/>
                <w:szCs w:val="22"/>
              </w:rPr>
            </w:pPr>
            <w:r>
              <w:rPr>
                <w:rFonts w:hint="eastAsia" w:ascii="宋体" w:eastAsia="宋体"/>
                <w:b w:val="0"/>
                <w:color w:val="auto"/>
                <w:sz w:val="22"/>
                <w:szCs w:val="22"/>
              </w:rPr>
              <w:t>采购方式</w:t>
            </w:r>
          </w:p>
        </w:tc>
        <w:tc>
          <w:tcPr>
            <w:tcW w:w="7623" w:type="dxa"/>
            <w:vAlign w:val="center"/>
          </w:tcPr>
          <w:p>
            <w:pPr>
              <w:rPr>
                <w:rFonts w:ascii="宋体" w:eastAsia="宋体"/>
                <w:b w:val="0"/>
                <w:color w:val="auto"/>
                <w:sz w:val="22"/>
                <w:szCs w:val="22"/>
              </w:rPr>
            </w:pPr>
            <w:r>
              <w:rPr>
                <w:rFonts w:hint="eastAsia" w:ascii="宋体" w:eastAsia="宋体"/>
                <w:b w:val="0"/>
                <w:color w:val="auto"/>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color w:val="auto"/>
                <w:sz w:val="22"/>
                <w:szCs w:val="22"/>
              </w:rPr>
            </w:pPr>
            <w:r>
              <w:rPr>
                <w:rFonts w:hint="eastAsia" w:ascii="宋体" w:eastAsia="宋体"/>
                <w:color w:val="auto"/>
                <w:sz w:val="22"/>
                <w:szCs w:val="22"/>
              </w:rPr>
              <w:t>采购预算</w:t>
            </w:r>
          </w:p>
          <w:p>
            <w:pPr>
              <w:jc w:val="center"/>
              <w:rPr>
                <w:rFonts w:ascii="宋体" w:eastAsia="宋体"/>
                <w:color w:val="auto"/>
                <w:sz w:val="22"/>
                <w:szCs w:val="22"/>
              </w:rPr>
            </w:pPr>
            <w:r>
              <w:rPr>
                <w:rFonts w:hint="eastAsia" w:ascii="宋体" w:eastAsia="宋体"/>
                <w:color w:val="auto"/>
                <w:sz w:val="22"/>
                <w:szCs w:val="22"/>
              </w:rPr>
              <w:t>（最高限价）</w:t>
            </w:r>
          </w:p>
        </w:tc>
        <w:tc>
          <w:tcPr>
            <w:tcW w:w="7623" w:type="dxa"/>
            <w:vAlign w:val="center"/>
          </w:tcPr>
          <w:p>
            <w:pPr>
              <w:ind w:firstLine="108" w:firstLineChars="49"/>
              <w:rPr>
                <w:rFonts w:ascii="宋体" w:eastAsia="宋体"/>
                <w:color w:val="auto"/>
                <w:sz w:val="22"/>
                <w:szCs w:val="22"/>
              </w:rPr>
            </w:pPr>
            <w:r>
              <w:rPr>
                <w:rFonts w:hint="eastAsia" w:ascii="宋体" w:eastAsia="宋体" w:cs="Arial"/>
                <w:color w:val="auto"/>
                <w:sz w:val="22"/>
                <w:szCs w:val="22"/>
                <w:lang w:val="en-US" w:eastAsia="zh-CN"/>
              </w:rPr>
              <w:t>95.2849</w:t>
            </w:r>
            <w:r>
              <w:rPr>
                <w:rFonts w:hint="eastAsia" w:ascii="宋体" w:eastAsia="宋体" w:cs="Arial"/>
                <w:color w:val="auto"/>
                <w:sz w:val="22"/>
                <w:szCs w:val="22"/>
              </w:rPr>
              <w:t>万元整；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采购人</w:t>
            </w:r>
          </w:p>
        </w:tc>
        <w:tc>
          <w:tcPr>
            <w:tcW w:w="7623" w:type="dxa"/>
            <w:vAlign w:val="center"/>
          </w:tcPr>
          <w:p>
            <w:pPr>
              <w:adjustRightInd w:val="0"/>
              <w:rPr>
                <w:rFonts w:hint="eastAsia" w:ascii="宋体" w:eastAsia="宋体"/>
                <w:b w:val="0"/>
                <w:color w:val="auto"/>
                <w:sz w:val="22"/>
                <w:szCs w:val="22"/>
                <w:lang w:eastAsia="zh-CN"/>
              </w:rPr>
            </w:pPr>
            <w:r>
              <w:rPr>
                <w:rFonts w:hint="eastAsia" w:ascii="宋体" w:eastAsia="宋体"/>
                <w:b w:val="0"/>
                <w:color w:val="auto"/>
                <w:sz w:val="22"/>
                <w:szCs w:val="22"/>
              </w:rPr>
              <w:t>采 购 单位：</w:t>
            </w:r>
            <w:r>
              <w:rPr>
                <w:rFonts w:hint="eastAsia" w:ascii="宋体" w:eastAsia="宋体"/>
                <w:b w:val="0"/>
                <w:color w:val="auto"/>
                <w:sz w:val="22"/>
                <w:szCs w:val="22"/>
                <w:lang w:eastAsia="zh-CN"/>
              </w:rPr>
              <w:t>浙江大学温州研究院</w:t>
            </w:r>
          </w:p>
          <w:p>
            <w:pPr>
              <w:adjustRightInd w:val="0"/>
              <w:rPr>
                <w:rFonts w:hint="default" w:ascii="宋体" w:eastAsia="宋体"/>
                <w:b w:val="0"/>
                <w:color w:val="auto"/>
                <w:sz w:val="22"/>
                <w:szCs w:val="22"/>
                <w:lang w:val="en-US" w:eastAsia="zh-CN"/>
              </w:rPr>
            </w:pPr>
            <w:r>
              <w:rPr>
                <w:rFonts w:hint="eastAsia" w:ascii="宋体" w:eastAsia="宋体"/>
                <w:b w:val="0"/>
                <w:color w:val="auto"/>
                <w:sz w:val="22"/>
                <w:szCs w:val="22"/>
              </w:rPr>
              <w:t>联 系 人：</w:t>
            </w:r>
            <w:r>
              <w:rPr>
                <w:rFonts w:hint="eastAsia" w:ascii="宋体" w:eastAsia="宋体"/>
                <w:b w:val="0"/>
                <w:color w:val="auto"/>
                <w:sz w:val="22"/>
                <w:szCs w:val="22"/>
                <w:lang w:val="en-US" w:eastAsia="zh-CN"/>
              </w:rPr>
              <w:t>郑女士</w:t>
            </w:r>
          </w:p>
          <w:p>
            <w:pPr>
              <w:adjustRightInd w:val="0"/>
              <w:rPr>
                <w:rFonts w:hint="eastAsia" w:ascii="宋体" w:eastAsia="宋体"/>
                <w:b w:val="0"/>
                <w:color w:val="auto"/>
                <w:sz w:val="22"/>
                <w:lang w:val="en-US" w:eastAsia="zh-CN"/>
              </w:rPr>
            </w:pPr>
            <w:r>
              <w:rPr>
                <w:rFonts w:hint="eastAsia" w:ascii="宋体" w:eastAsia="宋体"/>
                <w:b w:val="0"/>
                <w:color w:val="auto"/>
                <w:sz w:val="22"/>
              </w:rPr>
              <w:t>地址：</w:t>
            </w:r>
            <w:r>
              <w:rPr>
                <w:rFonts w:hint="eastAsia" w:ascii="宋体" w:eastAsia="宋体"/>
                <w:b w:val="0"/>
                <w:color w:val="auto"/>
                <w:sz w:val="22"/>
                <w:lang w:val="en-US" w:eastAsia="zh-CN"/>
              </w:rPr>
              <w:t>温州市瓯海区东方南路38号温州市国家大学科技园9号楼三楼</w:t>
            </w:r>
          </w:p>
          <w:p>
            <w:pPr>
              <w:adjustRightInd w:val="0"/>
              <w:rPr>
                <w:rFonts w:ascii="宋体" w:eastAsia="宋体"/>
                <w:b w:val="0"/>
                <w:color w:val="auto"/>
                <w:sz w:val="22"/>
              </w:rPr>
            </w:pPr>
            <w:r>
              <w:rPr>
                <w:rFonts w:hint="eastAsia" w:ascii="宋体" w:eastAsia="宋体"/>
                <w:b w:val="0"/>
                <w:color w:val="auto"/>
                <w:sz w:val="22"/>
              </w:rPr>
              <w:t>联系电话：0577</w:t>
            </w:r>
            <w:r>
              <w:rPr>
                <w:rFonts w:hint="eastAsia" w:ascii="宋体" w:eastAsia="宋体"/>
                <w:b w:val="0"/>
                <w:color w:val="auto"/>
                <w:sz w:val="22"/>
                <w:lang w:val="en-US" w:eastAsia="zh-CN"/>
              </w:rPr>
              <w:t>-</w:t>
            </w:r>
            <w:r>
              <w:rPr>
                <w:rFonts w:hint="eastAsia" w:ascii="宋体" w:eastAsia="宋体"/>
                <w:b w:val="0"/>
                <w:color w:val="auto"/>
                <w:sz w:val="22"/>
              </w:rPr>
              <w:t>88060025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3"/>
              </w:numPr>
              <w:tabs>
                <w:tab w:val="left" w:pos="420"/>
                <w:tab w:val="clear" w:pos="720"/>
              </w:tabs>
              <w:ind w:left="420" w:right="105" w:hanging="420"/>
              <w:jc w:val="right"/>
              <w:rPr>
                <w:rFonts w:ascii="宋体" w:eastAsia="宋体" w:cs="Arial"/>
                <w:b w:val="0"/>
                <w:color w:val="auto"/>
                <w:sz w:val="22"/>
                <w:szCs w:val="22"/>
              </w:rPr>
            </w:pPr>
          </w:p>
        </w:tc>
        <w:tc>
          <w:tcPr>
            <w:tcW w:w="1884" w:type="dxa"/>
            <w:vAlign w:val="center"/>
          </w:tcPr>
          <w:p>
            <w:pPr>
              <w:rPr>
                <w:rFonts w:ascii="宋体" w:eastAsia="宋体"/>
                <w:b w:val="0"/>
                <w:color w:val="auto"/>
                <w:sz w:val="22"/>
                <w:szCs w:val="22"/>
              </w:rPr>
            </w:pPr>
            <w:r>
              <w:rPr>
                <w:rFonts w:hint="eastAsia" w:ascii="宋体" w:eastAsia="宋体"/>
                <w:b w:val="0"/>
                <w:color w:val="auto"/>
                <w:sz w:val="22"/>
                <w:szCs w:val="22"/>
              </w:rPr>
              <w:t>采购代理机构</w:t>
            </w:r>
          </w:p>
        </w:tc>
        <w:tc>
          <w:tcPr>
            <w:tcW w:w="7623" w:type="dxa"/>
            <w:vAlign w:val="center"/>
          </w:tcPr>
          <w:p>
            <w:pPr>
              <w:adjustRightInd w:val="0"/>
              <w:rPr>
                <w:rFonts w:hint="eastAsia" w:ascii="宋体" w:eastAsia="宋体"/>
                <w:b w:val="0"/>
                <w:color w:val="auto"/>
                <w:sz w:val="22"/>
                <w:szCs w:val="22"/>
                <w:lang w:eastAsia="zh-CN"/>
              </w:rPr>
            </w:pPr>
            <w:r>
              <w:rPr>
                <w:rFonts w:hint="eastAsia" w:ascii="宋体" w:eastAsia="宋体"/>
                <w:b w:val="0"/>
                <w:color w:val="auto"/>
                <w:sz w:val="22"/>
                <w:szCs w:val="22"/>
              </w:rPr>
              <w:t>名称：</w:t>
            </w:r>
            <w:r>
              <w:rPr>
                <w:rFonts w:hint="eastAsia" w:ascii="宋体" w:eastAsia="宋体"/>
                <w:b w:val="0"/>
                <w:color w:val="auto"/>
                <w:sz w:val="22"/>
                <w:szCs w:val="22"/>
                <w:lang w:eastAsia="zh-CN"/>
              </w:rPr>
              <w:t>浙江省工程咨询有限公司</w:t>
            </w:r>
          </w:p>
          <w:p>
            <w:pPr>
              <w:adjustRightInd w:val="0"/>
              <w:rPr>
                <w:rFonts w:hint="eastAsia" w:ascii="宋体" w:eastAsia="宋体"/>
                <w:b w:val="0"/>
                <w:color w:val="auto"/>
                <w:sz w:val="22"/>
                <w:szCs w:val="22"/>
                <w:lang w:val="en-US" w:eastAsia="zh-CN"/>
              </w:rPr>
            </w:pPr>
            <w:r>
              <w:rPr>
                <w:rFonts w:hint="eastAsia" w:ascii="宋体" w:eastAsia="宋体"/>
                <w:b w:val="0"/>
                <w:color w:val="auto"/>
                <w:sz w:val="22"/>
                <w:szCs w:val="22"/>
              </w:rPr>
              <w:t>地址：</w:t>
            </w:r>
            <w:r>
              <w:rPr>
                <w:rFonts w:hint="eastAsia" w:ascii="宋体" w:eastAsia="宋体"/>
                <w:b w:val="0"/>
                <w:color w:val="auto"/>
                <w:sz w:val="22"/>
                <w:szCs w:val="22"/>
                <w:lang w:val="en-US" w:eastAsia="zh-CN"/>
              </w:rPr>
              <w:t>温州市上江路80号新邻里中心4楼16-17号</w:t>
            </w:r>
          </w:p>
          <w:p>
            <w:pPr>
              <w:adjustRightInd w:val="0"/>
              <w:rPr>
                <w:rFonts w:hint="default" w:ascii="宋体" w:eastAsia="宋体"/>
                <w:b w:val="0"/>
                <w:color w:val="auto"/>
                <w:sz w:val="22"/>
                <w:szCs w:val="22"/>
                <w:lang w:val="en-US" w:eastAsia="zh-CN"/>
              </w:rPr>
            </w:pPr>
            <w:r>
              <w:rPr>
                <w:rFonts w:hint="eastAsia" w:ascii="宋体" w:eastAsia="宋体"/>
                <w:b w:val="0"/>
                <w:color w:val="auto"/>
                <w:sz w:val="22"/>
                <w:szCs w:val="22"/>
              </w:rPr>
              <w:t>项目负责人：</w:t>
            </w:r>
            <w:r>
              <w:rPr>
                <w:rFonts w:hint="eastAsia" w:ascii="宋体" w:eastAsia="宋体"/>
                <w:b w:val="0"/>
                <w:color w:val="auto"/>
                <w:sz w:val="22"/>
                <w:szCs w:val="22"/>
                <w:lang w:val="en-US" w:eastAsia="zh-CN"/>
              </w:rPr>
              <w:t>陈女士</w:t>
            </w:r>
          </w:p>
          <w:p>
            <w:pPr>
              <w:adjustRightInd w:val="0"/>
              <w:rPr>
                <w:rFonts w:hint="default" w:ascii="宋体" w:eastAsia="宋体"/>
                <w:b w:val="0"/>
                <w:color w:val="auto"/>
                <w:sz w:val="22"/>
                <w:szCs w:val="22"/>
                <w:lang w:val="en-US" w:eastAsia="zh-CN"/>
              </w:rPr>
            </w:pPr>
            <w:r>
              <w:rPr>
                <w:rFonts w:hint="eastAsia" w:ascii="宋体" w:eastAsia="宋体"/>
                <w:b w:val="0"/>
                <w:color w:val="auto"/>
                <w:sz w:val="22"/>
                <w:szCs w:val="22"/>
              </w:rPr>
              <w:t>手机：</w:t>
            </w:r>
            <w:r>
              <w:rPr>
                <w:rFonts w:hint="eastAsia" w:ascii="宋体" w:eastAsia="宋体"/>
                <w:b w:val="0"/>
                <w:color w:val="auto"/>
                <w:sz w:val="22"/>
                <w:szCs w:val="22"/>
                <w:lang w:val="en-US" w:eastAsia="zh-CN"/>
              </w:rPr>
              <w:t>15805872316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3"/>
              </w:numPr>
              <w:tabs>
                <w:tab w:val="left" w:pos="420"/>
                <w:tab w:val="clear" w:pos="720"/>
              </w:tabs>
              <w:ind w:left="420" w:right="105" w:hanging="420"/>
              <w:jc w:val="right"/>
              <w:rPr>
                <w:rFonts w:ascii="宋体" w:eastAsia="宋体" w:cs="Arial"/>
                <w:b w:val="0"/>
                <w:color w:val="auto"/>
                <w:sz w:val="22"/>
                <w:szCs w:val="22"/>
              </w:rPr>
            </w:pPr>
          </w:p>
        </w:tc>
        <w:tc>
          <w:tcPr>
            <w:tcW w:w="1884" w:type="dxa"/>
            <w:vAlign w:val="center"/>
          </w:tcPr>
          <w:p>
            <w:pPr>
              <w:rPr>
                <w:rFonts w:ascii="宋体" w:eastAsia="宋体" w:cs="Arial"/>
                <w:b w:val="0"/>
                <w:color w:val="auto"/>
                <w:sz w:val="22"/>
                <w:szCs w:val="22"/>
              </w:rPr>
            </w:pPr>
            <w:r>
              <w:rPr>
                <w:rFonts w:hint="eastAsia" w:ascii="宋体" w:eastAsia="宋体" w:cs="Arial"/>
                <w:b w:val="0"/>
                <w:color w:val="auto"/>
                <w:sz w:val="22"/>
                <w:szCs w:val="22"/>
              </w:rPr>
              <w:t>评标办法</w:t>
            </w:r>
          </w:p>
        </w:tc>
        <w:tc>
          <w:tcPr>
            <w:tcW w:w="7623"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rPr>
                <w:rFonts w:ascii="宋体" w:eastAsia="宋体" w:cs="Arial"/>
                <w:b w:val="0"/>
                <w:color w:val="auto"/>
                <w:sz w:val="22"/>
                <w:szCs w:val="22"/>
              </w:rPr>
            </w:pPr>
            <w:r>
              <w:rPr>
                <w:rFonts w:hint="eastAsia" w:ascii="宋体" w:eastAsia="宋体" w:cs="Arial"/>
                <w:b w:val="0"/>
                <w:color w:val="auto"/>
                <w:sz w:val="22"/>
                <w:szCs w:val="22"/>
              </w:rPr>
              <w:t>招标内容</w:t>
            </w:r>
          </w:p>
        </w:tc>
        <w:tc>
          <w:tcPr>
            <w:tcW w:w="7623"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rPr>
                <w:rFonts w:ascii="宋体" w:eastAsia="宋体"/>
                <w:b w:val="0"/>
                <w:color w:val="auto"/>
                <w:sz w:val="22"/>
                <w:szCs w:val="22"/>
              </w:rPr>
            </w:pPr>
            <w:r>
              <w:rPr>
                <w:rFonts w:hint="eastAsia" w:ascii="宋体" w:eastAsia="宋体"/>
                <w:b w:val="0"/>
                <w:color w:val="auto"/>
                <w:sz w:val="22"/>
                <w:szCs w:val="22"/>
              </w:rPr>
              <w:t>投标供应商</w:t>
            </w:r>
          </w:p>
          <w:p>
            <w:pPr>
              <w:rPr>
                <w:rFonts w:ascii="宋体" w:eastAsia="宋体"/>
                <w:b w:val="0"/>
                <w:color w:val="auto"/>
                <w:sz w:val="22"/>
                <w:szCs w:val="22"/>
              </w:rPr>
            </w:pPr>
            <w:r>
              <w:rPr>
                <w:rFonts w:hint="eastAsia" w:ascii="宋体" w:eastAsia="宋体"/>
                <w:b w:val="0"/>
                <w:color w:val="auto"/>
                <w:sz w:val="22"/>
                <w:szCs w:val="22"/>
              </w:rPr>
              <w:t>资格要求</w:t>
            </w:r>
          </w:p>
        </w:tc>
        <w:tc>
          <w:tcPr>
            <w:tcW w:w="7623" w:type="dxa"/>
            <w:vAlign w:val="center"/>
          </w:tcPr>
          <w:p>
            <w:pPr>
              <w:widowControl/>
              <w:numPr>
                <w:ilvl w:val="0"/>
                <w:numId w:val="4"/>
              </w:numPr>
              <w:rPr>
                <w:rFonts w:ascii="宋体" w:eastAsia="宋体" w:cs="宋体"/>
                <w:b w:val="0"/>
                <w:color w:val="auto"/>
                <w:kern w:val="28"/>
                <w:sz w:val="22"/>
                <w:szCs w:val="22"/>
              </w:rPr>
            </w:pPr>
            <w:r>
              <w:rPr>
                <w:rFonts w:hint="eastAsia" w:ascii="宋体" w:eastAsia="宋体" w:cs="宋体"/>
                <w:b w:val="0"/>
                <w:color w:val="auto"/>
                <w:kern w:val="28"/>
                <w:sz w:val="22"/>
                <w:szCs w:val="22"/>
              </w:rPr>
              <w:t>符合《中华人民共和国政府采购法》第二十二条的要求；</w:t>
            </w:r>
          </w:p>
          <w:p>
            <w:pPr>
              <w:widowControl/>
              <w:spacing w:line="360" w:lineRule="auto"/>
              <w:jc w:val="left"/>
              <w:rPr>
                <w:rFonts w:ascii="宋体" w:eastAsia="宋体"/>
                <w:b w:val="0"/>
                <w:color w:val="auto"/>
                <w:sz w:val="22"/>
              </w:rPr>
            </w:pPr>
            <w:r>
              <w:rPr>
                <w:rFonts w:hint="eastAsia" w:ascii="宋体" w:eastAsia="宋体"/>
                <w:b w:val="0"/>
                <w:color w:val="auto"/>
                <w:sz w:val="22"/>
                <w:lang w:val="en-US" w:eastAsia="zh-CN"/>
              </w:rPr>
              <w:t>2</w:t>
            </w:r>
            <w:r>
              <w:rPr>
                <w:rFonts w:hint="eastAsia" w:ascii="宋体" w:eastAsia="宋体"/>
                <w:b w:val="0"/>
                <w:color w:val="auto"/>
                <w:sz w:val="22"/>
              </w:rPr>
              <w:t>、</w:t>
            </w:r>
            <w:r>
              <w:rPr>
                <w:rFonts w:ascii="宋体" w:eastAsia="宋体"/>
                <w:b w:val="0"/>
                <w:color w:val="auto"/>
                <w:sz w:val="22"/>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是否接受联合体投标</w:t>
            </w:r>
          </w:p>
        </w:tc>
        <w:tc>
          <w:tcPr>
            <w:tcW w:w="7623" w:type="dxa"/>
            <w:vAlign w:val="center"/>
          </w:tcPr>
          <w:p>
            <w:pPr>
              <w:adjustRightInd w:val="0"/>
              <w:rPr>
                <w:rFonts w:ascii="宋体" w:eastAsia="宋体"/>
                <w:b w:val="0"/>
                <w:color w:val="auto"/>
                <w:sz w:val="22"/>
                <w:szCs w:val="22"/>
              </w:rPr>
            </w:pPr>
            <w:r>
              <w:rPr>
                <w:rFonts w:ascii="宋体" w:eastAsia="宋体"/>
                <w:b w:val="0"/>
                <w:color w:val="auto"/>
                <w:sz w:val="22"/>
                <w:szCs w:val="22"/>
              </w:rPr>
              <w:fldChar w:fldCharType="begin"/>
            </w:r>
            <w:r>
              <w:rPr>
                <w:rFonts w:hint="eastAsia" w:ascii="宋体" w:eastAsia="宋体"/>
                <w:b w:val="0"/>
                <w:color w:val="auto"/>
                <w:sz w:val="22"/>
                <w:szCs w:val="22"/>
              </w:rPr>
              <w:instrText xml:space="preserve">eq \o\ac(□,√)</w:instrText>
            </w:r>
            <w:r>
              <w:rPr>
                <w:rFonts w:ascii="宋体" w:eastAsia="宋体"/>
                <w:b w:val="0"/>
                <w:color w:val="auto"/>
                <w:sz w:val="22"/>
                <w:szCs w:val="22"/>
              </w:rPr>
              <w:fldChar w:fldCharType="end"/>
            </w:r>
            <w:r>
              <w:rPr>
                <w:rFonts w:hint="eastAsia" w:ascii="宋体" w:eastAsia="宋体"/>
                <w:b w:val="0"/>
                <w:color w:val="auto"/>
                <w:sz w:val="22"/>
                <w:szCs w:val="22"/>
              </w:rPr>
              <w:t>不接受</w:t>
            </w:r>
          </w:p>
          <w:p>
            <w:pPr>
              <w:adjustRightInd w:val="0"/>
              <w:rPr>
                <w:rFonts w:ascii="宋体" w:eastAsia="宋体"/>
                <w:b w:val="0"/>
                <w:color w:val="auto"/>
                <w:sz w:val="22"/>
                <w:szCs w:val="22"/>
              </w:rPr>
            </w:pPr>
            <w:r>
              <w:rPr>
                <w:rFonts w:ascii="宋体" w:eastAsia="宋体"/>
                <w:b w:val="0"/>
                <w:color w:val="auto"/>
                <w:sz w:val="22"/>
                <w:szCs w:val="22"/>
              </w:rPr>
              <w:t>□</w:t>
            </w:r>
            <w:r>
              <w:rPr>
                <w:rFonts w:hint="eastAsia" w:ascii="宋体" w:eastAsia="宋体"/>
                <w:b w:val="0"/>
                <w:color w:val="auto"/>
                <w:sz w:val="22"/>
                <w:szCs w:val="22"/>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踏勘现场</w:t>
            </w:r>
          </w:p>
        </w:tc>
        <w:tc>
          <w:tcPr>
            <w:tcW w:w="7623" w:type="dxa"/>
            <w:vAlign w:val="center"/>
          </w:tcPr>
          <w:p>
            <w:pPr>
              <w:adjustRightInd w:val="0"/>
              <w:rPr>
                <w:rFonts w:ascii="宋体" w:eastAsia="宋体"/>
                <w:b w:val="0"/>
                <w:color w:val="auto"/>
                <w:sz w:val="22"/>
                <w:szCs w:val="22"/>
              </w:rPr>
            </w:pPr>
            <w:r>
              <w:rPr>
                <w:rFonts w:ascii="宋体" w:eastAsia="宋体"/>
                <w:b w:val="0"/>
                <w:color w:val="auto"/>
                <w:sz w:val="22"/>
                <w:szCs w:val="22"/>
              </w:rPr>
              <w:fldChar w:fldCharType="begin"/>
            </w:r>
            <w:r>
              <w:rPr>
                <w:rFonts w:hint="eastAsia" w:ascii="宋体" w:eastAsia="宋体"/>
                <w:b w:val="0"/>
                <w:color w:val="auto"/>
                <w:sz w:val="22"/>
                <w:szCs w:val="22"/>
              </w:rPr>
              <w:instrText xml:space="preserve">eq \o\ac(□,√)</w:instrText>
            </w:r>
            <w:r>
              <w:rPr>
                <w:rFonts w:ascii="宋体" w:eastAsia="宋体"/>
                <w:b w:val="0"/>
                <w:color w:val="auto"/>
                <w:sz w:val="22"/>
                <w:szCs w:val="22"/>
              </w:rPr>
              <w:fldChar w:fldCharType="end"/>
            </w:r>
            <w:r>
              <w:rPr>
                <w:rFonts w:hint="eastAsia" w:ascii="宋体" w:eastAsia="宋体"/>
                <w:b w:val="0"/>
                <w:color w:val="auto"/>
                <w:sz w:val="22"/>
                <w:szCs w:val="22"/>
              </w:rPr>
              <w:t>不组织</w:t>
            </w:r>
          </w:p>
          <w:p>
            <w:pPr>
              <w:adjustRightInd w:val="0"/>
              <w:rPr>
                <w:rFonts w:ascii="宋体" w:eastAsia="宋体"/>
                <w:b w:val="0"/>
                <w:color w:val="auto"/>
                <w:sz w:val="22"/>
                <w:szCs w:val="22"/>
              </w:rPr>
            </w:pPr>
            <w:r>
              <w:rPr>
                <w:rFonts w:ascii="宋体" w:eastAsia="宋体"/>
                <w:b w:val="0"/>
                <w:color w:val="auto"/>
                <w:sz w:val="22"/>
                <w:szCs w:val="22"/>
              </w:rPr>
              <w:t>□</w:t>
            </w:r>
            <w:r>
              <w:rPr>
                <w:rFonts w:hint="eastAsia" w:ascii="宋体" w:eastAsia="宋体"/>
                <w:b w:val="0"/>
                <w:color w:val="auto"/>
                <w:sz w:val="22"/>
                <w:szCs w:val="22"/>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是否允许递交备选投标方案</w:t>
            </w:r>
          </w:p>
        </w:tc>
        <w:tc>
          <w:tcPr>
            <w:tcW w:w="7623" w:type="dxa"/>
            <w:vAlign w:val="center"/>
          </w:tcPr>
          <w:p>
            <w:pPr>
              <w:adjustRightInd w:val="0"/>
              <w:rPr>
                <w:rFonts w:ascii="宋体" w:eastAsia="宋体"/>
                <w:b w:val="0"/>
                <w:color w:val="auto"/>
                <w:sz w:val="22"/>
                <w:szCs w:val="22"/>
              </w:rPr>
            </w:pPr>
            <w:r>
              <w:rPr>
                <w:rFonts w:ascii="宋体" w:eastAsia="宋体"/>
                <w:b w:val="0"/>
                <w:color w:val="auto"/>
                <w:sz w:val="22"/>
                <w:szCs w:val="22"/>
              </w:rPr>
              <w:fldChar w:fldCharType="begin"/>
            </w:r>
            <w:r>
              <w:rPr>
                <w:rFonts w:hint="eastAsia" w:ascii="宋体" w:eastAsia="宋体"/>
                <w:b w:val="0"/>
                <w:color w:val="auto"/>
                <w:sz w:val="22"/>
                <w:szCs w:val="22"/>
              </w:rPr>
              <w:instrText xml:space="preserve">eq \o\ac(□,√)</w:instrText>
            </w:r>
            <w:r>
              <w:rPr>
                <w:rFonts w:ascii="宋体" w:eastAsia="宋体"/>
                <w:b w:val="0"/>
                <w:color w:val="auto"/>
                <w:sz w:val="22"/>
                <w:szCs w:val="22"/>
              </w:rPr>
              <w:fldChar w:fldCharType="end"/>
            </w:r>
            <w:r>
              <w:rPr>
                <w:rFonts w:hint="eastAsia" w:ascii="宋体" w:eastAsia="宋体"/>
                <w:b w:val="0"/>
                <w:color w:val="auto"/>
                <w:sz w:val="22"/>
                <w:szCs w:val="22"/>
              </w:rPr>
              <w:t xml:space="preserve"> 不允许</w:t>
            </w:r>
          </w:p>
          <w:p>
            <w:pPr>
              <w:adjustRightInd w:val="0"/>
              <w:rPr>
                <w:rFonts w:ascii="宋体" w:eastAsia="宋体" w:cs="仿宋_GB2312"/>
                <w:b w:val="0"/>
                <w:color w:val="auto"/>
                <w:sz w:val="22"/>
                <w:szCs w:val="22"/>
              </w:rPr>
            </w:pPr>
            <w:r>
              <w:rPr>
                <w:rFonts w:ascii="宋体" w:eastAsia="宋体"/>
                <w:b w:val="0"/>
                <w:color w:val="auto"/>
                <w:sz w:val="22"/>
                <w:szCs w:val="22"/>
              </w:rPr>
              <w:t>□</w:t>
            </w:r>
            <w:r>
              <w:rPr>
                <w:rFonts w:hint="eastAsia" w:ascii="宋体" w:eastAsia="宋体"/>
                <w:b w:val="0"/>
                <w:color w:val="auto"/>
                <w:sz w:val="22"/>
                <w:szCs w:val="22"/>
              </w:rPr>
              <w:t xml:space="preserve">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投标货币</w:t>
            </w:r>
          </w:p>
        </w:tc>
        <w:tc>
          <w:tcPr>
            <w:tcW w:w="7623"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2"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投标语言</w:t>
            </w:r>
          </w:p>
        </w:tc>
        <w:tc>
          <w:tcPr>
            <w:tcW w:w="7623" w:type="dxa"/>
            <w:vAlign w:val="center"/>
          </w:tcPr>
          <w:p>
            <w:pPr>
              <w:adjustRightInd w:val="0"/>
              <w:rPr>
                <w:rFonts w:ascii="宋体" w:eastAsia="宋体"/>
                <w:b w:val="0"/>
                <w:color w:val="auto"/>
                <w:sz w:val="22"/>
                <w:szCs w:val="22"/>
              </w:rPr>
            </w:pPr>
            <w:r>
              <w:rPr>
                <w:rFonts w:hint="eastAsia" w:ascii="宋体" w:eastAsia="宋体"/>
                <w:b w:val="0"/>
                <w:color w:val="auto"/>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rPr>
                <w:rFonts w:ascii="宋体" w:eastAsia="宋体" w:cs="Arial"/>
                <w:b w:val="0"/>
                <w:color w:val="auto"/>
                <w:sz w:val="22"/>
                <w:szCs w:val="22"/>
              </w:rPr>
            </w:pPr>
            <w:r>
              <w:rPr>
                <w:rFonts w:hint="eastAsia" w:ascii="宋体" w:eastAsia="宋体" w:cs="Arial"/>
                <w:b w:val="0"/>
                <w:color w:val="auto"/>
                <w:sz w:val="22"/>
                <w:szCs w:val="22"/>
                <w:lang w:val="zh-CN"/>
              </w:rPr>
              <w:t>投标文件的编制</w:t>
            </w:r>
          </w:p>
        </w:tc>
        <w:tc>
          <w:tcPr>
            <w:tcW w:w="7623" w:type="dxa"/>
            <w:vAlign w:val="center"/>
          </w:tcPr>
          <w:p>
            <w:pPr>
              <w:pStyle w:val="70"/>
            </w:pPr>
            <w:r>
              <w:rPr>
                <w:rFonts w:hint="eastAsia" w:ascii="新宋体" w:hAnsi="新宋体" w:eastAsia="新宋体" w:cs="新宋体"/>
                <w:kern w:val="0"/>
                <w:sz w:val="22"/>
                <w:szCs w:val="22"/>
                <w:highlight w:val="none"/>
                <w:lang w:val="zh-CN"/>
              </w:rPr>
              <w:t>供应商应先安装“政采云电子交易客户端”，并按照本采购文件和“政采云平台”的要求，通过“政采云电子交易客户端”编制并加密投标文件。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rPr>
                <w:rFonts w:ascii="宋体" w:eastAsia="宋体" w:cs="Arial"/>
                <w:b w:val="0"/>
                <w:color w:val="auto"/>
                <w:sz w:val="22"/>
                <w:szCs w:val="22"/>
              </w:rPr>
            </w:pPr>
            <w:r>
              <w:rPr>
                <w:rFonts w:hint="eastAsia" w:ascii="宋体" w:eastAsia="宋体" w:cs="Arial"/>
                <w:b w:val="0"/>
                <w:color w:val="auto"/>
                <w:sz w:val="22"/>
                <w:szCs w:val="22"/>
              </w:rPr>
              <w:t>投标有效期</w:t>
            </w:r>
          </w:p>
        </w:tc>
        <w:tc>
          <w:tcPr>
            <w:tcW w:w="7623" w:type="dxa"/>
            <w:vAlign w:val="center"/>
          </w:tcPr>
          <w:p>
            <w:pPr>
              <w:rPr>
                <w:rFonts w:ascii="宋体" w:eastAsia="宋体" w:cs="Arial"/>
                <w:b w:val="0"/>
                <w:color w:val="auto"/>
                <w:sz w:val="22"/>
                <w:szCs w:val="22"/>
              </w:rPr>
            </w:pPr>
            <w:r>
              <w:rPr>
                <w:rFonts w:hint="eastAsia" w:ascii="宋体" w:eastAsia="宋体" w:cs="Arial"/>
                <w:b w:val="0"/>
                <w:color w:val="auto"/>
                <w:sz w:val="22"/>
                <w:szCs w:val="22"/>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rPr>
                <w:rFonts w:ascii="宋体" w:eastAsia="宋体" w:cs="Arial"/>
                <w:b w:val="0"/>
                <w:color w:val="auto"/>
                <w:sz w:val="22"/>
                <w:szCs w:val="22"/>
              </w:rPr>
            </w:pPr>
            <w:r>
              <w:rPr>
                <w:rFonts w:hint="eastAsia" w:ascii="宋体" w:eastAsia="宋体" w:cs="Arial"/>
                <w:b w:val="0"/>
                <w:color w:val="auto"/>
                <w:sz w:val="22"/>
                <w:szCs w:val="22"/>
              </w:rPr>
              <w:t>签字或盖章要求</w:t>
            </w:r>
          </w:p>
        </w:tc>
        <w:tc>
          <w:tcPr>
            <w:tcW w:w="7623" w:type="dxa"/>
            <w:vAlign w:val="center"/>
          </w:tcPr>
          <w:p>
            <w:pPr>
              <w:rPr>
                <w:rFonts w:ascii="宋体" w:eastAsia="宋体" w:cs="Arial"/>
                <w:b w:val="0"/>
                <w:color w:val="auto"/>
                <w:sz w:val="22"/>
                <w:szCs w:val="22"/>
              </w:rPr>
            </w:pPr>
            <w:r>
              <w:rPr>
                <w:rFonts w:hint="eastAsia" w:ascii="新宋体" w:hAnsi="新宋体" w:eastAsia="新宋体" w:cs="新宋体"/>
                <w:kern w:val="0"/>
                <w:sz w:val="22"/>
                <w:szCs w:val="22"/>
                <w:highlight w:val="none"/>
                <w:lang w:val="zh-CN"/>
              </w:rPr>
              <w:t>投标文件的相应位置应加盖：电子签章。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cs="Arial"/>
                <w:b w:val="0"/>
                <w:color w:val="auto"/>
                <w:sz w:val="22"/>
                <w:szCs w:val="22"/>
              </w:rPr>
            </w:pPr>
            <w:r>
              <w:rPr>
                <w:rFonts w:hint="eastAsia" w:ascii="新宋体" w:hAnsi="新宋体" w:eastAsia="新宋体" w:cs="新宋体"/>
                <w:kern w:val="0"/>
                <w:sz w:val="22"/>
                <w:szCs w:val="22"/>
                <w:lang w:val="zh-CN"/>
              </w:rPr>
              <w:t>投标文件的形式、制作及组成</w:t>
            </w:r>
          </w:p>
        </w:tc>
        <w:tc>
          <w:tcPr>
            <w:tcW w:w="7623" w:type="dxa"/>
            <w:vAlign w:val="center"/>
          </w:tcPr>
          <w:p>
            <w:pPr>
              <w:autoSpaceDE w:val="0"/>
              <w:autoSpaceDN w:val="0"/>
              <w:adjustRightInd w:val="0"/>
              <w:spacing w:line="300" w:lineRule="atLeast"/>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2"/>
                <w:szCs w:val="22"/>
                <w:highlight w:val="none"/>
                <w:lang w:val="zh-CN"/>
              </w:rPr>
              <w:t>本项目实行在线投标响应（电子投标）。</w:t>
            </w:r>
          </w:p>
          <w:p>
            <w:pPr>
              <w:autoSpaceDE w:val="0"/>
              <w:autoSpaceDN w:val="0"/>
              <w:adjustRightInd w:val="0"/>
              <w:spacing w:line="300" w:lineRule="atLeast"/>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2"/>
                <w:szCs w:val="22"/>
                <w:highlight w:val="none"/>
                <w:lang w:val="zh-CN"/>
              </w:rPr>
              <w:t>投标人须准备电子投标文件（包括“电子加密投标文件”和“备份投标文件”两类，在投标文件编制完成后同时生成）。</w:t>
            </w:r>
          </w:p>
          <w:p>
            <w:pPr>
              <w:autoSpaceDE w:val="0"/>
              <w:autoSpaceDN w:val="0"/>
              <w:adjustRightInd w:val="0"/>
              <w:spacing w:line="300" w:lineRule="atLeast"/>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2"/>
                <w:szCs w:val="22"/>
                <w:highlight w:val="none"/>
                <w:lang w:val="zh-CN"/>
              </w:rPr>
              <w:t>（1）“电子加密投标文件”是指通过“政采云电子交易客户端”完成投标文件编制后生成并加密的数据电文形式的投标文件。</w:t>
            </w:r>
          </w:p>
          <w:p>
            <w:pPr>
              <w:autoSpaceDE w:val="0"/>
              <w:autoSpaceDN w:val="0"/>
              <w:adjustRightInd w:val="0"/>
              <w:spacing w:line="300" w:lineRule="atLeast"/>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2"/>
                <w:szCs w:val="22"/>
                <w:highlight w:val="none"/>
                <w:lang w:val="zh-CN"/>
              </w:rPr>
              <w:t>（2）“备份投标文件”是指与“电子加密投标文件”同时生成的数据电文形式的电子文件（备份标书），其他方式编制的备份投标文件视为无效备份投标文件。</w:t>
            </w:r>
          </w:p>
          <w:p>
            <w:pPr>
              <w:rPr>
                <w:rFonts w:ascii="宋体" w:eastAsia="宋体"/>
                <w:b w:val="0"/>
                <w:color w:val="auto"/>
                <w:sz w:val="22"/>
                <w:szCs w:val="22"/>
              </w:rPr>
            </w:pPr>
            <w:r>
              <w:rPr>
                <w:rFonts w:hint="eastAsia" w:ascii="新宋体" w:hAnsi="新宋体" w:eastAsia="新宋体" w:cs="新宋体"/>
                <w:kern w:val="0"/>
                <w:sz w:val="22"/>
                <w:szCs w:val="22"/>
                <w:highlight w:val="none"/>
                <w:lang w:val="zh-CN"/>
              </w:rPr>
              <w:t>以上两类投标文件均由商务技术文件、报价文件</w:t>
            </w:r>
            <w:r>
              <w:rPr>
                <w:rFonts w:hint="eastAsia" w:ascii="新宋体" w:hAnsi="新宋体" w:eastAsia="新宋体" w:cs="新宋体"/>
                <w:kern w:val="0"/>
                <w:sz w:val="22"/>
                <w:szCs w:val="22"/>
                <w:highlight w:val="none"/>
                <w:lang w:val="en-US" w:eastAsia="zh-CN"/>
              </w:rPr>
              <w:t>二</w:t>
            </w:r>
            <w:r>
              <w:rPr>
                <w:rFonts w:hint="eastAsia" w:ascii="新宋体" w:hAnsi="新宋体" w:eastAsia="新宋体" w:cs="新宋体"/>
                <w:kern w:val="0"/>
                <w:sz w:val="22"/>
                <w:szCs w:val="22"/>
                <w:highlight w:val="none"/>
                <w:lang w:val="zh-CN"/>
              </w:rPr>
              <w:t>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投标文件份数</w:t>
            </w:r>
          </w:p>
        </w:tc>
        <w:tc>
          <w:tcPr>
            <w:tcW w:w="7623" w:type="dxa"/>
            <w:vAlign w:val="center"/>
          </w:tcPr>
          <w:p>
            <w:pPr>
              <w:autoSpaceDE w:val="0"/>
              <w:autoSpaceDN w:val="0"/>
              <w:adjustRightInd w:val="0"/>
              <w:spacing w:line="300" w:lineRule="atLeast"/>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2"/>
                <w:szCs w:val="22"/>
                <w:highlight w:val="none"/>
                <w:lang w:val="zh-CN"/>
              </w:rPr>
              <w:t>（1）“电子加密投标文件”：在线上传递交、一份。</w:t>
            </w:r>
          </w:p>
          <w:p>
            <w:pPr>
              <w:rPr>
                <w:rFonts w:hint="default" w:ascii="新宋体" w:hAnsi="新宋体" w:eastAsia="新宋体" w:cs="新宋体"/>
                <w:kern w:val="0"/>
                <w:sz w:val="22"/>
                <w:szCs w:val="22"/>
                <w:highlight w:val="yellow"/>
                <w:lang w:val="en-US" w:eastAsia="zh-CN"/>
              </w:rPr>
            </w:pPr>
            <w:r>
              <w:rPr>
                <w:rFonts w:hint="eastAsia" w:ascii="新宋体" w:hAnsi="新宋体" w:eastAsia="新宋体" w:cs="新宋体"/>
                <w:kern w:val="0"/>
                <w:sz w:val="22"/>
                <w:szCs w:val="22"/>
                <w:highlight w:val="none"/>
                <w:lang w:val="zh-CN"/>
              </w:rPr>
              <w:t>（2）“备份投标文件”：以U盘存储，密封包装后</w:t>
            </w:r>
            <w:r>
              <w:rPr>
                <w:rFonts w:hint="eastAsia" w:ascii="新宋体" w:hAnsi="新宋体" w:eastAsia="新宋体" w:cs="新宋体"/>
                <w:kern w:val="0"/>
                <w:sz w:val="22"/>
                <w:szCs w:val="22"/>
                <w:highlight w:val="none"/>
                <w:lang w:val="en-US" w:eastAsia="zh-CN"/>
              </w:rPr>
              <w:t>开标当天由投标授权人或法定代表人递交。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投标文件的上传和递交</w:t>
            </w:r>
          </w:p>
        </w:tc>
        <w:tc>
          <w:tcPr>
            <w:tcW w:w="7623" w:type="dxa"/>
            <w:vAlign w:val="center"/>
          </w:tcPr>
          <w:p>
            <w:pPr>
              <w:pStyle w:val="94"/>
              <w:autoSpaceDE w:val="0"/>
              <w:autoSpaceDN w:val="0"/>
              <w:adjustRightInd w:val="0"/>
              <w:spacing w:line="300" w:lineRule="atLeast"/>
              <w:jc w:val="both"/>
              <w:rPr>
                <w:rFonts w:hint="eastAsia" w:ascii="新宋体" w:hAnsi="新宋体" w:eastAsia="新宋体" w:cs="新宋体"/>
                <w:sz w:val="22"/>
                <w:highlight w:val="none"/>
              </w:rPr>
            </w:pPr>
            <w:r>
              <w:rPr>
                <w:rFonts w:hint="eastAsia" w:ascii="新宋体" w:hAnsi="新宋体" w:eastAsia="新宋体" w:cs="新宋体"/>
                <w:sz w:val="22"/>
                <w:highlight w:val="none"/>
              </w:rPr>
              <w:t>（1）“电子加密投标文件”的上传、递交：</w:t>
            </w:r>
          </w:p>
          <w:p>
            <w:pPr>
              <w:pStyle w:val="94"/>
              <w:autoSpaceDE w:val="0"/>
              <w:autoSpaceDN w:val="0"/>
              <w:adjustRightInd w:val="0"/>
              <w:spacing w:line="300" w:lineRule="atLeast"/>
              <w:jc w:val="both"/>
              <w:rPr>
                <w:rFonts w:hint="eastAsia" w:ascii="新宋体" w:hAnsi="新宋体" w:eastAsia="新宋体" w:cs="新宋体"/>
                <w:sz w:val="22"/>
                <w:highlight w:val="none"/>
              </w:rPr>
            </w:pPr>
            <w:r>
              <w:rPr>
                <w:rFonts w:hint="eastAsia" w:ascii="新宋体" w:hAnsi="新宋体" w:eastAsia="新宋体" w:cs="新宋体"/>
                <w:sz w:val="22"/>
                <w:highlight w:val="none"/>
              </w:rPr>
              <w:t>a.投标人应在投标文件递交截止时间前将“电子加密投标文件”成功上传递交至“政采云平台”，否则投标无效。</w:t>
            </w:r>
          </w:p>
          <w:p>
            <w:pPr>
              <w:pStyle w:val="94"/>
              <w:autoSpaceDE w:val="0"/>
              <w:autoSpaceDN w:val="0"/>
              <w:adjustRightInd w:val="0"/>
              <w:spacing w:line="300" w:lineRule="atLeast"/>
              <w:jc w:val="both"/>
              <w:rPr>
                <w:rFonts w:hint="eastAsia" w:ascii="新宋体" w:hAnsi="新宋体" w:eastAsia="新宋体" w:cs="新宋体"/>
                <w:sz w:val="22"/>
                <w:highlight w:val="none"/>
              </w:rPr>
            </w:pPr>
            <w:r>
              <w:rPr>
                <w:rFonts w:hint="eastAsia" w:ascii="新宋体" w:hAnsi="新宋体" w:eastAsia="新宋体" w:cs="新宋体"/>
                <w:sz w:val="22"/>
                <w:highlight w:val="none"/>
              </w:rPr>
              <w:t>b.“电子加密投标文件”成功上传递交后，供应商可自行打印投标文件接收回执。</w:t>
            </w:r>
          </w:p>
          <w:p>
            <w:pPr>
              <w:pStyle w:val="94"/>
              <w:autoSpaceDE w:val="0"/>
              <w:autoSpaceDN w:val="0"/>
              <w:adjustRightInd w:val="0"/>
              <w:spacing w:line="300" w:lineRule="atLeast"/>
              <w:jc w:val="both"/>
              <w:rPr>
                <w:rFonts w:hint="eastAsia" w:ascii="新宋体" w:hAnsi="新宋体" w:eastAsia="新宋体" w:cs="新宋体"/>
                <w:sz w:val="22"/>
                <w:highlight w:val="none"/>
              </w:rPr>
            </w:pPr>
            <w:r>
              <w:rPr>
                <w:rFonts w:hint="eastAsia" w:ascii="新宋体" w:hAnsi="新宋体" w:eastAsia="新宋体" w:cs="新宋体"/>
                <w:sz w:val="22"/>
                <w:highlight w:val="none"/>
              </w:rPr>
              <w:t>（2）“备份投标文件”的密封包装、递交：</w:t>
            </w:r>
          </w:p>
          <w:p>
            <w:pPr>
              <w:pStyle w:val="94"/>
              <w:autoSpaceDE w:val="0"/>
              <w:autoSpaceDN w:val="0"/>
              <w:adjustRightInd w:val="0"/>
              <w:spacing w:line="300" w:lineRule="atLeast"/>
              <w:jc w:val="both"/>
              <w:rPr>
                <w:rFonts w:hint="eastAsia" w:ascii="新宋体" w:hAnsi="新宋体" w:eastAsia="新宋体" w:cs="新宋体"/>
                <w:sz w:val="22"/>
                <w:highlight w:val="none"/>
              </w:rPr>
            </w:pPr>
            <w:r>
              <w:rPr>
                <w:rFonts w:hint="eastAsia" w:ascii="新宋体" w:hAnsi="新宋体" w:eastAsia="新宋体" w:cs="新宋体"/>
                <w:sz w:val="22"/>
                <w:highlight w:val="none"/>
              </w:rPr>
              <w:t>a.投标人在“政采云平台”完成“电子加密投标文件”的上传递交后，</w:t>
            </w:r>
            <w:r>
              <w:rPr>
                <w:rFonts w:hint="eastAsia" w:ascii="新宋体" w:hAnsi="新宋体" w:eastAsia="新宋体" w:cs="新宋体"/>
                <w:sz w:val="22"/>
                <w:highlight w:val="none"/>
                <w:lang w:val="en-US" w:eastAsia="zh-CN"/>
              </w:rPr>
              <w:t>备份投标文件由</w:t>
            </w:r>
            <w:r>
              <w:rPr>
                <w:rFonts w:hint="eastAsia" w:ascii="宋体" w:eastAsia="宋体" w:cs="Arial"/>
                <w:b w:val="0"/>
                <w:color w:val="auto"/>
                <w:sz w:val="22"/>
                <w:szCs w:val="22"/>
                <w:highlight w:val="none"/>
              </w:rPr>
              <w:t>法定代表人或其授权代表须携带“身份证原件”</w:t>
            </w:r>
            <w:r>
              <w:rPr>
                <w:rFonts w:hint="eastAsia" w:ascii="新宋体" w:hAnsi="新宋体" w:eastAsia="新宋体" w:cs="新宋体"/>
                <w:sz w:val="22"/>
                <w:highlight w:val="none"/>
                <w:lang w:val="en-US" w:eastAsia="zh-CN"/>
              </w:rPr>
              <w:t>在开标截止前和样品一起送到瓯海交易中心收标区递交</w:t>
            </w:r>
            <w:r>
              <w:rPr>
                <w:rFonts w:hint="eastAsia" w:ascii="新宋体" w:hAnsi="新宋体" w:eastAsia="新宋体" w:cs="新宋体"/>
                <w:sz w:val="22"/>
                <w:highlight w:val="none"/>
              </w:rPr>
              <w:t>；解密CA必须是上传并制作电子投标文件CA锁。</w:t>
            </w:r>
          </w:p>
          <w:p>
            <w:pPr>
              <w:autoSpaceDE w:val="0"/>
              <w:autoSpaceDN w:val="0"/>
              <w:adjustRightInd w:val="0"/>
              <w:spacing w:line="300" w:lineRule="atLeast"/>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2"/>
                <w:szCs w:val="22"/>
                <w:highlight w:val="none"/>
                <w:lang w:val="zh-CN"/>
              </w:rPr>
              <w:t>b.“备份投标文件”应当密封包装，并在包装上标注投标项目名称、投标单位名称并加盖公章。没有密封包装或者逾期送达至投标地点的“备份投标文件”将不予接收。</w:t>
            </w:r>
          </w:p>
          <w:p>
            <w:pPr>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2"/>
                <w:szCs w:val="22"/>
                <w:highlight w:val="none"/>
                <w:lang w:val="zh-CN"/>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hint="eastAsia" w:ascii="新宋体" w:hAnsi="新宋体" w:eastAsia="新宋体" w:cs="新宋体"/>
                <w:kern w:val="0"/>
                <w:sz w:val="22"/>
                <w:szCs w:val="22"/>
                <w:lang w:val="zh-CN"/>
              </w:rPr>
            </w:pPr>
            <w:r>
              <w:rPr>
                <w:rFonts w:hint="eastAsia" w:ascii="新宋体" w:hAnsi="新宋体" w:eastAsia="新宋体" w:cs="新宋体"/>
                <w:kern w:val="0"/>
                <w:sz w:val="22"/>
                <w:szCs w:val="22"/>
                <w:lang w:val="zh-CN"/>
              </w:rPr>
              <w:t>电子加密投标文件的解密和异常情况处理</w:t>
            </w:r>
          </w:p>
        </w:tc>
        <w:tc>
          <w:tcPr>
            <w:tcW w:w="7623" w:type="dxa"/>
            <w:vAlign w:val="center"/>
          </w:tcPr>
          <w:p>
            <w:pPr>
              <w:autoSpaceDE w:val="0"/>
              <w:autoSpaceDN w:val="0"/>
              <w:adjustRightInd w:val="0"/>
              <w:spacing w:line="300" w:lineRule="atLeast"/>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2"/>
                <w:szCs w:val="22"/>
                <w:highlight w:val="none"/>
                <w:lang w:val="zh-CN"/>
              </w:rPr>
              <w:t>（1）开标后，采购组织机构将向各投标人发出“电子加密投标文件”的解密通知，各投标人代表应当在接到解密通知后30分钟内自行完成“电子加密投标文件”的在线解密。</w:t>
            </w:r>
          </w:p>
          <w:p>
            <w:pPr>
              <w:autoSpaceDE w:val="0"/>
              <w:autoSpaceDN w:val="0"/>
              <w:adjustRightInd w:val="0"/>
              <w:spacing w:line="300" w:lineRule="atLeast"/>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2"/>
                <w:szCs w:val="22"/>
                <w:highlight w:val="none"/>
                <w:lang w:val="zh-CN"/>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rPr>
                <w:rFonts w:hint="eastAsia" w:ascii="新宋体" w:hAnsi="新宋体" w:eastAsia="新宋体" w:cs="新宋体"/>
                <w:kern w:val="0"/>
                <w:sz w:val="22"/>
                <w:szCs w:val="22"/>
                <w:highlight w:val="none"/>
                <w:lang w:val="zh-CN"/>
              </w:rPr>
            </w:pPr>
            <w:r>
              <w:rPr>
                <w:rFonts w:hint="eastAsia" w:ascii="新宋体" w:hAnsi="新宋体" w:eastAsia="新宋体" w:cs="新宋体"/>
                <w:kern w:val="0"/>
                <w:sz w:val="22"/>
                <w:szCs w:val="22"/>
                <w:highlight w:val="none"/>
                <w:lang w:val="zh-CN"/>
              </w:rPr>
              <w:t>（3）投标文件递交截止时间前，投标人仅递交了“备份投标文件”而未将电子加密投标文件上传至“政采云平台”的，投标无效。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投标样品</w:t>
            </w:r>
          </w:p>
        </w:tc>
        <w:tc>
          <w:tcPr>
            <w:tcW w:w="7623" w:type="dxa"/>
            <w:vAlign w:val="center"/>
          </w:tcPr>
          <w:p>
            <w:pPr>
              <w:rPr>
                <w:rFonts w:ascii="宋体" w:eastAsia="宋体"/>
                <w:b w:val="0"/>
                <w:color w:val="auto"/>
                <w:sz w:val="22"/>
                <w:szCs w:val="22"/>
                <w:highlight w:val="none"/>
              </w:rPr>
            </w:pPr>
            <w:r>
              <w:rPr>
                <w:rFonts w:ascii="宋体" w:eastAsia="宋体"/>
                <w:b w:val="0"/>
                <w:color w:val="auto"/>
                <w:sz w:val="22"/>
                <w:szCs w:val="22"/>
                <w:highlight w:val="none"/>
              </w:rPr>
              <w:fldChar w:fldCharType="begin"/>
            </w:r>
            <w:r>
              <w:rPr>
                <w:rFonts w:hint="eastAsia" w:ascii="宋体" w:eastAsia="宋体"/>
                <w:b w:val="0"/>
                <w:color w:val="auto"/>
                <w:sz w:val="22"/>
                <w:szCs w:val="22"/>
                <w:highlight w:val="none"/>
              </w:rPr>
              <w:instrText xml:space="preserve">eq \o\ac(□)</w:instrText>
            </w:r>
            <w:r>
              <w:rPr>
                <w:rFonts w:ascii="宋体" w:eastAsia="宋体"/>
                <w:b w:val="0"/>
                <w:color w:val="auto"/>
                <w:sz w:val="22"/>
                <w:szCs w:val="22"/>
                <w:highlight w:val="none"/>
              </w:rPr>
              <w:fldChar w:fldCharType="end"/>
            </w:r>
            <w:r>
              <w:rPr>
                <w:rFonts w:hint="eastAsia" w:ascii="宋体" w:eastAsia="宋体"/>
                <w:b w:val="0"/>
                <w:color w:val="auto"/>
                <w:sz w:val="22"/>
                <w:szCs w:val="22"/>
                <w:highlight w:val="none"/>
              </w:rPr>
              <w:t>不需要</w:t>
            </w:r>
          </w:p>
          <w:p>
            <w:pPr>
              <w:rPr>
                <w:rFonts w:hint="default" w:ascii="宋体" w:eastAsia="宋体"/>
                <w:b w:val="0"/>
                <w:color w:val="auto"/>
                <w:sz w:val="22"/>
                <w:szCs w:val="22"/>
                <w:highlight w:val="none"/>
                <w:lang w:val="en-US" w:eastAsia="zh-CN"/>
              </w:rPr>
            </w:pPr>
            <w:r>
              <w:rPr>
                <w:rFonts w:ascii="宋体" w:eastAsia="宋体"/>
                <w:b w:val="0"/>
                <w:color w:val="auto"/>
                <w:sz w:val="22"/>
                <w:szCs w:val="22"/>
                <w:highlight w:val="none"/>
              </w:rPr>
              <w:sym w:font="Wingdings 2" w:char="0052"/>
            </w:r>
            <w:r>
              <w:rPr>
                <w:rFonts w:hint="eastAsia" w:ascii="宋体" w:eastAsia="宋体"/>
                <w:b w:val="0"/>
                <w:color w:val="auto"/>
                <w:sz w:val="22"/>
                <w:szCs w:val="22"/>
                <w:highlight w:val="none"/>
              </w:rPr>
              <w:t>需要:</w:t>
            </w:r>
            <w:r>
              <w:rPr>
                <w:rFonts w:hint="eastAsia" w:ascii="宋体" w:eastAsia="宋体"/>
                <w:b w:val="0"/>
                <w:color w:val="auto"/>
                <w:sz w:val="22"/>
                <w:szCs w:val="22"/>
                <w:highlight w:val="none"/>
                <w:lang w:val="en-US" w:eastAsia="zh-CN"/>
              </w:rPr>
              <w:t>投标截止前由</w:t>
            </w:r>
            <w:r>
              <w:rPr>
                <w:rFonts w:hint="eastAsia" w:ascii="宋体" w:eastAsia="宋体" w:cs="Arial"/>
                <w:b w:val="0"/>
                <w:color w:val="auto"/>
                <w:sz w:val="22"/>
                <w:szCs w:val="22"/>
                <w:highlight w:val="none"/>
              </w:rPr>
              <w:t>参加开标会的投标供应商的法定代表人或其授权代表须携带“身份证原件”，</w:t>
            </w:r>
            <w:r>
              <w:rPr>
                <w:rFonts w:hint="eastAsia" w:ascii="宋体" w:eastAsia="宋体" w:cs="Arial"/>
                <w:b w:val="0"/>
                <w:color w:val="auto"/>
                <w:sz w:val="22"/>
                <w:szCs w:val="22"/>
                <w:highlight w:val="none"/>
                <w:lang w:val="en-US" w:eastAsia="zh-CN"/>
              </w:rPr>
              <w:t>递交样品后就可离场，待开标结束后通知供应商搬走样品。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adjustRightInd w:val="0"/>
              <w:jc w:val="center"/>
              <w:rPr>
                <w:rFonts w:ascii="宋体" w:eastAsia="宋体"/>
                <w:b w:val="0"/>
                <w:color w:val="auto"/>
                <w:sz w:val="22"/>
                <w:szCs w:val="22"/>
              </w:rPr>
            </w:pPr>
            <w:r>
              <w:rPr>
                <w:rFonts w:hint="eastAsia" w:ascii="宋体" w:eastAsia="宋体"/>
                <w:b w:val="0"/>
                <w:color w:val="auto"/>
                <w:sz w:val="22"/>
                <w:szCs w:val="22"/>
              </w:rPr>
              <w:t>履约担保</w:t>
            </w:r>
          </w:p>
        </w:tc>
        <w:tc>
          <w:tcPr>
            <w:tcW w:w="7623" w:type="dxa"/>
            <w:vAlign w:val="center"/>
          </w:tcPr>
          <w:p>
            <w:pPr>
              <w:rPr>
                <w:rFonts w:ascii="宋体" w:eastAsia="宋体"/>
                <w:b w:val="0"/>
                <w:color w:val="auto"/>
                <w:sz w:val="22"/>
                <w:szCs w:val="22"/>
                <w:highlight w:val="none"/>
              </w:rPr>
            </w:pPr>
            <w:r>
              <w:rPr>
                <w:rFonts w:ascii="宋体" w:eastAsia="宋体"/>
                <w:b w:val="0"/>
                <w:color w:val="auto"/>
                <w:sz w:val="22"/>
                <w:szCs w:val="22"/>
                <w:highlight w:val="none"/>
              </w:rPr>
              <w:t>□</w:t>
            </w:r>
            <w:r>
              <w:rPr>
                <w:rFonts w:hint="eastAsia" w:ascii="宋体" w:eastAsia="宋体"/>
                <w:b w:val="0"/>
                <w:color w:val="auto"/>
                <w:sz w:val="22"/>
                <w:szCs w:val="22"/>
                <w:highlight w:val="none"/>
              </w:rPr>
              <w:t>不需要</w:t>
            </w:r>
          </w:p>
          <w:p>
            <w:pPr>
              <w:adjustRightInd w:val="0"/>
              <w:rPr>
                <w:rFonts w:ascii="宋体" w:eastAsia="宋体"/>
                <w:b w:val="0"/>
                <w:color w:val="auto"/>
                <w:sz w:val="22"/>
                <w:szCs w:val="22"/>
                <w:highlight w:val="none"/>
              </w:rPr>
            </w:pPr>
            <w:r>
              <w:rPr>
                <w:rFonts w:ascii="宋体" w:eastAsia="宋体"/>
                <w:b w:val="0"/>
                <w:color w:val="auto"/>
                <w:sz w:val="22"/>
                <w:szCs w:val="22"/>
                <w:highlight w:val="none"/>
              </w:rPr>
              <w:fldChar w:fldCharType="begin"/>
            </w:r>
            <w:r>
              <w:rPr>
                <w:rFonts w:hint="eastAsia" w:ascii="宋体" w:eastAsia="宋体"/>
                <w:b w:val="0"/>
                <w:color w:val="auto"/>
                <w:sz w:val="22"/>
                <w:szCs w:val="22"/>
                <w:highlight w:val="none"/>
              </w:rPr>
              <w:instrText xml:space="preserve">eq \o\ac(□,√)</w:instrText>
            </w:r>
            <w:r>
              <w:rPr>
                <w:rFonts w:ascii="宋体" w:eastAsia="宋体"/>
                <w:b w:val="0"/>
                <w:color w:val="auto"/>
                <w:sz w:val="22"/>
                <w:szCs w:val="22"/>
                <w:highlight w:val="none"/>
              </w:rPr>
              <w:fldChar w:fldCharType="end"/>
            </w:r>
            <w:r>
              <w:rPr>
                <w:rFonts w:hint="eastAsia" w:ascii="宋体" w:eastAsia="宋体"/>
                <w:b w:val="0"/>
                <w:color w:val="auto"/>
                <w:sz w:val="22"/>
                <w:szCs w:val="22"/>
                <w:highlight w:val="none"/>
              </w:rPr>
              <w:t xml:space="preserve">需要 </w:t>
            </w:r>
            <w:r>
              <w:rPr>
                <w:rFonts w:hint="eastAsia" w:ascii="宋体" w:eastAsia="宋体"/>
                <w:b w:val="0"/>
                <w:bCs/>
                <w:color w:val="auto"/>
                <w:sz w:val="22"/>
                <w:szCs w:val="22"/>
                <w:highlight w:val="none"/>
              </w:rPr>
              <w:t xml:space="preserve"> 合同签订前中标供应商应提供合</w:t>
            </w:r>
            <w:r>
              <w:rPr>
                <w:rFonts w:hint="eastAsia" w:ascii="宋体" w:eastAsia="宋体"/>
                <w:b w:val="0"/>
                <w:bCs/>
                <w:color w:val="000000" w:themeColor="text1"/>
                <w:sz w:val="22"/>
                <w:szCs w:val="22"/>
                <w:highlight w:val="none"/>
              </w:rPr>
              <w:t>同总金额</w:t>
            </w:r>
            <w:r>
              <w:rPr>
                <w:rFonts w:hint="eastAsia" w:ascii="宋体" w:eastAsia="宋体"/>
                <w:b w:val="0"/>
                <w:bCs/>
                <w:color w:val="000000" w:themeColor="text1"/>
                <w:sz w:val="22"/>
                <w:szCs w:val="22"/>
                <w:highlight w:val="none"/>
                <w:lang w:val="en-US" w:eastAsia="zh-CN"/>
              </w:rPr>
              <w:t>5</w:t>
            </w:r>
            <w:r>
              <w:rPr>
                <w:rFonts w:hint="eastAsia" w:ascii="宋体" w:eastAsia="宋体"/>
                <w:b w:val="0"/>
                <w:bCs/>
                <w:color w:val="000000" w:themeColor="text1"/>
                <w:sz w:val="22"/>
                <w:szCs w:val="22"/>
                <w:highlight w:val="none"/>
              </w:rPr>
              <w:t>%的履</w:t>
            </w:r>
            <w:r>
              <w:rPr>
                <w:rFonts w:hint="eastAsia" w:ascii="宋体" w:eastAsia="宋体"/>
                <w:b w:val="0"/>
                <w:bCs/>
                <w:color w:val="auto"/>
                <w:sz w:val="22"/>
                <w:szCs w:val="22"/>
                <w:highlight w:val="none"/>
              </w:rPr>
              <w:t>约保证金至采购人指定账户。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招标文件发售时间及获取方式</w:t>
            </w:r>
          </w:p>
        </w:tc>
        <w:tc>
          <w:tcPr>
            <w:tcW w:w="7623" w:type="dxa"/>
            <w:vAlign w:val="center"/>
          </w:tcPr>
          <w:p>
            <w:pPr>
              <w:rPr>
                <w:rFonts w:ascii="宋体" w:eastAsia="宋体"/>
                <w:b w:val="0"/>
                <w:color w:val="auto"/>
                <w:sz w:val="22"/>
                <w:szCs w:val="22"/>
              </w:rPr>
            </w:pPr>
            <w:r>
              <w:rPr>
                <w:rFonts w:hint="eastAsia" w:ascii="宋体" w:eastAsia="宋体"/>
                <w:b w:val="0"/>
                <w:color w:val="auto"/>
                <w:sz w:val="22"/>
                <w:szCs w:val="22"/>
              </w:rPr>
              <w:t>本项目采购公告发布次日起</w:t>
            </w:r>
            <w:r>
              <w:rPr>
                <w:rFonts w:ascii="宋体" w:eastAsia="宋体"/>
                <w:b w:val="0"/>
                <w:color w:val="auto"/>
                <w:sz w:val="22"/>
                <w:szCs w:val="22"/>
              </w:rPr>
              <w:t>5</w:t>
            </w:r>
            <w:r>
              <w:rPr>
                <w:rFonts w:hint="eastAsia" w:ascii="宋体" w:eastAsia="宋体"/>
                <w:b w:val="0"/>
                <w:color w:val="auto"/>
                <w:sz w:val="22"/>
                <w:szCs w:val="22"/>
              </w:rPr>
              <w:t>个工作日(双休日及法定节假日除外)。</w:t>
            </w:r>
          </w:p>
          <w:p>
            <w:pPr>
              <w:rPr>
                <w:rFonts w:ascii="宋体" w:eastAsia="宋体"/>
                <w:color w:val="auto"/>
                <w:sz w:val="22"/>
                <w:szCs w:val="22"/>
              </w:rPr>
            </w:pPr>
            <w:r>
              <w:rPr>
                <w:rFonts w:ascii="宋体" w:eastAsia="宋体"/>
                <w:b w:val="0"/>
                <w:color w:val="auto"/>
                <w:sz w:val="22"/>
                <w:szCs w:val="22"/>
              </w:rPr>
              <w:t>□</w:t>
            </w:r>
            <w:r>
              <w:rPr>
                <w:rFonts w:hint="eastAsia" w:ascii="宋体" w:eastAsia="宋体"/>
                <w:color w:val="auto"/>
                <w:sz w:val="22"/>
                <w:szCs w:val="22"/>
              </w:rPr>
              <w:t>报名后，电洽</w:t>
            </w:r>
            <w:r>
              <w:rPr>
                <w:rFonts w:ascii="宋体" w:eastAsia="宋体"/>
                <w:color w:val="auto"/>
                <w:sz w:val="22"/>
                <w:szCs w:val="22"/>
              </w:rPr>
              <w:t>代理公司处领取</w:t>
            </w:r>
            <w:r>
              <w:rPr>
                <w:rFonts w:hint="eastAsia" w:ascii="宋体" w:eastAsia="宋体"/>
                <w:color w:val="auto"/>
                <w:sz w:val="22"/>
                <w:szCs w:val="22"/>
              </w:rPr>
              <w:t>招标文件最终版；</w:t>
            </w:r>
          </w:p>
          <w:p>
            <w:pPr>
              <w:rPr>
                <w:rFonts w:ascii="宋体" w:eastAsia="宋体" w:cs="Arial"/>
                <w:b w:val="0"/>
                <w:color w:val="auto"/>
                <w:sz w:val="22"/>
                <w:szCs w:val="22"/>
              </w:rPr>
            </w:pPr>
            <w:r>
              <w:rPr>
                <w:rFonts w:ascii="宋体" w:eastAsia="宋体"/>
                <w:color w:val="auto"/>
                <w:sz w:val="22"/>
                <w:szCs w:val="22"/>
              </w:rPr>
              <w:fldChar w:fldCharType="begin"/>
            </w:r>
            <w:r>
              <w:rPr>
                <w:rFonts w:hint="eastAsia" w:ascii="宋体" w:eastAsia="宋体"/>
                <w:color w:val="auto"/>
                <w:sz w:val="22"/>
                <w:szCs w:val="22"/>
              </w:rPr>
              <w:instrText xml:space="preserve">eq \o\ac(□,√)</w:instrText>
            </w:r>
            <w:r>
              <w:rPr>
                <w:rFonts w:ascii="宋体" w:eastAsia="宋体"/>
                <w:color w:val="auto"/>
                <w:sz w:val="22"/>
                <w:szCs w:val="22"/>
              </w:rPr>
              <w:fldChar w:fldCharType="end"/>
            </w:r>
            <w:r>
              <w:rPr>
                <w:rFonts w:hint="eastAsia" w:ascii="宋体" w:eastAsia="宋体"/>
                <w:b w:val="0"/>
                <w:color w:val="auto"/>
                <w:sz w:val="22"/>
                <w:szCs w:val="22"/>
              </w:rPr>
              <w:t>报名后从浙江政府采购网（</w:t>
            </w:r>
            <w:r>
              <w:rPr>
                <w:rFonts w:ascii="宋体" w:eastAsia="宋体"/>
                <w:b w:val="0"/>
                <w:color w:val="auto"/>
                <w:sz w:val="22"/>
                <w:szCs w:val="22"/>
              </w:rPr>
              <w:t>http://www.zjzfcg.gov.cn</w:t>
            </w:r>
            <w:r>
              <w:rPr>
                <w:rFonts w:hint="eastAsia" w:ascii="宋体" w:eastAsia="宋体"/>
                <w:b w:val="0"/>
                <w:color w:val="auto"/>
                <w:sz w:val="22"/>
                <w:szCs w:val="22"/>
              </w:rPr>
              <w:t>）直接下载。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投标截止时间</w:t>
            </w:r>
          </w:p>
        </w:tc>
        <w:tc>
          <w:tcPr>
            <w:tcW w:w="7623" w:type="dxa"/>
            <w:vAlign w:val="center"/>
          </w:tcPr>
          <w:p>
            <w:pPr>
              <w:rPr>
                <w:rFonts w:ascii="宋体" w:eastAsia="宋体" w:cs="Arial"/>
                <w:b w:val="0"/>
                <w:color w:val="auto"/>
                <w:sz w:val="22"/>
                <w:szCs w:val="22"/>
              </w:rPr>
            </w:pPr>
            <w:r>
              <w:rPr>
                <w:rFonts w:hint="eastAsia" w:ascii="宋体" w:eastAsia="宋体"/>
                <w:b w:val="0"/>
                <w:color w:val="auto"/>
                <w:sz w:val="22"/>
                <w:szCs w:val="22"/>
              </w:rPr>
              <w:t>20</w:t>
            </w:r>
            <w:r>
              <w:rPr>
                <w:rFonts w:hint="eastAsia" w:ascii="宋体" w:eastAsia="宋体"/>
                <w:b w:val="0"/>
                <w:color w:val="auto"/>
                <w:sz w:val="22"/>
                <w:szCs w:val="22"/>
                <w:lang w:val="en-US" w:eastAsia="zh-CN"/>
              </w:rPr>
              <w:t>20</w:t>
            </w:r>
            <w:r>
              <w:rPr>
                <w:rFonts w:hint="eastAsia" w:ascii="宋体" w:eastAsia="宋体"/>
                <w:b w:val="0"/>
                <w:color w:val="auto"/>
                <w:sz w:val="22"/>
                <w:szCs w:val="22"/>
              </w:rPr>
              <w:t>年</w:t>
            </w:r>
            <w:r>
              <w:rPr>
                <w:rFonts w:hint="eastAsia" w:ascii="宋体" w:eastAsia="宋体"/>
                <w:b w:val="0"/>
                <w:color w:val="auto"/>
                <w:sz w:val="22"/>
                <w:szCs w:val="22"/>
                <w:lang w:val="en-US" w:eastAsia="zh-CN"/>
              </w:rPr>
              <w:t>4</w:t>
            </w:r>
            <w:r>
              <w:rPr>
                <w:rFonts w:hint="eastAsia" w:ascii="宋体" w:eastAsia="宋体"/>
                <w:b w:val="0"/>
                <w:color w:val="auto"/>
                <w:sz w:val="22"/>
                <w:szCs w:val="22"/>
              </w:rPr>
              <w:t>月</w:t>
            </w:r>
            <w:r>
              <w:rPr>
                <w:rFonts w:hint="eastAsia" w:ascii="宋体" w:eastAsia="宋体"/>
                <w:b w:val="0"/>
                <w:color w:val="auto"/>
                <w:sz w:val="22"/>
                <w:szCs w:val="22"/>
                <w:lang w:val="en-US" w:eastAsia="zh-CN"/>
              </w:rPr>
              <w:t>16</w:t>
            </w:r>
            <w:r>
              <w:rPr>
                <w:rFonts w:hint="eastAsia" w:ascii="宋体" w:eastAsia="宋体"/>
                <w:b w:val="0"/>
                <w:color w:val="auto"/>
                <w:sz w:val="22"/>
                <w:szCs w:val="22"/>
              </w:rPr>
              <w:t>日上午09:</w:t>
            </w:r>
            <w:r>
              <w:rPr>
                <w:rFonts w:ascii="宋体" w:eastAsia="宋体"/>
                <w:b w:val="0"/>
                <w:color w:val="auto"/>
                <w:sz w:val="22"/>
                <w:szCs w:val="22"/>
              </w:rPr>
              <w:t>3</w:t>
            </w:r>
            <w:r>
              <w:rPr>
                <w:rFonts w:hint="eastAsia" w:ascii="宋体" w:eastAsia="宋体"/>
                <w:b w:val="0"/>
                <w:color w:val="auto"/>
                <w:sz w:val="22"/>
                <w:szCs w:val="22"/>
              </w:rPr>
              <w:t>0 截</w:t>
            </w:r>
            <w:r>
              <w:rPr>
                <w:rFonts w:hint="eastAsia" w:ascii="宋体" w:eastAsia="宋体" w:cs="Arial"/>
                <w:b w:val="0"/>
                <w:color w:val="auto"/>
                <w:sz w:val="22"/>
                <w:szCs w:val="22"/>
              </w:rPr>
              <w:t>止</w:t>
            </w:r>
            <w:r>
              <w:rPr>
                <w:rFonts w:ascii="宋体" w:eastAsia="宋体" w:cs="Arial"/>
                <w:b w:val="0"/>
                <w:color w:val="auto"/>
                <w:sz w:val="22"/>
                <w:szCs w:val="22"/>
              </w:rPr>
              <w:t>(</w:t>
            </w:r>
            <w:r>
              <w:rPr>
                <w:rFonts w:hint="eastAsia" w:ascii="宋体" w:eastAsia="宋体" w:cs="Arial"/>
                <w:b w:val="0"/>
                <w:color w:val="auto"/>
                <w:sz w:val="22"/>
                <w:szCs w:val="22"/>
              </w:rPr>
              <w:t>北京时间</w:t>
            </w:r>
            <w:r>
              <w:rPr>
                <w:rFonts w:ascii="宋体" w:eastAsia="宋体" w:cs="Arial"/>
                <w:b w:val="0"/>
                <w:color w:val="auto"/>
                <w:sz w:val="22"/>
                <w:szCs w:val="22"/>
              </w:rPr>
              <w:t>)</w:t>
            </w:r>
            <w:r>
              <w:rPr>
                <w:rFonts w:hint="eastAsia" w:ascii="宋体" w:eastAsia="宋体" w:cs="Arial"/>
                <w:b w:val="0"/>
                <w:color w:val="auto"/>
                <w:sz w:val="22"/>
                <w:szCs w:val="22"/>
              </w:rPr>
              <w:t>。</w:t>
            </w:r>
            <w:r>
              <w:rPr>
                <w:rFonts w:hint="eastAsia" w:ascii="宋体" w:eastAsia="宋体" w:cs="Arial"/>
                <w:color w:val="auto"/>
                <w:sz w:val="22"/>
                <w:szCs w:val="22"/>
              </w:rPr>
              <w:t>（以发布的公告时间为准）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cs="Arial"/>
                <w:b w:val="0"/>
                <w:color w:val="auto"/>
                <w:sz w:val="22"/>
                <w:szCs w:val="22"/>
              </w:rPr>
            </w:pPr>
            <w:r>
              <w:rPr>
                <w:rFonts w:hint="eastAsia" w:ascii="宋体" w:eastAsia="宋体"/>
                <w:b w:val="0"/>
                <w:color w:val="auto"/>
                <w:sz w:val="22"/>
                <w:szCs w:val="22"/>
              </w:rPr>
              <w:t>投标时间及地点</w:t>
            </w:r>
          </w:p>
        </w:tc>
        <w:tc>
          <w:tcPr>
            <w:tcW w:w="7623" w:type="dxa"/>
            <w:vAlign w:val="center"/>
          </w:tcPr>
          <w:p>
            <w:pPr>
              <w:rPr>
                <w:rFonts w:ascii="宋体" w:eastAsia="宋体"/>
                <w:b w:val="0"/>
                <w:color w:val="auto"/>
                <w:sz w:val="22"/>
                <w:szCs w:val="22"/>
              </w:rPr>
            </w:pPr>
            <w:r>
              <w:rPr>
                <w:rFonts w:hint="eastAsia" w:ascii="宋体" w:eastAsia="宋体"/>
                <w:b w:val="0"/>
                <w:color w:val="auto"/>
                <w:sz w:val="22"/>
                <w:szCs w:val="22"/>
              </w:rPr>
              <w:t>20</w:t>
            </w:r>
            <w:r>
              <w:rPr>
                <w:rFonts w:hint="eastAsia" w:ascii="宋体" w:eastAsia="宋体"/>
                <w:b w:val="0"/>
                <w:color w:val="auto"/>
                <w:sz w:val="22"/>
                <w:szCs w:val="22"/>
                <w:lang w:val="en-US" w:eastAsia="zh-CN"/>
              </w:rPr>
              <w:t>20</w:t>
            </w:r>
            <w:r>
              <w:rPr>
                <w:rFonts w:hint="eastAsia" w:ascii="宋体" w:eastAsia="宋体"/>
                <w:b w:val="0"/>
                <w:color w:val="auto"/>
                <w:sz w:val="22"/>
                <w:szCs w:val="22"/>
              </w:rPr>
              <w:t>年</w:t>
            </w:r>
            <w:r>
              <w:rPr>
                <w:rFonts w:hint="eastAsia" w:ascii="宋体" w:eastAsia="宋体"/>
                <w:b w:val="0"/>
                <w:color w:val="auto"/>
                <w:sz w:val="22"/>
                <w:szCs w:val="22"/>
                <w:lang w:val="en-US" w:eastAsia="zh-CN"/>
              </w:rPr>
              <w:t>4</w:t>
            </w:r>
            <w:r>
              <w:rPr>
                <w:rFonts w:hint="eastAsia" w:ascii="宋体" w:eastAsia="宋体"/>
                <w:b w:val="0"/>
                <w:color w:val="auto"/>
                <w:sz w:val="22"/>
                <w:szCs w:val="22"/>
              </w:rPr>
              <w:t>月</w:t>
            </w:r>
            <w:r>
              <w:rPr>
                <w:rFonts w:hint="eastAsia" w:ascii="宋体" w:eastAsia="宋体"/>
                <w:b w:val="0"/>
                <w:color w:val="auto"/>
                <w:sz w:val="22"/>
                <w:szCs w:val="22"/>
                <w:lang w:val="en-US" w:eastAsia="zh-CN"/>
              </w:rPr>
              <w:t>16</w:t>
            </w:r>
            <w:r>
              <w:rPr>
                <w:rFonts w:hint="eastAsia" w:ascii="宋体" w:eastAsia="宋体"/>
                <w:b w:val="0"/>
                <w:color w:val="auto"/>
                <w:sz w:val="22"/>
                <w:szCs w:val="22"/>
              </w:rPr>
              <w:t>日上午09:</w:t>
            </w:r>
            <w:r>
              <w:rPr>
                <w:rFonts w:ascii="宋体" w:eastAsia="宋体"/>
                <w:b w:val="0"/>
                <w:color w:val="auto"/>
                <w:sz w:val="22"/>
                <w:szCs w:val="22"/>
              </w:rPr>
              <w:t>3</w:t>
            </w:r>
            <w:r>
              <w:rPr>
                <w:rFonts w:hint="eastAsia" w:ascii="宋体" w:eastAsia="宋体"/>
                <w:b w:val="0"/>
                <w:color w:val="auto"/>
                <w:sz w:val="22"/>
                <w:szCs w:val="22"/>
              </w:rPr>
              <w:t>0 ；</w:t>
            </w:r>
            <w:r>
              <w:rPr>
                <w:rFonts w:hint="eastAsia" w:ascii="宋体" w:eastAsia="宋体" w:cs="Arial"/>
                <w:color w:val="auto"/>
                <w:sz w:val="22"/>
                <w:szCs w:val="22"/>
              </w:rPr>
              <w:t>（以发布的公告时间为准）</w:t>
            </w:r>
          </w:p>
          <w:p>
            <w:pPr>
              <w:rPr>
                <w:rFonts w:ascii="宋体" w:eastAsia="宋体" w:cs="Arial"/>
                <w:b w:val="0"/>
                <w:color w:val="auto"/>
                <w:sz w:val="22"/>
                <w:szCs w:val="22"/>
              </w:rPr>
            </w:pPr>
            <w:r>
              <w:rPr>
                <w:rFonts w:hint="eastAsia" w:ascii="宋体" w:eastAsia="宋体"/>
                <w:b w:val="0"/>
                <w:color w:val="auto"/>
                <w:sz w:val="22"/>
                <w:szCs w:val="22"/>
              </w:rPr>
              <w:t>投标文件递交地点：瓯海区行政中心2号楼三楼公共资源交易大厅</w:t>
            </w:r>
            <w:r>
              <w:rPr>
                <w:rFonts w:ascii="宋体" w:eastAsia="宋体"/>
                <w:b w:val="0"/>
                <w:color w:val="auto"/>
                <w:sz w:val="22"/>
                <w:szCs w:val="22"/>
              </w:rPr>
              <w:t>（</w:t>
            </w:r>
            <w:r>
              <w:rPr>
                <w:rFonts w:hint="eastAsia" w:ascii="宋体" w:eastAsia="宋体"/>
                <w:b w:val="0"/>
                <w:color w:val="auto"/>
                <w:sz w:val="22"/>
                <w:szCs w:val="22"/>
              </w:rPr>
              <w:t>瓯海娄桥洲洋路2号</w:t>
            </w:r>
            <w:r>
              <w:rPr>
                <w:rFonts w:ascii="宋体" w:eastAsia="宋体"/>
                <w:b w:val="0"/>
                <w:color w:val="auto"/>
                <w:sz w:val="22"/>
                <w:szCs w:val="22"/>
              </w:rPr>
              <w:t>）</w:t>
            </w:r>
            <w:r>
              <w:rPr>
                <w:rFonts w:hint="eastAsia" w:ascii="宋体" w:eastAsia="宋体"/>
                <w:b w:val="0"/>
                <w:color w:val="auto"/>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开标时间</w:t>
            </w:r>
          </w:p>
          <w:p>
            <w:pPr>
              <w:jc w:val="center"/>
              <w:rPr>
                <w:rFonts w:ascii="宋体" w:eastAsia="宋体" w:cs="Arial"/>
                <w:b w:val="0"/>
                <w:color w:val="auto"/>
                <w:sz w:val="22"/>
                <w:szCs w:val="22"/>
              </w:rPr>
            </w:pPr>
            <w:r>
              <w:rPr>
                <w:rFonts w:hint="eastAsia" w:ascii="宋体" w:eastAsia="宋体" w:cs="Arial"/>
                <w:b w:val="0"/>
                <w:color w:val="auto"/>
                <w:sz w:val="22"/>
                <w:szCs w:val="22"/>
              </w:rPr>
              <w:t>开标地点</w:t>
            </w:r>
          </w:p>
          <w:p>
            <w:pPr>
              <w:jc w:val="center"/>
              <w:rPr>
                <w:rFonts w:ascii="宋体" w:eastAsia="宋体" w:cs="Arial"/>
                <w:b w:val="0"/>
                <w:color w:val="auto"/>
                <w:sz w:val="22"/>
                <w:szCs w:val="22"/>
              </w:rPr>
            </w:pPr>
            <w:r>
              <w:rPr>
                <w:rFonts w:hint="eastAsia" w:ascii="宋体" w:eastAsia="宋体" w:cs="Arial"/>
                <w:b w:val="0"/>
                <w:color w:val="auto"/>
                <w:sz w:val="22"/>
                <w:szCs w:val="22"/>
              </w:rPr>
              <w:t>注意事项</w:t>
            </w:r>
          </w:p>
        </w:tc>
        <w:tc>
          <w:tcPr>
            <w:tcW w:w="7623" w:type="dxa"/>
            <w:vAlign w:val="center"/>
          </w:tcPr>
          <w:p>
            <w:pPr>
              <w:rPr>
                <w:rFonts w:ascii="宋体" w:eastAsia="宋体" w:cs="Arial"/>
                <w:color w:val="auto"/>
                <w:sz w:val="22"/>
                <w:szCs w:val="22"/>
              </w:rPr>
            </w:pPr>
            <w:r>
              <w:rPr>
                <w:rFonts w:hint="eastAsia" w:ascii="宋体" w:eastAsia="宋体" w:cs="Arial"/>
                <w:b w:val="0"/>
                <w:color w:val="auto"/>
                <w:sz w:val="22"/>
                <w:szCs w:val="22"/>
              </w:rPr>
              <w:t>开标时间：</w:t>
            </w:r>
            <w:r>
              <w:rPr>
                <w:rFonts w:hint="eastAsia" w:ascii="宋体" w:eastAsia="宋体"/>
                <w:b w:val="0"/>
                <w:color w:val="auto"/>
                <w:sz w:val="22"/>
                <w:szCs w:val="22"/>
              </w:rPr>
              <w:t>20</w:t>
            </w:r>
            <w:r>
              <w:rPr>
                <w:rFonts w:hint="eastAsia" w:ascii="宋体" w:eastAsia="宋体"/>
                <w:b w:val="0"/>
                <w:color w:val="auto"/>
                <w:sz w:val="22"/>
                <w:szCs w:val="22"/>
                <w:lang w:val="en-US" w:eastAsia="zh-CN"/>
              </w:rPr>
              <w:t>20</w:t>
            </w:r>
            <w:r>
              <w:rPr>
                <w:rFonts w:hint="eastAsia" w:ascii="宋体" w:eastAsia="宋体"/>
                <w:b w:val="0"/>
                <w:color w:val="auto"/>
                <w:sz w:val="22"/>
                <w:szCs w:val="22"/>
              </w:rPr>
              <w:t>年</w:t>
            </w:r>
            <w:r>
              <w:rPr>
                <w:rFonts w:hint="eastAsia" w:ascii="宋体" w:eastAsia="宋体"/>
                <w:b w:val="0"/>
                <w:color w:val="auto"/>
                <w:sz w:val="22"/>
                <w:szCs w:val="22"/>
                <w:lang w:val="en-US" w:eastAsia="zh-CN"/>
              </w:rPr>
              <w:t>4</w:t>
            </w:r>
            <w:r>
              <w:rPr>
                <w:rFonts w:hint="eastAsia" w:ascii="宋体" w:eastAsia="宋体"/>
                <w:b w:val="0"/>
                <w:color w:val="auto"/>
                <w:sz w:val="22"/>
                <w:szCs w:val="22"/>
              </w:rPr>
              <w:t>月</w:t>
            </w:r>
            <w:r>
              <w:rPr>
                <w:rFonts w:hint="eastAsia" w:ascii="宋体" w:eastAsia="宋体"/>
                <w:b w:val="0"/>
                <w:color w:val="auto"/>
                <w:sz w:val="22"/>
                <w:szCs w:val="22"/>
                <w:lang w:val="en-US" w:eastAsia="zh-CN"/>
              </w:rPr>
              <w:t>16</w:t>
            </w:r>
            <w:r>
              <w:rPr>
                <w:rFonts w:hint="eastAsia" w:ascii="宋体" w:eastAsia="宋体"/>
                <w:b w:val="0"/>
                <w:color w:val="auto"/>
                <w:sz w:val="22"/>
                <w:szCs w:val="22"/>
              </w:rPr>
              <w:t>日上午09:</w:t>
            </w:r>
            <w:r>
              <w:rPr>
                <w:rFonts w:ascii="宋体" w:eastAsia="宋体"/>
                <w:b w:val="0"/>
                <w:color w:val="auto"/>
                <w:sz w:val="22"/>
                <w:szCs w:val="22"/>
              </w:rPr>
              <w:t>3</w:t>
            </w:r>
            <w:r>
              <w:rPr>
                <w:rFonts w:hint="eastAsia" w:ascii="宋体" w:eastAsia="宋体"/>
                <w:b w:val="0"/>
                <w:color w:val="auto"/>
                <w:sz w:val="22"/>
                <w:szCs w:val="22"/>
              </w:rPr>
              <w:t xml:space="preserve">0 </w:t>
            </w:r>
            <w:r>
              <w:rPr>
                <w:rFonts w:hint="eastAsia" w:ascii="宋体" w:eastAsia="宋体" w:cs="Arial"/>
                <w:b w:val="0"/>
                <w:color w:val="auto"/>
                <w:sz w:val="22"/>
                <w:szCs w:val="22"/>
              </w:rPr>
              <w:t>正</w:t>
            </w:r>
            <w:r>
              <w:rPr>
                <w:rFonts w:hint="eastAsia" w:ascii="宋体" w:eastAsia="宋体" w:cs="Arial"/>
                <w:color w:val="auto"/>
                <w:sz w:val="22"/>
                <w:szCs w:val="22"/>
              </w:rPr>
              <w:t>（以发布的公告时间为准）</w:t>
            </w:r>
          </w:p>
          <w:p>
            <w:pPr>
              <w:rPr>
                <w:rFonts w:ascii="宋体" w:eastAsia="宋体"/>
                <w:b w:val="0"/>
                <w:color w:val="auto"/>
                <w:sz w:val="22"/>
                <w:szCs w:val="22"/>
              </w:rPr>
            </w:pPr>
            <w:r>
              <w:rPr>
                <w:rFonts w:hint="eastAsia" w:ascii="宋体" w:eastAsia="宋体"/>
                <w:b w:val="0"/>
                <w:color w:val="auto"/>
                <w:sz w:val="22"/>
                <w:szCs w:val="22"/>
              </w:rPr>
              <w:t>开标</w:t>
            </w:r>
            <w:r>
              <w:rPr>
                <w:rFonts w:hint="eastAsia" w:ascii="宋体" w:eastAsia="宋体" w:cs="Arial"/>
                <w:b w:val="0"/>
                <w:color w:val="auto"/>
                <w:sz w:val="22"/>
                <w:szCs w:val="22"/>
              </w:rPr>
              <w:t>地点：温州市公共资源交易中心瓯海分中心</w:t>
            </w:r>
          </w:p>
          <w:p>
            <w:pPr>
              <w:rPr>
                <w:rFonts w:hint="default" w:ascii="宋体" w:eastAsia="宋体"/>
                <w:b w:val="0"/>
                <w:color w:val="auto"/>
                <w:sz w:val="22"/>
                <w:szCs w:val="22"/>
                <w:lang w:val="en-US" w:eastAsia="zh-CN"/>
              </w:rPr>
            </w:pPr>
            <w:r>
              <w:rPr>
                <w:rFonts w:hint="eastAsia" w:ascii="宋体" w:eastAsia="宋体" w:cs="Arial"/>
                <w:b w:val="0"/>
                <w:color w:val="auto"/>
                <w:sz w:val="22"/>
                <w:szCs w:val="22"/>
                <w:highlight w:val="none"/>
              </w:rPr>
              <w:t>注意事项：参加开标会的投标供应商的法定代表人或其授权代表须携带“身份证原件”，</w:t>
            </w:r>
            <w:r>
              <w:rPr>
                <w:rFonts w:hint="eastAsia" w:ascii="宋体" w:eastAsia="宋体" w:cs="Arial"/>
                <w:b w:val="0"/>
                <w:color w:val="auto"/>
                <w:sz w:val="22"/>
                <w:szCs w:val="22"/>
                <w:highlight w:val="none"/>
                <w:lang w:val="en-US" w:eastAsia="zh-CN"/>
              </w:rPr>
              <w:t>递交样品后就可离场，待开标结束后通知供应商搬走样品。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评审委员会的</w:t>
            </w:r>
          </w:p>
          <w:p>
            <w:pPr>
              <w:jc w:val="center"/>
              <w:rPr>
                <w:rFonts w:ascii="宋体" w:eastAsia="宋体" w:cs="Arial"/>
                <w:b w:val="0"/>
                <w:color w:val="auto"/>
                <w:sz w:val="22"/>
                <w:szCs w:val="22"/>
              </w:rPr>
            </w:pPr>
            <w:r>
              <w:rPr>
                <w:rFonts w:hint="eastAsia" w:ascii="宋体" w:eastAsia="宋体" w:cs="Arial"/>
                <w:b w:val="0"/>
                <w:color w:val="auto"/>
                <w:sz w:val="22"/>
                <w:szCs w:val="22"/>
              </w:rPr>
              <w:t>组建</w:t>
            </w:r>
          </w:p>
        </w:tc>
        <w:tc>
          <w:tcPr>
            <w:tcW w:w="7623" w:type="dxa"/>
            <w:vAlign w:val="center"/>
          </w:tcPr>
          <w:p>
            <w:pPr>
              <w:rPr>
                <w:rFonts w:ascii="宋体" w:eastAsia="宋体" w:cs="Arial"/>
                <w:b w:val="0"/>
                <w:color w:val="auto"/>
                <w:sz w:val="22"/>
                <w:szCs w:val="22"/>
              </w:rPr>
            </w:pPr>
            <w:r>
              <w:rPr>
                <w:rFonts w:hint="eastAsia" w:ascii="宋体" w:eastAsia="宋体" w:cs="Arial"/>
                <w:b w:val="0"/>
                <w:color w:val="auto"/>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adjustRightInd w:val="0"/>
              <w:jc w:val="center"/>
              <w:rPr>
                <w:rFonts w:ascii="宋体" w:eastAsia="宋体"/>
                <w:b w:val="0"/>
                <w:color w:val="auto"/>
                <w:sz w:val="22"/>
                <w:szCs w:val="22"/>
              </w:rPr>
            </w:pPr>
            <w:r>
              <w:rPr>
                <w:rFonts w:ascii="宋体" w:eastAsia="宋体"/>
                <w:b w:val="0"/>
                <w:color w:val="auto"/>
                <w:sz w:val="22"/>
                <w:szCs w:val="22"/>
              </w:rPr>
              <w:t>政府采购</w:t>
            </w:r>
          </w:p>
          <w:p>
            <w:pPr>
              <w:adjustRightInd w:val="0"/>
              <w:jc w:val="center"/>
              <w:rPr>
                <w:rFonts w:ascii="宋体" w:eastAsia="宋体"/>
                <w:b w:val="0"/>
                <w:color w:val="auto"/>
                <w:sz w:val="22"/>
                <w:szCs w:val="22"/>
              </w:rPr>
            </w:pPr>
            <w:r>
              <w:rPr>
                <w:rFonts w:hint="eastAsia" w:ascii="宋体" w:eastAsia="宋体"/>
                <w:b w:val="0"/>
                <w:color w:val="auto"/>
                <w:sz w:val="22"/>
                <w:szCs w:val="22"/>
              </w:rPr>
              <w:t>扶持</w:t>
            </w:r>
            <w:r>
              <w:rPr>
                <w:rFonts w:ascii="宋体" w:eastAsia="宋体"/>
                <w:b w:val="0"/>
                <w:color w:val="auto"/>
                <w:sz w:val="22"/>
                <w:szCs w:val="22"/>
              </w:rPr>
              <w:t>政策</w:t>
            </w:r>
          </w:p>
        </w:tc>
        <w:tc>
          <w:tcPr>
            <w:tcW w:w="7623" w:type="dxa"/>
            <w:vAlign w:val="center"/>
          </w:tcPr>
          <w:p>
            <w:pPr>
              <w:rPr>
                <w:rFonts w:ascii="宋体" w:eastAsia="宋体" w:cs="Arial"/>
                <w:b w:val="0"/>
                <w:color w:val="auto"/>
                <w:sz w:val="22"/>
                <w:szCs w:val="22"/>
              </w:rPr>
            </w:pPr>
            <w:r>
              <w:rPr>
                <w:rFonts w:hint="eastAsia" w:ascii="宋体" w:eastAsia="宋体"/>
                <w:b w:val="0"/>
                <w:color w:val="auto"/>
                <w:sz w:val="22"/>
                <w:szCs w:val="22"/>
              </w:rPr>
              <w:t>1、</w:t>
            </w:r>
            <w:r>
              <w:rPr>
                <w:rFonts w:hint="eastAsia" w:ascii="宋体" w:eastAsia="宋体" w:cs="Arial"/>
                <w:b w:val="0"/>
                <w:color w:val="auto"/>
                <w:sz w:val="22"/>
                <w:szCs w:val="22"/>
              </w:rPr>
              <w:t>对符合财政扶持政策的小微企业（或监狱企业、或残疾人福利性单位）给予评标价格折扣。供应商企业属于以上多种性质的，</w:t>
            </w:r>
            <w:r>
              <w:rPr>
                <w:rFonts w:ascii="宋体" w:eastAsia="宋体" w:cs="Arial"/>
                <w:b w:val="0"/>
                <w:color w:val="auto"/>
                <w:sz w:val="22"/>
                <w:szCs w:val="22"/>
              </w:rPr>
              <w:t>不重复享受</w:t>
            </w:r>
            <w:r>
              <w:rPr>
                <w:rFonts w:hint="eastAsia" w:ascii="宋体" w:eastAsia="宋体" w:cs="Arial"/>
                <w:b w:val="0"/>
                <w:color w:val="auto"/>
                <w:sz w:val="22"/>
                <w:szCs w:val="22"/>
              </w:rPr>
              <w:t>扶持</w:t>
            </w:r>
            <w:r>
              <w:rPr>
                <w:rFonts w:ascii="宋体" w:eastAsia="宋体" w:cs="Arial"/>
                <w:b w:val="0"/>
                <w:color w:val="auto"/>
                <w:sz w:val="22"/>
                <w:szCs w:val="22"/>
              </w:rPr>
              <w:t>政策</w:t>
            </w:r>
            <w:r>
              <w:rPr>
                <w:rFonts w:hint="eastAsia" w:ascii="宋体" w:eastAsia="宋体" w:cs="Arial"/>
                <w:b w:val="0"/>
                <w:color w:val="auto"/>
                <w:sz w:val="22"/>
                <w:szCs w:val="22"/>
              </w:rPr>
              <w:t>。</w:t>
            </w:r>
          </w:p>
          <w:p>
            <w:pPr>
              <w:rPr>
                <w:rFonts w:ascii="宋体" w:eastAsia="宋体"/>
                <w:b w:val="0"/>
                <w:color w:val="auto"/>
                <w:sz w:val="22"/>
                <w:szCs w:val="22"/>
              </w:rPr>
            </w:pPr>
            <w:r>
              <w:rPr>
                <w:rFonts w:ascii="宋体" w:eastAsia="宋体" w:cs="Arial"/>
                <w:b w:val="0"/>
                <w:color w:val="auto"/>
                <w:sz w:val="22"/>
                <w:szCs w:val="22"/>
              </w:rPr>
              <w:t>2</w:t>
            </w:r>
            <w:r>
              <w:rPr>
                <w:rFonts w:hint="eastAsia" w:ascii="宋体" w:eastAsia="宋体" w:cs="Arial"/>
                <w:b w:val="0"/>
                <w:color w:val="auto"/>
                <w:sz w:val="22"/>
                <w:szCs w:val="22"/>
              </w:rPr>
              <w:t>、对节能、环保产品优先采购。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rPr>
                <w:rFonts w:ascii="宋体" w:eastAsia="宋体" w:cs="Arial"/>
                <w:b w:val="0"/>
                <w:color w:val="auto"/>
                <w:sz w:val="22"/>
                <w:szCs w:val="22"/>
              </w:rPr>
            </w:pPr>
            <w:r>
              <w:rPr>
                <w:rFonts w:hint="eastAsia" w:ascii="宋体" w:eastAsia="宋体" w:cs="Arial"/>
                <w:b w:val="0"/>
                <w:color w:val="auto"/>
                <w:sz w:val="22"/>
                <w:szCs w:val="22"/>
              </w:rPr>
              <w:t>供应商信用查询</w:t>
            </w:r>
          </w:p>
        </w:tc>
        <w:tc>
          <w:tcPr>
            <w:tcW w:w="7623" w:type="dxa"/>
            <w:vAlign w:val="center"/>
          </w:tcPr>
          <w:p>
            <w:pPr>
              <w:rPr>
                <w:rFonts w:ascii="宋体" w:eastAsia="宋体" w:cs="Arial"/>
                <w:b w:val="0"/>
                <w:color w:val="auto"/>
                <w:sz w:val="22"/>
                <w:szCs w:val="22"/>
              </w:rPr>
            </w:pPr>
            <w:r>
              <w:rPr>
                <w:rFonts w:hint="eastAsia" w:ascii="宋体" w:eastAsia="宋体" w:cs="Arial"/>
                <w:b w:val="0"/>
                <w:color w:val="auto"/>
                <w:sz w:val="22"/>
                <w:szCs w:val="22"/>
              </w:rPr>
              <w:t>1、投标供应商信用信息查询的查询渠道：“信用中国”(</w:t>
            </w:r>
            <w:r>
              <w:fldChar w:fldCharType="begin"/>
            </w:r>
            <w:r>
              <w:instrText xml:space="preserve"> HYPERLINK "http://www.creditchina.gov.cn" </w:instrText>
            </w:r>
            <w:r>
              <w:fldChar w:fldCharType="separate"/>
            </w:r>
            <w:r>
              <w:rPr>
                <w:rFonts w:hint="eastAsia" w:ascii="宋体" w:eastAsia="宋体" w:cs="Arial"/>
                <w:b w:val="0"/>
                <w:color w:val="auto"/>
                <w:sz w:val="22"/>
                <w:szCs w:val="22"/>
              </w:rPr>
              <w:t>www.creditchina.gov.cn</w:t>
            </w:r>
            <w:r>
              <w:rPr>
                <w:rFonts w:hint="eastAsia" w:ascii="宋体" w:eastAsia="宋体" w:cs="Arial"/>
                <w:b w:val="0"/>
                <w:color w:val="auto"/>
                <w:sz w:val="22"/>
                <w:szCs w:val="22"/>
              </w:rPr>
              <w:fldChar w:fldCharType="end"/>
            </w:r>
            <w:r>
              <w:rPr>
                <w:rFonts w:hint="eastAsia" w:ascii="宋体" w:eastAsia="宋体" w:cs="Arial"/>
                <w:b w:val="0"/>
                <w:color w:val="auto"/>
                <w:sz w:val="22"/>
                <w:szCs w:val="22"/>
              </w:rPr>
              <w:t>)；“中国政府采购网”（http://www.ccgp.gov.cn/）；“浙江省政府采购网”（</w:t>
            </w:r>
            <w:r>
              <w:rPr>
                <w:rFonts w:ascii="宋体" w:eastAsia="宋体" w:cs="Arial"/>
                <w:b w:val="0"/>
                <w:color w:val="auto"/>
                <w:sz w:val="22"/>
                <w:szCs w:val="22"/>
              </w:rPr>
              <w:t>http://www.zjzfcg.gov.cn/</w:t>
            </w:r>
            <w:r>
              <w:rPr>
                <w:rFonts w:hint="eastAsia" w:ascii="宋体" w:eastAsia="宋体" w:cs="Arial"/>
                <w:b w:val="0"/>
                <w:color w:val="auto"/>
                <w:sz w:val="22"/>
                <w:szCs w:val="22"/>
              </w:rPr>
              <w:t>）曝光台中曝光处在禁止参加政府采购活动有效期内的；</w:t>
            </w:r>
          </w:p>
          <w:p>
            <w:pPr>
              <w:rPr>
                <w:rFonts w:ascii="宋体" w:eastAsia="宋体" w:cs="Arial"/>
                <w:b w:val="0"/>
                <w:color w:val="auto"/>
                <w:sz w:val="22"/>
                <w:szCs w:val="22"/>
              </w:rPr>
            </w:pPr>
            <w:r>
              <w:rPr>
                <w:rFonts w:hint="eastAsia" w:ascii="宋体" w:eastAsia="宋体" w:cs="Arial"/>
                <w:b w:val="0"/>
                <w:color w:val="auto"/>
                <w:sz w:val="22"/>
                <w:szCs w:val="22"/>
              </w:rPr>
              <w:t>2、投标供应商信用信息查询截止时点：本项目投标截止时间。</w:t>
            </w:r>
          </w:p>
          <w:p>
            <w:pPr>
              <w:rPr>
                <w:rFonts w:ascii="宋体" w:eastAsia="宋体" w:cs="Arial"/>
                <w:b w:val="0"/>
                <w:color w:val="auto"/>
                <w:sz w:val="22"/>
                <w:szCs w:val="22"/>
              </w:rPr>
            </w:pPr>
            <w:r>
              <w:rPr>
                <w:rFonts w:hint="eastAsia" w:ascii="宋体" w:eastAsia="宋体" w:cs="Arial"/>
                <w:b w:val="0"/>
                <w:color w:val="auto"/>
                <w:sz w:val="22"/>
                <w:szCs w:val="22"/>
              </w:rPr>
              <w:t>3、投标供应商信用信息查询记录和证据留存的具体方式：网页截图打印；</w:t>
            </w:r>
          </w:p>
          <w:p>
            <w:pPr>
              <w:rPr>
                <w:rFonts w:ascii="宋体" w:eastAsia="宋体" w:cs="Arial"/>
                <w:b w:val="0"/>
                <w:color w:val="auto"/>
                <w:sz w:val="22"/>
                <w:szCs w:val="22"/>
              </w:rPr>
            </w:pPr>
            <w:r>
              <w:rPr>
                <w:rFonts w:hint="eastAsia" w:ascii="宋体" w:eastAsia="宋体" w:cs="Arial"/>
                <w:b w:val="0"/>
                <w:color w:val="auto"/>
                <w:sz w:val="22"/>
                <w:szCs w:val="22"/>
              </w:rPr>
              <w:t>4、信用信息的使用规则：对列入失信被执行人、重大税收违法案件当事人名单、政府采购严重违法失信行为记录名单及其他不符合《中华人民共和国政府采购法》第二十二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cs="Arial"/>
                <w:b w:val="0"/>
                <w:color w:val="auto"/>
                <w:sz w:val="22"/>
                <w:szCs w:val="22"/>
              </w:rPr>
            </w:pPr>
            <w:r>
              <w:rPr>
                <w:rFonts w:hint="eastAsia" w:ascii="宋体" w:eastAsia="宋体" w:cs="Arial"/>
                <w:b w:val="0"/>
                <w:color w:val="auto"/>
                <w:sz w:val="22"/>
                <w:szCs w:val="22"/>
              </w:rPr>
              <w:t>合同备案</w:t>
            </w:r>
          </w:p>
        </w:tc>
        <w:tc>
          <w:tcPr>
            <w:tcW w:w="7623" w:type="dxa"/>
            <w:vAlign w:val="center"/>
          </w:tcPr>
          <w:p>
            <w:pPr>
              <w:rPr>
                <w:rFonts w:ascii="宋体" w:eastAsia="宋体" w:cs="Arial"/>
                <w:b w:val="0"/>
                <w:color w:val="auto"/>
                <w:sz w:val="22"/>
                <w:szCs w:val="22"/>
              </w:rPr>
            </w:pPr>
            <w:r>
              <w:rPr>
                <w:rFonts w:hint="eastAsia" w:ascii="宋体" w:eastAsia="宋体" w:cs="Arial"/>
                <w:b w:val="0"/>
                <w:color w:val="auto"/>
                <w:sz w:val="22"/>
                <w:szCs w:val="22"/>
              </w:rPr>
              <w:t>1、中标供应商须在发出中标通知书之日起30日历天内与采购人签订合同。</w:t>
            </w:r>
          </w:p>
          <w:p>
            <w:pPr>
              <w:rPr>
                <w:rFonts w:ascii="宋体" w:eastAsia="宋体" w:cs="Arial"/>
                <w:b w:val="0"/>
                <w:color w:val="auto"/>
                <w:sz w:val="22"/>
                <w:szCs w:val="22"/>
              </w:rPr>
            </w:pPr>
            <w:r>
              <w:rPr>
                <w:rFonts w:hint="eastAsia" w:ascii="宋体" w:eastAsia="宋体" w:cs="Arial"/>
                <w:b w:val="0"/>
                <w:color w:val="auto"/>
                <w:sz w:val="22"/>
                <w:szCs w:val="22"/>
              </w:rPr>
              <w:t>2、中标供应商与采购人签订合同后，</w:t>
            </w:r>
            <w:r>
              <w:rPr>
                <w:rFonts w:ascii="宋体" w:eastAsia="宋体" w:cs="Arial"/>
                <w:b w:val="0"/>
                <w:color w:val="auto"/>
                <w:sz w:val="22"/>
                <w:szCs w:val="22"/>
              </w:rPr>
              <w:t>2</w:t>
            </w:r>
            <w:r>
              <w:rPr>
                <w:rFonts w:hint="eastAsia" w:ascii="宋体" w:eastAsia="宋体" w:cs="Arial"/>
                <w:b w:val="0"/>
                <w:color w:val="auto"/>
                <w:sz w:val="22"/>
                <w:szCs w:val="22"/>
              </w:rPr>
              <w:t>日历天内将合同原件交</w:t>
            </w:r>
            <w:r>
              <w:rPr>
                <w:rFonts w:hint="eastAsia" w:ascii="宋体" w:eastAsia="宋体" w:cs="Arial"/>
                <w:b w:val="0"/>
                <w:color w:val="auto"/>
                <w:sz w:val="22"/>
                <w:szCs w:val="22"/>
                <w:lang w:eastAsia="zh-CN"/>
              </w:rPr>
              <w:t>浙江省工程咨询有限公司</w:t>
            </w:r>
            <w:r>
              <w:rPr>
                <w:rFonts w:hint="eastAsia" w:ascii="宋体" w:eastAsia="宋体" w:cs="Arial"/>
                <w:b w:val="0"/>
                <w:color w:val="auto"/>
                <w:sz w:val="22"/>
                <w:szCs w:val="22"/>
              </w:rPr>
              <w:t>备案。合同原件扫描件电子版发给</w:t>
            </w:r>
            <w:r>
              <w:rPr>
                <w:rFonts w:hint="eastAsia" w:ascii="宋体" w:eastAsia="宋体" w:cs="Arial"/>
                <w:b w:val="0"/>
                <w:color w:val="auto"/>
                <w:sz w:val="22"/>
                <w:szCs w:val="22"/>
                <w:lang w:eastAsia="zh-CN"/>
              </w:rPr>
              <w:t>浙江省工程咨询有限公司</w:t>
            </w:r>
            <w:r>
              <w:rPr>
                <w:rFonts w:hint="eastAsia" w:ascii="宋体" w:eastAsia="宋体" w:cs="Arial"/>
                <w:b w:val="0"/>
                <w:color w:val="auto"/>
                <w:sz w:val="22"/>
                <w:szCs w:val="22"/>
              </w:rPr>
              <w:t>：邮箱：</w:t>
            </w:r>
            <w:r>
              <w:fldChar w:fldCharType="begin"/>
            </w:r>
            <w:r>
              <w:instrText xml:space="preserve"> HYPERLINK "mailto:618284@qq.com" </w:instrText>
            </w:r>
            <w:r>
              <w:fldChar w:fldCharType="separate"/>
            </w:r>
            <w:r>
              <w:rPr>
                <w:rStyle w:val="28"/>
                <w:rFonts w:hint="eastAsia" w:ascii="宋体" w:eastAsia="宋体" w:cs="Arial"/>
                <w:b w:val="0"/>
                <w:color w:val="auto"/>
                <w:sz w:val="22"/>
                <w:szCs w:val="22"/>
                <w:lang w:val="en-US" w:eastAsia="zh-CN"/>
              </w:rPr>
              <w:t>714935941</w:t>
            </w:r>
            <w:r>
              <w:rPr>
                <w:rStyle w:val="28"/>
                <w:rFonts w:hint="eastAsia" w:ascii="宋体" w:eastAsia="宋体" w:cs="Arial"/>
                <w:b w:val="0"/>
                <w:color w:val="auto"/>
                <w:sz w:val="22"/>
                <w:szCs w:val="22"/>
              </w:rPr>
              <w:t>@qq.com</w:t>
            </w:r>
            <w:r>
              <w:rPr>
                <w:rStyle w:val="28"/>
                <w:rFonts w:hint="eastAsia" w:ascii="宋体" w:eastAsia="宋体" w:cs="Arial"/>
                <w:b w:val="0"/>
                <w:color w:val="auto"/>
                <w:sz w:val="22"/>
                <w:szCs w:val="22"/>
              </w:rPr>
              <w:fldChar w:fldCharType="end"/>
            </w:r>
            <w:r>
              <w:rPr>
                <w:rFonts w:hint="eastAsia" w:ascii="宋体" w:eastAsia="宋体" w:cs="Arial"/>
                <w:b w:val="0"/>
                <w:color w:val="auto"/>
                <w:sz w:val="22"/>
                <w:szCs w:val="22"/>
              </w:rPr>
              <w:t>；</w:t>
            </w:r>
          </w:p>
          <w:p>
            <w:pPr>
              <w:rPr>
                <w:rFonts w:ascii="宋体" w:eastAsia="宋体" w:cs="Arial"/>
                <w:b w:val="0"/>
                <w:color w:val="auto"/>
                <w:sz w:val="22"/>
                <w:szCs w:val="22"/>
              </w:rPr>
            </w:pPr>
            <w:r>
              <w:rPr>
                <w:rFonts w:hint="eastAsia" w:ascii="宋体" w:eastAsia="宋体" w:cs="Arial"/>
                <w:b w:val="0"/>
                <w:color w:val="auto"/>
                <w:sz w:val="22"/>
                <w:szCs w:val="22"/>
              </w:rPr>
              <w:t>3、本项目政府采购合同按规定在</w:t>
            </w:r>
            <w:r>
              <w:rPr>
                <w:rFonts w:hint="eastAsia" w:ascii="宋体" w:eastAsia="宋体"/>
                <w:b w:val="0"/>
                <w:color w:val="auto"/>
                <w:sz w:val="22"/>
                <w:szCs w:val="22"/>
              </w:rPr>
              <w:t>浙江政府采购网（</w:t>
            </w:r>
            <w:r>
              <w:rPr>
                <w:rFonts w:ascii="宋体" w:eastAsia="宋体"/>
                <w:b w:val="0"/>
                <w:color w:val="auto"/>
                <w:sz w:val="22"/>
                <w:szCs w:val="22"/>
              </w:rPr>
              <w:t>http://www.zjzfcg.gov.cn</w:t>
            </w:r>
            <w:r>
              <w:rPr>
                <w:rFonts w:hint="eastAsia" w:ascii="宋体" w:eastAsia="宋体"/>
                <w:b w:val="0"/>
                <w:color w:val="auto"/>
                <w:sz w:val="22"/>
                <w:szCs w:val="22"/>
              </w:rPr>
              <w:t>）</w:t>
            </w:r>
            <w:r>
              <w:rPr>
                <w:rFonts w:hint="eastAsia" w:ascii="宋体" w:eastAsia="宋体" w:cs="Arial"/>
                <w:b w:val="0"/>
                <w:color w:val="auto"/>
                <w:sz w:val="22"/>
                <w:szCs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b w:val="0"/>
                <w:color w:val="auto"/>
                <w:sz w:val="22"/>
                <w:szCs w:val="22"/>
              </w:rPr>
            </w:pPr>
            <w:r>
              <w:rPr>
                <w:rFonts w:hint="eastAsia" w:ascii="宋体" w:eastAsia="宋体"/>
                <w:b w:val="0"/>
                <w:color w:val="auto"/>
                <w:sz w:val="22"/>
                <w:szCs w:val="22"/>
              </w:rPr>
              <w:t>合同履约管理</w:t>
            </w:r>
          </w:p>
        </w:tc>
        <w:tc>
          <w:tcPr>
            <w:tcW w:w="7623" w:type="dxa"/>
            <w:vAlign w:val="center"/>
          </w:tcPr>
          <w:p>
            <w:pPr>
              <w:rPr>
                <w:rFonts w:ascii="宋体" w:eastAsia="宋体" w:cs="Arial"/>
                <w:b w:val="0"/>
                <w:color w:val="auto"/>
                <w:sz w:val="22"/>
                <w:szCs w:val="22"/>
              </w:rPr>
            </w:pPr>
            <w:r>
              <w:rPr>
                <w:rFonts w:hint="eastAsia" w:ascii="宋体" w:eastAsia="宋体" w:cs="Arial"/>
                <w:b w:val="0"/>
                <w:color w:val="auto"/>
                <w:sz w:val="22"/>
                <w:szCs w:val="22"/>
              </w:rPr>
              <w:t>合同签订后，采购人依法加强对合同履约进行管理，并在中标单位供货、项目验收等重要关节，如实填写《合同验收报告》（表附合同条款中），并及时向同级财政部门报告验收过程中遇到的问题。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b w:val="0"/>
                <w:color w:val="auto"/>
                <w:sz w:val="22"/>
                <w:szCs w:val="22"/>
              </w:rPr>
            </w:pPr>
            <w:r>
              <w:rPr>
                <w:rFonts w:hint="eastAsia" w:ascii="宋体" w:eastAsia="宋体"/>
                <w:b w:val="0"/>
                <w:color w:val="auto"/>
                <w:sz w:val="22"/>
                <w:szCs w:val="22"/>
              </w:rPr>
              <w:t>免责声明</w:t>
            </w:r>
          </w:p>
        </w:tc>
        <w:tc>
          <w:tcPr>
            <w:tcW w:w="7623" w:type="dxa"/>
            <w:vAlign w:val="center"/>
          </w:tcPr>
          <w:p>
            <w:pPr>
              <w:rPr>
                <w:rFonts w:ascii="宋体" w:eastAsia="宋体" w:cs="Arial"/>
                <w:b w:val="0"/>
                <w:color w:val="auto"/>
                <w:sz w:val="22"/>
                <w:szCs w:val="22"/>
              </w:rPr>
            </w:pPr>
            <w:r>
              <w:rPr>
                <w:rFonts w:hint="eastAsia" w:ascii="宋体" w:eastAsia="宋体" w:cs="Arial"/>
                <w:b w:val="0"/>
                <w:color w:val="auto"/>
                <w:sz w:val="22"/>
                <w:szCs w:val="22"/>
              </w:rPr>
              <w:t>1、投标供应商自行承担投标过程中产生的费用。无论何种因素导致采购项目延期开标、废标（流标）、投标供应商未中标、项目终止采购的，采购人与代理机构均不承担供应商投标费用。</w:t>
            </w:r>
          </w:p>
          <w:p>
            <w:pPr>
              <w:rPr>
                <w:rFonts w:ascii="宋体" w:eastAsia="宋体" w:cs="Arial"/>
                <w:b w:val="0"/>
                <w:color w:val="auto"/>
                <w:sz w:val="22"/>
                <w:szCs w:val="22"/>
              </w:rPr>
            </w:pPr>
            <w:r>
              <w:rPr>
                <w:rFonts w:hint="eastAsia" w:ascii="宋体" w:eastAsia="宋体" w:cs="Arial"/>
                <w:b w:val="0"/>
                <w:color w:val="auto"/>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91" w:hRule="atLeast"/>
          <w:jc w:val="center"/>
        </w:trPr>
        <w:tc>
          <w:tcPr>
            <w:tcW w:w="664" w:type="dxa"/>
            <w:vAlign w:val="center"/>
          </w:tcPr>
          <w:p>
            <w:pPr>
              <w:widowControl/>
              <w:numPr>
                <w:ilvl w:val="0"/>
                <w:numId w:val="3"/>
              </w:numPr>
              <w:tabs>
                <w:tab w:val="left" w:pos="420"/>
                <w:tab w:val="clear" w:pos="720"/>
              </w:tabs>
              <w:ind w:left="420" w:hanging="420"/>
              <w:jc w:val="right"/>
              <w:rPr>
                <w:rFonts w:ascii="宋体" w:eastAsia="宋体" w:cs="Arial"/>
                <w:b w:val="0"/>
                <w:color w:val="auto"/>
                <w:sz w:val="22"/>
                <w:szCs w:val="22"/>
              </w:rPr>
            </w:pPr>
          </w:p>
        </w:tc>
        <w:tc>
          <w:tcPr>
            <w:tcW w:w="1884" w:type="dxa"/>
            <w:vAlign w:val="center"/>
          </w:tcPr>
          <w:p>
            <w:pPr>
              <w:jc w:val="center"/>
              <w:rPr>
                <w:rFonts w:ascii="宋体" w:eastAsia="宋体" w:cs="Arial"/>
                <w:b w:val="0"/>
                <w:color w:val="auto"/>
                <w:sz w:val="22"/>
                <w:szCs w:val="22"/>
              </w:rPr>
            </w:pPr>
            <w:r>
              <w:rPr>
                <w:rFonts w:ascii="宋体" w:eastAsia="宋体" w:cs="Arial"/>
                <w:b w:val="0"/>
                <w:color w:val="auto"/>
                <w:sz w:val="22"/>
                <w:szCs w:val="22"/>
              </w:rPr>
              <w:t>解释</w:t>
            </w:r>
            <w:r>
              <w:rPr>
                <w:rFonts w:hint="eastAsia" w:ascii="宋体" w:eastAsia="宋体" w:cs="Arial"/>
                <w:b w:val="0"/>
                <w:color w:val="auto"/>
                <w:sz w:val="22"/>
                <w:szCs w:val="22"/>
              </w:rPr>
              <w:t>权</w:t>
            </w:r>
          </w:p>
        </w:tc>
        <w:tc>
          <w:tcPr>
            <w:tcW w:w="7623" w:type="dxa"/>
            <w:vAlign w:val="center"/>
          </w:tcPr>
          <w:p>
            <w:pPr>
              <w:rPr>
                <w:rFonts w:ascii="宋体" w:eastAsia="宋体" w:cs="Arial"/>
                <w:b w:val="0"/>
                <w:color w:val="auto"/>
                <w:sz w:val="22"/>
                <w:szCs w:val="22"/>
              </w:rPr>
            </w:pPr>
            <w:r>
              <w:rPr>
                <w:rFonts w:ascii="宋体" w:eastAsia="宋体" w:cs="Arial"/>
                <w:b w:val="0"/>
                <w:color w:val="auto"/>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w:t>
            </w:r>
            <w:r>
              <w:rPr>
                <w:rFonts w:hint="eastAsia" w:ascii="宋体" w:eastAsia="宋体" w:cs="Arial"/>
                <w:b w:val="0"/>
                <w:color w:val="auto"/>
                <w:sz w:val="22"/>
                <w:szCs w:val="22"/>
              </w:rPr>
              <w:t>采购人</w:t>
            </w:r>
            <w:r>
              <w:rPr>
                <w:rFonts w:ascii="宋体" w:eastAsia="宋体" w:cs="Arial"/>
                <w:b w:val="0"/>
                <w:color w:val="auto"/>
                <w:sz w:val="22"/>
                <w:szCs w:val="22"/>
              </w:rPr>
              <w:t>负责解释</w:t>
            </w:r>
            <w:r>
              <w:rPr>
                <w:rFonts w:hint="eastAsia" w:ascii="宋体" w:eastAsia="宋体" w:cs="Arial"/>
                <w:b w:val="0"/>
                <w:color w:val="auto"/>
                <w:sz w:val="22"/>
                <w:szCs w:val="22"/>
              </w:rPr>
              <w:t>。</w:t>
            </w:r>
          </w:p>
        </w:tc>
      </w:tr>
    </w:tbl>
    <w:p>
      <w:pPr>
        <w:rPr>
          <w:rFonts w:ascii="宋体" w:eastAsia="宋体"/>
          <w:color w:val="auto"/>
        </w:rPr>
      </w:pPr>
    </w:p>
    <w:p>
      <w:pPr>
        <w:rPr>
          <w:rFonts w:ascii="宋体" w:eastAsia="宋体"/>
          <w:color w:val="auto"/>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9" w:name="_Toc494407525"/>
      <w:r>
        <w:rPr>
          <w:rFonts w:hint="eastAsia" w:ascii="宋体" w:eastAsia="宋体"/>
          <w:color w:val="auto"/>
          <w:sz w:val="28"/>
          <w:szCs w:val="28"/>
        </w:rPr>
        <w:t>第二部分   招标内容及要求</w:t>
      </w:r>
      <w:bookmarkEnd w:id="9"/>
    </w:p>
    <w:p>
      <w:pPr>
        <w:autoSpaceDE w:val="0"/>
        <w:autoSpaceDN w:val="0"/>
        <w:adjustRightInd w:val="0"/>
        <w:snapToGrid w:val="0"/>
        <w:spacing w:line="360" w:lineRule="exact"/>
        <w:jc w:val="center"/>
        <w:rPr>
          <w:rFonts w:ascii="宋体" w:eastAsia="宋体"/>
          <w:b w:val="0"/>
          <w:color w:val="auto"/>
        </w:rPr>
      </w:pPr>
    </w:p>
    <w:p>
      <w:pPr>
        <w:outlineLvl w:val="0"/>
        <w:rPr>
          <w:rFonts w:ascii="宋体" w:eastAsia="宋体"/>
          <w:color w:val="auto"/>
          <w:sz w:val="22"/>
          <w:szCs w:val="22"/>
        </w:rPr>
      </w:pPr>
      <w:bookmarkStart w:id="10" w:name="_Toc494407526"/>
      <w:bookmarkStart w:id="11" w:name="_Toc157410886"/>
      <w:r>
        <w:rPr>
          <w:rFonts w:hint="eastAsia" w:ascii="宋体" w:eastAsia="宋体"/>
          <w:color w:val="auto"/>
          <w:sz w:val="22"/>
          <w:szCs w:val="22"/>
        </w:rPr>
        <w:t>一、采购总说明</w:t>
      </w:r>
      <w:bookmarkEnd w:id="10"/>
    </w:p>
    <w:p>
      <w:pPr>
        <w:snapToGrid w:val="0"/>
        <w:spacing w:line="400" w:lineRule="exact"/>
        <w:ind w:firstLine="440" w:firstLineChars="200"/>
        <w:rPr>
          <w:rFonts w:ascii="宋体" w:eastAsia="宋体"/>
          <w:b w:val="0"/>
          <w:color w:val="auto"/>
          <w:sz w:val="22"/>
        </w:rPr>
      </w:pPr>
      <w:r>
        <w:rPr>
          <w:rFonts w:hint="eastAsia" w:ascii="宋体" w:eastAsia="宋体"/>
          <w:b w:val="0"/>
          <w:color w:val="auto"/>
          <w:sz w:val="22"/>
        </w:rPr>
        <w:t>经批准，</w:t>
      </w:r>
      <w:r>
        <w:rPr>
          <w:rFonts w:hint="eastAsia" w:ascii="宋体" w:eastAsia="宋体"/>
          <w:b w:val="0"/>
          <w:color w:val="auto"/>
          <w:sz w:val="22"/>
          <w:lang w:eastAsia="zh-CN"/>
        </w:rPr>
        <w:t>浙江大学温州研究院</w:t>
      </w:r>
      <w:r>
        <w:rPr>
          <w:rFonts w:hint="eastAsia" w:ascii="宋体" w:eastAsia="宋体"/>
          <w:b w:val="0"/>
          <w:color w:val="auto"/>
          <w:sz w:val="22"/>
        </w:rPr>
        <w:t>对</w:t>
      </w:r>
      <w:r>
        <w:rPr>
          <w:rFonts w:hint="eastAsia" w:ascii="宋体" w:eastAsia="宋体"/>
          <w:b w:val="0"/>
          <w:color w:val="auto"/>
          <w:sz w:val="22"/>
          <w:lang w:eastAsia="zh-CN"/>
        </w:rPr>
        <w:t>浙江大学温州研究院办公家具采购项目</w:t>
      </w:r>
      <w:r>
        <w:rPr>
          <w:rFonts w:hint="eastAsia" w:ascii="宋体" w:eastAsia="宋体"/>
          <w:b w:val="0"/>
          <w:color w:val="auto"/>
          <w:sz w:val="22"/>
        </w:rPr>
        <w:t>进行公开招标采购。本次招标的资金已经落实。我们热情欢迎有关公司（企业）前来投标。</w:t>
      </w:r>
    </w:p>
    <w:p>
      <w:pPr>
        <w:spacing w:line="400" w:lineRule="exact"/>
        <w:outlineLvl w:val="0"/>
        <w:rPr>
          <w:rFonts w:ascii="宋体" w:eastAsia="宋体"/>
          <w:color w:val="auto"/>
          <w:sz w:val="22"/>
          <w:szCs w:val="22"/>
        </w:rPr>
      </w:pPr>
      <w:bookmarkStart w:id="12" w:name="_Toc494407527"/>
      <w:r>
        <w:rPr>
          <w:rFonts w:hint="eastAsia" w:ascii="宋体" w:eastAsia="宋体"/>
          <w:color w:val="auto"/>
          <w:sz w:val="22"/>
          <w:szCs w:val="22"/>
        </w:rPr>
        <w:t>二、总体技术要求</w:t>
      </w:r>
      <w:bookmarkEnd w:id="12"/>
    </w:p>
    <w:p>
      <w:pPr>
        <w:pStyle w:val="13"/>
        <w:adjustRightInd w:val="0"/>
        <w:snapToGrid w:val="0"/>
        <w:spacing w:line="400" w:lineRule="exact"/>
        <w:ind w:firstLine="482"/>
        <w:rPr>
          <w:rFonts w:hAnsi="宋体" w:eastAsia="宋体"/>
          <w:b w:val="0"/>
          <w:color w:val="auto"/>
          <w:sz w:val="22"/>
          <w:szCs w:val="22"/>
        </w:rPr>
      </w:pPr>
      <w:r>
        <w:rPr>
          <w:rFonts w:hint="eastAsia" w:hAnsi="宋体" w:eastAsia="宋体"/>
          <w:b w:val="0"/>
          <w:color w:val="auto"/>
          <w:sz w:val="22"/>
          <w:szCs w:val="22"/>
        </w:rPr>
        <w:t>1、本技术规范要求提出的是最低限度的基本技术要求，并未对所有技术细节作出规定，供应商应提供符合本技术要求和国家标准、行业标准的优质产品。</w:t>
      </w:r>
    </w:p>
    <w:p>
      <w:pPr>
        <w:pStyle w:val="13"/>
        <w:adjustRightInd w:val="0"/>
        <w:snapToGrid w:val="0"/>
        <w:spacing w:line="400" w:lineRule="exact"/>
        <w:ind w:firstLine="482"/>
        <w:rPr>
          <w:rFonts w:hAnsi="宋体" w:eastAsia="宋体"/>
          <w:b w:val="0"/>
          <w:color w:val="auto"/>
          <w:sz w:val="22"/>
          <w:szCs w:val="22"/>
        </w:rPr>
      </w:pPr>
      <w:r>
        <w:rPr>
          <w:rFonts w:hint="eastAsia" w:hAnsi="宋体" w:eastAsia="宋体"/>
          <w:b w:val="0"/>
          <w:color w:val="auto"/>
          <w:sz w:val="22"/>
          <w:szCs w:val="22"/>
        </w:rPr>
        <w:t>2、供应商产品与本技术要求不一致时，供应商应在投标文件中予以说明，并由评标委员会鉴定供应商产品能否达到要求。如供应商没有在投标文件中提出异议，则视为供应商提供的产品完全按照本招标文件要求。</w:t>
      </w:r>
    </w:p>
    <w:p>
      <w:pPr>
        <w:pStyle w:val="13"/>
        <w:adjustRightInd w:val="0"/>
        <w:snapToGrid w:val="0"/>
        <w:spacing w:line="400" w:lineRule="exact"/>
        <w:ind w:firstLine="482"/>
        <w:rPr>
          <w:rFonts w:hAnsi="宋体" w:eastAsia="宋体"/>
          <w:b w:val="0"/>
          <w:color w:val="auto"/>
          <w:sz w:val="22"/>
          <w:szCs w:val="22"/>
        </w:rPr>
      </w:pPr>
      <w:r>
        <w:rPr>
          <w:rFonts w:hint="eastAsia" w:hAnsi="宋体" w:eastAsia="宋体"/>
          <w:b w:val="0"/>
          <w:color w:val="auto"/>
          <w:sz w:val="22"/>
          <w:szCs w:val="22"/>
        </w:rPr>
        <w:t>3、技术要求及标准的执行</w:t>
      </w:r>
    </w:p>
    <w:p>
      <w:pPr>
        <w:pStyle w:val="13"/>
        <w:adjustRightInd w:val="0"/>
        <w:snapToGrid w:val="0"/>
        <w:spacing w:line="400" w:lineRule="exact"/>
        <w:ind w:firstLine="482"/>
        <w:rPr>
          <w:rFonts w:hAnsi="宋体" w:eastAsia="宋体"/>
          <w:b w:val="0"/>
          <w:color w:val="auto"/>
          <w:sz w:val="22"/>
        </w:rPr>
      </w:pPr>
      <w:r>
        <w:rPr>
          <w:rFonts w:hint="eastAsia" w:hAnsi="宋体" w:eastAsia="宋体"/>
          <w:b w:val="0"/>
          <w:color w:val="auto"/>
          <w:sz w:val="22"/>
          <w:szCs w:val="22"/>
        </w:rPr>
        <w:t>供应商提供的产品应标明所执行的质量标准，若同一标准已颁发新标准，则按最新标准执行。若同一产品同时有几个标准（国际标准、国家标准、行业标准、企业标准等），则按最高层次的标准执行。</w:t>
      </w:r>
      <w:r>
        <w:rPr>
          <w:rFonts w:hint="eastAsia" w:hAnsi="宋体" w:eastAsia="宋体"/>
          <w:b w:val="0"/>
          <w:color w:val="auto"/>
          <w:sz w:val="22"/>
        </w:rPr>
        <w:t>下述标准及规范要求有出入则以较严格者为准。</w:t>
      </w:r>
    </w:p>
    <w:p>
      <w:pPr>
        <w:pStyle w:val="13"/>
        <w:adjustRightInd w:val="0"/>
        <w:snapToGrid w:val="0"/>
        <w:spacing w:line="400" w:lineRule="exact"/>
        <w:ind w:firstLine="482"/>
        <w:rPr>
          <w:rFonts w:hAnsi="宋体" w:eastAsia="宋体"/>
          <w:b w:val="0"/>
          <w:color w:val="auto"/>
          <w:sz w:val="22"/>
          <w:szCs w:val="22"/>
        </w:rPr>
      </w:pPr>
      <w:r>
        <w:rPr>
          <w:rFonts w:hint="eastAsia" w:hAnsi="宋体" w:eastAsia="宋体"/>
          <w:b w:val="0"/>
          <w:color w:val="auto"/>
          <w:sz w:val="22"/>
          <w:szCs w:val="22"/>
        </w:rPr>
        <w:t>4、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w:t>
      </w:r>
      <w:bookmarkEnd w:id="11"/>
    </w:p>
    <w:p>
      <w:pPr>
        <w:spacing w:line="360" w:lineRule="auto"/>
        <w:outlineLvl w:val="0"/>
        <w:rPr>
          <w:rFonts w:ascii="宋体" w:eastAsia="宋体"/>
          <w:color w:val="auto"/>
          <w:sz w:val="22"/>
          <w:szCs w:val="22"/>
        </w:rPr>
      </w:pPr>
      <w:bookmarkStart w:id="13" w:name="_Toc494407528"/>
      <w:r>
        <w:rPr>
          <w:rFonts w:hint="eastAsia" w:ascii="宋体" w:eastAsia="宋体"/>
          <w:color w:val="auto"/>
          <w:sz w:val="22"/>
          <w:szCs w:val="22"/>
        </w:rPr>
        <w:t>三、</w:t>
      </w:r>
      <w:r>
        <w:rPr>
          <w:rFonts w:hint="eastAsia" w:ascii="新宋体" w:hAnsi="新宋体" w:eastAsia="新宋体" w:cs="新宋体"/>
          <w:b/>
          <w:bCs/>
          <w:color w:val="auto"/>
          <w:sz w:val="22"/>
          <w:szCs w:val="22"/>
          <w:highlight w:val="none"/>
        </w:rPr>
        <w:t>▲</w:t>
      </w:r>
      <w:r>
        <w:rPr>
          <w:rFonts w:hint="eastAsia" w:ascii="宋体" w:eastAsia="宋体"/>
          <w:color w:val="auto"/>
          <w:sz w:val="22"/>
          <w:szCs w:val="22"/>
        </w:rPr>
        <w:t>采购内容及</w:t>
      </w:r>
      <w:bookmarkEnd w:id="13"/>
      <w:r>
        <w:rPr>
          <w:rFonts w:hint="eastAsia" w:ascii="Times New Roman" w:hAnsi="Times New Roman" w:eastAsia="宋体"/>
          <w:color w:val="auto"/>
          <w:kern w:val="2"/>
          <w:szCs w:val="24"/>
        </w:rPr>
        <w:t>数量及配置要求</w:t>
      </w:r>
    </w:p>
    <w:tbl>
      <w:tblPr>
        <w:tblStyle w:val="22"/>
        <w:tblW w:w="9679" w:type="dxa"/>
        <w:tblInd w:w="0" w:type="dxa"/>
        <w:shd w:val="clear" w:color="auto" w:fill="auto"/>
        <w:tblLayout w:type="fixed"/>
        <w:tblCellMar>
          <w:top w:w="0" w:type="dxa"/>
          <w:left w:w="0" w:type="dxa"/>
          <w:bottom w:w="0" w:type="dxa"/>
          <w:right w:w="0" w:type="dxa"/>
        </w:tblCellMar>
      </w:tblPr>
      <w:tblGrid>
        <w:gridCol w:w="1057"/>
        <w:gridCol w:w="2067"/>
        <w:gridCol w:w="1390"/>
        <w:gridCol w:w="3487"/>
        <w:gridCol w:w="890"/>
        <w:gridCol w:w="788"/>
      </w:tblGrid>
      <w:tr>
        <w:tblPrEx>
          <w:tblCellMar>
            <w:top w:w="0" w:type="dxa"/>
            <w:left w:w="0" w:type="dxa"/>
            <w:bottom w:w="0" w:type="dxa"/>
            <w:right w:w="0" w:type="dxa"/>
          </w:tblCellMar>
        </w:tblPrEx>
        <w:trPr>
          <w:trHeight w:val="559" w:hRule="atLeast"/>
        </w:trPr>
        <w:tc>
          <w:tcPr>
            <w:tcW w:w="1057"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bookmarkStart w:id="14" w:name="_Toc494407529"/>
          </w:p>
        </w:tc>
        <w:tc>
          <w:tcPr>
            <w:tcW w:w="8622" w:type="dxa"/>
            <w:gridSpan w:val="5"/>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32"/>
                <w:szCs w:val="32"/>
                <w:u w:val="none"/>
              </w:rPr>
            </w:pPr>
            <w:r>
              <w:rPr>
                <w:rFonts w:ascii="宋体" w:hAnsi="宋体" w:eastAsia="宋体" w:cs="宋体"/>
                <w:b/>
                <w:i w:val="0"/>
                <w:color w:val="000000"/>
                <w:kern w:val="0"/>
                <w:sz w:val="32"/>
                <w:szCs w:val="32"/>
                <w:u w:val="none"/>
                <w:lang w:val="en-US" w:eastAsia="zh-CN" w:bidi="ar"/>
              </w:rPr>
              <w:t xml:space="preserve">     办公家具清单</w:t>
            </w:r>
          </w:p>
        </w:tc>
      </w:tr>
      <w:tr>
        <w:tblPrEx>
          <w:tblCellMar>
            <w:top w:w="0" w:type="dxa"/>
            <w:left w:w="0" w:type="dxa"/>
            <w:bottom w:w="0" w:type="dxa"/>
            <w:right w:w="0" w:type="dxa"/>
          </w:tblCellMar>
        </w:tblPrEx>
        <w:trPr>
          <w:trHeight w:val="285" w:hRule="atLeast"/>
        </w:trPr>
        <w:tc>
          <w:tcPr>
            <w:tcW w:w="105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7" w:type="dxa"/>
            <w:gridSpan w:val="2"/>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87"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05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67"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9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487"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90"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75" w:hRule="atLeast"/>
        </w:trPr>
        <w:tc>
          <w:tcPr>
            <w:tcW w:w="1057"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品名</w:t>
            </w:r>
          </w:p>
        </w:tc>
        <w:tc>
          <w:tcPr>
            <w:tcW w:w="2067"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产品图片</w:t>
            </w:r>
          </w:p>
        </w:tc>
        <w:tc>
          <w:tcPr>
            <w:tcW w:w="1390"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规格</w:t>
            </w:r>
          </w:p>
        </w:tc>
        <w:tc>
          <w:tcPr>
            <w:tcW w:w="3487"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材质说明</w:t>
            </w:r>
          </w:p>
        </w:tc>
        <w:tc>
          <w:tcPr>
            <w:tcW w:w="890"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颜色</w:t>
            </w:r>
          </w:p>
        </w:tc>
        <w:tc>
          <w:tcPr>
            <w:tcW w:w="788"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数量</w:t>
            </w:r>
          </w:p>
        </w:tc>
      </w:tr>
      <w:tr>
        <w:tblPrEx>
          <w:tblCellMar>
            <w:top w:w="0" w:type="dxa"/>
            <w:left w:w="0" w:type="dxa"/>
            <w:bottom w:w="0" w:type="dxa"/>
            <w:right w:w="0" w:type="dxa"/>
          </w:tblCellMar>
        </w:tblPrEx>
        <w:trPr>
          <w:trHeight w:val="9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大班台</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49530</wp:posOffset>
                  </wp:positionH>
                  <wp:positionV relativeFrom="paragraph">
                    <wp:posOffset>127000</wp:posOffset>
                  </wp:positionV>
                  <wp:extent cx="1035050" cy="770255"/>
                  <wp:effectExtent l="0" t="0" r="12700" b="10795"/>
                  <wp:wrapNone/>
                  <wp:docPr id="102" name="图片_190"/>
                  <wp:cNvGraphicFramePr/>
                  <a:graphic xmlns:a="http://schemas.openxmlformats.org/drawingml/2006/main">
                    <a:graphicData uri="http://schemas.openxmlformats.org/drawingml/2006/picture">
                      <pic:pic xmlns:pic="http://schemas.openxmlformats.org/drawingml/2006/picture">
                        <pic:nvPicPr>
                          <pic:cNvPr id="102" name="图片_190"/>
                          <pic:cNvPicPr/>
                        </pic:nvPicPr>
                        <pic:blipFill>
                          <a:blip r:embed="rId12"/>
                          <a:stretch>
                            <a:fillRect/>
                          </a:stretch>
                        </pic:blipFill>
                        <pic:spPr>
                          <a:xfrm>
                            <a:off x="0" y="0"/>
                            <a:ext cx="1035050" cy="77025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auto"/>
                <w:kern w:val="0"/>
                <w:sz w:val="18"/>
                <w:szCs w:val="18"/>
                <w:u w:val="none"/>
                <w:lang w:val="en-US" w:eastAsia="zh-CN" w:bidi="ar"/>
              </w:rPr>
              <w:t>2</w:t>
            </w:r>
            <w:r>
              <w:rPr>
                <w:rFonts w:hint="eastAsia" w:ascii="宋体" w:eastAsia="宋体" w:cs="宋体"/>
                <w:b/>
                <w:i w:val="0"/>
                <w:color w:val="auto"/>
                <w:kern w:val="0"/>
                <w:sz w:val="18"/>
                <w:szCs w:val="18"/>
                <w:u w:val="none"/>
                <w:lang w:val="en-US" w:eastAsia="zh-CN" w:bidi="ar"/>
              </w:rPr>
              <w:t>4</w:t>
            </w:r>
            <w:r>
              <w:rPr>
                <w:rFonts w:ascii="宋体" w:hAnsi="宋体" w:eastAsia="宋体" w:cs="宋体"/>
                <w:b/>
                <w:i w:val="0"/>
                <w:color w:val="auto"/>
                <w:kern w:val="0"/>
                <w:sz w:val="18"/>
                <w:szCs w:val="18"/>
                <w:u w:val="none"/>
                <w:lang w:val="en-US" w:eastAsia="zh-CN" w:bidi="ar"/>
              </w:rPr>
              <w:t>80*1900*760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sz w:val="18"/>
                <w:szCs w:val="18"/>
                <w:u w:val="none"/>
              </w:rPr>
            </w:pPr>
            <w:r>
              <w:rPr>
                <w:rFonts w:ascii="宋体" w:hAnsi="宋体" w:eastAsia="宋体" w:cs="宋体"/>
                <w:b w:val="0"/>
                <w:bCs/>
                <w:i w:val="0"/>
                <w:color w:val="000000"/>
                <w:kern w:val="0"/>
                <w:sz w:val="18"/>
                <w:szCs w:val="18"/>
                <w:u w:val="none"/>
                <w:lang w:val="en-US" w:eastAsia="zh-CN" w:bidi="ar"/>
              </w:rPr>
              <w:t>1、面材：60S天然白橡木/胡桃木木皮贴面。</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 xml:space="preserve">2、基材：优质中纤板、刨花板，根据GB 18580-2017要求甲醛释放量≤0.124mg/m³  </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3、五金：45度内切采用铝合金装饰盖饰边，氧化色铝合金装饰边部（45度内切铝合金装饰盖—只用于班台会议桌台面四周斜切边部和片脚斜切边部）</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 xml:space="preserve">电动升降系统，侧台可升降 </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进口优质回弹式滑轨，垂直向下静荷载200N，水平侧向静荷载100N，耐久性10万次，                                                                                   进口优质正面锁、优质锁具，互开率≤1.379%，使用寿命2万次通过。</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进口优质阻尼缓冲铰链+回弹装置，垂直向下静荷载200N，水平侧向静荷载100N，耐久性10万次。</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 xml:space="preserve">EFJ.43线盒（3个电源模块、1个HDMI模块、2个网络模块（CAT.6)、2个USB充电接口）  </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4、油漆：优质水性环保油漆，满足GB 24410-2009要求,挥发性有机化合物含量≤300g/L，游离甲醛含量≤100mg/kg,可溶性重金属含量未检出。开放式涂装 +白闪银涂装。</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5、抽屉采用一体成型工艺，无气味、环保、健康。</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胡桃木色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7</w:t>
            </w:r>
          </w:p>
        </w:tc>
      </w:tr>
      <w:tr>
        <w:tblPrEx>
          <w:shd w:val="clear" w:color="auto" w:fill="auto"/>
          <w:tblCellMar>
            <w:top w:w="0" w:type="dxa"/>
            <w:left w:w="0" w:type="dxa"/>
            <w:bottom w:w="0" w:type="dxa"/>
            <w:right w:w="0" w:type="dxa"/>
          </w:tblCellMar>
        </w:tblPrEx>
        <w:trPr>
          <w:trHeight w:val="312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大班椅</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316865</wp:posOffset>
                  </wp:positionH>
                  <wp:positionV relativeFrom="paragraph">
                    <wp:posOffset>353695</wp:posOffset>
                  </wp:positionV>
                  <wp:extent cx="692150" cy="1264285"/>
                  <wp:effectExtent l="0" t="0" r="12700" b="12065"/>
                  <wp:wrapNone/>
                  <wp:docPr id="104" name="图片_220"/>
                  <wp:cNvGraphicFramePr/>
                  <a:graphic xmlns:a="http://schemas.openxmlformats.org/drawingml/2006/main">
                    <a:graphicData uri="http://schemas.openxmlformats.org/drawingml/2006/picture">
                      <pic:pic xmlns:pic="http://schemas.openxmlformats.org/drawingml/2006/picture">
                        <pic:nvPicPr>
                          <pic:cNvPr id="104" name="图片_220"/>
                          <pic:cNvPicPr/>
                        </pic:nvPicPr>
                        <pic:blipFill>
                          <a:blip r:embed="rId13"/>
                          <a:stretch>
                            <a:fillRect/>
                          </a:stretch>
                        </pic:blipFill>
                        <pic:spPr>
                          <a:xfrm>
                            <a:off x="0" y="0"/>
                            <a:ext cx="692150" cy="126428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670*615*1225</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sz w:val="18"/>
                <w:szCs w:val="18"/>
                <w:u w:val="none"/>
              </w:rPr>
            </w:pPr>
            <w:r>
              <w:rPr>
                <w:rFonts w:ascii="宋体" w:hAnsi="宋体" w:eastAsia="宋体" w:cs="宋体"/>
                <w:b w:val="0"/>
                <w:bCs/>
                <w:i w:val="0"/>
                <w:color w:val="000000"/>
                <w:kern w:val="0"/>
                <w:sz w:val="18"/>
                <w:szCs w:val="18"/>
                <w:u w:val="none"/>
                <w:lang w:val="en-US" w:eastAsia="zh-CN" w:bidi="ar"/>
              </w:rPr>
              <w:t>1.面材：优质头层牛皮，皮革厚度0.9~1.5㎜，撕裂力≥30N，断裂伸长率35%~60%，摩擦色牢度干擦≥4级</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2.海绵：优质高密度回弹海绵，座面密度≥25kg/m³，泡沫回弹性≥35%。</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3、曲木板：E1级优质曲木板，12mm外板/6mm内板</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4、扶手：参照报价单材质描述</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5、底盘：优质品牌底盘，STG机构(四档锁定)</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6、气杆：优质高端气杆，升降自如，升降时无声响，升降行程60~120mm，可承受250KG压力，升降30万次无破损。</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7、五星脚：精抛铝合金压铸五星脚</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8、椅轮：尼龙PA轮，活动自如，耐磨性及其他理化性能均能达到美国BIFMA标准。</w:t>
            </w:r>
          </w:p>
        </w:tc>
        <w:tc>
          <w:tcPr>
            <w:tcW w:w="89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黑色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7</w:t>
            </w:r>
          </w:p>
        </w:tc>
      </w:tr>
      <w:tr>
        <w:tblPrEx>
          <w:shd w:val="clear" w:color="auto" w:fill="auto"/>
          <w:tblCellMar>
            <w:top w:w="0" w:type="dxa"/>
            <w:left w:w="0" w:type="dxa"/>
            <w:bottom w:w="0" w:type="dxa"/>
            <w:right w:w="0" w:type="dxa"/>
          </w:tblCellMar>
        </w:tblPrEx>
        <w:trPr>
          <w:trHeight w:val="262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三人位沙发</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45720</wp:posOffset>
                  </wp:positionH>
                  <wp:positionV relativeFrom="paragraph">
                    <wp:posOffset>591820</wp:posOffset>
                  </wp:positionV>
                  <wp:extent cx="945515" cy="699135"/>
                  <wp:effectExtent l="0" t="0" r="6985" b="5715"/>
                  <wp:wrapNone/>
                  <wp:docPr id="96" name="图片_4"/>
                  <wp:cNvGraphicFramePr/>
                  <a:graphic xmlns:a="http://schemas.openxmlformats.org/drawingml/2006/main">
                    <a:graphicData uri="http://schemas.openxmlformats.org/drawingml/2006/picture">
                      <pic:pic xmlns:pic="http://schemas.openxmlformats.org/drawingml/2006/picture">
                        <pic:nvPicPr>
                          <pic:cNvPr id="96" name="图片_4"/>
                          <pic:cNvPicPr/>
                        </pic:nvPicPr>
                        <pic:blipFill>
                          <a:blip r:embed="rId14"/>
                          <a:stretch>
                            <a:fillRect/>
                          </a:stretch>
                        </pic:blipFill>
                        <pic:spPr>
                          <a:xfrm>
                            <a:off x="0" y="0"/>
                            <a:ext cx="945515" cy="69913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2150*830*880*460</w:t>
            </w:r>
          </w:p>
        </w:tc>
        <w:tc>
          <w:tcPr>
            <w:tcW w:w="348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sz w:val="18"/>
                <w:szCs w:val="18"/>
                <w:u w:val="none"/>
              </w:rPr>
            </w:pPr>
            <w:r>
              <w:rPr>
                <w:rFonts w:ascii="宋体" w:hAnsi="宋体" w:eastAsia="宋体" w:cs="宋体"/>
                <w:b w:val="0"/>
                <w:bCs/>
                <w:i w:val="0"/>
                <w:color w:val="000000"/>
                <w:kern w:val="0"/>
                <w:sz w:val="18"/>
                <w:szCs w:val="18"/>
                <w:u w:val="none"/>
                <w:lang w:val="en-US" w:eastAsia="zh-CN" w:bidi="ar"/>
              </w:rPr>
              <w:t>1.面材：真皮：优质头层牛皮，皮革厚度＞0.9㎜，撕裂力≥30N，断裂伸长率35%~60%，摩擦色牢度干擦≥4级</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PU皮：摩擦色牢度干擦≥4级、湿擦≥3级、碱性汗液≥3级</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2.泡绵：优质高密度回弹海绵，海绵密度20-33kg/m³，座面海绵密度为33.5kg/m³</w:t>
            </w:r>
            <w:r>
              <w:rPr>
                <w:rFonts w:ascii="宋体" w:hAnsi="宋体" w:eastAsia="宋体" w:cs="宋体"/>
                <w:b w:val="0"/>
                <w:bCs/>
                <w:i w:val="0"/>
                <w:color w:val="000000"/>
                <w:kern w:val="0"/>
                <w:sz w:val="18"/>
                <w:szCs w:val="18"/>
                <w:u w:val="none"/>
                <w:lang w:val="en-US" w:eastAsia="zh-CN" w:bidi="ar"/>
              </w:rPr>
              <w:br w:type="textWrapping"/>
            </w:r>
            <w:r>
              <w:rPr>
                <w:rFonts w:ascii="宋体" w:hAnsi="宋体" w:eastAsia="宋体" w:cs="宋体"/>
                <w:b w:val="0"/>
                <w:bCs/>
                <w:i w:val="0"/>
                <w:color w:val="000000"/>
                <w:kern w:val="0"/>
                <w:sz w:val="18"/>
                <w:szCs w:val="18"/>
                <w:u w:val="none"/>
                <w:lang w:val="en-US" w:eastAsia="zh-CN" w:bidi="ar"/>
              </w:rPr>
              <w:t>3.框架：内框架采用夹板+东北落叶松为基材的內架，材料经去皮、烘干、防虫防腐处理</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黑色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7</w:t>
            </w:r>
          </w:p>
        </w:tc>
      </w:tr>
      <w:tr>
        <w:tblPrEx>
          <w:tblCellMar>
            <w:top w:w="0" w:type="dxa"/>
            <w:left w:w="0" w:type="dxa"/>
            <w:bottom w:w="0" w:type="dxa"/>
            <w:right w:w="0" w:type="dxa"/>
          </w:tblCellMar>
        </w:tblPrEx>
        <w:trPr>
          <w:trHeight w:val="9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文件柜</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307340</wp:posOffset>
                  </wp:positionH>
                  <wp:positionV relativeFrom="paragraph">
                    <wp:posOffset>358775</wp:posOffset>
                  </wp:positionV>
                  <wp:extent cx="673735" cy="778510"/>
                  <wp:effectExtent l="0" t="0" r="12065" b="2540"/>
                  <wp:wrapNone/>
                  <wp:docPr id="95" name="图片_136"/>
                  <wp:cNvGraphicFramePr/>
                  <a:graphic xmlns:a="http://schemas.openxmlformats.org/drawingml/2006/main">
                    <a:graphicData uri="http://schemas.openxmlformats.org/drawingml/2006/picture">
                      <pic:pic xmlns:pic="http://schemas.openxmlformats.org/drawingml/2006/picture">
                        <pic:nvPicPr>
                          <pic:cNvPr id="95" name="图片_136"/>
                          <pic:cNvPicPr/>
                        </pic:nvPicPr>
                        <pic:blipFill>
                          <a:blip r:embed="rId15"/>
                          <a:stretch>
                            <a:fillRect/>
                          </a:stretch>
                        </pic:blipFill>
                        <pic:spPr>
                          <a:xfrm>
                            <a:off x="0" y="0"/>
                            <a:ext cx="673735" cy="77851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2784*400*2005</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1、面材：胡桃木木皮贴面。</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2、基材：“福人”E0级中纤板甲醛释放量≤5mg/100g。</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3、五金：流星灰钢制下脚铰链：耐久性8万次开合。滑轨：滚珠式三节轨。 耐久性8万次，垂直向下静荷载200N，水平侧向静荷载100N。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4、油漆：采用水性环保面漆，并通过全自动油漆喷涂和滚涂生产线，封闭式涂装,漆面色泽美观、木纹纹理清晰，光滑耐磨、手感好。</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胡桃木色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7</w:t>
            </w:r>
          </w:p>
        </w:tc>
      </w:tr>
      <w:tr>
        <w:tblPrEx>
          <w:tblCellMar>
            <w:top w:w="0" w:type="dxa"/>
            <w:left w:w="0" w:type="dxa"/>
            <w:bottom w:w="0" w:type="dxa"/>
            <w:right w:w="0" w:type="dxa"/>
          </w:tblCellMar>
        </w:tblPrEx>
        <w:trPr>
          <w:trHeight w:val="336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主管桌</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150495</wp:posOffset>
                  </wp:positionH>
                  <wp:positionV relativeFrom="paragraph">
                    <wp:posOffset>467360</wp:posOffset>
                  </wp:positionV>
                  <wp:extent cx="942975" cy="923925"/>
                  <wp:effectExtent l="0" t="0" r="9525" b="9525"/>
                  <wp:wrapNone/>
                  <wp:docPr id="98" name="图片_17"/>
                  <wp:cNvGraphicFramePr/>
                  <a:graphic xmlns:a="http://schemas.openxmlformats.org/drawingml/2006/main">
                    <a:graphicData uri="http://schemas.openxmlformats.org/drawingml/2006/picture">
                      <pic:pic xmlns:pic="http://schemas.openxmlformats.org/drawingml/2006/picture">
                        <pic:nvPicPr>
                          <pic:cNvPr id="98" name="图片_17"/>
                          <pic:cNvPicPr/>
                        </pic:nvPicPr>
                        <pic:blipFill>
                          <a:blip r:embed="rId16"/>
                          <a:stretch>
                            <a:fillRect/>
                          </a:stretch>
                        </pic:blipFill>
                        <pic:spPr>
                          <a:xfrm>
                            <a:off x="0" y="0"/>
                            <a:ext cx="942975" cy="92392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1800*1600*750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5"/>
              </w:numPr>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4.五金配件：</w:t>
            </w:r>
            <w:r>
              <w:rPr>
                <w:rFonts w:ascii="宋体" w:hAnsi="宋体" w:eastAsia="宋体" w:cs="宋体"/>
                <w:b w:val="0"/>
                <w:bCs/>
                <w:i w:val="0"/>
                <w:color w:val="000000"/>
                <w:kern w:val="0"/>
                <w:sz w:val="18"/>
                <w:szCs w:val="18"/>
                <w:highlight w:val="none"/>
                <w:u w:val="none"/>
                <w:lang w:val="en-US" w:eastAsia="zh-CN" w:bidi="ar"/>
              </w:rPr>
              <w:br w:type="textWrapping"/>
            </w:r>
            <w:r>
              <w:rPr>
                <w:rFonts w:hint="eastAsia" w:ascii="宋体" w:eastAsia="宋体" w:cs="宋体"/>
                <w:b w:val="0"/>
                <w:bCs/>
                <w:i w:val="0"/>
                <w:color w:val="000000"/>
                <w:kern w:val="0"/>
                <w:sz w:val="18"/>
                <w:szCs w:val="18"/>
                <w:highlight w:val="none"/>
                <w:u w:val="none"/>
                <w:lang w:val="en-US" w:eastAsia="zh-CN" w:bidi="ar"/>
              </w:rPr>
              <w:t>1</w:t>
            </w:r>
            <w:r>
              <w:rPr>
                <w:rFonts w:ascii="宋体" w:hAnsi="宋体" w:eastAsia="宋体" w:cs="宋体"/>
                <w:b w:val="0"/>
                <w:bCs/>
                <w:i w:val="0"/>
                <w:color w:val="000000"/>
                <w:kern w:val="0"/>
                <w:sz w:val="18"/>
                <w:szCs w:val="18"/>
                <w:highlight w:val="none"/>
                <w:u w:val="none"/>
                <w:lang w:val="en-US" w:eastAsia="zh-CN" w:bidi="ar"/>
              </w:rPr>
              <w:t>铰链：耐久性10万次开合</w:t>
            </w:r>
          </w:p>
          <w:p>
            <w:pPr>
              <w:keepNext w:val="0"/>
              <w:keepLines w:val="0"/>
              <w:widowControl/>
              <w:numPr>
                <w:ilvl w:val="0"/>
                <w:numId w:val="5"/>
              </w:numPr>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锁具：使用寿命不少于20000次</w:t>
            </w:r>
          </w:p>
          <w:p>
            <w:pPr>
              <w:keepNext w:val="0"/>
              <w:keepLines w:val="0"/>
              <w:widowControl/>
              <w:numPr>
                <w:ilvl w:val="0"/>
                <w:numId w:val="5"/>
              </w:numPr>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滑轨：滚珠式三节轨。 耐久性10万次，垂直向下静荷载200N，水平侧向静荷载100N</w:t>
            </w:r>
            <w:r>
              <w:rPr>
                <w:rFonts w:ascii="宋体" w:hAnsi="宋体" w:eastAsia="宋体" w:cs="宋体"/>
                <w:b w:val="0"/>
                <w:bCs/>
                <w:i w:val="0"/>
                <w:color w:val="000000"/>
                <w:kern w:val="0"/>
                <w:sz w:val="18"/>
                <w:szCs w:val="18"/>
                <w:highlight w:val="none"/>
                <w:u w:val="none"/>
                <w:lang w:val="en-US" w:eastAsia="zh-CN" w:bidi="ar"/>
              </w:rPr>
              <w:br w:type="textWrapping"/>
            </w:r>
            <w:r>
              <w:rPr>
                <w:rFonts w:hint="eastAsia" w:ascii="宋体" w:eastAsia="宋体" w:cs="宋体"/>
                <w:b w:val="0"/>
                <w:bCs/>
                <w:i w:val="0"/>
                <w:color w:val="000000"/>
                <w:kern w:val="0"/>
                <w:sz w:val="18"/>
                <w:szCs w:val="18"/>
                <w:highlight w:val="none"/>
                <w:u w:val="none"/>
                <w:lang w:val="en-US" w:eastAsia="zh-CN" w:bidi="ar"/>
              </w:rPr>
              <w:t>4</w:t>
            </w:r>
            <w:r>
              <w:rPr>
                <w:rFonts w:ascii="宋体" w:hAnsi="宋体" w:eastAsia="宋体" w:cs="宋体"/>
                <w:b w:val="0"/>
                <w:bCs/>
                <w:i w:val="0"/>
                <w:color w:val="000000"/>
                <w:kern w:val="0"/>
                <w:sz w:val="18"/>
                <w:szCs w:val="18"/>
                <w:highlight w:val="none"/>
                <w:u w:val="none"/>
                <w:lang w:val="en-US" w:eastAsia="zh-CN" w:bidi="ar"/>
              </w:rPr>
              <w:t>、钢脚45度斜切采用V型开缺口后折弯点焊打磨处理。整体性更好。表面处理为白色喷细砂效果，白色与其他配件统一，避免色差。钢脚以拉杆+托臂的形式进行连接支撑。</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木纹色+白色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3</w:t>
            </w:r>
          </w:p>
        </w:tc>
      </w:tr>
      <w:tr>
        <w:tblPrEx>
          <w:shd w:val="clear" w:color="auto" w:fill="auto"/>
          <w:tblCellMar>
            <w:top w:w="0" w:type="dxa"/>
            <w:left w:w="0" w:type="dxa"/>
            <w:bottom w:w="0" w:type="dxa"/>
            <w:right w:w="0" w:type="dxa"/>
          </w:tblCellMar>
        </w:tblPrEx>
        <w:trPr>
          <w:trHeight w:val="346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主管椅</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232410</wp:posOffset>
                  </wp:positionH>
                  <wp:positionV relativeFrom="paragraph">
                    <wp:posOffset>277495</wp:posOffset>
                  </wp:positionV>
                  <wp:extent cx="810260" cy="1461135"/>
                  <wp:effectExtent l="0" t="0" r="8890" b="5715"/>
                  <wp:wrapNone/>
                  <wp:docPr id="99" name="图片_3"/>
                  <wp:cNvGraphicFramePr/>
                  <a:graphic xmlns:a="http://schemas.openxmlformats.org/drawingml/2006/main">
                    <a:graphicData uri="http://schemas.openxmlformats.org/drawingml/2006/picture">
                      <pic:pic xmlns:pic="http://schemas.openxmlformats.org/drawingml/2006/picture">
                        <pic:nvPicPr>
                          <pic:cNvPr id="99" name="图片_3"/>
                          <pic:cNvPicPr/>
                        </pic:nvPicPr>
                        <pic:blipFill>
                          <a:blip r:embed="rId17"/>
                          <a:stretch>
                            <a:fillRect/>
                          </a:stretch>
                        </pic:blipFill>
                        <pic:spPr>
                          <a:xfrm>
                            <a:off x="0" y="0"/>
                            <a:ext cx="810260" cy="146113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625*640*1135</w:t>
            </w:r>
          </w:p>
        </w:tc>
        <w:tc>
          <w:tcPr>
            <w:tcW w:w="3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numPr>
                <w:ilvl w:val="0"/>
                <w:numId w:val="6"/>
              </w:numPr>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面材：优质透气网布/麻绒面料，芳香胺有害物质含量＜5mg/kg，颜色干擦牢度≥4级，耐酸碱汗渍变色≥3级、沾色≥3级。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 xml:space="preserve">2、海绵：座垫使用高密度定型海绵，座面密度≥25kg/m³，泡沫回弹性≥35%，压缩永久变形A级≤5.0%。  </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3、曲木板：E1级优质曲木板,12mm座板</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4、扶手：PP固定扶手</w:t>
            </w:r>
          </w:p>
          <w:p>
            <w:pPr>
              <w:keepNext w:val="0"/>
              <w:keepLines w:val="0"/>
              <w:widowControl/>
              <w:numPr>
                <w:ilvl w:val="0"/>
                <w:numId w:val="0"/>
              </w:numPr>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5、底盘：自负重底盘（四档锁定）</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6、气杆：优质高端气杆，升降自如，升降时无声响，升降行程60~120mm，可承受250KG压力，升降30万次无破损。</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7、五星脚：</w:t>
            </w:r>
            <w:r>
              <w:rPr>
                <w:rFonts w:hint="eastAsia" w:ascii="宋体" w:hAnsi="宋体" w:eastAsia="宋体" w:cs="宋体"/>
                <w:b w:val="0"/>
                <w:bCs/>
                <w:i w:val="0"/>
                <w:color w:val="000000"/>
                <w:kern w:val="0"/>
                <w:sz w:val="18"/>
                <w:szCs w:val="18"/>
                <w:highlight w:val="none"/>
                <w:u w:val="none"/>
                <w:lang w:val="en-US" w:eastAsia="zh-CN" w:bidi="ar"/>
              </w:rPr>
              <w:t>尼龙五星脚</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8、椅轮：尼龙PA轮，活动自如，耐磨性及其他理化性能均能达到</w:t>
            </w:r>
            <w:r>
              <w:rPr>
                <w:rFonts w:hint="eastAsia" w:ascii="宋体" w:eastAsia="宋体" w:cs="宋体"/>
                <w:b w:val="0"/>
                <w:bCs/>
                <w:i w:val="0"/>
                <w:color w:val="000000"/>
                <w:kern w:val="0"/>
                <w:sz w:val="18"/>
                <w:szCs w:val="18"/>
                <w:highlight w:val="none"/>
                <w:u w:val="none"/>
                <w:lang w:val="en-US" w:eastAsia="zh-CN" w:bidi="ar"/>
              </w:rPr>
              <w:t>有关</w:t>
            </w:r>
            <w:r>
              <w:rPr>
                <w:rFonts w:ascii="宋体" w:hAnsi="宋体" w:eastAsia="宋体" w:cs="宋体"/>
                <w:b w:val="0"/>
                <w:bCs/>
                <w:i w:val="0"/>
                <w:color w:val="000000"/>
                <w:kern w:val="0"/>
                <w:sz w:val="18"/>
                <w:szCs w:val="18"/>
                <w:highlight w:val="none"/>
                <w:u w:val="none"/>
                <w:lang w:val="en-US" w:eastAsia="zh-CN" w:bidi="ar"/>
              </w:rPr>
              <w:t>标准。</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黑色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3</w:t>
            </w:r>
          </w:p>
        </w:tc>
      </w:tr>
      <w:tr>
        <w:tblPrEx>
          <w:shd w:val="clear" w:color="auto" w:fill="auto"/>
          <w:tblCellMar>
            <w:top w:w="0" w:type="dxa"/>
            <w:left w:w="0" w:type="dxa"/>
            <w:bottom w:w="0" w:type="dxa"/>
            <w:right w:w="0" w:type="dxa"/>
          </w:tblCellMar>
        </w:tblPrEx>
        <w:trPr>
          <w:trHeight w:val="25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客椅</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327025</wp:posOffset>
                  </wp:positionH>
                  <wp:positionV relativeFrom="paragraph">
                    <wp:posOffset>285750</wp:posOffset>
                  </wp:positionV>
                  <wp:extent cx="513080" cy="749300"/>
                  <wp:effectExtent l="0" t="0" r="1270" b="12700"/>
                  <wp:wrapNone/>
                  <wp:docPr id="94" name="图片_63"/>
                  <wp:cNvGraphicFramePr/>
                  <a:graphic xmlns:a="http://schemas.openxmlformats.org/drawingml/2006/main">
                    <a:graphicData uri="http://schemas.openxmlformats.org/drawingml/2006/picture">
                      <pic:pic xmlns:pic="http://schemas.openxmlformats.org/drawingml/2006/picture">
                        <pic:nvPicPr>
                          <pic:cNvPr id="94" name="图片_63"/>
                          <pic:cNvPicPr/>
                        </pic:nvPicPr>
                        <pic:blipFill>
                          <a:blip r:embed="rId18"/>
                          <a:stretch>
                            <a:fillRect/>
                          </a:stretch>
                        </pic:blipFill>
                        <pic:spPr>
                          <a:xfrm>
                            <a:off x="0" y="0"/>
                            <a:ext cx="513080" cy="74930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545*520*825</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1、面材：网布：优质高端双丝网布，色牢度干擦4级，湿擦3级</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麻绒：优质网布/麻绒面料，芳香胺有害物质含量＜5mg/kg，颜色干擦牢度≥4级，耐酸碱汗渍变色≥3级、沾色≥3级。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2、海棉：优质高密度回弹海绵，座面密度≥25kg/m³，泡沫回弹性≥35%。</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3、座板：E1级优质曲木板，12mm多层曲木板热压成型</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4、弓架：壁厚1.8mm，表面镀银，闪银光面、灰白磨砂两种处理效果</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5、椅轮：PA脚轮</w:t>
            </w:r>
          </w:p>
        </w:tc>
        <w:tc>
          <w:tcPr>
            <w:tcW w:w="89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黑色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6</w:t>
            </w:r>
          </w:p>
        </w:tc>
      </w:tr>
      <w:tr>
        <w:tblPrEx>
          <w:tblCellMar>
            <w:top w:w="0" w:type="dxa"/>
            <w:left w:w="0" w:type="dxa"/>
            <w:bottom w:w="0" w:type="dxa"/>
            <w:right w:w="0" w:type="dxa"/>
          </w:tblCellMar>
        </w:tblPrEx>
        <w:trPr>
          <w:trHeight w:val="232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沙发</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94615</wp:posOffset>
                  </wp:positionH>
                  <wp:positionV relativeFrom="paragraph">
                    <wp:posOffset>354330</wp:posOffset>
                  </wp:positionV>
                  <wp:extent cx="963930" cy="816610"/>
                  <wp:effectExtent l="0" t="0" r="7620" b="2540"/>
                  <wp:wrapNone/>
                  <wp:docPr id="97" name="图片_19"/>
                  <wp:cNvGraphicFramePr/>
                  <a:graphic xmlns:a="http://schemas.openxmlformats.org/drawingml/2006/main">
                    <a:graphicData uri="http://schemas.openxmlformats.org/drawingml/2006/picture">
                      <pic:pic xmlns:pic="http://schemas.openxmlformats.org/drawingml/2006/picture">
                        <pic:nvPicPr>
                          <pic:cNvPr id="97" name="图片_19"/>
                          <pic:cNvPicPr/>
                        </pic:nvPicPr>
                        <pic:blipFill>
                          <a:blip r:embed="rId19"/>
                          <a:stretch>
                            <a:fillRect/>
                          </a:stretch>
                        </pic:blipFill>
                        <pic:spPr>
                          <a:xfrm>
                            <a:off x="0" y="0"/>
                            <a:ext cx="963930" cy="81661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1310*780*790*470</w:t>
            </w:r>
          </w:p>
        </w:tc>
        <w:tc>
          <w:tcPr>
            <w:tcW w:w="348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1.面材：真皮：优质头层牛皮，皮革厚度＞0.9㎜，撕裂力≥30N，断裂伸长率35%~60%，摩擦色牢度干擦≥4级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PU皮：摩擦色牢度干擦≥4级、湿擦≥3级、碱性汗液≥3级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西皮：摩擦色牢度干擦≥4级、湿擦≥3级、碱性汗液≥3级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2.海绵：优质高密度回弹海绵，座面密度≥25kg/m³，压缩永久变形≤10%，泡沫回弹性≥35%。</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3.内架：材料为优质东北落叶松实木框架，经去皮、烘干、防虫防腐处理。</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4.沙发脚：采用实木油漆沙发脚，胡桃木色涂装。</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黑色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w:t>
            </w:r>
          </w:p>
        </w:tc>
      </w:tr>
      <w:tr>
        <w:tblPrEx>
          <w:shd w:val="clear" w:color="auto" w:fill="auto"/>
          <w:tblCellMar>
            <w:top w:w="0" w:type="dxa"/>
            <w:left w:w="0" w:type="dxa"/>
            <w:bottom w:w="0" w:type="dxa"/>
            <w:right w:w="0" w:type="dxa"/>
          </w:tblCellMar>
        </w:tblPrEx>
        <w:trPr>
          <w:trHeight w:val="7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茶几</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149225</wp:posOffset>
                  </wp:positionH>
                  <wp:positionV relativeFrom="paragraph">
                    <wp:posOffset>444500</wp:posOffset>
                  </wp:positionV>
                  <wp:extent cx="690880" cy="671830"/>
                  <wp:effectExtent l="0" t="0" r="13970" b="13970"/>
                  <wp:wrapNone/>
                  <wp:docPr id="101" name="图片_18"/>
                  <wp:cNvGraphicFramePr/>
                  <a:graphic xmlns:a="http://schemas.openxmlformats.org/drawingml/2006/main">
                    <a:graphicData uri="http://schemas.openxmlformats.org/drawingml/2006/picture">
                      <pic:pic xmlns:pic="http://schemas.openxmlformats.org/drawingml/2006/picture">
                        <pic:nvPicPr>
                          <pic:cNvPr id="101" name="图片_18"/>
                          <pic:cNvPicPr/>
                        </pic:nvPicPr>
                        <pic:blipFill>
                          <a:blip r:embed="rId20"/>
                          <a:stretch>
                            <a:fillRect/>
                          </a:stretch>
                        </pic:blipFill>
                        <pic:spPr>
                          <a:xfrm>
                            <a:off x="0" y="0"/>
                            <a:ext cx="690880" cy="67183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D600*350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4、钢脚：表面经磷化、除锈，防腐处理静电粉末喷涂工艺</w:t>
            </w:r>
            <w:r>
              <w:rPr>
                <w:rFonts w:hint="eastAsia" w:ascii="宋体" w:eastAsia="宋体" w:cs="宋体"/>
                <w:b w:val="0"/>
                <w:bCs/>
                <w:i w:val="0"/>
                <w:color w:val="000000"/>
                <w:kern w:val="0"/>
                <w:sz w:val="18"/>
                <w:szCs w:val="18"/>
                <w:highlight w:val="none"/>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木纹色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w:t>
            </w:r>
          </w:p>
        </w:tc>
      </w:tr>
      <w:tr>
        <w:tblPrEx>
          <w:shd w:val="clear" w:color="auto" w:fill="auto"/>
          <w:tblCellMar>
            <w:top w:w="0" w:type="dxa"/>
            <w:left w:w="0" w:type="dxa"/>
            <w:bottom w:w="0" w:type="dxa"/>
            <w:right w:w="0" w:type="dxa"/>
          </w:tblCellMar>
        </w:tblPrEx>
        <w:trPr>
          <w:trHeight w:val="29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文件柜</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230505</wp:posOffset>
                  </wp:positionH>
                  <wp:positionV relativeFrom="paragraph">
                    <wp:posOffset>673100</wp:posOffset>
                  </wp:positionV>
                  <wp:extent cx="674370" cy="786765"/>
                  <wp:effectExtent l="0" t="0" r="11430" b="13335"/>
                  <wp:wrapNone/>
                  <wp:docPr id="103" name="图片_46"/>
                  <wp:cNvGraphicFramePr/>
                  <a:graphic xmlns:a="http://schemas.openxmlformats.org/drawingml/2006/main">
                    <a:graphicData uri="http://schemas.openxmlformats.org/drawingml/2006/picture">
                      <pic:pic xmlns:pic="http://schemas.openxmlformats.org/drawingml/2006/picture">
                        <pic:nvPicPr>
                          <pic:cNvPr id="103" name="图片_46"/>
                          <pic:cNvPicPr/>
                        </pic:nvPicPr>
                        <pic:blipFill>
                          <a:blip r:embed="rId21"/>
                          <a:stretch>
                            <a:fillRect/>
                          </a:stretch>
                        </pic:blipFill>
                        <pic:spPr>
                          <a:xfrm>
                            <a:off x="0" y="0"/>
                            <a:ext cx="674370" cy="78676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1576*400*1840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40" w:afterAutospacing="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4.五金配件：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铰链：阻尼铰链，耐久性10万次开合</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锁具：侧面锁，互开率≤1.379%，使用寿命不少于20000次。</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木纹色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8</w:t>
            </w:r>
          </w:p>
        </w:tc>
      </w:tr>
      <w:tr>
        <w:tblPrEx>
          <w:shd w:val="clear" w:color="auto" w:fill="auto"/>
          <w:tblCellMar>
            <w:top w:w="0" w:type="dxa"/>
            <w:left w:w="0" w:type="dxa"/>
            <w:bottom w:w="0" w:type="dxa"/>
            <w:right w:w="0" w:type="dxa"/>
          </w:tblCellMar>
        </w:tblPrEx>
        <w:trPr>
          <w:trHeight w:val="41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办公桌</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327025</wp:posOffset>
                  </wp:positionH>
                  <wp:positionV relativeFrom="paragraph">
                    <wp:posOffset>941070</wp:posOffset>
                  </wp:positionV>
                  <wp:extent cx="878205" cy="548005"/>
                  <wp:effectExtent l="0" t="0" r="17145" b="4445"/>
                  <wp:wrapNone/>
                  <wp:docPr id="100" name="图片_1"/>
                  <wp:cNvGraphicFramePr/>
                  <a:graphic xmlns:a="http://schemas.openxmlformats.org/drawingml/2006/main">
                    <a:graphicData uri="http://schemas.openxmlformats.org/drawingml/2006/picture">
                      <pic:pic xmlns:pic="http://schemas.openxmlformats.org/drawingml/2006/picture">
                        <pic:nvPicPr>
                          <pic:cNvPr id="100" name="图片_1"/>
                          <pic:cNvPicPr/>
                        </pic:nvPicPr>
                        <pic:blipFill>
                          <a:blip r:embed="rId22"/>
                          <a:stretch>
                            <a:fillRect/>
                          </a:stretch>
                        </pic:blipFill>
                        <pic:spPr>
                          <a:xfrm>
                            <a:off x="0" y="0"/>
                            <a:ext cx="878205" cy="54800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1600*700*750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7"/>
              </w:numPr>
              <w:suppressLineNumbers w:val="0"/>
              <w:jc w:val="left"/>
              <w:textAlignment w:val="center"/>
              <w:rPr>
                <w:rFonts w:hint="eastAsia" w:asci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4.五金配件：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铰链：阻尼铰链，耐久性10万次开合</w:t>
            </w:r>
            <w:r>
              <w:rPr>
                <w:rFonts w:hint="eastAsia" w:ascii="宋体" w:eastAsia="宋体" w:cs="宋体"/>
                <w:b w:val="0"/>
                <w:bCs/>
                <w:i w:val="0"/>
                <w:color w:val="000000"/>
                <w:kern w:val="0"/>
                <w:sz w:val="18"/>
                <w:szCs w:val="18"/>
                <w:highlight w:val="none"/>
                <w:u w:val="none"/>
                <w:lang w:val="en-US" w:eastAsia="zh-CN" w:bidi="ar"/>
              </w:rPr>
              <w:t>。</w:t>
            </w:r>
          </w:p>
          <w:p>
            <w:pPr>
              <w:keepNext w:val="0"/>
              <w:keepLines w:val="0"/>
              <w:widowControl/>
              <w:numPr>
                <w:ilvl w:val="0"/>
                <w:numId w:val="7"/>
              </w:numPr>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锁具：使用寿命不少于20000次；</w:t>
            </w:r>
          </w:p>
          <w:p>
            <w:pPr>
              <w:keepNext w:val="0"/>
              <w:keepLines w:val="0"/>
              <w:widowControl/>
              <w:numPr>
                <w:ilvl w:val="0"/>
                <w:numId w:val="7"/>
              </w:numPr>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滑轨：滚珠式三节轨。 耐久性10万次，垂直向下静荷载200N，水平侧向静荷载100N</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5、钢脚45度斜切采用V型开缺口后折弯点焊打磨处理。整体性更好。表面处理为白色喷细砂效果，白色与其他配件统一，避免色差。钢脚以拉杆+托臂的形式进行连接支撑。</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木纹色+白色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20</w:t>
            </w:r>
          </w:p>
        </w:tc>
      </w:tr>
      <w:tr>
        <w:tblPrEx>
          <w:shd w:val="clear" w:color="auto" w:fill="auto"/>
          <w:tblCellMar>
            <w:top w:w="0" w:type="dxa"/>
            <w:left w:w="0" w:type="dxa"/>
            <w:bottom w:w="0" w:type="dxa"/>
            <w:right w:w="0" w:type="dxa"/>
          </w:tblCellMar>
        </w:tblPrEx>
        <w:trPr>
          <w:trHeight w:val="174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桌上屏风</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107950</wp:posOffset>
                  </wp:positionV>
                  <wp:extent cx="1026795" cy="851535"/>
                  <wp:effectExtent l="0" t="0" r="1905" b="5715"/>
                  <wp:wrapNone/>
                  <wp:docPr id="111" name="图片_11"/>
                  <wp:cNvGraphicFramePr/>
                  <a:graphic xmlns:a="http://schemas.openxmlformats.org/drawingml/2006/main">
                    <a:graphicData uri="http://schemas.openxmlformats.org/drawingml/2006/picture">
                      <pic:pic xmlns:pic="http://schemas.openxmlformats.org/drawingml/2006/picture">
                        <pic:nvPicPr>
                          <pic:cNvPr id="111" name="图片_11"/>
                          <pic:cNvPicPr/>
                        </pic:nvPicPr>
                        <pic:blipFill>
                          <a:blip r:embed="rId23"/>
                          <a:stretch>
                            <a:fillRect/>
                          </a:stretch>
                        </pic:blipFill>
                        <pic:spPr>
                          <a:xfrm>
                            <a:off x="0" y="0"/>
                            <a:ext cx="1026795" cy="85153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1580*350*8</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1、防火面材：三聚氰胺装饰板， SBI单体燃烧试验、可燃性试验、产烟烟雾特性、燃烧低落无符合要求。符合GB/T20284-2006标准要求</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2.五金配件：采用隐藏式屏风连接机构和配件</w:t>
            </w:r>
            <w:r>
              <w:rPr>
                <w:rFonts w:hint="eastAsia" w:ascii="宋体" w:eastAsia="宋体" w:cs="宋体"/>
                <w:b w:val="0"/>
                <w:bCs/>
                <w:i w:val="0"/>
                <w:color w:val="000000"/>
                <w:kern w:val="0"/>
                <w:sz w:val="18"/>
                <w:szCs w:val="18"/>
                <w:highlight w:val="none"/>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24</w:t>
            </w:r>
          </w:p>
        </w:tc>
      </w:tr>
      <w:tr>
        <w:tblPrEx>
          <w:shd w:val="clear" w:color="auto" w:fill="auto"/>
          <w:tblCellMar>
            <w:top w:w="0" w:type="dxa"/>
            <w:left w:w="0" w:type="dxa"/>
            <w:bottom w:w="0" w:type="dxa"/>
            <w:right w:w="0" w:type="dxa"/>
          </w:tblCellMar>
        </w:tblPrEx>
        <w:trPr>
          <w:trHeight w:val="174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桌上屏风（活动遮屏）</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466725</wp:posOffset>
                  </wp:positionH>
                  <wp:positionV relativeFrom="paragraph">
                    <wp:posOffset>171450</wp:posOffset>
                  </wp:positionV>
                  <wp:extent cx="752475" cy="760730"/>
                  <wp:effectExtent l="0" t="0" r="9525" b="1270"/>
                  <wp:wrapNone/>
                  <wp:docPr id="115" name="图片_7"/>
                  <wp:cNvGraphicFramePr/>
                  <a:graphic xmlns:a="http://schemas.openxmlformats.org/drawingml/2006/main">
                    <a:graphicData uri="http://schemas.openxmlformats.org/drawingml/2006/picture">
                      <pic:pic xmlns:pic="http://schemas.openxmlformats.org/drawingml/2006/picture">
                        <pic:nvPicPr>
                          <pic:cNvPr id="115" name="图片_7"/>
                          <pic:cNvPicPr/>
                        </pic:nvPicPr>
                        <pic:blipFill>
                          <a:blip r:embed="rId24"/>
                          <a:stretch>
                            <a:fillRect/>
                          </a:stretch>
                        </pic:blipFill>
                        <pic:spPr>
                          <a:xfrm>
                            <a:off x="0" y="0"/>
                            <a:ext cx="752475" cy="76073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700*350*8</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1、防火面材：三聚氰胺装饰板， SBI单体燃烧试验、可燃性试验、产烟烟雾特性、燃烧低落无符合要求。符合GB/T20284-2006标准要求</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2.五金配件：采用隐藏式屏风连接机构和配件</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12</w:t>
            </w:r>
          </w:p>
        </w:tc>
      </w:tr>
      <w:tr>
        <w:tblPrEx>
          <w:shd w:val="clear" w:color="auto" w:fill="auto"/>
          <w:tblCellMar>
            <w:top w:w="0" w:type="dxa"/>
            <w:left w:w="0" w:type="dxa"/>
            <w:bottom w:w="0" w:type="dxa"/>
            <w:right w:w="0" w:type="dxa"/>
          </w:tblCellMar>
        </w:tblPrEx>
        <w:trPr>
          <w:trHeight w:val="41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三人组合办公桌（含3块麻绒桌上屏风和3个推柜）</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121285</wp:posOffset>
                  </wp:positionH>
                  <wp:positionV relativeFrom="paragraph">
                    <wp:posOffset>645160</wp:posOffset>
                  </wp:positionV>
                  <wp:extent cx="854710" cy="1050925"/>
                  <wp:effectExtent l="0" t="0" r="2540" b="15875"/>
                  <wp:wrapNone/>
                  <wp:docPr id="109" name="图片_35"/>
                  <wp:cNvGraphicFramePr/>
                  <a:graphic xmlns:a="http://schemas.openxmlformats.org/drawingml/2006/main">
                    <a:graphicData uri="http://schemas.openxmlformats.org/drawingml/2006/picture">
                      <pic:pic xmlns:pic="http://schemas.openxmlformats.org/drawingml/2006/picture">
                        <pic:nvPicPr>
                          <pic:cNvPr id="109" name="图片_35"/>
                          <pic:cNvPicPr/>
                        </pic:nvPicPr>
                        <pic:blipFill>
                          <a:blip r:embed="rId25"/>
                          <a:stretch>
                            <a:fillRect/>
                          </a:stretch>
                        </pic:blipFill>
                        <pic:spPr>
                          <a:xfrm>
                            <a:off x="0" y="0"/>
                            <a:ext cx="854710" cy="105092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2344*2710*750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8"/>
              </w:numPr>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4.五金配件：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铰链：阻尼铰链，耐久性10万次开合</w:t>
            </w:r>
          </w:p>
          <w:p>
            <w:pPr>
              <w:keepNext w:val="0"/>
              <w:keepLines w:val="0"/>
              <w:widowControl/>
              <w:numPr>
                <w:ilvl w:val="0"/>
                <w:numId w:val="0"/>
              </w:numPr>
              <w:suppressLineNumbers w:val="0"/>
              <w:jc w:val="left"/>
              <w:textAlignment w:val="center"/>
              <w:rPr>
                <w:rFonts w:ascii="宋体" w:hAnsi="宋体" w:eastAsia="宋体" w:cs="宋体"/>
                <w:b w:val="0"/>
                <w:bCs/>
                <w:i w:val="0"/>
                <w:color w:val="000000"/>
                <w:sz w:val="18"/>
                <w:szCs w:val="18"/>
                <w:highlight w:val="none"/>
                <w:u w:val="none"/>
              </w:rPr>
            </w:pPr>
            <w:r>
              <w:rPr>
                <w:rFonts w:hint="eastAsia" w:ascii="宋体" w:eastAsia="宋体" w:cs="宋体"/>
                <w:b w:val="0"/>
                <w:bCs/>
                <w:i w:val="0"/>
                <w:color w:val="000000"/>
                <w:kern w:val="0"/>
                <w:sz w:val="18"/>
                <w:szCs w:val="18"/>
                <w:highlight w:val="none"/>
                <w:u w:val="none"/>
                <w:lang w:val="en-US" w:eastAsia="zh-CN" w:bidi="ar"/>
              </w:rPr>
              <w:t>5、</w:t>
            </w:r>
            <w:r>
              <w:rPr>
                <w:rFonts w:ascii="宋体" w:hAnsi="宋体" w:eastAsia="宋体" w:cs="宋体"/>
                <w:b w:val="0"/>
                <w:bCs/>
                <w:i w:val="0"/>
                <w:color w:val="000000"/>
                <w:kern w:val="0"/>
                <w:sz w:val="18"/>
                <w:szCs w:val="18"/>
                <w:highlight w:val="none"/>
                <w:u w:val="none"/>
                <w:lang w:val="en-US" w:eastAsia="zh-CN" w:bidi="ar"/>
              </w:rPr>
              <w:t>锁具：使用寿命不少于20000次；</w:t>
            </w:r>
          </w:p>
          <w:p>
            <w:pPr>
              <w:keepNext w:val="0"/>
              <w:keepLines w:val="0"/>
              <w:widowControl/>
              <w:numPr>
                <w:ilvl w:val="0"/>
                <w:numId w:val="0"/>
              </w:numPr>
              <w:suppressLineNumbers w:val="0"/>
              <w:jc w:val="left"/>
              <w:textAlignment w:val="center"/>
              <w:rPr>
                <w:rFonts w:ascii="宋体" w:hAnsi="宋体" w:eastAsia="宋体" w:cs="宋体"/>
                <w:b w:val="0"/>
                <w:bCs/>
                <w:i w:val="0"/>
                <w:color w:val="000000"/>
                <w:sz w:val="18"/>
                <w:szCs w:val="18"/>
                <w:highlight w:val="none"/>
                <w:u w:val="none"/>
              </w:rPr>
            </w:pPr>
            <w:r>
              <w:rPr>
                <w:rFonts w:hint="eastAsia" w:ascii="宋体" w:eastAsia="宋体" w:cs="宋体"/>
                <w:b w:val="0"/>
                <w:bCs/>
                <w:i w:val="0"/>
                <w:color w:val="000000"/>
                <w:kern w:val="0"/>
                <w:sz w:val="18"/>
                <w:szCs w:val="18"/>
                <w:highlight w:val="none"/>
                <w:u w:val="none"/>
                <w:lang w:val="en-US" w:eastAsia="zh-CN" w:bidi="ar"/>
              </w:rPr>
              <w:t>6、</w:t>
            </w:r>
            <w:r>
              <w:rPr>
                <w:rFonts w:ascii="宋体" w:hAnsi="宋体" w:eastAsia="宋体" w:cs="宋体"/>
                <w:b w:val="0"/>
                <w:bCs/>
                <w:i w:val="0"/>
                <w:color w:val="000000"/>
                <w:kern w:val="0"/>
                <w:sz w:val="18"/>
                <w:szCs w:val="18"/>
                <w:highlight w:val="none"/>
                <w:u w:val="none"/>
                <w:lang w:val="en-US" w:eastAsia="zh-CN" w:bidi="ar"/>
              </w:rPr>
              <w:t>滑轨：滚珠式三节轨。 耐久性10万次，垂直向下静荷载200N，水平侧向静荷载100N</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br w:type="textWrapping"/>
            </w:r>
            <w:r>
              <w:rPr>
                <w:rFonts w:hint="eastAsia" w:ascii="宋体" w:eastAsia="宋体" w:cs="宋体"/>
                <w:b w:val="0"/>
                <w:bCs/>
                <w:i w:val="0"/>
                <w:color w:val="000000"/>
                <w:kern w:val="0"/>
                <w:sz w:val="18"/>
                <w:szCs w:val="18"/>
                <w:highlight w:val="none"/>
                <w:u w:val="none"/>
                <w:lang w:val="en-US" w:eastAsia="zh-CN" w:bidi="ar"/>
              </w:rPr>
              <w:t>7</w:t>
            </w:r>
            <w:r>
              <w:rPr>
                <w:rFonts w:ascii="宋体" w:hAnsi="宋体" w:eastAsia="宋体" w:cs="宋体"/>
                <w:b w:val="0"/>
                <w:bCs/>
                <w:i w:val="0"/>
                <w:color w:val="000000"/>
                <w:kern w:val="0"/>
                <w:sz w:val="18"/>
                <w:szCs w:val="18"/>
                <w:highlight w:val="none"/>
                <w:u w:val="none"/>
                <w:lang w:val="en-US" w:eastAsia="zh-CN" w:bidi="ar"/>
              </w:rPr>
              <w:t>、钢脚45度斜切采用V型开缺口后折弯点焊打磨处理。整体性更好。表面处理为白色喷细砂效果，白色与其他配件统一，避免色差。钢脚以拉杆+托臂的形式进行连接支撑。</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木纹色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4组</w:t>
            </w:r>
          </w:p>
        </w:tc>
      </w:tr>
      <w:tr>
        <w:tblPrEx>
          <w:shd w:val="clear" w:color="auto" w:fill="auto"/>
          <w:tblCellMar>
            <w:top w:w="0" w:type="dxa"/>
            <w:left w:w="0" w:type="dxa"/>
            <w:bottom w:w="0" w:type="dxa"/>
            <w:right w:w="0" w:type="dxa"/>
          </w:tblCellMar>
        </w:tblPrEx>
        <w:trPr>
          <w:trHeight w:val="239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主管桌</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50165</wp:posOffset>
                  </wp:positionH>
                  <wp:positionV relativeFrom="paragraph">
                    <wp:posOffset>1137920</wp:posOffset>
                  </wp:positionV>
                  <wp:extent cx="1217295" cy="836295"/>
                  <wp:effectExtent l="0" t="0" r="1905" b="1905"/>
                  <wp:wrapNone/>
                  <wp:docPr id="108" name="图片_25"/>
                  <wp:cNvGraphicFramePr/>
                  <a:graphic xmlns:a="http://schemas.openxmlformats.org/drawingml/2006/main">
                    <a:graphicData uri="http://schemas.openxmlformats.org/drawingml/2006/picture">
                      <pic:pic xmlns:pic="http://schemas.openxmlformats.org/drawingml/2006/picture">
                        <pic:nvPicPr>
                          <pic:cNvPr id="108" name="图片_25"/>
                          <pic:cNvPicPr/>
                        </pic:nvPicPr>
                        <pic:blipFill>
                          <a:blip r:embed="rId26"/>
                          <a:stretch>
                            <a:fillRect/>
                          </a:stretch>
                        </pic:blipFill>
                        <pic:spPr>
                          <a:xfrm>
                            <a:off x="0" y="0"/>
                            <a:ext cx="1217295" cy="83629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1600*1600*750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9"/>
              </w:numPr>
              <w:suppressLineNumbers w:val="0"/>
              <w:jc w:val="left"/>
              <w:textAlignment w:val="center"/>
              <w:rPr>
                <w:rFonts w:hint="eastAsia" w:asci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面材</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t>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4.五金配件：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铰链：阻尼铰链，耐久性10万次开合</w:t>
            </w:r>
            <w:r>
              <w:rPr>
                <w:rFonts w:hint="eastAsia" w:ascii="宋体" w:eastAsia="宋体" w:cs="宋体"/>
                <w:b w:val="0"/>
                <w:bCs/>
                <w:i w:val="0"/>
                <w:color w:val="000000"/>
                <w:kern w:val="0"/>
                <w:sz w:val="18"/>
                <w:szCs w:val="18"/>
                <w:highlight w:val="none"/>
                <w:u w:val="none"/>
                <w:lang w:val="en-US" w:eastAsia="zh-CN" w:bidi="ar"/>
              </w:rPr>
              <w:t>。</w:t>
            </w:r>
          </w:p>
          <w:p>
            <w:pPr>
              <w:keepNext w:val="0"/>
              <w:keepLines w:val="0"/>
              <w:widowControl/>
              <w:numPr>
                <w:ilvl w:val="0"/>
                <w:numId w:val="0"/>
              </w:numPr>
              <w:suppressLineNumbers w:val="0"/>
              <w:ind w:leftChars="0"/>
              <w:jc w:val="left"/>
              <w:textAlignment w:val="center"/>
              <w:rPr>
                <w:rFonts w:hint="eastAsia" w:ascii="宋体" w:eastAsia="宋体" w:cs="宋体"/>
                <w:b w:val="0"/>
                <w:bCs/>
                <w:i w:val="0"/>
                <w:color w:val="000000"/>
                <w:kern w:val="0"/>
                <w:sz w:val="18"/>
                <w:szCs w:val="18"/>
                <w:highlight w:val="none"/>
                <w:u w:val="none"/>
                <w:lang w:val="en-US" w:eastAsia="zh-CN" w:bidi="ar"/>
              </w:rPr>
            </w:pPr>
            <w:r>
              <w:rPr>
                <w:rFonts w:hint="eastAsia" w:ascii="宋体" w:eastAsia="宋体" w:cs="宋体"/>
                <w:b w:val="0"/>
                <w:bCs/>
                <w:i w:val="0"/>
                <w:color w:val="000000"/>
                <w:kern w:val="0"/>
                <w:sz w:val="18"/>
                <w:szCs w:val="18"/>
                <w:highlight w:val="none"/>
                <w:u w:val="none"/>
                <w:lang w:val="en-US" w:eastAsia="zh-CN" w:bidi="ar"/>
              </w:rPr>
              <w:t>5、</w:t>
            </w:r>
            <w:r>
              <w:rPr>
                <w:rFonts w:ascii="宋体" w:hAnsi="宋体" w:eastAsia="宋体" w:cs="宋体"/>
                <w:b w:val="0"/>
                <w:bCs/>
                <w:i w:val="0"/>
                <w:color w:val="000000"/>
                <w:kern w:val="0"/>
                <w:sz w:val="18"/>
                <w:szCs w:val="18"/>
                <w:highlight w:val="none"/>
                <w:u w:val="none"/>
                <w:lang w:val="en-US" w:eastAsia="zh-CN" w:bidi="ar"/>
              </w:rPr>
              <w:t>锁具：使用寿命不少于20000次</w:t>
            </w:r>
            <w:r>
              <w:rPr>
                <w:rFonts w:hint="eastAsia" w:ascii="宋体" w:eastAsia="宋体" w:cs="宋体"/>
                <w:b w:val="0"/>
                <w:bCs/>
                <w:i w:val="0"/>
                <w:color w:val="000000"/>
                <w:kern w:val="0"/>
                <w:sz w:val="18"/>
                <w:szCs w:val="18"/>
                <w:highlight w:val="none"/>
                <w:u w:val="none"/>
                <w:lang w:val="en-US" w:eastAsia="zh-CN" w:bidi="ar"/>
              </w:rPr>
              <w:t>。</w:t>
            </w:r>
          </w:p>
          <w:p>
            <w:pPr>
              <w:keepNext w:val="0"/>
              <w:keepLines w:val="0"/>
              <w:widowControl/>
              <w:numPr>
                <w:ilvl w:val="0"/>
                <w:numId w:val="0"/>
              </w:numPr>
              <w:suppressLineNumbers w:val="0"/>
              <w:ind w:leftChars="0"/>
              <w:jc w:val="left"/>
              <w:textAlignment w:val="center"/>
              <w:rPr>
                <w:rFonts w:ascii="宋体" w:hAnsi="宋体" w:eastAsia="宋体" w:cs="宋体"/>
                <w:b w:val="0"/>
                <w:bCs/>
                <w:i w:val="0"/>
                <w:color w:val="000000"/>
                <w:sz w:val="18"/>
                <w:szCs w:val="18"/>
                <w:highlight w:val="none"/>
                <w:u w:val="none"/>
              </w:rPr>
            </w:pPr>
            <w:r>
              <w:rPr>
                <w:rFonts w:hint="eastAsia" w:ascii="宋体" w:eastAsia="宋体" w:cs="宋体"/>
                <w:b w:val="0"/>
                <w:bCs/>
                <w:i w:val="0"/>
                <w:color w:val="000000"/>
                <w:kern w:val="0"/>
                <w:sz w:val="18"/>
                <w:szCs w:val="18"/>
                <w:highlight w:val="none"/>
                <w:u w:val="none"/>
                <w:lang w:val="en-US" w:eastAsia="zh-CN" w:bidi="ar"/>
              </w:rPr>
              <w:t>6、</w:t>
            </w:r>
            <w:r>
              <w:rPr>
                <w:rFonts w:ascii="宋体" w:hAnsi="宋体" w:eastAsia="宋体" w:cs="宋体"/>
                <w:b w:val="0"/>
                <w:bCs/>
                <w:i w:val="0"/>
                <w:color w:val="000000"/>
                <w:kern w:val="0"/>
                <w:sz w:val="18"/>
                <w:szCs w:val="18"/>
                <w:highlight w:val="none"/>
                <w:u w:val="none"/>
                <w:lang w:val="en-US" w:eastAsia="zh-CN" w:bidi="ar"/>
              </w:rPr>
              <w:t>滑轨：滚珠式三节轨。 耐久性10万次，垂直向下静荷载200N，水平侧向静荷载100N</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br w:type="textWrapping"/>
            </w:r>
            <w:r>
              <w:rPr>
                <w:rFonts w:hint="eastAsia" w:ascii="宋体" w:eastAsia="宋体" w:cs="宋体"/>
                <w:b w:val="0"/>
                <w:bCs/>
                <w:i w:val="0"/>
                <w:color w:val="000000"/>
                <w:kern w:val="0"/>
                <w:sz w:val="18"/>
                <w:szCs w:val="18"/>
                <w:highlight w:val="none"/>
                <w:u w:val="none"/>
                <w:lang w:val="en-US" w:eastAsia="zh-CN" w:bidi="ar"/>
              </w:rPr>
              <w:t>7、</w:t>
            </w:r>
            <w:r>
              <w:rPr>
                <w:rFonts w:ascii="宋体" w:hAnsi="宋体" w:eastAsia="宋体" w:cs="宋体"/>
                <w:b w:val="0"/>
                <w:bCs/>
                <w:i w:val="0"/>
                <w:color w:val="000000"/>
                <w:kern w:val="0"/>
                <w:sz w:val="18"/>
                <w:szCs w:val="18"/>
                <w:highlight w:val="none"/>
                <w:u w:val="none"/>
                <w:lang w:val="en-US" w:eastAsia="zh-CN" w:bidi="ar"/>
              </w:rPr>
              <w:t>钢脚45度斜切采用V型开缺口后折弯点焊打磨处理。整体性更好。表面处理为白色喷细砂效果，白色与其他配件统一，避免色差。钢脚以拉杆+托臂的形式进行连接支撑。</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木纹色+白色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w:t>
            </w:r>
          </w:p>
        </w:tc>
      </w:tr>
      <w:tr>
        <w:tblPrEx>
          <w:tblCellMar>
            <w:top w:w="0" w:type="dxa"/>
            <w:left w:w="0" w:type="dxa"/>
            <w:bottom w:w="0" w:type="dxa"/>
            <w:right w:w="0" w:type="dxa"/>
          </w:tblCellMar>
        </w:tblPrEx>
        <w:trPr>
          <w:trHeight w:val="432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职员椅</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137795</wp:posOffset>
                  </wp:positionH>
                  <wp:positionV relativeFrom="paragraph">
                    <wp:posOffset>941705</wp:posOffset>
                  </wp:positionV>
                  <wp:extent cx="746760" cy="896620"/>
                  <wp:effectExtent l="0" t="0" r="15240" b="17780"/>
                  <wp:wrapNone/>
                  <wp:docPr id="116" name="图片_234"/>
                  <wp:cNvGraphicFramePr/>
                  <a:graphic xmlns:a="http://schemas.openxmlformats.org/drawingml/2006/main">
                    <a:graphicData uri="http://schemas.openxmlformats.org/drawingml/2006/picture">
                      <pic:pic xmlns:pic="http://schemas.openxmlformats.org/drawingml/2006/picture">
                        <pic:nvPicPr>
                          <pic:cNvPr id="116" name="图片_234"/>
                          <pic:cNvPicPr/>
                        </pic:nvPicPr>
                        <pic:blipFill>
                          <a:blip r:embed="rId27"/>
                          <a:stretch>
                            <a:fillRect/>
                          </a:stretch>
                        </pic:blipFill>
                        <pic:spPr>
                          <a:xfrm>
                            <a:off x="0" y="0"/>
                            <a:ext cx="746760" cy="89662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615*585*955</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0"/>
              </w:numPr>
              <w:suppressLineNumbers w:val="0"/>
              <w:jc w:val="left"/>
              <w:textAlignment w:val="center"/>
              <w:rPr>
                <w:rFonts w:hint="eastAsia" w:asci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面料：优质</w:t>
            </w:r>
            <w:r>
              <w:rPr>
                <w:rFonts w:hint="eastAsia" w:ascii="宋体" w:eastAsia="宋体" w:cs="宋体"/>
                <w:b w:val="0"/>
                <w:bCs/>
                <w:i w:val="0"/>
                <w:color w:val="000000"/>
                <w:kern w:val="0"/>
                <w:sz w:val="18"/>
                <w:szCs w:val="18"/>
                <w:highlight w:val="none"/>
                <w:u w:val="none"/>
                <w:lang w:val="en-US" w:eastAsia="zh-CN" w:bidi="ar"/>
              </w:rPr>
              <w:t>的</w:t>
            </w:r>
            <w:r>
              <w:rPr>
                <w:rFonts w:ascii="宋体" w:hAnsi="宋体" w:eastAsia="宋体" w:cs="宋体"/>
                <w:b w:val="0"/>
                <w:bCs/>
                <w:i w:val="0"/>
                <w:color w:val="000000"/>
                <w:kern w:val="0"/>
                <w:sz w:val="18"/>
                <w:szCs w:val="18"/>
                <w:highlight w:val="none"/>
                <w:u w:val="none"/>
                <w:lang w:val="en-US" w:eastAsia="zh-CN" w:bidi="ar"/>
              </w:rPr>
              <w:t>网布面料，甲醛释放量≤100mg/kg经过防污、抗菌、抗静电、耐色牢固、抗强度等表面加工处理，无异味，可分解致癌芳香胺染料：≤5mg/kg。优质高端网布，不易起球 ，抗拉度强 、耐磨 ，不易褪色（摩擦色牢度/光照色牢度），防火</w:t>
            </w:r>
            <w:r>
              <w:rPr>
                <w:rFonts w:hint="eastAsia" w:ascii="宋体" w:eastAsia="宋体" w:cs="宋体"/>
                <w:b w:val="0"/>
                <w:bCs/>
                <w:i w:val="0"/>
                <w:color w:val="000000"/>
                <w:kern w:val="0"/>
                <w:sz w:val="18"/>
                <w:szCs w:val="18"/>
                <w:highlight w:val="none"/>
                <w:u w:val="none"/>
                <w:lang w:val="en-US" w:eastAsia="zh-CN" w:bidi="ar"/>
              </w:rPr>
              <w:t>。</w:t>
            </w:r>
          </w:p>
          <w:p>
            <w:pPr>
              <w:keepNext w:val="0"/>
              <w:keepLines w:val="0"/>
              <w:widowControl/>
              <w:numPr>
                <w:ilvl w:val="0"/>
                <w:numId w:val="0"/>
              </w:numPr>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 xml:space="preserve">2、海绵：优质高密度回弹海绵，软硬适中，回弹性≥40%，座面密度≥25kg/m³，不变形，耐用度高。                           </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3、曲木板：甲醛释放量≤0.08mg/m³,一次性热压成型                                                           4、扶手：固定ABS扶手,采用一体成型工艺</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t xml:space="preserve">                                              </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5、底盘：优质精铸合金底盘机构，自负重同步倾仰功能</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t xml:space="preserve">                                                     6、气杆：优质气压棒</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t>汽动升降行程60-80mm,30万次不漏气,通过载荷性与疲劳性测试</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t xml:space="preserve">                                                           </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7、椅脚：黑色尼龙五星脚,内置加强工艺处理</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t xml:space="preserve">                  </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8、椅轮：合成尼龙纤维树脂材料制成，耐磨性及其它理化性能达到</w:t>
            </w:r>
            <w:r>
              <w:rPr>
                <w:rFonts w:hint="eastAsia" w:ascii="宋体" w:eastAsia="宋体" w:cs="宋体"/>
                <w:b w:val="0"/>
                <w:bCs/>
                <w:i w:val="0"/>
                <w:color w:val="000000"/>
                <w:kern w:val="0"/>
                <w:sz w:val="18"/>
                <w:szCs w:val="18"/>
                <w:highlight w:val="none"/>
                <w:u w:val="none"/>
                <w:lang w:val="en-US" w:eastAsia="zh-CN" w:bidi="ar"/>
              </w:rPr>
              <w:t>有关</w:t>
            </w:r>
            <w:r>
              <w:rPr>
                <w:rFonts w:ascii="宋体" w:hAnsi="宋体" w:eastAsia="宋体" w:cs="宋体"/>
                <w:b w:val="0"/>
                <w:bCs/>
                <w:i w:val="0"/>
                <w:color w:val="000000"/>
                <w:kern w:val="0"/>
                <w:sz w:val="18"/>
                <w:szCs w:val="18"/>
                <w:highlight w:val="none"/>
                <w:u w:val="none"/>
                <w:lang w:val="en-US" w:eastAsia="zh-CN" w:bidi="ar"/>
              </w:rPr>
              <w:t>标准。</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9、座椅要求：底座静载荷7560N,1分钟，2次无损。椅背载荷334N，120000次无损。座面耐久：100000次无损。座面回转耐久性：120000次无损。跌落高度200mm，10次无损。甲醛释放量:≤0.06mg/㎡h。TVOC:≤0.2mg/㎡h</w:t>
            </w:r>
            <w:r>
              <w:rPr>
                <w:rFonts w:ascii="宋体" w:hAnsi="宋体" w:eastAsia="宋体" w:cs="宋体"/>
                <w:b w:val="0"/>
                <w:bCs/>
                <w:i w:val="0"/>
                <w:color w:val="000000"/>
                <w:kern w:val="0"/>
                <w:sz w:val="18"/>
                <w:szCs w:val="18"/>
                <w:highlight w:val="none"/>
                <w:u w:val="none"/>
                <w:lang w:val="en-US" w:eastAsia="zh-CN" w:bidi="ar"/>
              </w:rPr>
              <w:br w:type="textWrapping"/>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黑色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39</w:t>
            </w:r>
          </w:p>
        </w:tc>
      </w:tr>
      <w:tr>
        <w:tblPrEx>
          <w:shd w:val="clear" w:color="auto" w:fill="auto"/>
          <w:tblCellMar>
            <w:top w:w="0" w:type="dxa"/>
            <w:left w:w="0" w:type="dxa"/>
            <w:bottom w:w="0" w:type="dxa"/>
            <w:right w:w="0" w:type="dxa"/>
          </w:tblCellMar>
        </w:tblPrEx>
        <w:trPr>
          <w:trHeight w:val="96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highlight w:val="none"/>
                <w:u w:val="none"/>
                <w:lang w:val="en-US"/>
              </w:rPr>
            </w:pPr>
            <w:r>
              <w:rPr>
                <w:rFonts w:ascii="宋体" w:hAnsi="宋体" w:eastAsia="宋体" w:cs="宋体"/>
                <w:b/>
                <w:i w:val="0"/>
                <w:color w:val="000000"/>
                <w:kern w:val="0"/>
                <w:sz w:val="18"/>
                <w:szCs w:val="18"/>
                <w:highlight w:val="none"/>
                <w:u w:val="none"/>
                <w:lang w:val="en-US" w:eastAsia="zh-CN" w:bidi="ar"/>
              </w:rPr>
              <w:t>会议室</w:t>
            </w:r>
            <w:r>
              <w:rPr>
                <w:rFonts w:hint="eastAsia" w:ascii="宋体" w:eastAsia="宋体" w:cs="宋体"/>
                <w:b/>
                <w:i w:val="0"/>
                <w:color w:val="000000"/>
                <w:kern w:val="0"/>
                <w:sz w:val="18"/>
                <w:szCs w:val="18"/>
                <w:highlight w:val="none"/>
                <w:u w:val="none"/>
                <w:lang w:val="en-US" w:eastAsia="zh-CN" w:bidi="ar"/>
              </w:rPr>
              <w:t>桌子</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545465</wp:posOffset>
                  </wp:positionV>
                  <wp:extent cx="938530" cy="906145"/>
                  <wp:effectExtent l="0" t="0" r="13970" b="8255"/>
                  <wp:wrapNone/>
                  <wp:docPr id="112" name="图片_61"/>
                  <wp:cNvGraphicFramePr/>
                  <a:graphic xmlns:a="http://schemas.openxmlformats.org/drawingml/2006/main">
                    <a:graphicData uri="http://schemas.openxmlformats.org/drawingml/2006/picture">
                      <pic:pic xmlns:pic="http://schemas.openxmlformats.org/drawingml/2006/picture">
                        <pic:nvPicPr>
                          <pic:cNvPr id="112" name="图片_61"/>
                          <pic:cNvPicPr/>
                        </pic:nvPicPr>
                        <pic:blipFill>
                          <a:blip r:embed="rId28"/>
                          <a:stretch>
                            <a:fillRect/>
                          </a:stretch>
                        </pic:blipFill>
                        <pic:spPr>
                          <a:xfrm>
                            <a:off x="0" y="0"/>
                            <a:ext cx="938530" cy="90614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7200*2200*750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1、面材：天然胡桃木木皮贴面，厚0.60mm；台面皮板为优质超纤皮，摩擦色牢度干擦≥4级。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 xml:space="preserve">   E0级中纤板，甲醛释放量2.2mg/100g，密度0.70g/cm³，含水率9.3%，内结合强度0.48Mpa，静曲强度29.1Mpa，弹性模量2740Mpa，吸水厚度膨胀率5.7%，表面结合强度1.19Mpa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 xml:space="preserve">   E0级刨花板，甲醛释放量2.6mg/100g，优于E1级≤9.0mg/100g；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3、油漆：采用“展辰”水性环保油漆，挥发性有机化合物含量≤300g/L，苯系物含量未检出，游离甲醛含量≤100mg/kg,可溶性重金属含量未检出。开放式涂装+黑砂面漆。</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胡桃木色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w:t>
            </w:r>
          </w:p>
        </w:tc>
      </w:tr>
      <w:tr>
        <w:tblPrEx>
          <w:shd w:val="clear" w:color="auto" w:fill="auto"/>
          <w:tblCellMar>
            <w:top w:w="0" w:type="dxa"/>
            <w:left w:w="0" w:type="dxa"/>
            <w:bottom w:w="0" w:type="dxa"/>
            <w:right w:w="0" w:type="dxa"/>
          </w:tblCellMar>
        </w:tblPrEx>
        <w:trPr>
          <w:trHeight w:val="34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会议条桌</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307340</wp:posOffset>
                  </wp:positionH>
                  <wp:positionV relativeFrom="paragraph">
                    <wp:posOffset>784225</wp:posOffset>
                  </wp:positionV>
                  <wp:extent cx="862330" cy="666750"/>
                  <wp:effectExtent l="0" t="0" r="13970" b="0"/>
                  <wp:wrapNone/>
                  <wp:docPr id="119" name="图片_56"/>
                  <wp:cNvGraphicFramePr/>
                  <a:graphic xmlns:a="http://schemas.openxmlformats.org/drawingml/2006/main">
                    <a:graphicData uri="http://schemas.openxmlformats.org/drawingml/2006/picture">
                      <pic:pic xmlns:pic="http://schemas.openxmlformats.org/drawingml/2006/picture">
                        <pic:nvPicPr>
                          <pic:cNvPr id="119" name="图片_56"/>
                          <pic:cNvPicPr/>
                        </pic:nvPicPr>
                        <pic:blipFill>
                          <a:blip r:embed="rId29"/>
                          <a:stretch>
                            <a:fillRect/>
                          </a:stretch>
                        </pic:blipFill>
                        <pic:spPr>
                          <a:xfrm>
                            <a:off x="0" y="0"/>
                            <a:ext cx="862330" cy="66675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1400*450*750</w:t>
            </w:r>
          </w:p>
        </w:tc>
        <w:tc>
          <w:tcPr>
            <w:tcW w:w="3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1、面材：天然胡桃木木皮贴面，厚0.60mm；台面皮板为优质超纤皮，摩擦色牢度干擦≥4级。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 xml:space="preserve">  E0级中纤板，甲醛释放量2.2mg/100g，密度0.70g/cm³，含水率9.3%，内结合强度0.48Mpa，静曲强度29.1Mpa，弹性模量2740Mpa，吸水厚度膨胀率5.7%，表面结合强度1.19Mpa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 xml:space="preserve">   E0级刨花板，甲醛释放量2.6mg/100g，优于E1级≤9.0mg/100g；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3、油漆：采用水性环保油漆，挥发性有机化合物含量≤300g/L，苯系物含量未检出，游离甲醛含量≤100mg/kg,可溶性重金属含量未检出。开放式涂装+黑砂面漆。</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胡桃木色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6</w:t>
            </w:r>
          </w:p>
        </w:tc>
      </w:tr>
      <w:tr>
        <w:tblPrEx>
          <w:shd w:val="clear" w:color="auto" w:fill="auto"/>
          <w:tblCellMar>
            <w:top w:w="0" w:type="dxa"/>
            <w:left w:w="0" w:type="dxa"/>
            <w:bottom w:w="0" w:type="dxa"/>
            <w:right w:w="0" w:type="dxa"/>
          </w:tblCellMar>
        </w:tblPrEx>
        <w:trPr>
          <w:trHeight w:val="192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会议椅</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194310</wp:posOffset>
                  </wp:positionH>
                  <wp:positionV relativeFrom="paragraph">
                    <wp:posOffset>220980</wp:posOffset>
                  </wp:positionV>
                  <wp:extent cx="671830" cy="883920"/>
                  <wp:effectExtent l="0" t="0" r="13970" b="11430"/>
                  <wp:wrapNone/>
                  <wp:docPr id="107" name="图片_6"/>
                  <wp:cNvGraphicFramePr/>
                  <a:graphic xmlns:a="http://schemas.openxmlformats.org/drawingml/2006/main">
                    <a:graphicData uri="http://schemas.openxmlformats.org/drawingml/2006/picture">
                      <pic:pic xmlns:pic="http://schemas.openxmlformats.org/drawingml/2006/picture">
                        <pic:nvPicPr>
                          <pic:cNvPr id="107" name="图片_6"/>
                          <pic:cNvPicPr/>
                        </pic:nvPicPr>
                        <pic:blipFill>
                          <a:blip r:embed="rId30"/>
                          <a:stretch>
                            <a:fillRect/>
                          </a:stretch>
                        </pic:blipFill>
                        <pic:spPr>
                          <a:xfrm>
                            <a:off x="0" y="0"/>
                            <a:ext cx="671830" cy="88392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640*630*980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4"/>
                <w:szCs w:val="14"/>
                <w:highlight w:val="none"/>
                <w:u w:val="none"/>
              </w:rPr>
            </w:pPr>
            <w:r>
              <w:rPr>
                <w:rFonts w:ascii="宋体" w:hAnsi="宋体" w:eastAsia="宋体" w:cs="宋体"/>
                <w:b/>
                <w:i w:val="0"/>
                <w:color w:val="000000"/>
                <w:kern w:val="0"/>
                <w:sz w:val="14"/>
                <w:szCs w:val="14"/>
                <w:highlight w:val="none"/>
                <w:u w:val="none"/>
                <w:lang w:val="en-US" w:eastAsia="zh-CN" w:bidi="ar"/>
              </w:rPr>
              <w:t>1</w:t>
            </w:r>
            <w:r>
              <w:rPr>
                <w:rFonts w:ascii="宋体" w:hAnsi="宋体" w:eastAsia="宋体" w:cs="宋体"/>
                <w:b w:val="0"/>
                <w:bCs/>
                <w:i w:val="0"/>
                <w:color w:val="000000"/>
                <w:kern w:val="0"/>
                <w:sz w:val="18"/>
                <w:szCs w:val="18"/>
                <w:highlight w:val="none"/>
                <w:u w:val="none"/>
                <w:lang w:val="en-US" w:eastAsia="zh-CN" w:bidi="ar"/>
              </w:rPr>
              <w:t>、面材：西皮，摩擦色牢度干擦≥4级、湿擦≥3级、碱性汗液≥3级。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2、海棉：优质高密度回弹海绵，座面密度≥25kg/m³，泡沫回弹性≥35%</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3、曲木板：E1级优质曲木板，12mm外板/6mm内板</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4、弓形脚：五金弓形脚，壁厚2.0mm钢管折弯而成，表面电镀</w:t>
            </w:r>
          </w:p>
        </w:tc>
        <w:tc>
          <w:tcPr>
            <w:tcW w:w="89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黑色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65</w:t>
            </w:r>
          </w:p>
        </w:tc>
      </w:tr>
      <w:tr>
        <w:tblPrEx>
          <w:tblCellMar>
            <w:top w:w="0" w:type="dxa"/>
            <w:left w:w="0" w:type="dxa"/>
            <w:bottom w:w="0" w:type="dxa"/>
            <w:right w:w="0" w:type="dxa"/>
          </w:tblCellMar>
        </w:tblPrEx>
        <w:trPr>
          <w:trHeight w:val="324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会议室</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280035</wp:posOffset>
                  </wp:positionH>
                  <wp:positionV relativeFrom="paragraph">
                    <wp:posOffset>610235</wp:posOffset>
                  </wp:positionV>
                  <wp:extent cx="876300" cy="1026160"/>
                  <wp:effectExtent l="0" t="0" r="0" b="2540"/>
                  <wp:wrapNone/>
                  <wp:docPr id="114" name="图片_54"/>
                  <wp:cNvGraphicFramePr/>
                  <a:graphic xmlns:a="http://schemas.openxmlformats.org/drawingml/2006/main">
                    <a:graphicData uri="http://schemas.openxmlformats.org/drawingml/2006/picture">
                      <pic:pic xmlns:pic="http://schemas.openxmlformats.org/drawingml/2006/picture">
                        <pic:nvPicPr>
                          <pic:cNvPr id="114" name="图片_54"/>
                          <pic:cNvPicPr/>
                        </pic:nvPicPr>
                        <pic:blipFill>
                          <a:blip r:embed="rId31"/>
                          <a:stretch>
                            <a:fillRect/>
                          </a:stretch>
                        </pic:blipFill>
                        <pic:spPr>
                          <a:xfrm>
                            <a:off x="0" y="0"/>
                            <a:ext cx="876300" cy="102616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2600*2600*750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1、面材：天然胡桃木木皮贴面，厚0.60mm；台面皮板为优质超纤皮，摩擦色牢度干擦≥4级。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 xml:space="preserve">   E0级中纤板，甲醛释放量2.2mg/100g，密度0.70g/cm³，含水率9.3%，内结合强度0.48Mpa，静曲强度29.1Mpa，弹性模量2740Mpa，吸水厚度膨胀率5.7%，表面结合强度1.19Mpa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 xml:space="preserve">   E0级刨花板，甲醛释放量2.6mg/100g，优于E1级≤9.0mg/100g；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3、油漆：采用水性环保油漆，挥发性有机化合物含量≤300g/L，苯系物含量未检出，游离甲醛含量≤100mg/kg,可溶性重金属含量未检出。开放式涂装+黑砂面漆。</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胡桃木色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w:t>
            </w:r>
          </w:p>
        </w:tc>
      </w:tr>
      <w:tr>
        <w:tblPrEx>
          <w:shd w:val="clear" w:color="auto" w:fill="auto"/>
          <w:tblCellMar>
            <w:top w:w="0" w:type="dxa"/>
            <w:left w:w="0" w:type="dxa"/>
            <w:bottom w:w="0" w:type="dxa"/>
            <w:right w:w="0" w:type="dxa"/>
          </w:tblCellMar>
        </w:tblPrEx>
        <w:trPr>
          <w:trHeight w:val="34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柜子</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545465</wp:posOffset>
                  </wp:positionH>
                  <wp:positionV relativeFrom="paragraph">
                    <wp:posOffset>788670</wp:posOffset>
                  </wp:positionV>
                  <wp:extent cx="579755" cy="764540"/>
                  <wp:effectExtent l="0" t="0" r="10795" b="16510"/>
                  <wp:wrapNone/>
                  <wp:docPr id="117" name="图片_50"/>
                  <wp:cNvGraphicFramePr/>
                  <a:graphic xmlns:a="http://schemas.openxmlformats.org/drawingml/2006/main">
                    <a:graphicData uri="http://schemas.openxmlformats.org/drawingml/2006/picture">
                      <pic:pic xmlns:pic="http://schemas.openxmlformats.org/drawingml/2006/picture">
                        <pic:nvPicPr>
                          <pic:cNvPr id="117" name="图片_50"/>
                          <pic:cNvPicPr/>
                        </pic:nvPicPr>
                        <pic:blipFill>
                          <a:blip r:embed="rId32"/>
                          <a:stretch>
                            <a:fillRect/>
                          </a:stretch>
                        </pic:blipFill>
                        <pic:spPr>
                          <a:xfrm>
                            <a:off x="0" y="0"/>
                            <a:ext cx="579755" cy="76454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800*400*1150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4.五金配件：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铰链：阻尼铰链，耐久性10万次开合</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锁具：侧面锁，互开率≤1.379%，使用寿命不少于20000次。</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月光白</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21</w:t>
            </w:r>
          </w:p>
        </w:tc>
      </w:tr>
      <w:tr>
        <w:tblPrEx>
          <w:shd w:val="clear" w:color="auto" w:fill="auto"/>
          <w:tblCellMar>
            <w:top w:w="0" w:type="dxa"/>
            <w:left w:w="0" w:type="dxa"/>
            <w:bottom w:w="0" w:type="dxa"/>
            <w:right w:w="0" w:type="dxa"/>
          </w:tblCellMar>
        </w:tblPrEx>
        <w:trPr>
          <w:trHeight w:val="28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小会议桌</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109220</wp:posOffset>
                  </wp:positionH>
                  <wp:positionV relativeFrom="paragraph">
                    <wp:posOffset>480695</wp:posOffset>
                  </wp:positionV>
                  <wp:extent cx="719455" cy="1024255"/>
                  <wp:effectExtent l="0" t="0" r="4445" b="4445"/>
                  <wp:wrapNone/>
                  <wp:docPr id="121" name="图片_16"/>
                  <wp:cNvGraphicFramePr/>
                  <a:graphic xmlns:a="http://schemas.openxmlformats.org/drawingml/2006/main">
                    <a:graphicData uri="http://schemas.openxmlformats.org/drawingml/2006/picture">
                      <pic:pic xmlns:pic="http://schemas.openxmlformats.org/drawingml/2006/picture">
                        <pic:nvPicPr>
                          <pic:cNvPr id="121" name="图片_16"/>
                          <pic:cNvPicPr/>
                        </pic:nvPicPr>
                        <pic:blipFill>
                          <a:blip r:embed="rId33"/>
                          <a:stretch>
                            <a:fillRect/>
                          </a:stretch>
                        </pic:blipFill>
                        <pic:spPr>
                          <a:xfrm>
                            <a:off x="0" y="0"/>
                            <a:ext cx="719455" cy="102425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1000*1000*750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4、钢脚：表面经磷化、除锈，防腐处理静电粉末喷涂工艺</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月光白</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w:t>
            </w:r>
          </w:p>
        </w:tc>
      </w:tr>
      <w:tr>
        <w:tblPrEx>
          <w:shd w:val="clear" w:color="auto" w:fill="auto"/>
          <w:tblCellMar>
            <w:top w:w="0" w:type="dxa"/>
            <w:left w:w="0" w:type="dxa"/>
            <w:bottom w:w="0" w:type="dxa"/>
            <w:right w:w="0" w:type="dxa"/>
          </w:tblCellMar>
        </w:tblPrEx>
        <w:trPr>
          <w:trHeight w:val="147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洽谈椅</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327660</wp:posOffset>
                  </wp:positionH>
                  <wp:positionV relativeFrom="paragraph">
                    <wp:posOffset>62230</wp:posOffset>
                  </wp:positionV>
                  <wp:extent cx="633095" cy="776605"/>
                  <wp:effectExtent l="0" t="0" r="14605" b="4445"/>
                  <wp:wrapNone/>
                  <wp:docPr id="106" name="图片_132"/>
                  <wp:cNvGraphicFramePr/>
                  <a:graphic xmlns:a="http://schemas.openxmlformats.org/drawingml/2006/main">
                    <a:graphicData uri="http://schemas.openxmlformats.org/drawingml/2006/picture">
                      <pic:pic xmlns:pic="http://schemas.openxmlformats.org/drawingml/2006/picture">
                        <pic:nvPicPr>
                          <pic:cNvPr id="106" name="图片_132"/>
                          <pic:cNvPicPr/>
                        </pic:nvPicPr>
                        <pic:blipFill>
                          <a:blip r:embed="rId34"/>
                          <a:stretch>
                            <a:fillRect/>
                          </a:stretch>
                        </pic:blipFill>
                        <pic:spPr>
                          <a:xfrm>
                            <a:off x="0" y="0"/>
                            <a:ext cx="633095" cy="77660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480*500*750</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1、塑框：PP塑框，座背分离结构及连接工艺，背包座设计；坐垫弧度设计，贴合臀部；靠背105度角，对腰背部起到有效的支撑作用；坐垫、靠背97度折边，给身体一种安全舒适的包裹感。</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*2、椅架：喷涂弓架</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4</w:t>
            </w:r>
          </w:p>
        </w:tc>
      </w:tr>
      <w:tr>
        <w:tblPrEx>
          <w:shd w:val="clear" w:color="auto" w:fill="auto"/>
          <w:tblCellMar>
            <w:top w:w="0" w:type="dxa"/>
            <w:left w:w="0" w:type="dxa"/>
            <w:bottom w:w="0" w:type="dxa"/>
            <w:right w:w="0" w:type="dxa"/>
          </w:tblCellMar>
        </w:tblPrEx>
        <w:trPr>
          <w:trHeight w:val="27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洽谈桌</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173990</wp:posOffset>
                  </wp:positionH>
                  <wp:positionV relativeFrom="paragraph">
                    <wp:posOffset>642620</wp:posOffset>
                  </wp:positionV>
                  <wp:extent cx="765810" cy="856615"/>
                  <wp:effectExtent l="0" t="0" r="15240" b="635"/>
                  <wp:wrapNone/>
                  <wp:docPr id="113" name="图片_10"/>
                  <wp:cNvGraphicFramePr/>
                  <a:graphic xmlns:a="http://schemas.openxmlformats.org/drawingml/2006/main">
                    <a:graphicData uri="http://schemas.openxmlformats.org/drawingml/2006/picture">
                      <pic:pic xmlns:pic="http://schemas.openxmlformats.org/drawingml/2006/picture">
                        <pic:nvPicPr>
                          <pic:cNvPr id="113" name="图片_10"/>
                          <pic:cNvPicPr/>
                        </pic:nvPicPr>
                        <pic:blipFill>
                          <a:blip r:embed="rId35"/>
                          <a:stretch>
                            <a:fillRect/>
                          </a:stretch>
                        </pic:blipFill>
                        <pic:spPr>
                          <a:xfrm>
                            <a:off x="0" y="0"/>
                            <a:ext cx="765810" cy="85661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800*800*750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4、钢脚：表面经磷化、除锈，防腐处理静电粉末喷涂工艺</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月光白</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w:t>
            </w:r>
          </w:p>
        </w:tc>
      </w:tr>
      <w:tr>
        <w:tblPrEx>
          <w:shd w:val="clear" w:color="auto" w:fill="auto"/>
          <w:tblCellMar>
            <w:top w:w="0" w:type="dxa"/>
            <w:left w:w="0" w:type="dxa"/>
            <w:bottom w:w="0" w:type="dxa"/>
            <w:right w:w="0" w:type="dxa"/>
          </w:tblCellMar>
        </w:tblPrEx>
        <w:trPr>
          <w:trHeight w:val="147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会议椅</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313690</wp:posOffset>
                  </wp:positionH>
                  <wp:positionV relativeFrom="paragraph">
                    <wp:posOffset>85725</wp:posOffset>
                  </wp:positionV>
                  <wp:extent cx="601345" cy="762000"/>
                  <wp:effectExtent l="0" t="0" r="8255" b="0"/>
                  <wp:wrapNone/>
                  <wp:docPr id="118" name="图片_9"/>
                  <wp:cNvGraphicFramePr/>
                  <a:graphic xmlns:a="http://schemas.openxmlformats.org/drawingml/2006/main">
                    <a:graphicData uri="http://schemas.openxmlformats.org/drawingml/2006/picture">
                      <pic:pic xmlns:pic="http://schemas.openxmlformats.org/drawingml/2006/picture">
                        <pic:nvPicPr>
                          <pic:cNvPr id="118" name="图片_9"/>
                          <pic:cNvPicPr/>
                        </pic:nvPicPr>
                        <pic:blipFill>
                          <a:blip r:embed="rId36"/>
                          <a:stretch>
                            <a:fillRect/>
                          </a:stretch>
                        </pic:blipFill>
                        <pic:spPr>
                          <a:xfrm>
                            <a:off x="0" y="0"/>
                            <a:ext cx="601345" cy="76200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460*495*770</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1、塑框：PP塑框，座背分离结构及连接工艺，背包座设计；坐垫弧度设计，贴合臀部；靠背105度角，对腰背部起到有效的支撑作用；坐垫、靠背97度折边，给身体一种安全舒适的包裹感。</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*2、椅架：黑色四岔钢脚</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3</w:t>
            </w:r>
          </w:p>
        </w:tc>
      </w:tr>
      <w:tr>
        <w:tblPrEx>
          <w:tblCellMar>
            <w:top w:w="0" w:type="dxa"/>
            <w:left w:w="0" w:type="dxa"/>
            <w:bottom w:w="0" w:type="dxa"/>
            <w:right w:w="0" w:type="dxa"/>
          </w:tblCellMar>
        </w:tblPrEx>
        <w:trPr>
          <w:trHeight w:val="25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水吧台</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199390</wp:posOffset>
                  </wp:positionH>
                  <wp:positionV relativeFrom="paragraph">
                    <wp:posOffset>476885</wp:posOffset>
                  </wp:positionV>
                  <wp:extent cx="714375" cy="866775"/>
                  <wp:effectExtent l="0" t="0" r="9525" b="9525"/>
                  <wp:wrapNone/>
                  <wp:docPr id="120" name="图片_70"/>
                  <wp:cNvGraphicFramePr/>
                  <a:graphic xmlns:a="http://schemas.openxmlformats.org/drawingml/2006/main">
                    <a:graphicData uri="http://schemas.openxmlformats.org/drawingml/2006/picture">
                      <pic:pic xmlns:pic="http://schemas.openxmlformats.org/drawingml/2006/picture">
                        <pic:nvPicPr>
                          <pic:cNvPr id="120" name="图片_70"/>
                          <pic:cNvPicPr/>
                        </pic:nvPicPr>
                        <pic:blipFill>
                          <a:blip r:embed="rId37"/>
                          <a:stretch>
                            <a:fillRect/>
                          </a:stretch>
                        </pic:blipFill>
                        <pic:spPr>
                          <a:xfrm>
                            <a:off x="0" y="0"/>
                            <a:ext cx="714375" cy="86677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1200*400*1202</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月光白</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4</w:t>
            </w:r>
          </w:p>
        </w:tc>
      </w:tr>
      <w:tr>
        <w:tblPrEx>
          <w:tblCellMar>
            <w:top w:w="0" w:type="dxa"/>
            <w:left w:w="0" w:type="dxa"/>
            <w:bottom w:w="0" w:type="dxa"/>
            <w:right w:w="0" w:type="dxa"/>
          </w:tblCellMar>
        </w:tblPrEx>
        <w:trPr>
          <w:trHeight w:val="12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休闲椅</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607060</wp:posOffset>
                  </wp:positionH>
                  <wp:positionV relativeFrom="paragraph">
                    <wp:posOffset>10160</wp:posOffset>
                  </wp:positionV>
                  <wp:extent cx="528320" cy="731520"/>
                  <wp:effectExtent l="0" t="0" r="5080" b="11430"/>
                  <wp:wrapNone/>
                  <wp:docPr id="110" name="图片_71"/>
                  <wp:cNvGraphicFramePr/>
                  <a:graphic xmlns:a="http://schemas.openxmlformats.org/drawingml/2006/main">
                    <a:graphicData uri="http://schemas.openxmlformats.org/drawingml/2006/picture">
                      <pic:pic xmlns:pic="http://schemas.openxmlformats.org/drawingml/2006/picture">
                        <pic:nvPicPr>
                          <pic:cNvPr id="110" name="图片_71"/>
                          <pic:cNvPicPr/>
                        </pic:nvPicPr>
                        <pic:blipFill>
                          <a:blip r:embed="rId38"/>
                          <a:stretch>
                            <a:fillRect/>
                          </a:stretch>
                        </pic:blipFill>
                        <pic:spPr>
                          <a:xfrm>
                            <a:off x="0" y="0"/>
                            <a:ext cx="528320" cy="73152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475*475*790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1、塑框：PP+GF塑框，白色,</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2、12mm直径实心钢电镀椅架</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8</w:t>
            </w:r>
          </w:p>
        </w:tc>
      </w:tr>
      <w:tr>
        <w:tblPrEx>
          <w:tblCellMar>
            <w:top w:w="0" w:type="dxa"/>
            <w:left w:w="0" w:type="dxa"/>
            <w:bottom w:w="0" w:type="dxa"/>
            <w:right w:w="0" w:type="dxa"/>
          </w:tblCellMar>
        </w:tblPrEx>
        <w:trPr>
          <w:trHeight w:val="184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休闲沙发</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502285</wp:posOffset>
                  </wp:positionH>
                  <wp:positionV relativeFrom="paragraph">
                    <wp:posOffset>136525</wp:posOffset>
                  </wp:positionV>
                  <wp:extent cx="749935" cy="786130"/>
                  <wp:effectExtent l="0" t="0" r="12065" b="13970"/>
                  <wp:wrapNone/>
                  <wp:docPr id="105" name="图片_78"/>
                  <wp:cNvGraphicFramePr/>
                  <a:graphic xmlns:a="http://schemas.openxmlformats.org/drawingml/2006/main">
                    <a:graphicData uri="http://schemas.openxmlformats.org/drawingml/2006/picture">
                      <pic:pic xmlns:pic="http://schemas.openxmlformats.org/drawingml/2006/picture">
                        <pic:nvPicPr>
                          <pic:cNvPr id="105" name="图片_78"/>
                          <pic:cNvPicPr/>
                        </pic:nvPicPr>
                        <pic:blipFill>
                          <a:blip r:embed="rId39"/>
                          <a:stretch>
                            <a:fillRect/>
                          </a:stretch>
                        </pic:blipFill>
                        <pic:spPr>
                          <a:xfrm>
                            <a:off x="0" y="0"/>
                            <a:ext cx="749935" cy="78613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780*810*860*470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*1、面材：优质麻绒</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2、海绵：优质高回弹密度定型海绵</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3、座板：材料为优质夹板</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4、金属内骨架：采用高强度金属钢架结构</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*5、脚：高强度金属钢钢脚</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蓝色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6</w:t>
            </w:r>
          </w:p>
        </w:tc>
      </w:tr>
      <w:tr>
        <w:tblPrEx>
          <w:shd w:val="clear" w:color="auto" w:fill="auto"/>
          <w:tblCellMar>
            <w:top w:w="0" w:type="dxa"/>
            <w:left w:w="0" w:type="dxa"/>
            <w:bottom w:w="0" w:type="dxa"/>
            <w:right w:w="0" w:type="dxa"/>
          </w:tblCellMar>
        </w:tblPrEx>
        <w:trPr>
          <w:trHeight w:val="27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茶几</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337820</wp:posOffset>
                  </wp:positionH>
                  <wp:positionV relativeFrom="paragraph">
                    <wp:posOffset>612775</wp:posOffset>
                  </wp:positionV>
                  <wp:extent cx="589280" cy="734060"/>
                  <wp:effectExtent l="0" t="0" r="1270" b="8890"/>
                  <wp:wrapNone/>
                  <wp:docPr id="93" name="图片_11_SpCnt_1"/>
                  <wp:cNvGraphicFramePr/>
                  <a:graphic xmlns:a="http://schemas.openxmlformats.org/drawingml/2006/main">
                    <a:graphicData uri="http://schemas.openxmlformats.org/drawingml/2006/picture">
                      <pic:pic xmlns:pic="http://schemas.openxmlformats.org/drawingml/2006/picture">
                        <pic:nvPicPr>
                          <pic:cNvPr id="93" name="图片_11_SpCnt_1"/>
                          <pic:cNvPicPr/>
                        </pic:nvPicPr>
                        <pic:blipFill>
                          <a:blip r:embed="rId40"/>
                          <a:stretch>
                            <a:fillRect/>
                          </a:stretch>
                        </pic:blipFill>
                        <pic:spPr>
                          <a:xfrm>
                            <a:off x="0" y="0"/>
                            <a:ext cx="589280" cy="73406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D400*420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4、钢脚：表面经磷化、除锈，防腐处理静电粉末喷涂工艺</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3</w:t>
            </w:r>
          </w:p>
        </w:tc>
      </w:tr>
      <w:tr>
        <w:tblPrEx>
          <w:tblCellMar>
            <w:top w:w="0" w:type="dxa"/>
            <w:left w:w="0" w:type="dxa"/>
            <w:bottom w:w="0" w:type="dxa"/>
            <w:right w:w="0" w:type="dxa"/>
          </w:tblCellMar>
        </w:tblPrEx>
        <w:trPr>
          <w:trHeight w:val="20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接待沙发</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273050</wp:posOffset>
                  </wp:positionV>
                  <wp:extent cx="958215" cy="828675"/>
                  <wp:effectExtent l="0" t="0" r="13335" b="9525"/>
                  <wp:wrapNone/>
                  <wp:docPr id="127" name="图片_8"/>
                  <wp:cNvGraphicFramePr/>
                  <a:graphic xmlns:a="http://schemas.openxmlformats.org/drawingml/2006/main">
                    <a:graphicData uri="http://schemas.openxmlformats.org/drawingml/2006/picture">
                      <pic:pic xmlns:pic="http://schemas.openxmlformats.org/drawingml/2006/picture">
                        <pic:nvPicPr>
                          <pic:cNvPr id="127" name="图片_8"/>
                          <pic:cNvPicPr/>
                        </pic:nvPicPr>
                        <pic:blipFill>
                          <a:blip r:embed="rId41"/>
                          <a:stretch>
                            <a:fillRect/>
                          </a:stretch>
                        </pic:blipFill>
                        <pic:spPr>
                          <a:xfrm>
                            <a:off x="0" y="0"/>
                            <a:ext cx="958215" cy="82867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1950*800*790*440</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1.面材：真皮：优质头层牛皮，皮革厚度＞0.9㎜，撕裂力≥30N，断裂伸长率35%~60%，摩擦色牢度干擦≥4级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2.海绵：优质高密度回弹海绵，座面密度≥25kg/m³，压缩永久变形≤10%，泡沫回弹性≥35%。</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3.内架：采用榫卯结构，材料为优质东北落叶松实木框架，经去皮、烘干、防虫防腐处理。</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4.沙发脚：采用304#不锈钢电镀五金脚。</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5、沙发耐久性：60000次</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黑色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10</w:t>
            </w:r>
          </w:p>
        </w:tc>
      </w:tr>
      <w:tr>
        <w:tblPrEx>
          <w:tblCellMar>
            <w:top w:w="0" w:type="dxa"/>
            <w:left w:w="0" w:type="dxa"/>
            <w:bottom w:w="0" w:type="dxa"/>
            <w:right w:w="0" w:type="dxa"/>
          </w:tblCellMar>
        </w:tblPrEx>
        <w:trPr>
          <w:trHeight w:val="1478"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茶几</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427990</wp:posOffset>
                  </wp:positionH>
                  <wp:positionV relativeFrom="paragraph">
                    <wp:posOffset>50165</wp:posOffset>
                  </wp:positionV>
                  <wp:extent cx="640715" cy="747395"/>
                  <wp:effectExtent l="0" t="0" r="6985" b="14605"/>
                  <wp:wrapNone/>
                  <wp:docPr id="129" name="图片_15"/>
                  <wp:cNvGraphicFramePr/>
                  <a:graphic xmlns:a="http://schemas.openxmlformats.org/drawingml/2006/main">
                    <a:graphicData uri="http://schemas.openxmlformats.org/drawingml/2006/picture">
                      <pic:pic xmlns:pic="http://schemas.openxmlformats.org/drawingml/2006/picture">
                        <pic:nvPicPr>
                          <pic:cNvPr id="129" name="图片_15"/>
                          <pic:cNvPicPr/>
                        </pic:nvPicPr>
                        <pic:blipFill>
                          <a:blip r:embed="rId42"/>
                          <a:stretch>
                            <a:fillRect/>
                          </a:stretch>
                        </pic:blipFill>
                        <pic:spPr>
                          <a:xfrm>
                            <a:off x="0" y="0"/>
                            <a:ext cx="640715" cy="74739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700*700*420</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1、面材：胡桃木木皮贴面。</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2、基材：E0级中纤板甲醛释放量≤5mg/100g，游离甲醛释放量均达国际标准。</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3、五金：流星灰钢制下脚，优质进口五金。</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4、油漆：采用水性环保面漆，并通过全自动油漆喷涂和滚涂生产线，封闭式涂装,漆面色泽美观、木纹纹理清晰，光滑耐磨、手感好。</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胡桃木色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8</w:t>
            </w:r>
          </w:p>
        </w:tc>
      </w:tr>
      <w:tr>
        <w:tblPrEx>
          <w:tblCellMar>
            <w:top w:w="0" w:type="dxa"/>
            <w:left w:w="0" w:type="dxa"/>
            <w:bottom w:w="0" w:type="dxa"/>
            <w:right w:w="0" w:type="dxa"/>
          </w:tblCellMar>
        </w:tblPrEx>
        <w:trPr>
          <w:trHeight w:val="210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茶水柜</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340360</wp:posOffset>
                  </wp:positionH>
                  <wp:positionV relativeFrom="paragraph">
                    <wp:posOffset>207010</wp:posOffset>
                  </wp:positionV>
                  <wp:extent cx="740410" cy="1022985"/>
                  <wp:effectExtent l="0" t="0" r="2540" b="5715"/>
                  <wp:wrapNone/>
                  <wp:docPr id="126" name="图片_17_SpCnt_1"/>
                  <wp:cNvGraphicFramePr/>
                  <a:graphic xmlns:a="http://schemas.openxmlformats.org/drawingml/2006/main">
                    <a:graphicData uri="http://schemas.openxmlformats.org/drawingml/2006/picture">
                      <pic:pic xmlns:pic="http://schemas.openxmlformats.org/drawingml/2006/picture">
                        <pic:nvPicPr>
                          <pic:cNvPr id="126" name="图片_17_SpCnt_1"/>
                          <pic:cNvPicPr/>
                        </pic:nvPicPr>
                        <pic:blipFill>
                          <a:blip r:embed="rId43"/>
                          <a:stretch>
                            <a:fillRect/>
                          </a:stretch>
                        </pic:blipFill>
                        <pic:spPr>
                          <a:xfrm>
                            <a:off x="0" y="0"/>
                            <a:ext cx="740410" cy="102298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1621*400*805</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1、面材：胡桃木木皮贴面。</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t>E0级中纤板甲醛释放量≤5mg/100g，游离甲醛释放量均达国际标准。</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3、五金：流星灰钢制下脚。铰链：阻尼铰链，耐久性8万次开合。</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滑轨：滚珠式三节轨。 耐久性8万次，垂直向下静荷载200N，水平侧向静荷载100N。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4、油漆：采用水性环保面漆，并通过全自动油漆喷涂和滚涂生产线，封闭式涂装,漆面色泽美观、木纹纹理清晰，光滑耐磨、手感好。</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胡桃木色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w:t>
            </w:r>
          </w:p>
        </w:tc>
      </w:tr>
      <w:tr>
        <w:tblPrEx>
          <w:tblCellMar>
            <w:top w:w="0" w:type="dxa"/>
            <w:left w:w="0" w:type="dxa"/>
            <w:bottom w:w="0" w:type="dxa"/>
            <w:right w:w="0" w:type="dxa"/>
          </w:tblCellMar>
        </w:tblPrEx>
        <w:trPr>
          <w:trHeight w:val="206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茶水柜</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465455</wp:posOffset>
                  </wp:positionH>
                  <wp:positionV relativeFrom="paragraph">
                    <wp:posOffset>123825</wp:posOffset>
                  </wp:positionV>
                  <wp:extent cx="539115" cy="962660"/>
                  <wp:effectExtent l="0" t="0" r="13335" b="8890"/>
                  <wp:wrapNone/>
                  <wp:docPr id="135" name="图片_14"/>
                  <wp:cNvGraphicFramePr/>
                  <a:graphic xmlns:a="http://schemas.openxmlformats.org/drawingml/2006/main">
                    <a:graphicData uri="http://schemas.openxmlformats.org/drawingml/2006/picture">
                      <pic:pic xmlns:pic="http://schemas.openxmlformats.org/drawingml/2006/picture">
                        <pic:nvPicPr>
                          <pic:cNvPr id="135" name="图片_14"/>
                          <pic:cNvPicPr/>
                        </pic:nvPicPr>
                        <pic:blipFill>
                          <a:blip r:embed="rId44"/>
                          <a:stretch>
                            <a:fillRect/>
                          </a:stretch>
                        </pic:blipFill>
                        <pic:spPr>
                          <a:xfrm>
                            <a:off x="0" y="0"/>
                            <a:ext cx="539115" cy="96266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1017*400*805</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1、面材：胡桃木木皮贴面。</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2、基材：E0级中纤板甲醛释放量≤5mg/100g，游离甲醛释放量均达国际标准。</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3、五金：流星灰钢制下脚。铰链：阻尼铰链，耐久性8万次开合。</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滑轨：滚珠式三节轨。 耐久性8万次，垂直向下静荷载200N，水平侧向静荷载100N。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4、油漆：采用水性环保面漆，并通过全自动油漆喷涂和滚涂生产线，封闭式涂装,漆面色泽美观、木纹纹理清晰，光滑耐磨、手感好。</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胡桃木色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3</w:t>
            </w:r>
          </w:p>
        </w:tc>
      </w:tr>
      <w:tr>
        <w:tblPrEx>
          <w:tblCellMar>
            <w:top w:w="0" w:type="dxa"/>
            <w:left w:w="0" w:type="dxa"/>
            <w:bottom w:w="0" w:type="dxa"/>
            <w:right w:w="0" w:type="dxa"/>
          </w:tblCellMar>
        </w:tblPrEx>
        <w:trPr>
          <w:trHeight w:val="252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休闲沙发组合</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156845</wp:posOffset>
                  </wp:positionH>
                  <wp:positionV relativeFrom="paragraph">
                    <wp:posOffset>492760</wp:posOffset>
                  </wp:positionV>
                  <wp:extent cx="869950" cy="603250"/>
                  <wp:effectExtent l="0" t="0" r="6350" b="6350"/>
                  <wp:wrapNone/>
                  <wp:docPr id="134" name="图片_5"/>
                  <wp:cNvGraphicFramePr/>
                  <a:graphic xmlns:a="http://schemas.openxmlformats.org/drawingml/2006/main">
                    <a:graphicData uri="http://schemas.openxmlformats.org/drawingml/2006/picture">
                      <pic:pic xmlns:pic="http://schemas.openxmlformats.org/drawingml/2006/picture">
                        <pic:nvPicPr>
                          <pic:cNvPr id="134" name="图片_5"/>
                          <pic:cNvPicPr/>
                        </pic:nvPicPr>
                        <pic:blipFill>
                          <a:blip r:embed="rId45"/>
                          <a:stretch>
                            <a:fillRect/>
                          </a:stretch>
                        </pic:blipFill>
                        <pic:spPr>
                          <a:xfrm>
                            <a:off x="0" y="0"/>
                            <a:ext cx="869950" cy="60325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含6个650*650*420单人沙发（4个有靠背，2个无靠背）2个方形茶几650*640*150</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1、面材：优质麻绒</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2、海绵：使用优质高回弹密度海绵</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3、内架：材料为优质夹板，根据GB 18580-2017要求甲醛释放量≤0.124mg/m³</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脚框：流星灰色高强度金属钢架结构</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半位茶几带写字板：</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*1.面材：写字板E-01白色油漆/茶几W-23B白橡木皮</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2.基材：优质中纤板，根据GB 18580-2017要求甲醛释放量≤0.124mg/m³</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3.五金：流星灰色支撑架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4.油漆：采用水性环保漆开放式涂装</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待定</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w:t>
            </w:r>
          </w:p>
        </w:tc>
      </w:tr>
      <w:tr>
        <w:tblPrEx>
          <w:shd w:val="clear" w:color="auto" w:fill="auto"/>
          <w:tblCellMar>
            <w:top w:w="0" w:type="dxa"/>
            <w:left w:w="0" w:type="dxa"/>
            <w:bottom w:w="0" w:type="dxa"/>
            <w:right w:w="0" w:type="dxa"/>
          </w:tblCellMar>
        </w:tblPrEx>
        <w:trPr>
          <w:trHeight w:val="336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文件柜</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233045</wp:posOffset>
                  </wp:positionH>
                  <wp:positionV relativeFrom="paragraph">
                    <wp:posOffset>500380</wp:posOffset>
                  </wp:positionV>
                  <wp:extent cx="753745" cy="1293495"/>
                  <wp:effectExtent l="0" t="0" r="8255" b="1905"/>
                  <wp:wrapNone/>
                  <wp:docPr id="132" name="图片_23"/>
                  <wp:cNvGraphicFramePr/>
                  <a:graphic xmlns:a="http://schemas.openxmlformats.org/drawingml/2006/main">
                    <a:graphicData uri="http://schemas.openxmlformats.org/drawingml/2006/picture">
                      <pic:pic xmlns:pic="http://schemas.openxmlformats.org/drawingml/2006/picture">
                        <pic:nvPicPr>
                          <pic:cNvPr id="132" name="图片_23"/>
                          <pic:cNvPicPr/>
                        </pic:nvPicPr>
                        <pic:blipFill>
                          <a:blip r:embed="rId46"/>
                          <a:stretch>
                            <a:fillRect/>
                          </a:stretch>
                        </pic:blipFill>
                        <pic:spPr>
                          <a:xfrm>
                            <a:off x="0" y="0"/>
                            <a:ext cx="753745" cy="129349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1840*800*400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4.五金配件：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铰链：阻尼铰链，耐久性10万次开合</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锁具：侧面锁，互开率≤1.379%，使用寿命不少于20000次。</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木纹色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11</w:t>
            </w:r>
          </w:p>
        </w:tc>
      </w:tr>
      <w:tr>
        <w:tblPrEx>
          <w:shd w:val="clear" w:color="auto" w:fill="auto"/>
          <w:tblCellMar>
            <w:top w:w="0" w:type="dxa"/>
            <w:left w:w="0" w:type="dxa"/>
            <w:bottom w:w="0" w:type="dxa"/>
            <w:right w:w="0" w:type="dxa"/>
          </w:tblCellMar>
        </w:tblPrEx>
        <w:trPr>
          <w:trHeight w:val="202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钢柜</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589915</wp:posOffset>
                  </wp:positionH>
                  <wp:positionV relativeFrom="paragraph">
                    <wp:posOffset>154305</wp:posOffset>
                  </wp:positionV>
                  <wp:extent cx="558165" cy="934085"/>
                  <wp:effectExtent l="0" t="0" r="13335" b="18415"/>
                  <wp:wrapNone/>
                  <wp:docPr id="128" name="图片_24"/>
                  <wp:cNvGraphicFramePr/>
                  <a:graphic xmlns:a="http://schemas.openxmlformats.org/drawingml/2006/main">
                    <a:graphicData uri="http://schemas.openxmlformats.org/drawingml/2006/picture">
                      <pic:pic xmlns:pic="http://schemas.openxmlformats.org/drawingml/2006/picture">
                        <pic:nvPicPr>
                          <pic:cNvPr id="128" name="图片_24"/>
                          <pic:cNvPicPr/>
                        </pic:nvPicPr>
                        <pic:blipFill>
                          <a:blip r:embed="rId47"/>
                          <a:stretch>
                            <a:fillRect/>
                          </a:stretch>
                        </pic:blipFill>
                        <pic:spPr>
                          <a:xfrm>
                            <a:off x="0" y="0"/>
                            <a:ext cx="558165" cy="93408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900*450*1800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钢板</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t>厚度0.6mm,焊接部分采用高标准熔接焊，质量要求达到表面无脱焊、虚焊，无裂缝折痕，表面光滑平整，承重力好不易变型，进口塑粉喷涂，具有防潮、表面光滑、耐冲击等特性，无气味，无起泡，永久防锈. 经久耐用。属于环保产品。内含挂衣通，镜子。,含6个拉手，6个名片框，6块层板，4个调节脚。拉手颜色需选配。</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五金配件：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铰链：阻尼铰链，耐久性10万次开合</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锁具：侧面锁，互开率≤1.379%，使用寿命不少于20000次。</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13</w:t>
            </w:r>
          </w:p>
        </w:tc>
      </w:tr>
      <w:tr>
        <w:tblPrEx>
          <w:shd w:val="clear" w:color="auto" w:fill="auto"/>
          <w:tblCellMar>
            <w:top w:w="0" w:type="dxa"/>
            <w:left w:w="0" w:type="dxa"/>
            <w:bottom w:w="0" w:type="dxa"/>
            <w:right w:w="0" w:type="dxa"/>
          </w:tblCellMar>
        </w:tblPrEx>
        <w:trPr>
          <w:trHeight w:val="316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多功能会议室</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31115</wp:posOffset>
                  </wp:positionH>
                  <wp:positionV relativeFrom="paragraph">
                    <wp:posOffset>390525</wp:posOffset>
                  </wp:positionV>
                  <wp:extent cx="1090295" cy="1043305"/>
                  <wp:effectExtent l="0" t="0" r="14605" b="4445"/>
                  <wp:wrapNone/>
                  <wp:docPr id="130" name="图片_66"/>
                  <wp:cNvGraphicFramePr/>
                  <a:graphic xmlns:a="http://schemas.openxmlformats.org/drawingml/2006/main">
                    <a:graphicData uri="http://schemas.openxmlformats.org/drawingml/2006/picture">
                      <pic:pic xmlns:pic="http://schemas.openxmlformats.org/drawingml/2006/picture">
                        <pic:nvPicPr>
                          <pic:cNvPr id="130" name="图片_66"/>
                          <pic:cNvPicPr/>
                        </pic:nvPicPr>
                        <pic:blipFill>
                          <a:blip r:embed="rId48"/>
                          <a:stretch>
                            <a:fillRect/>
                          </a:stretch>
                        </pic:blipFill>
                        <pic:spPr>
                          <a:xfrm>
                            <a:off x="0" y="0"/>
                            <a:ext cx="1090295" cy="104330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1500*550*750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4、钢脚：表面经磷化、除锈，防腐处理静电粉末喷涂工艺，可折叠下架，内置置物架，带刹车轮子</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52</w:t>
            </w:r>
          </w:p>
        </w:tc>
      </w:tr>
      <w:tr>
        <w:tblPrEx>
          <w:tblCellMar>
            <w:top w:w="0" w:type="dxa"/>
            <w:left w:w="0" w:type="dxa"/>
            <w:bottom w:w="0" w:type="dxa"/>
            <w:right w:w="0" w:type="dxa"/>
          </w:tblCellMar>
        </w:tblPrEx>
        <w:trPr>
          <w:trHeight w:val="266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会议椅</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173355</wp:posOffset>
                  </wp:positionH>
                  <wp:positionV relativeFrom="paragraph">
                    <wp:posOffset>384175</wp:posOffset>
                  </wp:positionV>
                  <wp:extent cx="988695" cy="760730"/>
                  <wp:effectExtent l="0" t="0" r="1905" b="1270"/>
                  <wp:wrapNone/>
                  <wp:docPr id="137" name="图片_63_SpCnt_1"/>
                  <wp:cNvGraphicFramePr/>
                  <a:graphic xmlns:a="http://schemas.openxmlformats.org/drawingml/2006/main">
                    <a:graphicData uri="http://schemas.openxmlformats.org/drawingml/2006/picture">
                      <pic:pic xmlns:pic="http://schemas.openxmlformats.org/drawingml/2006/picture">
                        <pic:nvPicPr>
                          <pic:cNvPr id="137" name="图片_63_SpCnt_1"/>
                          <pic:cNvPicPr/>
                        </pic:nvPicPr>
                        <pic:blipFill>
                          <a:blip r:embed="rId49"/>
                          <a:stretch>
                            <a:fillRect/>
                          </a:stretch>
                        </pic:blipFill>
                        <pic:spPr>
                          <a:xfrm>
                            <a:off x="0" y="0"/>
                            <a:ext cx="988695" cy="76073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560*580*810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1、面材：网布：优质高端双丝网布，色牢度干擦4级，湿擦3级</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麻绒：优质网布/麻绒面料，芳香胺有害物质含量＜5mg/kg，颜色干擦牢度≥4级，耐酸碱汗渍变色≥3级、沾色≥3级。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2、海棉：优质高密度回弹海绵，座面密度≥25kg/m³，泡沫回弹性≥35%。</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3、座板：E1级优质曲木板，12mm多层曲木板热压成型</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4、弓架：壁厚1.8mm，表面镀银，闪银光面、灰白磨砂两种处理效果</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5、椅轮：PA脚轮，配合度好</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6、左右卡扣件：PP材质，配合度好</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待定</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248</w:t>
            </w:r>
          </w:p>
        </w:tc>
      </w:tr>
      <w:tr>
        <w:tblPrEx>
          <w:tblCellMar>
            <w:top w:w="0" w:type="dxa"/>
            <w:left w:w="0" w:type="dxa"/>
            <w:bottom w:w="0" w:type="dxa"/>
            <w:right w:w="0" w:type="dxa"/>
          </w:tblCellMar>
        </w:tblPrEx>
        <w:trPr>
          <w:trHeight w:val="238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三人位沙发</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209550</wp:posOffset>
                  </wp:positionH>
                  <wp:positionV relativeFrom="paragraph">
                    <wp:posOffset>412750</wp:posOffset>
                  </wp:positionV>
                  <wp:extent cx="995680" cy="848360"/>
                  <wp:effectExtent l="0" t="0" r="13970" b="8890"/>
                  <wp:wrapNone/>
                  <wp:docPr id="138" name="图片_21"/>
                  <wp:cNvGraphicFramePr/>
                  <a:graphic xmlns:a="http://schemas.openxmlformats.org/drawingml/2006/main">
                    <a:graphicData uri="http://schemas.openxmlformats.org/drawingml/2006/picture">
                      <pic:pic xmlns:pic="http://schemas.openxmlformats.org/drawingml/2006/picture">
                        <pic:nvPicPr>
                          <pic:cNvPr id="138" name="图片_21"/>
                          <pic:cNvPicPr/>
                        </pic:nvPicPr>
                        <pic:blipFill>
                          <a:blip r:embed="rId50"/>
                          <a:stretch>
                            <a:fillRect/>
                          </a:stretch>
                        </pic:blipFill>
                        <pic:spPr>
                          <a:xfrm>
                            <a:off x="0" y="0"/>
                            <a:ext cx="995680" cy="84836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1950*800*790*440</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1.面材：麻绒：优质麻绒面料，芳香胺有害物质含量＜5mg/kg，颜色干擦牢度≥4级，耐酸碱汗渍变色≥3级、沾色≥3级。</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进口羊绒：耐磨性长度&gt;75000㎜，耐光色牢度≥4级，芳香胺有害物质含量未检出。</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2.海绵：优质高密度回弹海绵，座面密度≥25kg/m³，压缩永久变形≤10%，泡沫回弹性≥35%。</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3.内架：材料为优质东北落叶松实木框架，经去皮、烘干、防虫防腐处理</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4.沙发脚：（采用304#不锈钢电镀五金脚）</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灰色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4</w:t>
            </w:r>
          </w:p>
        </w:tc>
      </w:tr>
      <w:tr>
        <w:tblPrEx>
          <w:tblCellMar>
            <w:top w:w="0" w:type="dxa"/>
            <w:left w:w="0" w:type="dxa"/>
            <w:bottom w:w="0" w:type="dxa"/>
            <w:right w:w="0" w:type="dxa"/>
          </w:tblCellMar>
        </w:tblPrEx>
        <w:trPr>
          <w:trHeight w:val="1669"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茶几</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240665</wp:posOffset>
                  </wp:positionH>
                  <wp:positionV relativeFrom="paragraph">
                    <wp:posOffset>655320</wp:posOffset>
                  </wp:positionV>
                  <wp:extent cx="565785" cy="969010"/>
                  <wp:effectExtent l="0" t="0" r="5715" b="2540"/>
                  <wp:wrapNone/>
                  <wp:docPr id="133" name="图片_20"/>
                  <wp:cNvGraphicFramePr/>
                  <a:graphic xmlns:a="http://schemas.openxmlformats.org/drawingml/2006/main">
                    <a:graphicData uri="http://schemas.openxmlformats.org/drawingml/2006/picture">
                      <pic:pic xmlns:pic="http://schemas.openxmlformats.org/drawingml/2006/picture">
                        <pic:nvPicPr>
                          <pic:cNvPr id="133" name="图片_20"/>
                          <pic:cNvPicPr/>
                        </pic:nvPicPr>
                        <pic:blipFill>
                          <a:blip r:embed="rId51"/>
                          <a:stretch>
                            <a:fillRect/>
                          </a:stretch>
                        </pic:blipFill>
                        <pic:spPr>
                          <a:xfrm>
                            <a:off x="0" y="0"/>
                            <a:ext cx="565785" cy="96901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650*650*600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4、钢脚：表面经磷化、除锈，防腐处理静电粉末喷涂工艺</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胡桃木色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10</w:t>
            </w:r>
          </w:p>
        </w:tc>
      </w:tr>
      <w:tr>
        <w:tblPrEx>
          <w:shd w:val="clear" w:color="auto" w:fill="auto"/>
          <w:tblCellMar>
            <w:top w:w="0" w:type="dxa"/>
            <w:left w:w="0" w:type="dxa"/>
            <w:bottom w:w="0" w:type="dxa"/>
            <w:right w:w="0" w:type="dxa"/>
          </w:tblCellMar>
        </w:tblPrEx>
        <w:trPr>
          <w:trHeight w:val="172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茶几</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314325</wp:posOffset>
                  </wp:positionH>
                  <wp:positionV relativeFrom="paragraph">
                    <wp:posOffset>180975</wp:posOffset>
                  </wp:positionV>
                  <wp:extent cx="821690" cy="822325"/>
                  <wp:effectExtent l="0" t="0" r="16510" b="15875"/>
                  <wp:wrapNone/>
                  <wp:docPr id="136" name="图片_13"/>
                  <wp:cNvGraphicFramePr/>
                  <a:graphic xmlns:a="http://schemas.openxmlformats.org/drawingml/2006/main">
                    <a:graphicData uri="http://schemas.openxmlformats.org/drawingml/2006/picture">
                      <pic:pic xmlns:pic="http://schemas.openxmlformats.org/drawingml/2006/picture">
                        <pic:nvPicPr>
                          <pic:cNvPr id="136" name="图片_13"/>
                          <pic:cNvPicPr/>
                        </pic:nvPicPr>
                        <pic:blipFill>
                          <a:blip r:embed="rId52"/>
                          <a:stretch>
                            <a:fillRect/>
                          </a:stretch>
                        </pic:blipFill>
                        <pic:spPr>
                          <a:xfrm>
                            <a:off x="0" y="0"/>
                            <a:ext cx="821690" cy="82232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1200*1200*420</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1、面材：胡桃木木皮贴面。</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2、基材：E0级中纤板甲醛释放量≤5mg/100g，游离甲醛释放量均达国际标准。</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3、油漆：采用水性环保面漆，并通过全自动油漆喷涂和滚涂生产线，封闭式涂装,漆面色泽美观、木纹纹理清晰，光滑耐磨、手感好。</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胡桃木色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w:t>
            </w:r>
          </w:p>
        </w:tc>
      </w:tr>
      <w:tr>
        <w:tblPrEx>
          <w:shd w:val="clear" w:color="auto" w:fill="auto"/>
          <w:tblCellMar>
            <w:top w:w="0" w:type="dxa"/>
            <w:left w:w="0" w:type="dxa"/>
            <w:bottom w:w="0" w:type="dxa"/>
            <w:right w:w="0" w:type="dxa"/>
          </w:tblCellMar>
        </w:tblPrEx>
        <w:trPr>
          <w:trHeight w:val="4160"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员工桌</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244475</wp:posOffset>
                  </wp:positionH>
                  <wp:positionV relativeFrom="paragraph">
                    <wp:posOffset>929640</wp:posOffset>
                  </wp:positionV>
                  <wp:extent cx="815340" cy="688975"/>
                  <wp:effectExtent l="0" t="0" r="3810" b="15875"/>
                  <wp:wrapNone/>
                  <wp:docPr id="123" name="图片_1_SpCnt_1"/>
                  <wp:cNvGraphicFramePr/>
                  <a:graphic xmlns:a="http://schemas.openxmlformats.org/drawingml/2006/main">
                    <a:graphicData uri="http://schemas.openxmlformats.org/drawingml/2006/picture">
                      <pic:pic xmlns:pic="http://schemas.openxmlformats.org/drawingml/2006/picture">
                        <pic:nvPicPr>
                          <pic:cNvPr id="123" name="图片_1_SpCnt_1"/>
                          <pic:cNvPicPr/>
                        </pic:nvPicPr>
                        <pic:blipFill>
                          <a:blip r:embed="rId53"/>
                          <a:stretch>
                            <a:fillRect/>
                          </a:stretch>
                        </pic:blipFill>
                        <pic:spPr>
                          <a:xfrm>
                            <a:off x="0" y="0"/>
                            <a:ext cx="815340" cy="68897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1500*1412*750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1"/>
              </w:numPr>
              <w:suppressLineNumbers w:val="0"/>
              <w:jc w:val="left"/>
              <w:textAlignment w:val="center"/>
              <w:rPr>
                <w:rFonts w:hint="eastAsia" w:asci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4.五金配件：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铰链：阻尼铰链，耐久性10万次开合</w:t>
            </w:r>
            <w:r>
              <w:rPr>
                <w:rFonts w:hint="eastAsia" w:ascii="宋体" w:eastAsia="宋体" w:cs="宋体"/>
                <w:b w:val="0"/>
                <w:bCs/>
                <w:i w:val="0"/>
                <w:color w:val="000000"/>
                <w:kern w:val="0"/>
                <w:sz w:val="18"/>
                <w:szCs w:val="18"/>
                <w:highlight w:val="none"/>
                <w:u w:val="none"/>
                <w:lang w:val="en-US" w:eastAsia="zh-CN" w:bidi="ar"/>
              </w:rPr>
              <w:t>。</w:t>
            </w:r>
          </w:p>
          <w:p>
            <w:pPr>
              <w:keepNext w:val="0"/>
              <w:keepLines w:val="0"/>
              <w:widowControl/>
              <w:numPr>
                <w:ilvl w:val="0"/>
                <w:numId w:val="0"/>
              </w:numPr>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锁具：使用寿命不少于20000次</w:t>
            </w:r>
          </w:p>
          <w:p>
            <w:pPr>
              <w:keepNext w:val="0"/>
              <w:keepLines w:val="0"/>
              <w:widowControl/>
              <w:numPr>
                <w:ilvl w:val="0"/>
                <w:numId w:val="0"/>
              </w:numPr>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滑轨：滚珠式三节轨。 耐久性10万次，垂直向下静荷载200N，水平侧向静荷载100N</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5、钢脚45度斜切采用V型开缺口后折弯点焊打磨处理。整体性更好。表面处理为白色喷细砂效果，白色与其他配件统一，避免色差。钢脚以拉杆+托臂的形式进行连接支撑。</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木纹色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5</w:t>
            </w:r>
          </w:p>
        </w:tc>
      </w:tr>
      <w:tr>
        <w:tblPrEx>
          <w:shd w:val="clear" w:color="auto" w:fill="auto"/>
          <w:tblCellMar>
            <w:top w:w="0" w:type="dxa"/>
            <w:left w:w="0" w:type="dxa"/>
            <w:bottom w:w="0" w:type="dxa"/>
            <w:right w:w="0" w:type="dxa"/>
          </w:tblCellMar>
        </w:tblPrEx>
        <w:trPr>
          <w:trHeight w:val="1141"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桌子</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173355</wp:posOffset>
                  </wp:positionH>
                  <wp:positionV relativeFrom="paragraph">
                    <wp:posOffset>419100</wp:posOffset>
                  </wp:positionV>
                  <wp:extent cx="1070610" cy="1050290"/>
                  <wp:effectExtent l="0" t="0" r="15240" b="16510"/>
                  <wp:wrapNone/>
                  <wp:docPr id="124" name="图片_108"/>
                  <wp:cNvGraphicFramePr/>
                  <a:graphic xmlns:a="http://schemas.openxmlformats.org/drawingml/2006/main">
                    <a:graphicData uri="http://schemas.openxmlformats.org/drawingml/2006/picture">
                      <pic:pic xmlns:pic="http://schemas.openxmlformats.org/drawingml/2006/picture">
                        <pic:nvPicPr>
                          <pic:cNvPr id="124" name="图片_108"/>
                          <pic:cNvPicPr/>
                        </pic:nvPicPr>
                        <pic:blipFill>
                          <a:blip r:embed="rId54"/>
                          <a:stretch>
                            <a:fillRect/>
                          </a:stretch>
                        </pic:blipFill>
                        <pic:spPr>
                          <a:xfrm>
                            <a:off x="0" y="0"/>
                            <a:ext cx="1070610" cy="1050290"/>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1500*700*280</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3.封边：无缝封边，具有良好的耐气候性能，不易受环境、温度变化而产生收缩、膨胀的问题，保证板材封边质量，延长产品使用寿命，弹性好，耐撞击，达到国标环保要求；达到长期使用不变黄；纹理清晰。</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4、钢脚：表面经磷化、除锈，防腐处理静电粉末喷涂工艺</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白色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4</w:t>
            </w:r>
          </w:p>
        </w:tc>
      </w:tr>
      <w:tr>
        <w:tblPrEx>
          <w:shd w:val="clear" w:color="auto" w:fill="auto"/>
          <w:tblCellMar>
            <w:top w:w="0" w:type="dxa"/>
            <w:left w:w="0" w:type="dxa"/>
            <w:bottom w:w="0" w:type="dxa"/>
            <w:right w:w="0" w:type="dxa"/>
          </w:tblCellMar>
        </w:tblPrEx>
        <w:trPr>
          <w:trHeight w:val="2201"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休闲椅</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201295</wp:posOffset>
                  </wp:positionH>
                  <wp:positionV relativeFrom="paragraph">
                    <wp:posOffset>120650</wp:posOffset>
                  </wp:positionV>
                  <wp:extent cx="660400" cy="817245"/>
                  <wp:effectExtent l="0" t="0" r="6350" b="1905"/>
                  <wp:wrapNone/>
                  <wp:docPr id="125" name="图片_110"/>
                  <wp:cNvGraphicFramePr/>
                  <a:graphic xmlns:a="http://schemas.openxmlformats.org/drawingml/2006/main">
                    <a:graphicData uri="http://schemas.openxmlformats.org/drawingml/2006/picture">
                      <pic:pic xmlns:pic="http://schemas.openxmlformats.org/drawingml/2006/picture">
                        <pic:nvPicPr>
                          <pic:cNvPr id="125" name="图片_110"/>
                          <pic:cNvPicPr/>
                        </pic:nvPicPr>
                        <pic:blipFill>
                          <a:blip r:embed="rId55"/>
                          <a:stretch>
                            <a:fillRect/>
                          </a:stretch>
                        </pic:blipFill>
                        <pic:spPr>
                          <a:xfrm>
                            <a:off x="0" y="0"/>
                            <a:ext cx="660400" cy="81724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500*510*760</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1、塑框：ABS椅背和椅座，PP塑框，座背分离结构及连接工艺，背包座设计；坐垫弧度设计，贴合臀部；靠背105度角，对腰背部起到有效的支撑作用；坐垫、靠背97度折边，给身体一种安全舒适的包裹感。</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2、椅背和椅座采用单点卡扣连接方式组合，符合人体工学</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3、下架：壁厚1.8mm，表面镀银，闪银光面、灰白磨砂两种处理效果。</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待定</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12</w:t>
            </w:r>
          </w:p>
        </w:tc>
      </w:tr>
      <w:tr>
        <w:tblPrEx>
          <w:shd w:val="clear" w:color="auto" w:fill="auto"/>
          <w:tblCellMar>
            <w:top w:w="0" w:type="dxa"/>
            <w:left w:w="0" w:type="dxa"/>
            <w:bottom w:w="0" w:type="dxa"/>
            <w:right w:w="0" w:type="dxa"/>
          </w:tblCellMar>
        </w:tblPrEx>
        <w:trPr>
          <w:trHeight w:val="3204" w:hRule="atLeast"/>
        </w:trPr>
        <w:tc>
          <w:tcPr>
            <w:tcW w:w="10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沙发组合</w:t>
            </w:r>
          </w:p>
        </w:tc>
        <w:tc>
          <w:tcPr>
            <w:tcW w:w="20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105410</wp:posOffset>
                  </wp:positionH>
                  <wp:positionV relativeFrom="paragraph">
                    <wp:posOffset>1148715</wp:posOffset>
                  </wp:positionV>
                  <wp:extent cx="943610" cy="478155"/>
                  <wp:effectExtent l="0" t="0" r="8890" b="17145"/>
                  <wp:wrapNone/>
                  <wp:docPr id="131" name="图片_1_SpCnt_2"/>
                  <wp:cNvGraphicFramePr/>
                  <a:graphic xmlns:a="http://schemas.openxmlformats.org/drawingml/2006/main">
                    <a:graphicData uri="http://schemas.openxmlformats.org/drawingml/2006/picture">
                      <pic:pic xmlns:pic="http://schemas.openxmlformats.org/drawingml/2006/picture">
                        <pic:nvPicPr>
                          <pic:cNvPr id="131" name="图片_1_SpCnt_2"/>
                          <pic:cNvPicPr/>
                        </pic:nvPicPr>
                        <pic:blipFill>
                          <a:blip r:embed="rId56"/>
                          <a:stretch>
                            <a:fillRect/>
                          </a:stretch>
                        </pic:blipFill>
                        <pic:spPr>
                          <a:xfrm>
                            <a:off x="0" y="0"/>
                            <a:ext cx="943610" cy="478155"/>
                          </a:xfrm>
                          <a:prstGeom prst="rect">
                            <a:avLst/>
                          </a:prstGeom>
                          <a:noFill/>
                          <a:ln>
                            <a:noFill/>
                          </a:ln>
                        </pic:spPr>
                      </pic:pic>
                    </a:graphicData>
                  </a:graphic>
                </wp:anchor>
              </w:drawing>
            </w:r>
            <w:r>
              <w:rPr>
                <w:rFonts w:ascii="宋体" w:hAnsi="宋体" w:eastAsia="宋体" w:cs="宋体"/>
                <w:b/>
                <w:i w:val="0"/>
                <w:color w:val="000000"/>
                <w:kern w:val="0"/>
                <w:sz w:val="18"/>
                <w:szCs w:val="1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58420</wp:posOffset>
                  </wp:positionH>
                  <wp:positionV relativeFrom="paragraph">
                    <wp:posOffset>216535</wp:posOffset>
                  </wp:positionV>
                  <wp:extent cx="1127760" cy="725805"/>
                  <wp:effectExtent l="0" t="0" r="15240" b="17145"/>
                  <wp:wrapNone/>
                  <wp:docPr id="122" name="图片_12"/>
                  <wp:cNvGraphicFramePr/>
                  <a:graphic xmlns:a="http://schemas.openxmlformats.org/drawingml/2006/main">
                    <a:graphicData uri="http://schemas.openxmlformats.org/drawingml/2006/picture">
                      <pic:pic xmlns:pic="http://schemas.openxmlformats.org/drawingml/2006/picture">
                        <pic:nvPicPr>
                          <pic:cNvPr id="122" name="图片_12"/>
                          <pic:cNvPicPr/>
                        </pic:nvPicPr>
                        <pic:blipFill>
                          <a:blip r:embed="rId57"/>
                          <a:stretch>
                            <a:fillRect/>
                          </a:stretch>
                        </pic:blipFill>
                        <pic:spPr>
                          <a:xfrm>
                            <a:off x="0" y="0"/>
                            <a:ext cx="1127760" cy="725805"/>
                          </a:xfrm>
                          <a:prstGeom prst="rect">
                            <a:avLst/>
                          </a:prstGeom>
                          <a:noFill/>
                          <a:ln>
                            <a:noFill/>
                          </a:ln>
                        </pic:spPr>
                      </pic:pic>
                    </a:graphicData>
                  </a:graphic>
                </wp:anchor>
              </w:drawing>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4932*1972*780*430</w:t>
            </w:r>
          </w:p>
        </w:tc>
        <w:tc>
          <w:tcPr>
            <w:tcW w:w="3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1、面材：优质麻绒</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2、海绵：使用优质高回弹密度海绵</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3、内架：材料为优质夹板，根据GB 18580-2017要求甲醛释放量≤0.124mg/m³</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脚框：流星灰色高强度金属钢架结构</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半位茶几带写字板：</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*1.面材：写字板E-01白色油漆/茶几W-23B白橡木皮</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2.基材：优质中纤板，根据GB 18580-2017要求甲醛释放量≤0.124mg/m³</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3.五金：流星灰色支撑架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4.油漆：采用水性环保漆开放式涂装</w:t>
            </w:r>
          </w:p>
        </w:tc>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灰色</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2</w:t>
            </w:r>
          </w:p>
        </w:tc>
      </w:tr>
    </w:tbl>
    <w:p>
      <w:pPr>
        <w:spacing w:line="360" w:lineRule="exact"/>
        <w:rPr>
          <w:rFonts w:hint="eastAsia" w:ascii="宋体" w:hAnsi="宋体" w:eastAsia="宋体" w:cs="Times New Roman"/>
          <w:b w:val="0"/>
          <w:color w:val="auto"/>
          <w:sz w:val="22"/>
          <w:szCs w:val="22"/>
          <w:highlight w:val="none"/>
          <w:lang w:val="en-US" w:eastAsia="zh-CN" w:bidi="ar-SA"/>
        </w:rPr>
      </w:pPr>
    </w:p>
    <w:p>
      <w:pPr>
        <w:spacing w:line="360" w:lineRule="exact"/>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（三）注意事项</w:t>
      </w:r>
    </w:p>
    <w:bookmarkEnd w:id="14"/>
    <w:p>
      <w:pPr>
        <w:snapToGrid w:val="0"/>
        <w:spacing w:line="360" w:lineRule="auto"/>
        <w:rPr>
          <w:rFonts w:hint="eastAsia" w:ascii="宋体" w:hAnsi="宋体" w:eastAsia="宋体" w:cs="Times New Roman"/>
          <w:b w:val="0"/>
          <w:color w:val="auto"/>
          <w:sz w:val="22"/>
          <w:szCs w:val="22"/>
          <w:lang w:val="en-US" w:eastAsia="zh-CN" w:bidi="ar-SA"/>
        </w:rPr>
      </w:pPr>
      <w:bookmarkStart w:id="15" w:name="_Toc494407531"/>
      <w:r>
        <w:rPr>
          <w:rFonts w:hint="eastAsia" w:ascii="宋体" w:hAnsi="宋体" w:eastAsia="宋体" w:cs="Times New Roman"/>
          <w:b w:val="0"/>
          <w:color w:val="auto"/>
          <w:sz w:val="22"/>
          <w:szCs w:val="22"/>
          <w:lang w:val="en-US" w:eastAsia="zh-CN" w:bidi="ar-SA"/>
        </w:rPr>
        <w:t>说明：</w:t>
      </w:r>
    </w:p>
    <w:p>
      <w:pPr>
        <w:numPr>
          <w:ilvl w:val="0"/>
          <w:numId w:val="12"/>
        </w:numPr>
        <w:autoSpaceDE/>
        <w:autoSpaceDN/>
        <w:adjustRightInd/>
        <w:snapToGrid w:val="0"/>
        <w:spacing w:line="360" w:lineRule="auto"/>
        <w:ind w:left="420" w:hanging="420"/>
        <w:jc w:val="both"/>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投标人须对本项目的服务进行整体投标，任何只对本项目其中一部分内容进行的投标都被视为无效投标。（招标产品清单的数量为不允许偏离的实质性要求和条件，如有偏离，在符合性审查时按照投标无效处理。）</w:t>
      </w:r>
    </w:p>
    <w:p>
      <w:pPr>
        <w:numPr>
          <w:ilvl w:val="0"/>
          <w:numId w:val="12"/>
        </w:numPr>
        <w:spacing w:line="360" w:lineRule="auto"/>
        <w:ind w:left="420" w:leftChars="0" w:hanging="420" w:firstLineChars="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用户需求书未尽事宜详见招标文件所附合同。</w:t>
      </w:r>
    </w:p>
    <w:p>
      <w:pPr>
        <w:pStyle w:val="2"/>
        <w:numPr>
          <w:ilvl w:val="0"/>
          <w:numId w:val="12"/>
        </w:numPr>
        <w:ind w:left="420" w:leftChars="0" w:hanging="420" w:firstLineChars="0"/>
        <w:rPr>
          <w:rFonts w:hint="eastAsia"/>
          <w:highlight w:val="none"/>
          <w:lang w:val="en-US" w:eastAsia="zh-CN"/>
        </w:rPr>
      </w:pPr>
      <w:r>
        <w:rPr>
          <w:rFonts w:hint="eastAsia"/>
          <w:highlight w:val="none"/>
          <w:lang w:val="en-US" w:eastAsia="zh-CN"/>
        </w:rPr>
        <w:t>本次采购清单数量中标后如有调整，按时结算（中标单价不变*增加的数量）。</w:t>
      </w:r>
    </w:p>
    <w:p>
      <w:pPr>
        <w:spacing w:line="360" w:lineRule="auto"/>
        <w:rPr>
          <w:rFonts w:hint="eastAsia" w:ascii="宋体" w:hAnsi="宋体" w:eastAsia="宋体" w:cs="Times New Roman"/>
          <w:b w:val="0"/>
          <w:color w:val="auto"/>
          <w:sz w:val="22"/>
          <w:szCs w:val="22"/>
          <w:lang w:val="en-US" w:eastAsia="zh-CN" w:bidi="ar-SA"/>
        </w:rPr>
      </w:pPr>
      <w:bookmarkStart w:id="16" w:name="_Toc383346844"/>
      <w:bookmarkEnd w:id="16"/>
      <w:bookmarkStart w:id="17" w:name="_Toc383347136"/>
      <w:bookmarkEnd w:id="17"/>
      <w:bookmarkStart w:id="18" w:name="_Toc383347151"/>
      <w:bookmarkEnd w:id="18"/>
      <w:bookmarkStart w:id="19" w:name="_Toc383346846"/>
      <w:bookmarkEnd w:id="19"/>
      <w:bookmarkStart w:id="20" w:name="_Toc383347013"/>
      <w:bookmarkEnd w:id="20"/>
      <w:bookmarkStart w:id="21" w:name="_Toc383346952"/>
      <w:bookmarkEnd w:id="21"/>
      <w:bookmarkStart w:id="22" w:name="_Toc383347138"/>
      <w:bookmarkEnd w:id="22"/>
      <w:bookmarkStart w:id="23" w:name="_Toc383346839"/>
      <w:bookmarkEnd w:id="23"/>
      <w:bookmarkStart w:id="24" w:name="_Toc383346840"/>
      <w:bookmarkEnd w:id="24"/>
      <w:bookmarkStart w:id="25" w:name="_Toc383347125"/>
      <w:bookmarkEnd w:id="25"/>
      <w:bookmarkStart w:id="26" w:name="_Toc383347146"/>
      <w:bookmarkEnd w:id="26"/>
      <w:bookmarkStart w:id="27" w:name="_Toc383347133"/>
      <w:bookmarkEnd w:id="27"/>
      <w:bookmarkStart w:id="28" w:name="_Toc383346988"/>
      <w:bookmarkEnd w:id="28"/>
      <w:bookmarkStart w:id="29" w:name="_Toc383346950"/>
      <w:bookmarkEnd w:id="29"/>
      <w:bookmarkStart w:id="30" w:name="_Toc383347115"/>
      <w:bookmarkEnd w:id="30"/>
      <w:bookmarkStart w:id="31" w:name="_Toc383347157"/>
      <w:bookmarkEnd w:id="31"/>
      <w:bookmarkStart w:id="32" w:name="_Toc383347119"/>
      <w:bookmarkEnd w:id="32"/>
      <w:bookmarkStart w:id="33" w:name="_Toc383347158"/>
      <w:bookmarkEnd w:id="33"/>
      <w:bookmarkStart w:id="34" w:name="_Toc383347018"/>
      <w:bookmarkEnd w:id="34"/>
      <w:bookmarkStart w:id="35" w:name="_Toc383346822"/>
      <w:bookmarkEnd w:id="35"/>
      <w:bookmarkStart w:id="36" w:name="_Toc380880465"/>
      <w:bookmarkEnd w:id="36"/>
      <w:bookmarkStart w:id="37" w:name="_Toc383347160"/>
      <w:bookmarkEnd w:id="37"/>
      <w:bookmarkStart w:id="38" w:name="_Toc383347141"/>
      <w:bookmarkEnd w:id="38"/>
      <w:bookmarkStart w:id="39" w:name="_Toc383347152"/>
      <w:bookmarkEnd w:id="39"/>
      <w:bookmarkStart w:id="40" w:name="_Toc383346835"/>
      <w:bookmarkEnd w:id="40"/>
      <w:bookmarkStart w:id="41" w:name="_Toc383346823"/>
      <w:bookmarkEnd w:id="41"/>
      <w:bookmarkStart w:id="42" w:name="_Toc383346983"/>
      <w:bookmarkEnd w:id="42"/>
      <w:bookmarkStart w:id="43" w:name="_Toc383346842"/>
      <w:bookmarkEnd w:id="43"/>
      <w:bookmarkStart w:id="44" w:name="_Toc383347137"/>
      <w:bookmarkEnd w:id="44"/>
      <w:bookmarkStart w:id="45" w:name="_Toc383347127"/>
      <w:bookmarkEnd w:id="45"/>
      <w:bookmarkStart w:id="46" w:name="_Toc383346818"/>
      <w:bookmarkEnd w:id="46"/>
      <w:bookmarkStart w:id="47" w:name="_Toc383347144"/>
      <w:bookmarkEnd w:id="47"/>
      <w:bookmarkStart w:id="48" w:name="_Toc383347128"/>
      <w:bookmarkEnd w:id="48"/>
      <w:bookmarkStart w:id="49" w:name="_Toc383347135"/>
      <w:bookmarkEnd w:id="49"/>
      <w:bookmarkStart w:id="50" w:name="_Toc383347124"/>
      <w:bookmarkEnd w:id="50"/>
      <w:bookmarkStart w:id="51" w:name="_Toc383346845"/>
      <w:bookmarkEnd w:id="51"/>
      <w:bookmarkStart w:id="52" w:name="_Toc380880407"/>
      <w:bookmarkEnd w:id="52"/>
      <w:bookmarkStart w:id="53" w:name="_Toc383346855"/>
      <w:bookmarkEnd w:id="53"/>
      <w:bookmarkStart w:id="54" w:name="_Toc383347116"/>
      <w:bookmarkEnd w:id="54"/>
      <w:bookmarkStart w:id="55" w:name="_Toc383347120"/>
      <w:bookmarkEnd w:id="55"/>
      <w:bookmarkStart w:id="56" w:name="_Toc383346834"/>
      <w:bookmarkEnd w:id="56"/>
      <w:bookmarkStart w:id="57" w:name="_Toc383347102"/>
      <w:bookmarkEnd w:id="57"/>
      <w:bookmarkStart w:id="58" w:name="_Toc383347145"/>
      <w:bookmarkEnd w:id="58"/>
      <w:bookmarkStart w:id="59" w:name="_Toc383347113"/>
      <w:bookmarkEnd w:id="59"/>
      <w:bookmarkStart w:id="60" w:name="_Toc383346821"/>
      <w:bookmarkEnd w:id="60"/>
      <w:bookmarkStart w:id="61" w:name="_Toc383346852"/>
      <w:bookmarkEnd w:id="61"/>
      <w:bookmarkStart w:id="62" w:name="_Toc383346849"/>
      <w:bookmarkEnd w:id="62"/>
      <w:bookmarkStart w:id="63" w:name="_Toc383346858"/>
      <w:bookmarkEnd w:id="63"/>
      <w:bookmarkStart w:id="64" w:name="_Toc383346856"/>
      <w:bookmarkEnd w:id="64"/>
      <w:bookmarkStart w:id="65" w:name="_Toc383346847"/>
      <w:bookmarkEnd w:id="65"/>
      <w:bookmarkStart w:id="66" w:name="_Toc383346851"/>
      <w:bookmarkEnd w:id="66"/>
      <w:bookmarkStart w:id="67" w:name="_Toc383347148"/>
      <w:bookmarkEnd w:id="67"/>
      <w:bookmarkStart w:id="68" w:name="_Toc383347111"/>
      <w:bookmarkEnd w:id="68"/>
      <w:bookmarkStart w:id="69" w:name="_Toc383347143"/>
      <w:bookmarkEnd w:id="69"/>
      <w:bookmarkStart w:id="70" w:name="_Toc383346853"/>
      <w:bookmarkEnd w:id="70"/>
      <w:bookmarkStart w:id="71" w:name="_Toc380880408"/>
      <w:bookmarkEnd w:id="71"/>
      <w:bookmarkStart w:id="72" w:name="_Toc383346828"/>
      <w:bookmarkEnd w:id="72"/>
      <w:bookmarkStart w:id="73" w:name="_Toc383347156"/>
      <w:bookmarkEnd w:id="73"/>
      <w:bookmarkStart w:id="74" w:name="_Toc383347154"/>
      <w:bookmarkEnd w:id="74"/>
      <w:bookmarkStart w:id="75" w:name="_Toc383347132"/>
      <w:bookmarkEnd w:id="75"/>
      <w:bookmarkStart w:id="76" w:name="_Toc383346831"/>
      <w:bookmarkEnd w:id="76"/>
      <w:bookmarkStart w:id="77" w:name="_Toc383347048"/>
      <w:bookmarkEnd w:id="77"/>
      <w:bookmarkStart w:id="78" w:name="_Toc383346843"/>
      <w:bookmarkEnd w:id="78"/>
      <w:bookmarkStart w:id="79" w:name="_Toc383347112"/>
      <w:bookmarkEnd w:id="79"/>
      <w:bookmarkStart w:id="80" w:name="_Toc383346968"/>
      <w:bookmarkEnd w:id="80"/>
      <w:bookmarkStart w:id="81" w:name="_Toc383347122"/>
      <w:bookmarkEnd w:id="81"/>
      <w:bookmarkStart w:id="82" w:name="_Toc383347153"/>
      <w:bookmarkEnd w:id="82"/>
      <w:bookmarkStart w:id="83" w:name="_Toc383347114"/>
      <w:bookmarkEnd w:id="83"/>
      <w:bookmarkStart w:id="84" w:name="_Toc383347108"/>
      <w:bookmarkEnd w:id="84"/>
      <w:bookmarkStart w:id="85" w:name="_Toc383346895"/>
      <w:bookmarkEnd w:id="85"/>
      <w:bookmarkStart w:id="86" w:name="_Toc383346825"/>
      <w:bookmarkEnd w:id="86"/>
      <w:bookmarkStart w:id="87" w:name="_Toc383347159"/>
      <w:bookmarkEnd w:id="87"/>
      <w:bookmarkStart w:id="88" w:name="_Toc383347149"/>
      <w:bookmarkEnd w:id="88"/>
      <w:bookmarkStart w:id="89" w:name="_Toc383346815"/>
      <w:bookmarkEnd w:id="89"/>
      <w:bookmarkStart w:id="90" w:name="_Toc383346951"/>
      <w:bookmarkEnd w:id="90"/>
      <w:bookmarkStart w:id="91" w:name="_Toc383346832"/>
      <w:bookmarkEnd w:id="91"/>
      <w:bookmarkStart w:id="92" w:name="_Toc383347110"/>
      <w:bookmarkEnd w:id="92"/>
      <w:bookmarkStart w:id="93" w:name="_Toc383347008"/>
      <w:bookmarkEnd w:id="93"/>
      <w:bookmarkStart w:id="94" w:name="_Toc383346854"/>
      <w:bookmarkEnd w:id="94"/>
      <w:bookmarkStart w:id="95" w:name="_Toc383346816"/>
      <w:bookmarkEnd w:id="95"/>
      <w:bookmarkStart w:id="96" w:name="_Toc383346848"/>
      <w:bookmarkEnd w:id="96"/>
      <w:bookmarkStart w:id="97" w:name="_Toc383346819"/>
      <w:bookmarkEnd w:id="97"/>
      <w:bookmarkStart w:id="98" w:name="_Toc383346830"/>
      <w:bookmarkEnd w:id="98"/>
      <w:bookmarkStart w:id="99" w:name="_Toc383346826"/>
      <w:bookmarkEnd w:id="99"/>
      <w:bookmarkStart w:id="100" w:name="_Toc380880461"/>
      <w:bookmarkEnd w:id="100"/>
      <w:bookmarkStart w:id="101" w:name="_Toc383346833"/>
      <w:bookmarkEnd w:id="101"/>
      <w:bookmarkStart w:id="102" w:name="_Toc383346837"/>
      <w:bookmarkEnd w:id="102"/>
      <w:bookmarkStart w:id="103" w:name="_Toc383346998"/>
      <w:bookmarkEnd w:id="103"/>
      <w:bookmarkStart w:id="104" w:name="_Toc383347150"/>
      <w:bookmarkEnd w:id="104"/>
      <w:bookmarkStart w:id="105" w:name="_Toc383347023"/>
      <w:bookmarkEnd w:id="105"/>
      <w:bookmarkStart w:id="106" w:name="_Toc383346993"/>
      <w:bookmarkEnd w:id="106"/>
      <w:bookmarkStart w:id="107" w:name="_Toc383347003"/>
      <w:bookmarkEnd w:id="107"/>
      <w:bookmarkStart w:id="108" w:name="_Toc383346841"/>
      <w:bookmarkEnd w:id="108"/>
      <w:bookmarkStart w:id="109" w:name="_Toc383346827"/>
      <w:bookmarkEnd w:id="109"/>
      <w:bookmarkStart w:id="110" w:name="_Toc383347126"/>
      <w:bookmarkEnd w:id="110"/>
      <w:bookmarkStart w:id="111" w:name="_Toc383346829"/>
      <w:bookmarkEnd w:id="111"/>
      <w:bookmarkStart w:id="112" w:name="_Toc383347130"/>
      <w:bookmarkEnd w:id="112"/>
      <w:bookmarkStart w:id="113" w:name="_Toc383347140"/>
      <w:bookmarkEnd w:id="113"/>
      <w:bookmarkStart w:id="114" w:name="_Toc383346948"/>
      <w:bookmarkEnd w:id="114"/>
      <w:bookmarkStart w:id="115" w:name="_Toc383347139"/>
      <w:bookmarkEnd w:id="115"/>
      <w:bookmarkStart w:id="116" w:name="_Toc383346862"/>
      <w:bookmarkEnd w:id="116"/>
      <w:bookmarkStart w:id="117" w:name="_Toc383347134"/>
      <w:bookmarkEnd w:id="117"/>
      <w:bookmarkStart w:id="118" w:name="_Toc383347121"/>
      <w:bookmarkEnd w:id="118"/>
      <w:bookmarkStart w:id="119" w:name="_Toc383347109"/>
      <w:bookmarkEnd w:id="119"/>
      <w:bookmarkStart w:id="120" w:name="_Toc383346857"/>
      <w:bookmarkEnd w:id="120"/>
      <w:bookmarkStart w:id="121" w:name="_Toc383346824"/>
      <w:bookmarkEnd w:id="121"/>
      <w:bookmarkStart w:id="122" w:name="_Toc383346973"/>
      <w:bookmarkEnd w:id="122"/>
      <w:bookmarkStart w:id="123" w:name="_Toc383346838"/>
      <w:bookmarkEnd w:id="123"/>
      <w:bookmarkStart w:id="124" w:name="_Toc383346820"/>
      <w:bookmarkEnd w:id="124"/>
      <w:bookmarkStart w:id="125" w:name="_Toc383346894"/>
      <w:bookmarkEnd w:id="125"/>
      <w:bookmarkStart w:id="126" w:name="_Toc383346817"/>
      <w:bookmarkEnd w:id="126"/>
      <w:bookmarkStart w:id="127" w:name="_Toc383346850"/>
      <w:bookmarkEnd w:id="127"/>
      <w:bookmarkStart w:id="128" w:name="_Toc383347131"/>
      <w:bookmarkEnd w:id="128"/>
      <w:bookmarkStart w:id="129" w:name="_Toc383347117"/>
      <w:bookmarkEnd w:id="129"/>
      <w:bookmarkStart w:id="130" w:name="_Toc383347129"/>
      <w:bookmarkEnd w:id="130"/>
      <w:bookmarkStart w:id="131" w:name="_Toc383346836"/>
      <w:bookmarkEnd w:id="131"/>
      <w:bookmarkStart w:id="132" w:name="_Toc383347147"/>
      <w:bookmarkEnd w:id="132"/>
      <w:bookmarkStart w:id="133" w:name="_Toc383347118"/>
      <w:bookmarkEnd w:id="133"/>
      <w:r>
        <w:rPr>
          <w:rFonts w:hint="eastAsia" w:ascii="宋体" w:hAnsi="宋体" w:eastAsia="宋体" w:cs="Times New Roman"/>
          <w:b w:val="0"/>
          <w:color w:val="auto"/>
          <w:sz w:val="22"/>
          <w:szCs w:val="22"/>
          <w:lang w:val="en-US" w:eastAsia="zh-CN" w:bidi="ar-SA"/>
        </w:rPr>
        <w:t>一、总则</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1、交货地点：招标人指定地点。</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2、中标人承担及负责招标文件对中标人要求的一切事宜及责任。包括货物（即本采购项目中的办公家具，在本用户需求书中也称“产品”）的优化设计、生产、制作、供货、运输、保管、验收、安装及相关服务等。</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3、本技术规范要求提出的是基本技术要求，并未对所有技术细节作出规定，供应商应提供符合本技术要求和国家标准、行业标准的优质产品。</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4、供应商产品与本技术要求不一致时，供应商应在投标文件中予以说明，并由评标委员会鉴定供应商产品能否达到要求。如供应商没有在投标文件中提出异议，则视为供应商提供的产品完全按照本招标文件要求。</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5、招标人有权在签订合同时对项目方案作适当修改或调整。</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6、中标人不得以任何方式转包或分包本项目。</w:t>
      </w:r>
      <w:bookmarkStart w:id="134" w:name="_Hlt14094356"/>
      <w:bookmarkEnd w:id="134"/>
      <w:bookmarkStart w:id="135" w:name="_Toc9876857"/>
      <w:bookmarkStart w:id="136" w:name="_Toc508095716"/>
      <w:bookmarkStart w:id="137" w:name="_Toc14492260"/>
      <w:bookmarkStart w:id="138" w:name="_Toc508094842"/>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二、项目基本要求</w:t>
      </w:r>
      <w:bookmarkEnd w:id="135"/>
      <w:bookmarkEnd w:id="136"/>
      <w:bookmarkEnd w:id="137"/>
      <w:bookmarkEnd w:id="138"/>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1</w:t>
      </w:r>
      <w:r>
        <w:rPr>
          <w:rFonts w:hint="eastAsia" w:ascii="宋体" w:hAnsi="宋体" w:eastAsia="宋体" w:cs="Times New Roman"/>
          <w:b w:val="0"/>
          <w:color w:val="auto"/>
          <w:sz w:val="22"/>
          <w:szCs w:val="22"/>
          <w:highlight w:val="none"/>
          <w:lang w:val="en-US" w:eastAsia="zh-CN" w:bidi="ar-SA"/>
        </w:rPr>
        <w:t>、投标人应提供已注册品牌制造商原装、全新的、符合国家及用户提出的有关质量标准的产品。</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2、交货时，所有货物在开箱检验时必须完好，无破损，配置与装箱单相符。数量、质量及性能不低于本需求书中提出的要求。</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3、交货时，产品外观清洁，标记编号以及盘面显示等字体清晰，明确能够准确无误地表示产品的型号、规格、制造商。</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4、对于影响产品正常工作的必要组成部分，无论在技术规范中指出与否，投标人都应提供并在投标文件中明确列出。</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5、交货时，所有货物提供制造商出具的出厂合格证、原材料的生产证明等质量证明文件。</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6、项目安装完毕，验收，供货方应接受招标方对整个项目的产品进行抽样检测或送往第三方质量检测机构进行检测，必须保证所有产品均通过验收要求，若产品检测不标，相关的赔偿由供货方负责。</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7、投标人投标时所提供的产品如在实际供货时已经废型（不列入该厂家当时的产品系统），如果未能按原价提供更高配置的设备，则按违约处理。</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8、若被发现提供的货物未能达到招标文件和投标文件中的有关要求，将按有关法规或合同约定进行处罚。</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9</w:t>
      </w:r>
      <w:r>
        <w:rPr>
          <w:rFonts w:hint="eastAsia" w:ascii="宋体" w:hAnsi="宋体" w:eastAsia="宋体" w:cs="Times New Roman"/>
          <w:b w:val="0"/>
          <w:color w:val="auto"/>
          <w:sz w:val="22"/>
          <w:szCs w:val="22"/>
          <w:lang w:val="en-US" w:eastAsia="zh-CN" w:bidi="ar-SA"/>
        </w:rPr>
        <w:t xml:space="preserve">、相关标准和要求 </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9</w:t>
      </w:r>
      <w:r>
        <w:rPr>
          <w:rFonts w:hint="eastAsia" w:ascii="宋体" w:hAnsi="宋体" w:eastAsia="宋体" w:cs="Times New Roman"/>
          <w:b w:val="0"/>
          <w:color w:val="auto"/>
          <w:sz w:val="22"/>
          <w:szCs w:val="22"/>
          <w:lang w:val="en-US" w:eastAsia="zh-CN" w:bidi="ar-SA"/>
        </w:rPr>
        <w:t>.1家具的重要尺寸：</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GB/T3326-2016桌、椅、凳类；</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GB/T3327-2016柜类；</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GB/T14532-2017办公家具 木制柜、架；</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GB/T3328-2016床类。</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3976-2002学校课桌椅功能尺寸</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GB/T22792.1-2009 办公家具 屏风 第1部分：尺寸</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QB/T 1241-2013家具五金 家具拉手安装尺寸</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QB/T 1242-1991家具五金 杯状暗铰链安装尺寸</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QB/T 4450-2013家具用木制零件断面尺寸</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QB/T 4451-2013家具功能尺寸的标注</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QB/T 4453-2013木家具 几何公差</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7.2家具主要技术要求：</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GB/T3324-2017木制家具类；</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GB/T3325-2017金属家具类；</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GB/T24821-2009餐桌餐椅</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9</w:t>
      </w:r>
      <w:r>
        <w:rPr>
          <w:rFonts w:hint="eastAsia" w:ascii="宋体" w:hAnsi="宋体" w:eastAsia="宋体" w:cs="Times New Roman"/>
          <w:b w:val="0"/>
          <w:color w:val="auto"/>
          <w:sz w:val="22"/>
          <w:szCs w:val="22"/>
          <w:lang w:val="en-US" w:eastAsia="zh-CN" w:bidi="ar-SA"/>
        </w:rPr>
        <w:t>.3漆膜理化性能：</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9</w:t>
      </w:r>
      <w:r>
        <w:rPr>
          <w:rFonts w:hint="eastAsia" w:ascii="宋体" w:hAnsi="宋体" w:eastAsia="宋体" w:cs="Times New Roman"/>
          <w:b w:val="0"/>
          <w:color w:val="auto"/>
          <w:sz w:val="22"/>
          <w:szCs w:val="22"/>
          <w:lang w:val="en-US" w:eastAsia="zh-CN" w:bidi="ar-SA"/>
        </w:rPr>
        <w:t>.3.1木制件</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4893.1-2005家具表面耐冷液测定法；</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4893.2-2005家具表面耐湿热测定法；</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4893.3-2005家具表面耐干热测定法；</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4893.4-2013家具表面漆膜理化性能试验；</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4893.7-2013家具表面漆膜理化性能试验；</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4893.8-2013家具表面漆膜理化性能试验</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4893.9-2013家具表面漆膜理化性能试验；</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QB/T 4461-2013木家具表面涂装技术要求</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QB/T 4373-2012家具表面涂覆  水性木器涂料施工技术规范</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9</w:t>
      </w:r>
      <w:r>
        <w:rPr>
          <w:rFonts w:hint="eastAsia" w:ascii="宋体" w:hAnsi="宋体" w:eastAsia="宋体" w:cs="Times New Roman"/>
          <w:b w:val="0"/>
          <w:color w:val="auto"/>
          <w:sz w:val="22"/>
          <w:szCs w:val="22"/>
          <w:lang w:val="en-US" w:eastAsia="zh-CN" w:bidi="ar-SA"/>
        </w:rPr>
        <w:t>.3.2 金属件</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1732-1993漆膜耐冲击性测定法；</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1720-1979漆膜附着力测定法；</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22316-2008电镀锡钢板耐腐蚀性试验方法。</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9</w:t>
      </w:r>
      <w:r>
        <w:rPr>
          <w:rFonts w:hint="eastAsia" w:ascii="宋体" w:hAnsi="宋体" w:eastAsia="宋体" w:cs="Times New Roman"/>
          <w:b w:val="0"/>
          <w:color w:val="auto"/>
          <w:sz w:val="22"/>
          <w:szCs w:val="22"/>
          <w:lang w:val="en-US" w:eastAsia="zh-CN" w:bidi="ar-SA"/>
        </w:rPr>
        <w:t>.3.3产品力学性能：</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10357.1-2013桌子强度及耐久性实验；</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10357.3-2013椅子强度及耐久性实验；</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10357.5-2011柜子强度及耐久性实验；</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10357.7-2013桌子稳定性；</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10357.2-2013椅子稳定性；</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10357.4-2013柜子稳定性。</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28200-2011钢制储物柜（架）技术要求及试验方法</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28203-2011家具用连接件技术要求及试验方法</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GB/T 28220-2011钢制储物柜（架）技术要求及试验方法</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QB/T 4448-2013家具表面软质覆面材料剥离强度的测定</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QB/T 4449-2013家具表面硬质覆面材料剥离强度的测定</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9</w:t>
      </w:r>
      <w:r>
        <w:rPr>
          <w:rFonts w:hint="eastAsia" w:ascii="宋体" w:hAnsi="宋体" w:eastAsia="宋体" w:cs="Times New Roman"/>
          <w:b w:val="0"/>
          <w:color w:val="auto"/>
          <w:sz w:val="22"/>
          <w:szCs w:val="22"/>
          <w:lang w:val="en-US" w:eastAsia="zh-CN" w:bidi="ar-SA"/>
        </w:rPr>
        <w:t>.4环保及防火性能要求：</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家具整体性能符合GB 18584-2001的要求。</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9</w:t>
      </w:r>
      <w:r>
        <w:rPr>
          <w:rFonts w:hint="eastAsia" w:ascii="宋体" w:hAnsi="宋体" w:eastAsia="宋体" w:cs="Times New Roman"/>
          <w:b w:val="0"/>
          <w:color w:val="auto"/>
          <w:sz w:val="22"/>
          <w:szCs w:val="22"/>
          <w:lang w:val="en-US" w:eastAsia="zh-CN" w:bidi="ar-SA"/>
        </w:rPr>
        <w:t>.5本招标文件中未包括的标准和规范以及非现行的标准和规范，投标人应提供现行的标准和规范的名称及标准号。</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9</w:t>
      </w:r>
      <w:r>
        <w:rPr>
          <w:rFonts w:hint="eastAsia" w:ascii="宋体" w:hAnsi="宋体" w:eastAsia="宋体" w:cs="Times New Roman"/>
          <w:b w:val="0"/>
          <w:color w:val="auto"/>
          <w:sz w:val="22"/>
          <w:szCs w:val="22"/>
          <w:lang w:val="en-US" w:eastAsia="zh-CN" w:bidi="ar-SA"/>
        </w:rPr>
        <w:t>.6投标人的产品其主材及配件等必须符合采购文件技术要求，技术要求中没有注明品牌及产地的、投标人必须在投标文件上注明。</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9</w:t>
      </w:r>
      <w:r>
        <w:rPr>
          <w:rFonts w:hint="eastAsia" w:ascii="宋体" w:hAnsi="宋体" w:eastAsia="宋体" w:cs="Times New Roman"/>
          <w:b w:val="0"/>
          <w:color w:val="auto"/>
          <w:sz w:val="22"/>
          <w:szCs w:val="22"/>
          <w:lang w:val="en-US" w:eastAsia="zh-CN" w:bidi="ar-SA"/>
        </w:rPr>
        <w:t>.7招标文件中的国家标准若有更新，以最新国标为准。</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三</w:t>
      </w:r>
      <w:r>
        <w:rPr>
          <w:rFonts w:hint="eastAsia" w:ascii="宋体" w:hAnsi="宋体" w:eastAsia="宋体" w:cs="Times New Roman"/>
          <w:b w:val="0"/>
          <w:color w:val="auto"/>
          <w:sz w:val="22"/>
          <w:szCs w:val="22"/>
          <w:lang w:val="en-US" w:eastAsia="zh-CN" w:bidi="ar-SA"/>
        </w:rPr>
        <w:t>、其他：</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1、投标人所投家具须为绿色环保家具，甲醛等有害物质释放量必须符合国家的相关环保规定，且投标家具须符合国家及行业标准及招标文件技术要求。</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2、投标所有家具必须是未使用过的、表面和内部均无瑕疵的原厂原装、全新家具，家具所使用面材、基材、油漆、胶水、五金件必须满足国家及行业标准及招标文件技术要求。</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3、供货时须提供家具合格证、出厂检验报告及保修证书等资料。</w:t>
      </w:r>
      <w:r>
        <w:rPr>
          <w:rFonts w:hint="eastAsia" w:ascii="宋体" w:hAnsi="宋体" w:eastAsia="宋体" w:cs="Times New Roman"/>
          <w:b w:val="0"/>
          <w:color w:val="auto"/>
          <w:sz w:val="22"/>
          <w:szCs w:val="22"/>
          <w:lang w:val="en-US" w:eastAsia="zh-CN" w:bidi="ar-SA"/>
        </w:rPr>
        <w:br w:type="textWrapping"/>
      </w:r>
      <w:r>
        <w:rPr>
          <w:rFonts w:hint="eastAsia" w:ascii="宋体" w:hAnsi="宋体" w:eastAsia="宋体" w:cs="Times New Roman"/>
          <w:b w:val="0"/>
          <w:color w:val="auto"/>
          <w:sz w:val="22"/>
          <w:szCs w:val="22"/>
          <w:lang w:val="en-US" w:eastAsia="zh-CN" w:bidi="ar-SA"/>
        </w:rPr>
        <w:t>4、关于家具的具体颜色，在家具批量生产前，中标人必须提供相关的色板供招标人筛选确认，相关费用包含在投标总价中。中标人必须按招标人确认的色板颜色交货。其中，颜色的改变不影响最终结算价格。</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5、关于家具的具体材料质地，在家具批量生产前，中标人必须提供相关材料样板供招标人筛选确认，相关费用包含在投标总价中。中标人必须按招标人确认的材料样板交货。</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6、中标人应在招标人要求的指定地点位置安装相应家具。如安装地点位置及质量不符合招标人要求，中标人应返工重新安装，并承担相应费用，且工期不顺延。</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四</w:t>
      </w:r>
      <w:r>
        <w:rPr>
          <w:rFonts w:hint="eastAsia" w:ascii="宋体" w:hAnsi="宋体" w:eastAsia="宋体" w:cs="Times New Roman"/>
          <w:b w:val="0"/>
          <w:color w:val="auto"/>
          <w:sz w:val="22"/>
          <w:szCs w:val="22"/>
          <w:lang w:val="en-US" w:eastAsia="zh-CN" w:bidi="ar-SA"/>
        </w:rPr>
        <w:t>、包装、装卸、运输、保管及保险</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1、包装必须与运输方式相适应，包装方式的确定及包装费用均由中标人负责；由于不适当的包装而造成货物在运输过程中有任何损坏、丢失由中标人负责。</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2、包装应足以承受整个过程中的运输、转运、装卸、储存等，充分考虑到运输途中的各种情况（如暴露于恶劣气候等）和**地区的气候特点，以及露天存放的需要。</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3、专用工具及备品备件应分别包装，并在包装箱外加以注明其用处。</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4、应采用防潮、防碰撞等符合投标家具特性及满足其运输要求的木包装，在每件家具的包装外表以不褪色的颜料标明箱/件号、毛重、尺码、净重、家具名称、到货地址、收货地址、收货人以及下列“勿近潮湿”、“小心轻放”、“此边朝上”等。运输方式由中标人自定。由于不适当包装或不适当装卸、运输造成的家具损失由中标人负责。</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5、货物在验收合格前的保险由中标人负责，中标人负责其派出的现场服务人员人身意外保险。</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五</w:t>
      </w:r>
      <w:r>
        <w:rPr>
          <w:rFonts w:hint="eastAsia" w:ascii="宋体" w:hAnsi="宋体" w:eastAsia="宋体" w:cs="Times New Roman"/>
          <w:b w:val="0"/>
          <w:color w:val="auto"/>
          <w:sz w:val="22"/>
          <w:szCs w:val="22"/>
          <w:lang w:val="en-US" w:eastAsia="zh-CN" w:bidi="ar-SA"/>
        </w:rPr>
        <w:t>、安装及调试</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1、中标人负责到用户指定的地点进行免费安装及调试。</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2、中标人应设安装负责人，负责安装协调管理工作。</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3、货物的拆箱、安装及调试等项工作由中标人负责，但必须在招标人指定人员的参与下进行。调试的原始记录须经各方签字后作为验收的文件之一。</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六</w:t>
      </w:r>
      <w:r>
        <w:rPr>
          <w:rFonts w:hint="eastAsia" w:ascii="宋体" w:hAnsi="宋体" w:eastAsia="宋体" w:cs="Times New Roman"/>
          <w:b w:val="0"/>
          <w:color w:val="auto"/>
          <w:sz w:val="22"/>
          <w:szCs w:val="22"/>
          <w:lang w:val="en-US" w:eastAsia="zh-CN" w:bidi="ar-SA"/>
        </w:rPr>
        <w:t>、验收</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1、投标人应给出项目详细的验收方案，包括验收项目、验收标准，验收实施办法等。</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2、国内生产的部件必须有国家有关部门的认证合格证，强制认证产品必须有3C认证。</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3、国外生产的部件必须有合法的进货渠道证明及原产地证明。</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4、验收由招标人及相关人员依国家有关标准、合同及有关附件要求进行。</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5、验收完毕须由供需双方代表在验收报告上签名。</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6、验收标准：合格。招标人认为有必要时，可以要求中标人将货物送**省法定计量检定机构检定（检定费用由中标人负责），检定合格为最终验收标准。</w:t>
      </w:r>
    </w:p>
    <w:p>
      <w:pPr>
        <w:spacing w:line="360" w:lineRule="auto"/>
        <w:rPr>
          <w:rFonts w:hint="eastAsia" w:ascii="宋体" w:hAnsi="宋体" w:eastAsia="宋体" w:cs="Times New Roman"/>
          <w:b w:val="0"/>
          <w:color w:val="auto"/>
          <w:sz w:val="22"/>
          <w:szCs w:val="22"/>
          <w:lang w:val="en-US" w:eastAsia="zh-CN" w:bidi="ar-SA"/>
        </w:rPr>
      </w:pPr>
      <w:r>
        <w:rPr>
          <w:rFonts w:hint="eastAsia" w:ascii="宋体" w:eastAsia="宋体" w:cs="Times New Roman"/>
          <w:b w:val="0"/>
          <w:color w:val="auto"/>
          <w:sz w:val="22"/>
          <w:szCs w:val="22"/>
          <w:lang w:val="en-US" w:eastAsia="zh-CN" w:bidi="ar-SA"/>
        </w:rPr>
        <w:t>七</w:t>
      </w:r>
      <w:r>
        <w:rPr>
          <w:rFonts w:hint="eastAsia" w:ascii="宋体" w:hAnsi="宋体" w:eastAsia="宋体" w:cs="Times New Roman"/>
          <w:b w:val="0"/>
          <w:color w:val="auto"/>
          <w:sz w:val="22"/>
          <w:szCs w:val="22"/>
          <w:lang w:val="en-US" w:eastAsia="zh-CN" w:bidi="ar-SA"/>
        </w:rPr>
        <w:t>、质量保证及售后服务</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1、投标人必须提供目前市场上技术较先进、成熟的原装、全新产品，并且符合国家相关标准。</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2、投标人必须保证所有货物均为原装正货。</w:t>
      </w:r>
    </w:p>
    <w:p>
      <w:pPr>
        <w:spacing w:line="360" w:lineRule="auto"/>
        <w:rPr>
          <w:rFonts w:hint="eastAsia" w:ascii="宋体" w:hAnsi="宋体" w:eastAsia="宋体" w:cs="Times New Roman"/>
          <w:b w:val="0"/>
          <w:color w:val="auto"/>
          <w:sz w:val="22"/>
          <w:szCs w:val="22"/>
          <w:highlight w:val="none"/>
          <w:u w:val="single"/>
          <w:lang w:val="en-US" w:eastAsia="zh-CN" w:bidi="ar-SA"/>
        </w:rPr>
      </w:pPr>
      <w:r>
        <w:rPr>
          <w:rFonts w:hint="eastAsia" w:ascii="宋体" w:hAnsi="宋体" w:eastAsia="宋体" w:cs="Times New Roman"/>
          <w:b w:val="0"/>
          <w:color w:val="auto"/>
          <w:sz w:val="22"/>
          <w:szCs w:val="22"/>
          <w:lang w:val="en-US" w:eastAsia="zh-CN" w:bidi="ar-SA"/>
        </w:rPr>
        <w:t>3</w:t>
      </w:r>
      <w:r>
        <w:rPr>
          <w:rFonts w:hint="eastAsia" w:ascii="宋体" w:hAnsi="宋体" w:eastAsia="宋体" w:cs="Times New Roman"/>
          <w:b w:val="0"/>
          <w:color w:val="auto"/>
          <w:sz w:val="22"/>
          <w:szCs w:val="22"/>
          <w:highlight w:val="none"/>
          <w:lang w:val="en-US" w:eastAsia="zh-CN" w:bidi="ar-SA"/>
        </w:rPr>
        <w:t>、</w:t>
      </w:r>
      <w:r>
        <w:rPr>
          <w:rFonts w:hint="eastAsia" w:ascii="新宋体" w:hAnsi="新宋体" w:eastAsia="新宋体" w:cs="新宋体"/>
          <w:b/>
          <w:bCs/>
          <w:color w:val="auto"/>
          <w:sz w:val="22"/>
          <w:szCs w:val="22"/>
          <w:highlight w:val="none"/>
        </w:rPr>
        <w:t>▲</w:t>
      </w:r>
      <w:r>
        <w:rPr>
          <w:rFonts w:hint="eastAsia" w:ascii="宋体" w:hAnsi="宋体" w:eastAsia="宋体" w:cs="Times New Roman"/>
          <w:b w:val="0"/>
          <w:color w:val="auto"/>
          <w:sz w:val="22"/>
          <w:szCs w:val="22"/>
          <w:highlight w:val="none"/>
          <w:u w:val="single"/>
          <w:lang w:val="en-US" w:eastAsia="zh-CN" w:bidi="ar-SA"/>
        </w:rPr>
        <w:t>所有产品均须提供至少3年的质量保修期，质量保修期内免费更换损坏的零配件，中标人应按国家对该类产品的规定实行三包。质保期自供需双方共同签署验收合格单之日起算。</w:t>
      </w:r>
    </w:p>
    <w:p>
      <w:pPr>
        <w:spacing w:line="360" w:lineRule="auto"/>
        <w:ind w:left="315" w:hanging="330" w:hangingChars="150"/>
        <w:rPr>
          <w:rFonts w:hint="eastAsia" w:ascii="宋体" w:hAnsi="宋体" w:eastAsia="宋体" w:cs="Times New Roman"/>
          <w:b w:val="0"/>
          <w:color w:val="auto"/>
          <w:sz w:val="22"/>
          <w:szCs w:val="22"/>
          <w:highlight w:val="none"/>
          <w:u w:val="single"/>
          <w:lang w:val="en-US" w:eastAsia="zh-CN" w:bidi="ar-SA"/>
        </w:rPr>
      </w:pPr>
      <w:r>
        <w:rPr>
          <w:rFonts w:hint="eastAsia" w:ascii="宋体" w:hAnsi="宋体" w:eastAsia="宋体" w:cs="Times New Roman"/>
          <w:b w:val="0"/>
          <w:color w:val="auto"/>
          <w:sz w:val="22"/>
          <w:szCs w:val="22"/>
          <w:highlight w:val="none"/>
          <w:u w:val="single"/>
          <w:lang w:val="en-US" w:eastAsia="zh-CN" w:bidi="ar-SA"/>
        </w:rPr>
        <w:t>4、质量保修期内中标人负责所有因产品质量问题而产生的费用。</w:t>
      </w:r>
    </w:p>
    <w:p>
      <w:pPr>
        <w:spacing w:line="360" w:lineRule="auto"/>
        <w:ind w:left="315" w:hanging="330" w:hangingChars="150"/>
        <w:rPr>
          <w:rFonts w:hint="eastAsia" w:ascii="宋体" w:hAnsi="宋体" w:eastAsia="宋体" w:cs="Times New Roman"/>
          <w:b w:val="0"/>
          <w:color w:val="auto"/>
          <w:sz w:val="22"/>
          <w:szCs w:val="22"/>
          <w:highlight w:val="none"/>
          <w:u w:val="single"/>
          <w:lang w:val="en-US" w:eastAsia="zh-CN" w:bidi="ar-SA"/>
        </w:rPr>
      </w:pPr>
      <w:r>
        <w:rPr>
          <w:rFonts w:hint="eastAsia" w:ascii="宋体" w:hAnsi="宋体" w:eastAsia="宋体" w:cs="Times New Roman"/>
          <w:b w:val="0"/>
          <w:color w:val="auto"/>
          <w:sz w:val="22"/>
          <w:szCs w:val="22"/>
          <w:highlight w:val="none"/>
          <w:u w:val="single"/>
          <w:lang w:val="en-US" w:eastAsia="zh-CN" w:bidi="ar-SA"/>
        </w:rPr>
        <w:t>5、投标人须定期回访以及对产品维修。</w:t>
      </w:r>
    </w:p>
    <w:p>
      <w:pPr>
        <w:spacing w:line="360" w:lineRule="auto"/>
        <w:ind w:left="1"/>
        <w:rPr>
          <w:rFonts w:hint="eastAsia" w:ascii="宋体" w:hAnsi="宋体" w:eastAsia="宋体" w:cs="Times New Roman"/>
          <w:b w:val="0"/>
          <w:color w:val="auto"/>
          <w:sz w:val="22"/>
          <w:szCs w:val="22"/>
          <w:u w:val="single"/>
          <w:lang w:val="en-US" w:eastAsia="zh-CN" w:bidi="ar-SA"/>
        </w:rPr>
      </w:pPr>
      <w:r>
        <w:rPr>
          <w:rFonts w:hint="eastAsia" w:ascii="宋体" w:hAnsi="宋体" w:eastAsia="宋体" w:cs="Times New Roman"/>
          <w:b w:val="0"/>
          <w:color w:val="auto"/>
          <w:sz w:val="22"/>
          <w:szCs w:val="22"/>
          <w:lang w:val="en-US" w:eastAsia="zh-CN" w:bidi="ar-SA"/>
        </w:rPr>
        <w:t>6、</w:t>
      </w:r>
      <w:r>
        <w:rPr>
          <w:rFonts w:hint="eastAsia" w:ascii="新宋体" w:hAnsi="新宋体" w:eastAsia="新宋体" w:cs="新宋体"/>
          <w:b/>
          <w:bCs/>
          <w:color w:val="auto"/>
          <w:sz w:val="22"/>
          <w:szCs w:val="22"/>
          <w:highlight w:val="none"/>
        </w:rPr>
        <w:t>▲</w:t>
      </w:r>
      <w:r>
        <w:rPr>
          <w:rFonts w:hint="eastAsia" w:ascii="宋体" w:hAnsi="宋体" w:eastAsia="宋体" w:cs="Times New Roman"/>
          <w:b w:val="0"/>
          <w:color w:val="auto"/>
          <w:sz w:val="22"/>
          <w:szCs w:val="22"/>
          <w:u w:val="single"/>
          <w:lang w:val="en-US" w:eastAsia="zh-CN" w:bidi="ar-SA"/>
        </w:rPr>
        <w:t>质量保修期内中标人免费提供家具维修、零部件更换等服务。家具出现故障时，中标人在接到招标人通知后2小时内响应，24小时内指派技术人员到现场解决问题，现场无法解决问题的，中标人须提供备用家具供招标人使用，因此产生的一切费用（包括但不限于人工费、交通费、运输费）及备用家具的损耗由中标人承担。</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7、质量保修期内中标人未按本合同约定履行保修义务的，招标人有权自行委托第三方进行解决；因此而发生的费用由中标人承担。</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8、在质量保修期后提供终身维修服务及技术支持售后服务；质量保修期届满后，中标人对家具的维修、更换服务仅收取成本费。但因中标人提供家具存在固有的质量问题而导致的除外。</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8、随时优惠提供备品备件，优惠提供产品更新、改造服务；</w:t>
      </w:r>
    </w:p>
    <w:p>
      <w:pPr>
        <w:spacing w:line="360" w:lineRule="auto"/>
        <w:ind w:left="315" w:hanging="330" w:hangingChars="150"/>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9、其余按厂家承诺进行。</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十、合同价款</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1、合同总价为</w:t>
      </w:r>
      <w:r>
        <w:rPr>
          <w:rFonts w:hint="eastAsia" w:ascii="宋体" w:eastAsia="宋体" w:cs="Times New Roman"/>
          <w:b w:val="0"/>
          <w:color w:val="auto"/>
          <w:sz w:val="22"/>
          <w:szCs w:val="22"/>
          <w:lang w:val="en-US" w:eastAsia="zh-CN" w:bidi="ar-SA"/>
        </w:rPr>
        <w:t>中标</w:t>
      </w:r>
      <w:r>
        <w:rPr>
          <w:rFonts w:hint="eastAsia" w:ascii="宋体" w:hAnsi="宋体" w:eastAsia="宋体" w:cs="Times New Roman"/>
          <w:b w:val="0"/>
          <w:color w:val="auto"/>
          <w:sz w:val="22"/>
          <w:szCs w:val="22"/>
          <w:lang w:val="en-US" w:eastAsia="zh-CN" w:bidi="ar-SA"/>
        </w:rPr>
        <w:t>总价，价款明细详见投标报价清单，按附件中的单价进行结算。</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2、本合同总价是指家具运至招标人指定地点（以下简称“现场”），安装完成并移交招标人正常使用的一切费用，包括但不限于家具本身价格、包装费、运输费、装卸费、仓储保管费、安装费、验收费、保险费、售后服务、质量保证期保障、利润、税费等中标人为全面、妥善的履行本次合同项下的全部义务所需的一切费用。除非本合同另有约定，招标人要求中标人提供与家具正常使用有关的附随产品或服务时，中标人免费提供给招标人，招标人无须向中标人支付其他任何费用。</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3、采购过程中，如数量增减，中标人不得对所投单价或其它的条款和条件做任何修改，合同总价相应增减；如品种增加，中标人须将所增品种家具单价报招标人书面确认，方可按中标人所报价格进行增加。</w:t>
      </w:r>
    </w:p>
    <w:p>
      <w:pPr>
        <w:spacing w:line="360" w:lineRule="auto"/>
        <w:rPr>
          <w:rFonts w:hint="eastAsia" w:ascii="宋体" w:hAnsi="宋体" w:eastAsia="宋体" w:cs="Times New Roman"/>
          <w:b w:val="0"/>
          <w:color w:val="auto"/>
          <w:sz w:val="22"/>
          <w:szCs w:val="22"/>
          <w:lang w:val="en-US" w:eastAsia="zh-CN" w:bidi="ar-SA"/>
        </w:rPr>
      </w:pPr>
      <w:r>
        <w:rPr>
          <w:rFonts w:hint="eastAsia" w:ascii="宋体" w:hAnsi="宋体" w:eastAsia="宋体" w:cs="Times New Roman"/>
          <w:b w:val="0"/>
          <w:color w:val="auto"/>
          <w:sz w:val="22"/>
          <w:szCs w:val="22"/>
          <w:lang w:val="en-US" w:eastAsia="zh-CN" w:bidi="ar-SA"/>
        </w:rPr>
        <w:t>4、最终合同总价以通过招标人验收合格并经招标人书面确认的价款为准。</w:t>
      </w:r>
    </w:p>
    <w:p>
      <w:pPr>
        <w:spacing w:line="360" w:lineRule="auto"/>
        <w:rPr>
          <w:rFonts w:hint="eastAsia" w:ascii="宋体" w:hAnsi="宋体" w:eastAsia="宋体" w:cs="Times New Roman"/>
          <w:b w:val="0"/>
          <w:color w:val="auto"/>
          <w:sz w:val="22"/>
          <w:szCs w:val="22"/>
          <w:highlight w:val="none"/>
          <w:lang w:val="en-US" w:eastAsia="zh-CN" w:bidi="ar-SA"/>
        </w:rPr>
      </w:pPr>
      <w:r>
        <w:rPr>
          <w:rFonts w:hint="eastAsia" w:ascii="宋体" w:hAnsi="宋体" w:eastAsia="宋体" w:cs="Times New Roman"/>
          <w:b w:val="0"/>
          <w:color w:val="auto"/>
          <w:sz w:val="22"/>
          <w:szCs w:val="22"/>
          <w:highlight w:val="none"/>
          <w:lang w:val="en-US" w:eastAsia="zh-CN" w:bidi="ar-SA"/>
        </w:rPr>
        <w:t>十一、支付方式</w:t>
      </w:r>
    </w:p>
    <w:p>
      <w:pPr>
        <w:spacing w:line="360" w:lineRule="auto"/>
        <w:rPr>
          <w:rFonts w:hint="eastAsia" w:ascii="宋体" w:hAnsi="宋体" w:eastAsia="宋体" w:cs="Times New Roman"/>
          <w:b w:val="0"/>
          <w:color w:val="auto"/>
          <w:sz w:val="22"/>
          <w:szCs w:val="22"/>
          <w:highlight w:val="none"/>
          <w:lang w:val="en-US" w:eastAsia="zh-CN" w:bidi="ar-SA"/>
        </w:rPr>
      </w:pPr>
      <w:r>
        <w:rPr>
          <w:rFonts w:hint="eastAsia" w:ascii="宋体" w:hAnsi="宋体" w:eastAsia="宋体" w:cs="Times New Roman"/>
          <w:b w:val="0"/>
          <w:color w:val="auto"/>
          <w:sz w:val="22"/>
          <w:szCs w:val="22"/>
          <w:highlight w:val="none"/>
          <w:lang w:val="en-US" w:eastAsia="zh-CN" w:bidi="ar-SA"/>
        </w:rPr>
        <w:t>1、合同签订后15个工作日内支付合同暂定总价的20%作为预付款。</w:t>
      </w:r>
    </w:p>
    <w:p>
      <w:pPr>
        <w:spacing w:line="360" w:lineRule="auto"/>
        <w:rPr>
          <w:rFonts w:hint="eastAsia" w:ascii="宋体" w:hAnsi="宋体" w:eastAsia="宋体" w:cs="Times New Roman"/>
          <w:b w:val="0"/>
          <w:color w:val="auto"/>
          <w:sz w:val="22"/>
          <w:szCs w:val="22"/>
          <w:highlight w:val="none"/>
          <w:lang w:val="en-US" w:eastAsia="zh-CN" w:bidi="ar-SA"/>
        </w:rPr>
      </w:pPr>
      <w:r>
        <w:rPr>
          <w:rFonts w:hint="eastAsia" w:ascii="宋体" w:hAnsi="宋体" w:eastAsia="宋体" w:cs="Times New Roman"/>
          <w:b w:val="0"/>
          <w:color w:val="auto"/>
          <w:sz w:val="22"/>
          <w:szCs w:val="22"/>
          <w:highlight w:val="none"/>
          <w:lang w:val="en-US" w:eastAsia="zh-CN" w:bidi="ar-SA"/>
        </w:rPr>
        <w:t>2、合同签订且家具交付、安装完毕后15个工作日内付至合同暂定总价的60%。</w:t>
      </w:r>
    </w:p>
    <w:p>
      <w:pPr>
        <w:spacing w:line="360" w:lineRule="auto"/>
        <w:rPr>
          <w:rFonts w:hint="default" w:ascii="宋体" w:hAnsi="宋体" w:eastAsia="宋体" w:cs="Times New Roman"/>
          <w:b w:val="0"/>
          <w:color w:val="auto"/>
          <w:sz w:val="22"/>
          <w:szCs w:val="22"/>
          <w:highlight w:val="none"/>
          <w:lang w:val="en-US" w:eastAsia="zh-CN" w:bidi="ar-SA"/>
        </w:rPr>
      </w:pPr>
      <w:r>
        <w:rPr>
          <w:rFonts w:hint="eastAsia" w:ascii="宋体" w:hAnsi="宋体" w:eastAsia="宋体" w:cs="Times New Roman"/>
          <w:b w:val="0"/>
          <w:color w:val="auto"/>
          <w:sz w:val="22"/>
          <w:szCs w:val="22"/>
          <w:highlight w:val="none"/>
          <w:lang w:val="en-US" w:eastAsia="zh-CN" w:bidi="ar-SA"/>
        </w:rPr>
        <w:t>3、招标人书面验收合格并完成结算后15个工作日内付至结算总价的95%</w:t>
      </w:r>
      <w:r>
        <w:rPr>
          <w:rFonts w:hint="eastAsia" w:ascii="宋体" w:eastAsia="宋体" w:cs="Times New Roman"/>
          <w:b w:val="0"/>
          <w:color w:val="auto"/>
          <w:sz w:val="22"/>
          <w:szCs w:val="22"/>
          <w:highlight w:val="none"/>
          <w:lang w:val="en-US" w:eastAsia="zh-CN" w:bidi="ar-SA"/>
        </w:rPr>
        <w:t>并退还5%的合同履约金。</w:t>
      </w:r>
    </w:p>
    <w:p>
      <w:pPr>
        <w:spacing w:line="360" w:lineRule="auto"/>
        <w:rPr>
          <w:rFonts w:hint="eastAsia" w:ascii="宋体" w:hAnsi="宋体" w:eastAsia="宋体" w:cs="Times New Roman"/>
          <w:b w:val="0"/>
          <w:color w:val="auto"/>
          <w:sz w:val="22"/>
          <w:szCs w:val="22"/>
          <w:highlight w:val="none"/>
          <w:lang w:val="en-US" w:eastAsia="zh-CN" w:bidi="ar-SA"/>
        </w:rPr>
      </w:pPr>
      <w:r>
        <w:rPr>
          <w:rFonts w:hint="eastAsia" w:ascii="宋体" w:hAnsi="宋体" w:eastAsia="宋体" w:cs="Times New Roman"/>
          <w:b w:val="0"/>
          <w:color w:val="auto"/>
          <w:sz w:val="22"/>
          <w:szCs w:val="22"/>
          <w:highlight w:val="none"/>
          <w:lang w:val="en-US" w:eastAsia="zh-CN" w:bidi="ar-SA"/>
        </w:rPr>
        <w:t>4、结算金额的5％作为质量保修金，在质量保修期满且未出现质量问题或中标人已全面、正确、妥善履行保修义务的情况下，由中标人提出申请并办理相关退保手续，并经招标人审核书面确认无误后15个工作日内，无息付清所余全部款项（有未决、索偿事项除外）。</w:t>
      </w:r>
    </w:p>
    <w:p>
      <w:pPr>
        <w:spacing w:line="360" w:lineRule="auto"/>
        <w:rPr>
          <w:rFonts w:hint="eastAsia" w:ascii="宋体" w:hAnsi="宋体" w:eastAsia="宋体" w:cs="Times New Roman"/>
          <w:b w:val="0"/>
          <w:color w:val="auto"/>
          <w:sz w:val="22"/>
          <w:szCs w:val="22"/>
          <w:highlight w:val="none"/>
          <w:lang w:val="en-US" w:eastAsia="zh-CN" w:bidi="ar-SA"/>
        </w:rPr>
      </w:pPr>
      <w:r>
        <w:rPr>
          <w:rFonts w:hint="eastAsia" w:ascii="宋体" w:hAnsi="宋体" w:eastAsia="宋体" w:cs="Times New Roman"/>
          <w:b w:val="0"/>
          <w:color w:val="auto"/>
          <w:sz w:val="22"/>
          <w:szCs w:val="22"/>
          <w:highlight w:val="none"/>
          <w:lang w:val="en-US" w:eastAsia="zh-CN" w:bidi="ar-SA"/>
        </w:rPr>
        <w:t>5、每次付款前中标人应向招标人提供相应金额，且符合税法要求的增值税专用发票，否则招标人可拒绝付款。</w:t>
      </w:r>
    </w:p>
    <w:p>
      <w:pPr>
        <w:spacing w:line="360" w:lineRule="auto"/>
        <w:rPr>
          <w:rFonts w:hint="eastAsia" w:ascii="宋体" w:hAnsi="宋体" w:eastAsia="宋体" w:cs="Times New Roman"/>
          <w:b w:val="0"/>
          <w:color w:val="auto"/>
          <w:sz w:val="22"/>
          <w:szCs w:val="22"/>
          <w:highlight w:val="none"/>
          <w:lang w:val="en-US" w:eastAsia="zh-CN" w:bidi="ar-SA"/>
        </w:rPr>
      </w:pPr>
      <w:r>
        <w:rPr>
          <w:rFonts w:hint="eastAsia" w:ascii="宋体" w:hAnsi="宋体" w:eastAsia="宋体" w:cs="Times New Roman"/>
          <w:b w:val="0"/>
          <w:color w:val="auto"/>
          <w:sz w:val="22"/>
          <w:szCs w:val="22"/>
          <w:highlight w:val="none"/>
          <w:lang w:val="en-US" w:eastAsia="zh-CN" w:bidi="ar-SA"/>
        </w:rPr>
        <w:t>6、支付方式：银行转账支付。</w:t>
      </w:r>
    </w:p>
    <w:p>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hint="eastAsia" w:ascii="宋体" w:eastAsia="宋体"/>
          <w:color w:val="auto"/>
          <w:sz w:val="28"/>
          <w:szCs w:val="28"/>
        </w:rPr>
        <w:t>第三部分   供应商须知</w:t>
      </w:r>
      <w:bookmarkEnd w:id="15"/>
    </w:p>
    <w:p>
      <w:pPr>
        <w:outlineLvl w:val="0"/>
        <w:rPr>
          <w:rFonts w:ascii="宋体" w:eastAsia="宋体"/>
          <w:color w:val="auto"/>
          <w:sz w:val="22"/>
          <w:szCs w:val="22"/>
        </w:rPr>
      </w:pPr>
      <w:bookmarkStart w:id="139" w:name="_Toc494407532"/>
      <w:r>
        <w:rPr>
          <w:rFonts w:hint="eastAsia" w:ascii="宋体" w:eastAsia="宋体"/>
          <w:color w:val="auto"/>
          <w:sz w:val="22"/>
          <w:szCs w:val="22"/>
        </w:rPr>
        <w:t>一、说明</w:t>
      </w:r>
      <w:bookmarkEnd w:id="139"/>
    </w:p>
    <w:p>
      <w:pPr>
        <w:autoSpaceDE w:val="0"/>
        <w:autoSpaceDN w:val="0"/>
        <w:adjustRightInd w:val="0"/>
        <w:snapToGrid w:val="0"/>
        <w:spacing w:line="440" w:lineRule="atLeast"/>
        <w:ind w:firstLine="446" w:firstLineChars="203"/>
        <w:textAlignment w:val="bottom"/>
        <w:rPr>
          <w:rFonts w:ascii="宋体" w:eastAsia="宋体"/>
          <w:b w:val="0"/>
          <w:color w:val="auto"/>
          <w:sz w:val="22"/>
          <w:szCs w:val="22"/>
        </w:rPr>
      </w:pPr>
      <w:r>
        <w:rPr>
          <w:rFonts w:hint="eastAsia" w:ascii="宋体" w:eastAsia="宋体"/>
          <w:b w:val="0"/>
          <w:color w:val="auto"/>
          <w:sz w:val="22"/>
          <w:szCs w:val="22"/>
        </w:rPr>
        <w:t>1、本次采购工作是按照《中华人民共和国政府采购法》、《中华人民共和国政府采购法实施条例》、《政府采购货物和服务招标投标管理办法》及相关法律规章组织和实施。</w:t>
      </w:r>
    </w:p>
    <w:p>
      <w:pPr>
        <w:adjustRightInd w:val="0"/>
        <w:spacing w:line="440" w:lineRule="atLeast"/>
        <w:ind w:firstLine="431" w:firstLineChars="196"/>
        <w:rPr>
          <w:rFonts w:ascii="宋体" w:eastAsia="宋体"/>
          <w:b w:val="0"/>
          <w:color w:val="auto"/>
          <w:sz w:val="22"/>
          <w:szCs w:val="22"/>
        </w:rPr>
      </w:pPr>
      <w:r>
        <w:rPr>
          <w:rFonts w:hint="eastAsia" w:ascii="宋体" w:eastAsia="宋体"/>
          <w:b w:val="0"/>
          <w:color w:val="auto"/>
          <w:sz w:val="22"/>
        </w:rPr>
        <w:t>2、供应商必须对全部货物进行投标，否则按无效投标处理。分标段的项目可以选择全部或部分标段进行投标，但每个标段必须投标全部货物</w:t>
      </w:r>
    </w:p>
    <w:p>
      <w:pPr>
        <w:autoSpaceDE w:val="0"/>
        <w:autoSpaceDN w:val="0"/>
        <w:adjustRightInd w:val="0"/>
        <w:snapToGrid w:val="0"/>
        <w:spacing w:line="440" w:lineRule="atLeast"/>
        <w:ind w:firstLine="446" w:firstLineChars="203"/>
        <w:textAlignment w:val="bottom"/>
        <w:rPr>
          <w:rFonts w:ascii="宋体" w:eastAsia="宋体"/>
          <w:b w:val="0"/>
          <w:color w:val="auto"/>
          <w:sz w:val="22"/>
          <w:szCs w:val="22"/>
        </w:rPr>
      </w:pPr>
      <w:r>
        <w:rPr>
          <w:rFonts w:hint="eastAsia" w:ascii="宋体" w:eastAsia="宋体"/>
          <w:b w:val="0"/>
          <w:color w:val="auto"/>
          <w:sz w:val="22"/>
          <w:szCs w:val="22"/>
          <w:lang w:val="en-US" w:eastAsia="zh-CN"/>
        </w:rPr>
        <w:t>3</w:t>
      </w:r>
      <w:r>
        <w:rPr>
          <w:rFonts w:hint="eastAsia" w:ascii="宋体" w:eastAsia="宋体"/>
          <w:b w:val="0"/>
          <w:color w:val="auto"/>
          <w:sz w:val="22"/>
          <w:szCs w:val="22"/>
        </w:rPr>
        <w:t>、本次采购商务报价文件与技术资信文件分别评审，评标委员会首先评审供应商技术资信部分，技术资信部分无效的供应商不进入商务报价阶段评审。要求供应商技术资信部分的投标文件（含资信与服务）中不得含产品报价，否则做无效投标处理。</w:t>
      </w:r>
    </w:p>
    <w:p>
      <w:pPr>
        <w:autoSpaceDE w:val="0"/>
        <w:autoSpaceDN w:val="0"/>
        <w:adjustRightInd w:val="0"/>
        <w:spacing w:line="460" w:lineRule="atLeast"/>
        <w:ind w:firstLine="442" w:firstLineChars="200"/>
        <w:textAlignment w:val="bottom"/>
        <w:rPr>
          <w:rFonts w:ascii="宋体" w:eastAsia="宋体"/>
          <w:color w:val="auto"/>
          <w:sz w:val="22"/>
        </w:rPr>
      </w:pPr>
      <w:r>
        <w:rPr>
          <w:rFonts w:hint="eastAsia" w:ascii="宋体" w:eastAsia="宋体"/>
          <w:color w:val="auto"/>
          <w:sz w:val="22"/>
          <w:lang w:val="en-US" w:eastAsia="zh-CN"/>
        </w:rPr>
        <w:t>4</w:t>
      </w:r>
      <w:r>
        <w:rPr>
          <w:rFonts w:hint="eastAsia" w:ascii="宋体" w:eastAsia="宋体"/>
          <w:color w:val="auto"/>
          <w:sz w:val="22"/>
        </w:rPr>
        <w:t>、知识产权</w:t>
      </w:r>
    </w:p>
    <w:p>
      <w:pPr>
        <w:autoSpaceDE w:val="0"/>
        <w:autoSpaceDN w:val="0"/>
        <w:adjustRightInd w:val="0"/>
        <w:spacing w:line="460" w:lineRule="atLeast"/>
        <w:ind w:firstLine="442" w:firstLineChars="200"/>
        <w:textAlignment w:val="bottom"/>
        <w:rPr>
          <w:rFonts w:ascii="宋体" w:eastAsia="宋体"/>
          <w:color w:val="auto"/>
          <w:sz w:val="22"/>
        </w:rPr>
      </w:pPr>
      <w:r>
        <w:rPr>
          <w:rFonts w:hint="eastAsia" w:ascii="宋体" w:eastAsia="宋体"/>
          <w:color w:val="auto"/>
          <w:sz w:val="22"/>
          <w:lang w:val="en-US" w:eastAsia="zh-CN"/>
        </w:rPr>
        <w:t>4</w:t>
      </w:r>
      <w:r>
        <w:rPr>
          <w:rFonts w:hint="eastAsia" w:ascii="宋体" w:eastAsia="宋体"/>
          <w:color w:val="auto"/>
          <w:sz w:val="22"/>
        </w:rPr>
        <w:t>.1供应商应保证，采购人在中华人民共和国使用货物和服务的任何一部分时，免受第三方提出侵犯其专利权、商标权或其它知识产权的起诉。</w:t>
      </w:r>
    </w:p>
    <w:p>
      <w:pPr>
        <w:autoSpaceDE w:val="0"/>
        <w:autoSpaceDN w:val="0"/>
        <w:adjustRightInd w:val="0"/>
        <w:spacing w:line="460" w:lineRule="atLeast"/>
        <w:ind w:firstLine="442" w:firstLineChars="200"/>
        <w:textAlignment w:val="bottom"/>
        <w:rPr>
          <w:rFonts w:ascii="宋体" w:eastAsia="宋体"/>
          <w:color w:val="auto"/>
          <w:sz w:val="22"/>
        </w:rPr>
      </w:pPr>
      <w:r>
        <w:rPr>
          <w:rFonts w:hint="eastAsia" w:ascii="宋体" w:eastAsia="宋体"/>
          <w:color w:val="auto"/>
          <w:sz w:val="22"/>
          <w:lang w:val="en-US" w:eastAsia="zh-CN"/>
        </w:rPr>
        <w:t>4</w:t>
      </w:r>
      <w:r>
        <w:rPr>
          <w:rFonts w:hint="eastAsia" w:ascii="宋体" w:eastAsia="宋体"/>
          <w:color w:val="auto"/>
          <w:sz w:val="22"/>
        </w:rPr>
        <w:t>.2投标人应对采购人在使用该产品时所涉及到的专利权负责，不损害采购人的利益。</w:t>
      </w:r>
    </w:p>
    <w:p>
      <w:pPr>
        <w:autoSpaceDE w:val="0"/>
        <w:autoSpaceDN w:val="0"/>
        <w:adjustRightInd w:val="0"/>
        <w:spacing w:line="460" w:lineRule="atLeast"/>
        <w:ind w:firstLine="442" w:firstLineChars="200"/>
        <w:textAlignment w:val="bottom"/>
        <w:rPr>
          <w:rFonts w:ascii="宋体" w:eastAsia="宋体"/>
          <w:color w:val="auto"/>
          <w:sz w:val="22"/>
        </w:rPr>
      </w:pPr>
      <w:r>
        <w:rPr>
          <w:rFonts w:hint="eastAsia" w:ascii="宋体" w:eastAsia="宋体"/>
          <w:color w:val="auto"/>
          <w:sz w:val="22"/>
          <w:lang w:val="en-US" w:eastAsia="zh-CN"/>
        </w:rPr>
        <w:t>4</w:t>
      </w:r>
      <w:r>
        <w:rPr>
          <w:rFonts w:hint="eastAsia" w:ascii="宋体" w:eastAsia="宋体"/>
          <w:color w:val="auto"/>
          <w:sz w:val="22"/>
        </w:rPr>
        <w:t>.3报价应包括所有应支付的对专利权和版权、设计或其他知识产权而需要向其他方支付的版税。</w:t>
      </w:r>
    </w:p>
    <w:p>
      <w:pPr>
        <w:autoSpaceDE w:val="0"/>
        <w:autoSpaceDN w:val="0"/>
        <w:adjustRightInd w:val="0"/>
        <w:snapToGrid w:val="0"/>
        <w:spacing w:line="440" w:lineRule="atLeast"/>
        <w:ind w:firstLine="448" w:firstLineChars="203"/>
        <w:textAlignment w:val="bottom"/>
        <w:rPr>
          <w:rFonts w:ascii="宋体" w:eastAsia="宋体"/>
          <w:color w:val="auto"/>
          <w:sz w:val="22"/>
          <w:szCs w:val="22"/>
        </w:rPr>
      </w:pPr>
      <w:r>
        <w:rPr>
          <w:rFonts w:hint="eastAsia" w:ascii="宋体" w:eastAsia="宋体"/>
          <w:color w:val="auto"/>
          <w:sz w:val="22"/>
          <w:lang w:val="en-US" w:eastAsia="zh-CN"/>
        </w:rPr>
        <w:t>4</w:t>
      </w:r>
      <w:r>
        <w:rPr>
          <w:rFonts w:hint="eastAsia" w:ascii="宋体" w:eastAsia="宋体"/>
          <w:color w:val="auto"/>
          <w:sz w:val="22"/>
        </w:rPr>
        <w:t>.4投标人提供得货物中如使用其他公司的相关专利，应在标书中出示相关授权，如未出示但使用了其他公司的专利，导致供应商中标而引起相关诉讼，由投标人承担。</w:t>
      </w:r>
    </w:p>
    <w:p>
      <w:pPr>
        <w:adjustRightInd w:val="0"/>
        <w:spacing w:line="440" w:lineRule="atLeast"/>
        <w:ind w:firstLine="431" w:firstLineChars="196"/>
        <w:rPr>
          <w:rFonts w:ascii="宋体" w:eastAsia="宋体"/>
          <w:b w:val="0"/>
          <w:color w:val="auto"/>
          <w:sz w:val="22"/>
        </w:rPr>
      </w:pPr>
      <w:r>
        <w:rPr>
          <w:rFonts w:hint="eastAsia" w:ascii="宋体" w:eastAsia="宋体"/>
          <w:b w:val="0"/>
          <w:color w:val="auto"/>
          <w:sz w:val="22"/>
          <w:lang w:val="en-US" w:eastAsia="zh-CN"/>
        </w:rPr>
        <w:t>5</w:t>
      </w:r>
      <w:r>
        <w:rPr>
          <w:rFonts w:hint="eastAsia" w:ascii="宋体" w:eastAsia="宋体"/>
          <w:b w:val="0"/>
          <w:color w:val="auto"/>
          <w:sz w:val="22"/>
        </w:rPr>
        <w:t>、招标文件中所列的货物品牌型号仅为参考</w:t>
      </w:r>
      <w:r>
        <w:rPr>
          <w:rFonts w:hint="eastAsia" w:ascii="宋体" w:eastAsia="宋体"/>
          <w:b w:val="0"/>
          <w:color w:val="auto"/>
          <w:sz w:val="22"/>
          <w:lang w:eastAsia="zh-CN"/>
        </w:rPr>
        <w:t>，</w:t>
      </w:r>
      <w:r>
        <w:rPr>
          <w:rFonts w:hint="eastAsia" w:ascii="宋体" w:eastAsia="宋体"/>
          <w:b w:val="0"/>
          <w:color w:val="auto"/>
          <w:sz w:val="22"/>
        </w:rPr>
        <w:t>是为了对拟报价的货物、材料的技术指标和功能要求更好的说明，欢迎其他能满足本项目技术需求且性能与所明确品牌相当的产品参加。供应商提供的产品主要指标参数不得低于采购要求。</w:t>
      </w:r>
    </w:p>
    <w:p>
      <w:pPr>
        <w:adjustRightInd w:val="0"/>
        <w:spacing w:line="440" w:lineRule="atLeast"/>
        <w:ind w:firstLine="431" w:firstLineChars="196"/>
        <w:rPr>
          <w:rFonts w:ascii="宋体" w:eastAsia="宋体"/>
          <w:b w:val="0"/>
          <w:color w:val="auto"/>
          <w:sz w:val="22"/>
        </w:rPr>
      </w:pPr>
      <w:r>
        <w:rPr>
          <w:rFonts w:hint="eastAsia" w:ascii="宋体" w:eastAsia="宋体"/>
          <w:b w:val="0"/>
          <w:color w:val="auto"/>
          <w:sz w:val="22"/>
          <w:lang w:val="en-US" w:eastAsia="zh-CN"/>
        </w:rPr>
        <w:t>6</w:t>
      </w:r>
      <w:r>
        <w:rPr>
          <w:rFonts w:hint="eastAsia" w:ascii="宋体" w:eastAsia="宋体"/>
          <w:b w:val="0"/>
          <w:color w:val="auto"/>
          <w:sz w:val="22"/>
        </w:rPr>
        <w:t>、</w:t>
      </w:r>
      <w:r>
        <w:rPr>
          <w:rFonts w:ascii="宋体" w:eastAsia="宋体"/>
          <w:b w:val="0"/>
          <w:color w:val="auto"/>
          <w:sz w:val="22"/>
        </w:rPr>
        <w:t>采用最低评标价法的采购项目，提供相同品牌产品的不同投标人参加同一合同项下投标的，以其中通过资格审查、符合性审查且报价最低的参加评标；报价相同的，采取随机抽取方式确定，其他投标无效。</w:t>
      </w:r>
    </w:p>
    <w:p>
      <w:pPr>
        <w:adjustRightInd w:val="0"/>
        <w:spacing w:line="440" w:lineRule="atLeast"/>
        <w:ind w:firstLine="431" w:firstLineChars="196"/>
        <w:rPr>
          <w:rFonts w:ascii="宋体" w:eastAsia="宋体"/>
          <w:b w:val="0"/>
          <w:color w:val="auto"/>
          <w:sz w:val="22"/>
        </w:rPr>
      </w:pPr>
      <w:r>
        <w:rPr>
          <w:rFonts w:ascii="宋体" w:eastAsia="宋体"/>
          <w:b w:val="0"/>
          <w:color w:val="auto"/>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djustRightInd w:val="0"/>
        <w:spacing w:line="440" w:lineRule="atLeast"/>
        <w:ind w:firstLine="431" w:firstLineChars="196"/>
        <w:rPr>
          <w:rFonts w:ascii="宋体" w:eastAsia="宋体"/>
          <w:b w:val="0"/>
          <w:color w:val="auto"/>
          <w:sz w:val="22"/>
        </w:rPr>
      </w:pPr>
      <w:r>
        <w:rPr>
          <w:rFonts w:ascii="宋体" w:eastAsia="宋体"/>
          <w:b w:val="0"/>
          <w:color w:val="auto"/>
          <w:sz w:val="22"/>
        </w:rPr>
        <w:t>非单一产品采购项目，</w:t>
      </w:r>
      <w:r>
        <w:rPr>
          <w:rFonts w:hint="eastAsia" w:ascii="宋体" w:eastAsia="宋体"/>
          <w:b w:val="0"/>
          <w:color w:val="auto"/>
          <w:sz w:val="22"/>
        </w:rPr>
        <w:t>单项</w:t>
      </w:r>
      <w:r>
        <w:rPr>
          <w:rFonts w:ascii="宋体" w:eastAsia="宋体"/>
          <w:b w:val="0"/>
          <w:color w:val="auto"/>
          <w:sz w:val="22"/>
        </w:rPr>
        <w:t>产品</w:t>
      </w:r>
      <w:r>
        <w:rPr>
          <w:rFonts w:hint="eastAsia" w:ascii="宋体" w:eastAsia="宋体"/>
          <w:b w:val="0"/>
          <w:color w:val="auto"/>
          <w:sz w:val="22"/>
        </w:rPr>
        <w:t>投标</w:t>
      </w:r>
      <w:r>
        <w:rPr>
          <w:rFonts w:ascii="宋体" w:eastAsia="宋体"/>
          <w:b w:val="0"/>
          <w:color w:val="auto"/>
          <w:sz w:val="22"/>
        </w:rPr>
        <w:t>价格比重</w:t>
      </w:r>
      <w:r>
        <w:rPr>
          <w:rFonts w:hint="eastAsia" w:ascii="宋体" w:eastAsia="宋体"/>
          <w:b w:val="0"/>
          <w:color w:val="auto"/>
          <w:sz w:val="22"/>
        </w:rPr>
        <w:t>占总投标价50%及以上的认定为</w:t>
      </w:r>
      <w:r>
        <w:rPr>
          <w:rFonts w:ascii="宋体" w:eastAsia="宋体"/>
          <w:b w:val="0"/>
          <w:color w:val="auto"/>
          <w:sz w:val="22"/>
        </w:rPr>
        <w:t>核心产品</w:t>
      </w:r>
      <w:r>
        <w:rPr>
          <w:rFonts w:hint="eastAsia" w:ascii="宋体" w:eastAsia="宋体"/>
          <w:b w:val="0"/>
          <w:color w:val="auto"/>
          <w:sz w:val="22"/>
        </w:rPr>
        <w:t>（有效投标供应商中一家供应商该产品投标价格占总投标价50%级以上即认定），</w:t>
      </w:r>
      <w:r>
        <w:rPr>
          <w:rFonts w:ascii="宋体" w:eastAsia="宋体"/>
          <w:b w:val="0"/>
          <w:color w:val="auto"/>
          <w:sz w:val="22"/>
        </w:rPr>
        <w:t>多家投标人提供的核心产品品牌相同的，按前两款规定处理。</w:t>
      </w:r>
    </w:p>
    <w:p>
      <w:pPr>
        <w:adjustRightInd w:val="0"/>
        <w:spacing w:line="440" w:lineRule="atLeast"/>
        <w:ind w:firstLine="431" w:firstLineChars="196"/>
        <w:rPr>
          <w:rFonts w:ascii="宋体" w:eastAsia="宋体"/>
          <w:b w:val="0"/>
          <w:color w:val="auto"/>
          <w:sz w:val="22"/>
        </w:rPr>
      </w:pPr>
      <w:r>
        <w:rPr>
          <w:rFonts w:hint="eastAsia" w:ascii="宋体" w:eastAsia="宋体"/>
          <w:b w:val="0"/>
          <w:color w:val="auto"/>
          <w:sz w:val="22"/>
          <w:lang w:val="en-US" w:eastAsia="zh-CN"/>
        </w:rPr>
        <w:t>7</w:t>
      </w:r>
      <w:r>
        <w:rPr>
          <w:rFonts w:hint="eastAsia" w:ascii="宋体" w:eastAsia="宋体"/>
          <w:b w:val="0"/>
          <w:color w:val="auto"/>
          <w:sz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adjustRightInd w:val="0"/>
        <w:spacing w:line="440" w:lineRule="atLeast"/>
        <w:ind w:firstLine="431" w:firstLineChars="196"/>
        <w:rPr>
          <w:rFonts w:ascii="宋体" w:eastAsia="宋体"/>
          <w:b w:val="0"/>
          <w:color w:val="auto"/>
          <w:sz w:val="22"/>
        </w:rPr>
      </w:pPr>
      <w:r>
        <w:rPr>
          <w:rFonts w:hint="eastAsia" w:ascii="宋体" w:eastAsia="宋体"/>
          <w:b w:val="0"/>
          <w:color w:val="auto"/>
          <w:sz w:val="22"/>
        </w:rPr>
        <w:t>除单一来源采购项目外，为采购项目提供整体设计、规范编制或者项目管理、监理、检测等服务的供应商，不得再参加该采购项目的其他采购活动。</w:t>
      </w:r>
    </w:p>
    <w:p>
      <w:pPr>
        <w:adjustRightInd w:val="0"/>
        <w:spacing w:line="440" w:lineRule="atLeast"/>
        <w:ind w:firstLine="431" w:firstLineChars="196"/>
        <w:jc w:val="left"/>
        <w:rPr>
          <w:rFonts w:ascii="宋体" w:eastAsia="宋体"/>
          <w:b w:val="0"/>
          <w:color w:val="auto"/>
          <w:sz w:val="22"/>
        </w:rPr>
      </w:pPr>
      <w:r>
        <w:rPr>
          <w:rFonts w:hint="eastAsia" w:ascii="宋体" w:eastAsia="宋体"/>
          <w:b w:val="0"/>
          <w:color w:val="auto"/>
          <w:sz w:val="22"/>
          <w:lang w:val="en-US" w:eastAsia="zh-CN"/>
        </w:rPr>
        <w:t>8</w:t>
      </w:r>
      <w:r>
        <w:rPr>
          <w:rFonts w:hint="eastAsia" w:ascii="宋体" w:eastAsia="宋体"/>
          <w:b w:val="0"/>
          <w:color w:val="auto"/>
          <w:sz w:val="22"/>
        </w:rPr>
        <w:t>、进口产品参与政府采购，按财政部《</w:t>
      </w:r>
      <w:r>
        <w:fldChar w:fldCharType="begin"/>
      </w:r>
      <w:r>
        <w:instrText xml:space="preserve"> HYPERLINK "http://www.chinaacc.com/new/63/64/80/2008/1/wa2420495431112180022419-0.htm" \t "_blank" </w:instrText>
      </w:r>
      <w:r>
        <w:fldChar w:fldCharType="separate"/>
      </w:r>
      <w:r>
        <w:rPr>
          <w:rFonts w:hint="eastAsia" w:ascii="宋体" w:eastAsia="宋体"/>
          <w:b w:val="0"/>
          <w:color w:val="auto"/>
          <w:sz w:val="22"/>
        </w:rPr>
        <w:t>关于印发〈政府采购进口产品管理办法〉的通知</w:t>
      </w:r>
      <w:r>
        <w:rPr>
          <w:rFonts w:hint="eastAsia" w:ascii="宋体" w:eastAsia="宋体"/>
          <w:b w:val="0"/>
          <w:color w:val="auto"/>
          <w:sz w:val="22"/>
        </w:rPr>
        <w:fldChar w:fldCharType="end"/>
      </w:r>
      <w:r>
        <w:rPr>
          <w:rFonts w:hint="eastAsia" w:ascii="宋体" w:eastAsia="宋体"/>
          <w:b w:val="0"/>
          <w:color w:val="auto"/>
          <w:sz w:val="22"/>
        </w:rPr>
        <w:t>》（财库[2007]119号）和财政部办公厅《</w:t>
      </w:r>
      <w:r>
        <w:fldChar w:fldCharType="begin"/>
      </w:r>
      <w:r>
        <w:instrText xml:space="preserve"> HYPERLINK "http://www.chinaacc.com/new/63/64/80/2008/10/wa29611252241030180027592-0.htm" \t "_blank" </w:instrText>
      </w:r>
      <w:r>
        <w:fldChar w:fldCharType="separate"/>
      </w:r>
      <w:r>
        <w:rPr>
          <w:rFonts w:hint="eastAsia" w:ascii="宋体" w:eastAsia="宋体"/>
          <w:b w:val="0"/>
          <w:color w:val="auto"/>
          <w:sz w:val="22"/>
        </w:rPr>
        <w:t>关于政府采购进口产品管理有关问题的通知</w:t>
      </w:r>
      <w:r>
        <w:rPr>
          <w:rFonts w:hint="eastAsia" w:ascii="宋体" w:eastAsia="宋体"/>
          <w:b w:val="0"/>
          <w:color w:val="auto"/>
          <w:sz w:val="22"/>
        </w:rPr>
        <w:fldChar w:fldCharType="end"/>
      </w:r>
      <w:r>
        <w:rPr>
          <w:rFonts w:hint="eastAsia" w:ascii="宋体" w:eastAsia="宋体"/>
          <w:b w:val="0"/>
          <w:color w:val="auto"/>
          <w:sz w:val="22"/>
        </w:rPr>
        <w:t>》（财办库〔2008〕248号）、《浙江省财政厅关于进一步加强政府采购进口产品管理的通知》（浙财采监[2010]51号）等相关文件规定处理。</w:t>
      </w:r>
    </w:p>
    <w:p>
      <w:pPr>
        <w:autoSpaceDE w:val="0"/>
        <w:autoSpaceDN w:val="0"/>
        <w:adjustRightInd w:val="0"/>
        <w:snapToGrid w:val="0"/>
        <w:spacing w:line="430" w:lineRule="atLeast"/>
        <w:ind w:firstLine="442" w:firstLineChars="200"/>
        <w:textAlignment w:val="bottom"/>
        <w:rPr>
          <w:rFonts w:ascii="宋体" w:eastAsia="宋体"/>
          <w:color w:val="auto"/>
          <w:sz w:val="22"/>
        </w:rPr>
      </w:pPr>
      <w:r>
        <w:rPr>
          <w:rFonts w:hint="eastAsia" w:ascii="宋体" w:eastAsia="宋体"/>
          <w:color w:val="auto"/>
          <w:sz w:val="22"/>
          <w:highlight w:val="none"/>
          <w:lang w:val="en-US" w:eastAsia="zh-CN"/>
        </w:rPr>
        <w:t>9</w:t>
      </w:r>
      <w:r>
        <w:rPr>
          <w:rFonts w:hint="eastAsia" w:ascii="宋体" w:eastAsia="宋体"/>
          <w:color w:val="auto"/>
          <w:sz w:val="22"/>
          <w:highlight w:val="none"/>
        </w:rPr>
        <w:t>、</w:t>
      </w:r>
      <w:r>
        <w:rPr>
          <w:rFonts w:hint="eastAsia" w:ascii="宋体" w:eastAsia="宋体"/>
          <w:color w:val="auto"/>
          <w:sz w:val="22"/>
          <w:szCs w:val="22"/>
          <w:highlight w:val="none"/>
          <w:lang w:val="zh-CN"/>
        </w:rPr>
        <w:t>本项目采购预算（最高限价）为：</w:t>
      </w:r>
      <w:r>
        <w:rPr>
          <w:rFonts w:hint="eastAsia" w:ascii="宋体" w:eastAsia="宋体"/>
          <w:color w:val="auto"/>
          <w:sz w:val="22"/>
          <w:szCs w:val="22"/>
          <w:highlight w:val="none"/>
          <w:u w:val="single"/>
          <w:lang w:val="zh-CN" w:eastAsia="zh-CN"/>
        </w:rPr>
        <w:t>95.2849</w:t>
      </w:r>
      <w:r>
        <w:rPr>
          <w:rFonts w:hint="eastAsia" w:ascii="宋体" w:eastAsia="宋体"/>
          <w:color w:val="auto"/>
          <w:sz w:val="22"/>
          <w:szCs w:val="22"/>
          <w:highlight w:val="none"/>
          <w:u w:val="single"/>
          <w:lang w:val="zh-CN"/>
        </w:rPr>
        <w:t>万元</w:t>
      </w:r>
      <w:r>
        <w:rPr>
          <w:rFonts w:hint="eastAsia" w:ascii="宋体" w:eastAsia="宋体"/>
          <w:color w:val="auto"/>
          <w:sz w:val="22"/>
          <w:szCs w:val="22"/>
          <w:highlight w:val="none"/>
          <w:lang w:val="zh-CN"/>
        </w:rPr>
        <w:t>；如</w:t>
      </w:r>
      <w:r>
        <w:rPr>
          <w:rFonts w:hint="eastAsia" w:ascii="宋体" w:eastAsia="宋体"/>
          <w:color w:val="auto"/>
          <w:sz w:val="22"/>
          <w:szCs w:val="22"/>
          <w:lang w:val="zh-CN"/>
        </w:rPr>
        <w:t>果所有供应商的投标报价均超出该标项采购预算（最高限价）金额的，</w:t>
      </w:r>
      <w:r>
        <w:rPr>
          <w:rFonts w:hint="eastAsia" w:ascii="宋体" w:eastAsia="宋体"/>
          <w:color w:val="auto"/>
          <w:sz w:val="22"/>
        </w:rPr>
        <w:t>则</w:t>
      </w:r>
      <w:r>
        <w:rPr>
          <w:rFonts w:hint="eastAsia" w:ascii="宋体" w:eastAsia="宋体"/>
          <w:color w:val="auto"/>
          <w:sz w:val="22"/>
          <w:szCs w:val="22"/>
          <w:lang w:val="zh-CN"/>
        </w:rPr>
        <w:t>该标项按流标处理。</w:t>
      </w:r>
      <w:r>
        <w:rPr>
          <w:rFonts w:hint="eastAsia" w:ascii="宋体" w:eastAsia="宋体"/>
          <w:color w:val="auto"/>
          <w:sz w:val="22"/>
        </w:rPr>
        <w:t>如果仅仅某个（些）供应商的投标报价超出该标项采购预算金额的，</w:t>
      </w:r>
      <w:r>
        <w:rPr>
          <w:rFonts w:hint="eastAsia" w:ascii="宋体" w:eastAsia="宋体"/>
          <w:bCs/>
          <w:color w:val="auto"/>
          <w:sz w:val="22"/>
          <w:szCs w:val="22"/>
        </w:rPr>
        <w:t>则该供应商该标项</w:t>
      </w:r>
      <w:r>
        <w:rPr>
          <w:rFonts w:hint="eastAsia" w:ascii="宋体" w:eastAsia="宋体"/>
          <w:color w:val="auto"/>
          <w:sz w:val="22"/>
          <w:szCs w:val="22"/>
          <w:lang w:val="zh-CN"/>
        </w:rPr>
        <w:t>按无效投标处理</w:t>
      </w:r>
      <w:r>
        <w:rPr>
          <w:rFonts w:hint="eastAsia" w:ascii="宋体" w:eastAsia="宋体"/>
          <w:bCs/>
          <w:color w:val="auto"/>
          <w:sz w:val="22"/>
          <w:szCs w:val="22"/>
        </w:rPr>
        <w:t>。</w:t>
      </w:r>
    </w:p>
    <w:p>
      <w:pPr>
        <w:widowControl/>
        <w:snapToGrid w:val="0"/>
        <w:spacing w:line="380" w:lineRule="exact"/>
        <w:ind w:firstLine="440" w:firstLineChars="200"/>
        <w:rPr>
          <w:rFonts w:ascii="宋体" w:eastAsia="宋体"/>
          <w:b w:val="0"/>
          <w:color w:val="auto"/>
          <w:sz w:val="22"/>
          <w:szCs w:val="22"/>
        </w:rPr>
      </w:pPr>
      <w:r>
        <w:rPr>
          <w:rFonts w:ascii="宋体" w:eastAsia="宋体"/>
          <w:b w:val="0"/>
          <w:color w:val="auto"/>
          <w:sz w:val="22"/>
          <w:szCs w:val="22"/>
        </w:rPr>
        <w:t>1</w:t>
      </w:r>
      <w:r>
        <w:rPr>
          <w:rFonts w:hint="eastAsia" w:ascii="宋体" w:eastAsia="宋体"/>
          <w:b w:val="0"/>
          <w:color w:val="auto"/>
          <w:sz w:val="22"/>
          <w:szCs w:val="22"/>
          <w:lang w:val="en-US" w:eastAsia="zh-CN"/>
        </w:rPr>
        <w:t>0</w:t>
      </w:r>
      <w:r>
        <w:rPr>
          <w:rFonts w:hint="eastAsia" w:ascii="宋体" w:eastAsia="宋体"/>
          <w:b w:val="0"/>
          <w:color w:val="auto"/>
          <w:sz w:val="22"/>
          <w:szCs w:val="22"/>
        </w:rPr>
        <w:t>、本项目招标文件如有补充、更正均见浙江政府采购网（</w:t>
      </w:r>
      <w:r>
        <w:rPr>
          <w:rFonts w:ascii="宋体" w:eastAsia="宋体"/>
          <w:b w:val="0"/>
          <w:color w:val="auto"/>
          <w:sz w:val="22"/>
          <w:szCs w:val="22"/>
        </w:rPr>
        <w:t>http://www.zjzfcg.gov.cn/</w:t>
      </w:r>
      <w:r>
        <w:rPr>
          <w:rFonts w:hint="eastAsia" w:ascii="宋体" w:eastAsia="宋体"/>
          <w:b w:val="0"/>
          <w:color w:val="auto"/>
          <w:sz w:val="22"/>
          <w:szCs w:val="22"/>
        </w:rPr>
        <w:t>）。供应商须在投标截止前自行查看是否有补充、更正文件，并按补充、更正文件要求投标，否则责任自负。</w:t>
      </w:r>
    </w:p>
    <w:p>
      <w:pPr>
        <w:outlineLvl w:val="0"/>
        <w:rPr>
          <w:rFonts w:ascii="宋体" w:eastAsia="宋体"/>
          <w:color w:val="auto"/>
          <w:sz w:val="22"/>
          <w:szCs w:val="22"/>
        </w:rPr>
      </w:pPr>
      <w:bookmarkStart w:id="140" w:name="_Toc494407533"/>
      <w:r>
        <w:rPr>
          <w:rFonts w:hint="eastAsia" w:ascii="宋体" w:eastAsia="宋体"/>
          <w:color w:val="auto"/>
          <w:sz w:val="22"/>
          <w:szCs w:val="22"/>
        </w:rPr>
        <w:t>二、招标文件</w:t>
      </w:r>
      <w:bookmarkEnd w:id="140"/>
    </w:p>
    <w:p>
      <w:pPr>
        <w:autoSpaceDE w:val="0"/>
        <w:autoSpaceDN w:val="0"/>
        <w:adjustRightInd w:val="0"/>
        <w:snapToGrid w:val="0"/>
        <w:spacing w:line="454" w:lineRule="atLeas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1、招标文件</w:t>
      </w:r>
    </w:p>
    <w:p>
      <w:pPr>
        <w:autoSpaceDE w:val="0"/>
        <w:autoSpaceDN w:val="0"/>
        <w:adjustRightInd w:val="0"/>
        <w:snapToGrid w:val="0"/>
        <w:spacing w:line="454" w:lineRule="atLeas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1.1、招标文件约束力</w:t>
      </w:r>
    </w:p>
    <w:p>
      <w:pPr>
        <w:autoSpaceDE w:val="0"/>
        <w:autoSpaceDN w:val="0"/>
        <w:adjustRightInd w:val="0"/>
        <w:snapToGrid w:val="0"/>
        <w:spacing w:line="454" w:lineRule="atLeast"/>
        <w:ind w:firstLine="431" w:firstLineChars="196"/>
        <w:textAlignment w:val="bottom"/>
        <w:rPr>
          <w:rFonts w:ascii="宋体" w:eastAsia="宋体"/>
          <w:b w:val="0"/>
          <w:color w:val="auto"/>
          <w:sz w:val="22"/>
          <w:szCs w:val="22"/>
          <w:u w:val="single"/>
        </w:rPr>
      </w:pPr>
      <w:r>
        <w:rPr>
          <w:rFonts w:hint="eastAsia" w:ascii="宋体" w:eastAsia="宋体"/>
          <w:b w:val="0"/>
          <w:color w:val="auto"/>
          <w:sz w:val="22"/>
          <w:szCs w:val="22"/>
        </w:rPr>
        <w:t>▲</w:t>
      </w:r>
      <w:r>
        <w:rPr>
          <w:rFonts w:hint="eastAsia" w:ascii="宋体" w:eastAsia="宋体"/>
          <w:b w:val="0"/>
          <w:color w:val="auto"/>
          <w:sz w:val="22"/>
          <w:szCs w:val="22"/>
          <w:u w:val="single"/>
        </w:rPr>
        <w:t>供应商一旦获取了本招标文件并参加投标，即被认为接受了本招标文件中所有条款和规定。</w:t>
      </w:r>
    </w:p>
    <w:p>
      <w:pPr>
        <w:autoSpaceDE w:val="0"/>
        <w:autoSpaceDN w:val="0"/>
        <w:adjustRightInd w:val="0"/>
        <w:snapToGrid w:val="0"/>
        <w:spacing w:line="454" w:lineRule="atLeas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1.2、招标文件的组成</w:t>
      </w:r>
    </w:p>
    <w:p>
      <w:pPr>
        <w:autoSpaceDE w:val="0"/>
        <w:autoSpaceDN w:val="0"/>
        <w:adjustRightInd w:val="0"/>
        <w:snapToGrid w:val="0"/>
        <w:spacing w:line="454" w:lineRule="atLeas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招标文件由招标文件总目录所列内容及补充资料等组成。</w:t>
      </w:r>
    </w:p>
    <w:p>
      <w:pPr>
        <w:autoSpaceDE w:val="0"/>
        <w:autoSpaceDN w:val="0"/>
        <w:adjustRightInd w:val="0"/>
        <w:snapToGrid w:val="0"/>
        <w:spacing w:line="454" w:lineRule="atLeas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2、招标文件的澄清</w:t>
      </w:r>
    </w:p>
    <w:p>
      <w:pPr>
        <w:autoSpaceDE w:val="0"/>
        <w:autoSpaceDN w:val="0"/>
        <w:adjustRightInd w:val="0"/>
        <w:snapToGrid w:val="0"/>
        <w:spacing w:line="454" w:lineRule="atLeas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供应商对招标文件如有质疑或需要澄清，可用书面形式（包括信函、传真，下同）通知</w:t>
      </w:r>
      <w:r>
        <w:rPr>
          <w:rFonts w:hint="eastAsia" w:ascii="宋体" w:eastAsia="宋体"/>
          <w:b w:val="0"/>
          <w:color w:val="auto"/>
          <w:sz w:val="22"/>
          <w:szCs w:val="22"/>
          <w:u w:val="single"/>
        </w:rPr>
        <w:t>招标代理机构</w:t>
      </w:r>
      <w:r>
        <w:rPr>
          <w:rFonts w:hint="eastAsia" w:ascii="宋体" w:eastAsia="宋体"/>
          <w:b w:val="0"/>
          <w:color w:val="auto"/>
          <w:sz w:val="22"/>
          <w:szCs w:val="22"/>
        </w:rPr>
        <w:t>，但通知不得迟于规定的质疑时间前使招标代理机构收到，招标代理机构将用书面形式予以答复。如有必要，可将不说明来源的答复书面发给各有关供应商并予以公告。任何口头答复均不作为投标依据。</w:t>
      </w:r>
    </w:p>
    <w:p>
      <w:pPr>
        <w:autoSpaceDE w:val="0"/>
        <w:autoSpaceDN w:val="0"/>
        <w:adjustRightInd w:val="0"/>
        <w:snapToGrid w:val="0"/>
        <w:spacing w:line="454" w:lineRule="atLeas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3、招标文件的修改</w:t>
      </w:r>
    </w:p>
    <w:p>
      <w:pPr>
        <w:autoSpaceDE w:val="0"/>
        <w:autoSpaceDN w:val="0"/>
        <w:adjustRightInd w:val="0"/>
        <w:snapToGrid w:val="0"/>
        <w:spacing w:line="454" w:lineRule="atLeast"/>
        <w:ind w:firstLine="431" w:firstLineChars="196"/>
        <w:textAlignment w:val="bottom"/>
        <w:rPr>
          <w:rFonts w:ascii="宋体" w:eastAsia="宋体"/>
          <w:b w:val="0"/>
          <w:color w:val="auto"/>
          <w:sz w:val="22"/>
          <w:szCs w:val="22"/>
        </w:rPr>
      </w:pPr>
      <w:r>
        <w:rPr>
          <w:rFonts w:hint="eastAsia" w:ascii="宋体" w:eastAsia="宋体"/>
          <w:b w:val="0"/>
          <w:color w:val="auto"/>
          <w:sz w:val="22"/>
          <w:szCs w:val="22"/>
        </w:rPr>
        <w:t>3.1、在投标截止时间前，采购人有权澄清或者修改招标文件，并以书面形式（补充、更正文件）通知供应商。补充、更正文件作为招标文件的组成部分，对所有投标供应商均有约束力。</w:t>
      </w:r>
    </w:p>
    <w:p>
      <w:pPr>
        <w:autoSpaceDE w:val="0"/>
        <w:autoSpaceDN w:val="0"/>
        <w:adjustRightInd w:val="0"/>
        <w:snapToGrid w:val="0"/>
        <w:spacing w:line="400" w:lineRule="exact"/>
        <w:ind w:firstLine="431" w:firstLineChars="196"/>
        <w:textAlignment w:val="bottom"/>
        <w:rPr>
          <w:rFonts w:hint="eastAsia" w:ascii="宋体" w:eastAsia="宋体"/>
          <w:b w:val="0"/>
          <w:color w:val="auto"/>
          <w:sz w:val="22"/>
          <w:szCs w:val="22"/>
          <w:highlight w:val="none"/>
        </w:rPr>
      </w:pPr>
      <w:r>
        <w:rPr>
          <w:rFonts w:hint="eastAsia" w:ascii="宋体" w:eastAsia="宋体"/>
          <w:b w:val="0"/>
          <w:color w:val="auto"/>
          <w:sz w:val="22"/>
          <w:szCs w:val="22"/>
          <w:highlight w:val="none"/>
        </w:rPr>
        <w:t>3.2、澄清或者修改的内容可能影响投标文件编制的，采购人或者采购代理机构应当在投标截止时间至少15日前，以书面形式（在浙江政府采购网上发布公告）通知所有获取采购文件的潜在投标人；不足15日的，采购人或者采购代理机构应当顺延提交投标文件的截止时间。</w:t>
      </w:r>
    </w:p>
    <w:p>
      <w:pPr>
        <w:autoSpaceDE w:val="0"/>
        <w:autoSpaceDN w:val="0"/>
        <w:adjustRightInd w:val="0"/>
        <w:snapToGrid w:val="0"/>
        <w:spacing w:line="400" w:lineRule="exact"/>
        <w:ind w:firstLine="431" w:firstLineChars="196"/>
        <w:textAlignment w:val="bottom"/>
        <w:rPr>
          <w:rFonts w:ascii="宋体" w:eastAsia="宋体"/>
          <w:color w:val="auto"/>
          <w:sz w:val="22"/>
          <w:szCs w:val="22"/>
        </w:rPr>
      </w:pPr>
      <w:r>
        <w:rPr>
          <w:rFonts w:hint="eastAsia" w:ascii="宋体" w:eastAsia="宋体"/>
          <w:b w:val="0"/>
          <w:color w:val="auto"/>
          <w:sz w:val="22"/>
          <w:szCs w:val="22"/>
        </w:rPr>
        <w:t>3.3、补充、更正文件在浙江政府采购网（</w:t>
      </w:r>
      <w:r>
        <w:rPr>
          <w:rFonts w:ascii="宋体" w:eastAsia="宋体"/>
          <w:b w:val="0"/>
          <w:color w:val="auto"/>
          <w:sz w:val="22"/>
          <w:szCs w:val="22"/>
        </w:rPr>
        <w:t>http://www.zjzfcg.gov.cn/</w:t>
      </w:r>
      <w:r>
        <w:rPr>
          <w:rFonts w:hint="eastAsia" w:ascii="宋体" w:eastAsia="宋体"/>
          <w:b w:val="0"/>
          <w:color w:val="auto"/>
          <w:sz w:val="22"/>
          <w:szCs w:val="22"/>
        </w:rPr>
        <w:t>）予以公告公布。</w:t>
      </w:r>
    </w:p>
    <w:p>
      <w:pPr>
        <w:spacing w:line="400" w:lineRule="exact"/>
        <w:outlineLvl w:val="0"/>
        <w:rPr>
          <w:rFonts w:ascii="宋体" w:eastAsia="宋体"/>
          <w:color w:val="auto"/>
          <w:sz w:val="22"/>
          <w:szCs w:val="22"/>
        </w:rPr>
      </w:pPr>
      <w:bookmarkStart w:id="141" w:name="_Toc494407534"/>
      <w:r>
        <w:rPr>
          <w:rFonts w:hint="eastAsia" w:ascii="宋体" w:eastAsia="宋体"/>
          <w:color w:val="auto"/>
          <w:sz w:val="22"/>
          <w:szCs w:val="22"/>
        </w:rPr>
        <w:t>三、投标文件</w:t>
      </w:r>
      <w:bookmarkEnd w:id="141"/>
    </w:p>
    <w:p>
      <w:pPr>
        <w:autoSpaceDE w:val="0"/>
        <w:autoSpaceDN w:val="0"/>
        <w:adjustRightInd w:val="0"/>
        <w:snapToGrid w:val="0"/>
        <w:spacing w:line="400" w:lineRule="exact"/>
        <w:ind w:firstLine="433" w:firstLineChars="196"/>
        <w:textAlignment w:val="bottom"/>
        <w:rPr>
          <w:rFonts w:ascii="宋体" w:eastAsia="宋体"/>
          <w:b/>
          <w:bCs/>
          <w:color w:val="auto"/>
          <w:sz w:val="22"/>
          <w:szCs w:val="22"/>
        </w:rPr>
      </w:pPr>
      <w:r>
        <w:rPr>
          <w:rFonts w:hint="eastAsia" w:ascii="宋体" w:eastAsia="宋体"/>
          <w:b/>
          <w:bCs/>
          <w:color w:val="auto"/>
          <w:sz w:val="22"/>
          <w:szCs w:val="22"/>
        </w:rPr>
        <w:t>1、投标文件</w:t>
      </w:r>
    </w:p>
    <w:p>
      <w:pPr>
        <w:autoSpaceDE w:val="0"/>
        <w:autoSpaceDN w:val="0"/>
        <w:adjustRightInd w:val="0"/>
        <w:snapToGrid w:val="0"/>
        <w:spacing w:line="430" w:lineRule="atLeast"/>
        <w:ind w:firstLine="442" w:firstLineChars="200"/>
        <w:rPr>
          <w:rFonts w:hint="eastAsia" w:ascii="宋体" w:eastAsia="宋体"/>
          <w:b/>
          <w:bCs/>
          <w:color w:val="auto"/>
          <w:sz w:val="22"/>
          <w:lang w:val="zh-CN"/>
        </w:rPr>
      </w:pPr>
      <w:r>
        <w:rPr>
          <w:rFonts w:hint="eastAsia" w:ascii="宋体" w:eastAsia="宋体"/>
          <w:b/>
          <w:bCs/>
          <w:color w:val="auto"/>
          <w:sz w:val="22"/>
          <w:lang w:val="zh-CN"/>
        </w:rPr>
        <w:t>1</w:t>
      </w:r>
      <w:r>
        <w:rPr>
          <w:rFonts w:hint="eastAsia" w:ascii="宋体" w:eastAsia="宋体"/>
          <w:b/>
          <w:bCs/>
          <w:color w:val="auto"/>
          <w:sz w:val="22"/>
          <w:lang w:val="en-US" w:eastAsia="zh-CN"/>
        </w:rPr>
        <w:t>.1</w:t>
      </w:r>
      <w:r>
        <w:rPr>
          <w:rFonts w:hint="eastAsia" w:ascii="宋体" w:eastAsia="宋体"/>
          <w:b/>
          <w:bCs/>
          <w:color w:val="auto"/>
          <w:sz w:val="22"/>
          <w:lang w:val="zh-CN"/>
        </w:rPr>
        <w:t xml:space="preserve"> 投标文件的形式和效力</w:t>
      </w:r>
    </w:p>
    <w:p>
      <w:pPr>
        <w:autoSpaceDE w:val="0"/>
        <w:autoSpaceDN w:val="0"/>
        <w:adjustRightInd w:val="0"/>
        <w:snapToGrid w:val="0"/>
        <w:spacing w:line="430" w:lineRule="atLeast"/>
        <w:ind w:firstLine="442" w:firstLineChars="200"/>
        <w:rPr>
          <w:rFonts w:hint="eastAsia" w:ascii="宋体" w:eastAsia="宋体"/>
          <w:b/>
          <w:bCs/>
          <w:color w:val="auto"/>
          <w:sz w:val="22"/>
          <w:lang w:val="zh-CN"/>
        </w:rPr>
      </w:pPr>
      <w:r>
        <w:rPr>
          <w:rFonts w:hint="eastAsia" w:ascii="宋体" w:eastAsia="宋体"/>
          <w:b/>
          <w:bCs/>
          <w:color w:val="auto"/>
          <w:sz w:val="22"/>
          <w:lang w:val="zh-CN"/>
        </w:rPr>
        <w:t>1</w:t>
      </w:r>
      <w:r>
        <w:rPr>
          <w:rFonts w:hint="eastAsia" w:ascii="宋体" w:eastAsia="宋体"/>
          <w:b/>
          <w:bCs/>
          <w:color w:val="auto"/>
          <w:sz w:val="22"/>
          <w:lang w:val="en-US" w:eastAsia="zh-CN"/>
        </w:rPr>
        <w:t>.2</w:t>
      </w:r>
      <w:r>
        <w:rPr>
          <w:rFonts w:hint="eastAsia" w:ascii="宋体" w:eastAsia="宋体"/>
          <w:b/>
          <w:bCs/>
          <w:color w:val="auto"/>
          <w:sz w:val="22"/>
          <w:lang w:val="zh-CN"/>
        </w:rPr>
        <w:t>投标文件分为 “电子加密投标文件”和“备份投标文件”两类，在投标文件编制完成后同时生成。</w:t>
      </w:r>
    </w:p>
    <w:p>
      <w:pPr>
        <w:autoSpaceDE w:val="0"/>
        <w:autoSpaceDN w:val="0"/>
        <w:adjustRightInd w:val="0"/>
        <w:snapToGrid w:val="0"/>
        <w:spacing w:line="430" w:lineRule="atLeast"/>
        <w:ind w:firstLine="442" w:firstLineChars="200"/>
        <w:rPr>
          <w:rFonts w:hint="eastAsia" w:ascii="宋体" w:eastAsia="宋体"/>
          <w:b/>
          <w:bCs/>
          <w:color w:val="auto"/>
          <w:sz w:val="22"/>
          <w:lang w:val="zh-CN"/>
        </w:rPr>
      </w:pPr>
      <w:r>
        <w:rPr>
          <w:rFonts w:hint="eastAsia" w:ascii="宋体" w:eastAsia="宋体"/>
          <w:b/>
          <w:bCs/>
          <w:color w:val="auto"/>
          <w:sz w:val="22"/>
          <w:lang w:val="zh-CN"/>
        </w:rPr>
        <w:t>1</w:t>
      </w:r>
      <w:r>
        <w:rPr>
          <w:rFonts w:hint="eastAsia" w:ascii="宋体" w:eastAsia="宋体"/>
          <w:b/>
          <w:bCs/>
          <w:color w:val="auto"/>
          <w:sz w:val="22"/>
          <w:lang w:val="en-US" w:eastAsia="zh-CN"/>
        </w:rPr>
        <w:t>.3</w:t>
      </w:r>
      <w:r>
        <w:rPr>
          <w:rFonts w:hint="eastAsia" w:ascii="宋体" w:eastAsia="宋体"/>
          <w:b/>
          <w:bCs/>
          <w:color w:val="auto"/>
          <w:sz w:val="22"/>
          <w:lang w:val="zh-CN"/>
        </w:rPr>
        <w:t>“电子加密投标文件”是指通过“政采云电子交易客户端”完成投标文件编制后生成并加密的数据电文形式的投标文件。</w:t>
      </w:r>
    </w:p>
    <w:p>
      <w:pPr>
        <w:autoSpaceDE w:val="0"/>
        <w:autoSpaceDN w:val="0"/>
        <w:adjustRightInd w:val="0"/>
        <w:snapToGrid w:val="0"/>
        <w:spacing w:line="430" w:lineRule="atLeast"/>
        <w:ind w:firstLine="442" w:firstLineChars="200"/>
        <w:rPr>
          <w:rFonts w:hint="eastAsia" w:ascii="宋体" w:eastAsia="宋体"/>
          <w:b/>
          <w:bCs/>
          <w:color w:val="auto"/>
          <w:sz w:val="22"/>
          <w:lang w:val="zh-CN"/>
        </w:rPr>
      </w:pPr>
      <w:r>
        <w:rPr>
          <w:rFonts w:hint="eastAsia" w:ascii="宋体" w:eastAsia="宋体"/>
          <w:b/>
          <w:bCs/>
          <w:color w:val="auto"/>
          <w:sz w:val="22"/>
          <w:lang w:val="zh-CN"/>
        </w:rPr>
        <w:t>1</w:t>
      </w:r>
      <w:r>
        <w:rPr>
          <w:rFonts w:hint="eastAsia" w:ascii="宋体" w:eastAsia="宋体"/>
          <w:b/>
          <w:bCs/>
          <w:color w:val="auto"/>
          <w:sz w:val="22"/>
          <w:lang w:val="en-US" w:eastAsia="zh-CN"/>
        </w:rPr>
        <w:t>.4</w:t>
      </w:r>
      <w:r>
        <w:rPr>
          <w:rFonts w:hint="eastAsia" w:ascii="宋体" w:eastAsia="宋体"/>
          <w:b/>
          <w:bCs/>
          <w:color w:val="auto"/>
          <w:sz w:val="22"/>
          <w:lang w:val="zh-CN"/>
        </w:rPr>
        <w:t>“备份投标文件”是指与“电子加密投标文件”同时生成的数据电文形式的电子文件（备份标书），其他方式编制的备份投标文件视为无效备份投标文件。</w:t>
      </w:r>
    </w:p>
    <w:p>
      <w:pPr>
        <w:autoSpaceDE w:val="0"/>
        <w:autoSpaceDN w:val="0"/>
        <w:adjustRightInd w:val="0"/>
        <w:snapToGrid w:val="0"/>
        <w:spacing w:line="430" w:lineRule="atLeast"/>
        <w:ind w:firstLine="442" w:firstLineChars="200"/>
        <w:rPr>
          <w:rFonts w:hint="eastAsia" w:ascii="宋体" w:eastAsia="宋体"/>
          <w:b/>
          <w:bCs/>
          <w:color w:val="auto"/>
          <w:sz w:val="22"/>
          <w:lang w:val="zh-CN"/>
        </w:rPr>
      </w:pPr>
      <w:r>
        <w:rPr>
          <w:rFonts w:hint="eastAsia" w:ascii="宋体" w:eastAsia="宋体"/>
          <w:b/>
          <w:bCs/>
          <w:color w:val="auto"/>
          <w:sz w:val="22"/>
          <w:lang w:val="zh-CN"/>
        </w:rPr>
        <w:t>1</w:t>
      </w:r>
      <w:r>
        <w:rPr>
          <w:rFonts w:hint="eastAsia" w:ascii="宋体" w:eastAsia="宋体"/>
          <w:b/>
          <w:bCs/>
          <w:color w:val="auto"/>
          <w:sz w:val="22"/>
          <w:lang w:val="en-US" w:eastAsia="zh-CN"/>
        </w:rPr>
        <w:t>.5</w:t>
      </w:r>
      <w:r>
        <w:rPr>
          <w:rFonts w:hint="eastAsia" w:ascii="宋体" w:eastAsia="宋体"/>
          <w:b/>
          <w:bCs/>
          <w:color w:val="auto"/>
          <w:sz w:val="22"/>
          <w:lang w:val="zh-CN"/>
        </w:rPr>
        <w:t>投标文件的启用，按先后顺位分别为“电子加密投标文件”、 “备份投标文件”。在下一顺位的投标文件启用时，前一顺位的投标文件自动失效。</w:t>
      </w:r>
    </w:p>
    <w:p>
      <w:pPr>
        <w:autoSpaceDE w:val="0"/>
        <w:autoSpaceDN w:val="0"/>
        <w:adjustRightInd w:val="0"/>
        <w:snapToGrid w:val="0"/>
        <w:spacing w:line="430" w:lineRule="atLeast"/>
        <w:ind w:firstLine="440" w:firstLineChars="200"/>
        <w:rPr>
          <w:rFonts w:ascii="宋体" w:eastAsia="宋体"/>
          <w:b w:val="0"/>
          <w:color w:val="auto"/>
          <w:sz w:val="22"/>
          <w:lang w:val="zh-CN"/>
        </w:rPr>
      </w:pPr>
      <w:r>
        <w:rPr>
          <w:rFonts w:hint="eastAsia" w:ascii="宋体" w:eastAsia="宋体"/>
          <w:b w:val="0"/>
          <w:color w:val="auto"/>
          <w:sz w:val="22"/>
          <w:lang w:val="zh-CN"/>
        </w:rPr>
        <w:t>2、</w:t>
      </w:r>
      <w:r>
        <w:rPr>
          <w:rFonts w:hint="eastAsia" w:ascii="宋体" w:eastAsia="宋体"/>
          <w:color w:val="auto"/>
          <w:sz w:val="22"/>
          <w:lang w:val="zh-CN"/>
        </w:rPr>
        <w:t>投标文件的组成</w:t>
      </w:r>
    </w:p>
    <w:p>
      <w:pPr>
        <w:autoSpaceDE w:val="0"/>
        <w:autoSpaceDN w:val="0"/>
        <w:adjustRightInd w:val="0"/>
        <w:snapToGrid w:val="0"/>
        <w:spacing w:line="430" w:lineRule="atLeast"/>
        <w:ind w:firstLine="442" w:firstLineChars="200"/>
        <w:rPr>
          <w:rFonts w:ascii="宋体" w:eastAsia="宋体"/>
          <w:color w:val="auto"/>
          <w:sz w:val="22"/>
          <w:lang w:val="zh-CN"/>
        </w:rPr>
      </w:pPr>
      <w:r>
        <w:rPr>
          <w:rFonts w:hint="eastAsia" w:ascii="宋体" w:eastAsia="宋体"/>
          <w:color w:val="auto"/>
          <w:sz w:val="22"/>
        </w:rPr>
        <w:t>投标文件由商务报价部分和技术资信部分二部分组成。技术资信部分（含资信与服务）不得含报价，否则投标将被拒绝。</w:t>
      </w:r>
    </w:p>
    <w:p>
      <w:pPr>
        <w:autoSpaceDE w:val="0"/>
        <w:autoSpaceDN w:val="0"/>
        <w:adjustRightInd w:val="0"/>
        <w:snapToGrid w:val="0"/>
        <w:spacing w:line="430" w:lineRule="atLeast"/>
        <w:ind w:firstLine="440" w:firstLineChars="200"/>
        <w:rPr>
          <w:rFonts w:ascii="宋体" w:eastAsia="宋体"/>
          <w:color w:val="auto"/>
          <w:sz w:val="22"/>
          <w:lang w:val="zh-CN"/>
        </w:rPr>
      </w:pPr>
      <w:r>
        <w:rPr>
          <w:rFonts w:hint="eastAsia" w:ascii="宋体" w:eastAsia="宋体"/>
          <w:b w:val="0"/>
          <w:color w:val="auto"/>
          <w:sz w:val="22"/>
          <w:lang w:val="zh-CN"/>
        </w:rPr>
        <w:t>2.1</w:t>
      </w:r>
      <w:r>
        <w:rPr>
          <w:rFonts w:hint="eastAsia" w:ascii="宋体" w:eastAsia="宋体"/>
          <w:color w:val="auto"/>
          <w:sz w:val="22"/>
        </w:rPr>
        <w:t>商务报价部分</w:t>
      </w:r>
      <w:r>
        <w:rPr>
          <w:rFonts w:hint="eastAsia" w:ascii="宋体" w:eastAsia="宋体"/>
          <w:color w:val="auto"/>
          <w:sz w:val="22"/>
          <w:lang w:val="zh-CN"/>
        </w:rPr>
        <w:t>组成</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autoSpaceDE w:val="0"/>
              <w:autoSpaceDN w:val="0"/>
              <w:adjustRightInd w:val="0"/>
              <w:snapToGrid w:val="0"/>
              <w:spacing w:line="430" w:lineRule="atLeast"/>
              <w:jc w:val="center"/>
              <w:rPr>
                <w:rFonts w:ascii="宋体" w:eastAsia="宋体"/>
                <w:b w:val="0"/>
                <w:color w:val="auto"/>
                <w:sz w:val="22"/>
                <w:szCs w:val="22"/>
                <w:lang w:val="zh-CN"/>
              </w:rPr>
            </w:pPr>
            <w:r>
              <w:rPr>
                <w:rFonts w:hint="eastAsia" w:ascii="宋体" w:eastAsia="宋体"/>
                <w:b w:val="0"/>
                <w:color w:val="auto"/>
                <w:sz w:val="22"/>
                <w:szCs w:val="22"/>
                <w:lang w:val="zh-CN"/>
              </w:rPr>
              <w:t>序号</w:t>
            </w:r>
          </w:p>
        </w:tc>
        <w:tc>
          <w:tcPr>
            <w:tcW w:w="8527"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内容</w:t>
            </w:r>
            <w:r>
              <w:rPr>
                <w:rFonts w:hint="eastAsia" w:ascii="宋体" w:eastAsia="宋体"/>
                <w:color w:val="auto"/>
                <w:sz w:val="22"/>
                <w:szCs w:val="22"/>
                <w:lang w:val="zh-CN"/>
              </w:rPr>
              <w:t>（▲序号1-</w:t>
            </w:r>
            <w:r>
              <w:rPr>
                <w:rFonts w:ascii="宋体" w:eastAsia="宋体"/>
                <w:color w:val="auto"/>
                <w:sz w:val="22"/>
                <w:szCs w:val="22"/>
                <w:lang w:val="zh-CN"/>
              </w:rPr>
              <w:t>2</w:t>
            </w:r>
            <w:r>
              <w:rPr>
                <w:rFonts w:hint="eastAsia" w:ascii="宋体" w:eastAsia="宋体"/>
                <w:color w:val="auto"/>
                <w:sz w:val="22"/>
                <w:szCs w:val="22"/>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numPr>
                <w:ilvl w:val="0"/>
                <w:numId w:val="1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pPr>
              <w:autoSpaceDE w:val="0"/>
              <w:autoSpaceDN w:val="0"/>
              <w:adjustRightInd w:val="0"/>
              <w:spacing w:line="430" w:lineRule="atLeast"/>
              <w:textAlignment w:val="bottom"/>
              <w:rPr>
                <w:rFonts w:ascii="宋体" w:eastAsia="宋体"/>
                <w:b w:val="0"/>
                <w:color w:val="auto"/>
                <w:sz w:val="22"/>
                <w:szCs w:val="22"/>
              </w:rPr>
            </w:pPr>
            <w:r>
              <w:rPr>
                <w:rFonts w:hint="eastAsia" w:ascii="宋体" w:eastAsia="宋体"/>
                <w:b w:val="0"/>
                <w:color w:val="auto"/>
                <w:sz w:val="22"/>
                <w:szCs w:val="22"/>
              </w:rPr>
              <w:t>开标一览表（附件一）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numPr>
                <w:ilvl w:val="0"/>
                <w:numId w:val="1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pPr>
              <w:autoSpaceDE w:val="0"/>
              <w:autoSpaceDN w:val="0"/>
              <w:adjustRightInd w:val="0"/>
              <w:spacing w:line="430" w:lineRule="atLeast"/>
              <w:textAlignment w:val="bottom"/>
              <w:rPr>
                <w:rFonts w:ascii="宋体" w:eastAsia="宋体"/>
                <w:b w:val="0"/>
                <w:color w:val="auto"/>
                <w:sz w:val="22"/>
                <w:szCs w:val="22"/>
                <w:lang w:val="zh-CN"/>
              </w:rPr>
            </w:pPr>
            <w:r>
              <w:rPr>
                <w:rFonts w:hint="eastAsia" w:ascii="宋体" w:eastAsia="宋体"/>
                <w:b w:val="0"/>
                <w:color w:val="auto"/>
                <w:sz w:val="22"/>
                <w:szCs w:val="22"/>
              </w:rPr>
              <w:t>投标货物数量价格表（附件二）；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numPr>
                <w:ilvl w:val="0"/>
                <w:numId w:val="1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pPr>
              <w:autoSpaceDE w:val="0"/>
              <w:autoSpaceDN w:val="0"/>
              <w:adjustRightInd w:val="0"/>
              <w:snapToGrid w:val="0"/>
              <w:spacing w:line="430" w:lineRule="atLeast"/>
              <w:textAlignment w:val="bottom"/>
              <w:rPr>
                <w:rFonts w:ascii="宋体" w:eastAsia="宋体"/>
                <w:b w:val="0"/>
                <w:color w:val="auto"/>
                <w:sz w:val="22"/>
                <w:szCs w:val="22"/>
                <w:lang w:val="zh-CN"/>
              </w:rPr>
            </w:pPr>
            <w:r>
              <w:rPr>
                <w:rFonts w:hint="eastAsia" w:ascii="宋体" w:eastAsia="宋体"/>
                <w:b w:val="0"/>
                <w:color w:val="auto"/>
                <w:sz w:val="22"/>
                <w:szCs w:val="22"/>
              </w:rPr>
              <w:t>随机备品备件、专用工具清单(如有)（附件三）；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numPr>
                <w:ilvl w:val="0"/>
                <w:numId w:val="13"/>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rPr>
              <w:t>产品零件、易损件、备品备件报价表（附件四）。</w:t>
            </w:r>
          </w:p>
        </w:tc>
      </w:tr>
    </w:tbl>
    <w:p>
      <w:pPr>
        <w:autoSpaceDE w:val="0"/>
        <w:autoSpaceDN w:val="0"/>
        <w:adjustRightInd w:val="0"/>
        <w:snapToGri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2.2</w:t>
      </w:r>
      <w:r>
        <w:rPr>
          <w:rFonts w:hint="eastAsia" w:ascii="宋体" w:eastAsia="宋体"/>
          <w:color w:val="auto"/>
          <w:sz w:val="22"/>
        </w:rPr>
        <w:t>技术资信部分组成</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序号</w:t>
            </w:r>
          </w:p>
        </w:tc>
        <w:tc>
          <w:tcPr>
            <w:tcW w:w="8386"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lang w:val="zh-CN"/>
              </w:rPr>
              <w:t>资信部分</w:t>
            </w:r>
            <w:r>
              <w:rPr>
                <w:rFonts w:hint="eastAsia" w:ascii="宋体" w:eastAsia="宋体"/>
                <w:color w:val="auto"/>
                <w:sz w:val="22"/>
                <w:szCs w:val="22"/>
                <w:lang w:val="zh-CN"/>
              </w:rPr>
              <w:t>（▲序号1-</w:t>
            </w:r>
            <w:r>
              <w:rPr>
                <w:rFonts w:hint="eastAsia" w:ascii="宋体" w:eastAsia="宋体"/>
                <w:color w:val="auto"/>
                <w:sz w:val="22"/>
                <w:szCs w:val="22"/>
                <w:lang w:val="en-US" w:eastAsia="zh-CN"/>
              </w:rPr>
              <w:t>5</w:t>
            </w:r>
            <w:r>
              <w:rPr>
                <w:rFonts w:hint="eastAsia" w:ascii="宋体" w:eastAsia="宋体"/>
                <w:color w:val="auto"/>
                <w:sz w:val="22"/>
                <w:szCs w:val="22"/>
                <w:lang w:val="zh-CN"/>
              </w:rPr>
              <w:t>项供应商必须提供，否则不能通过资格性审查的，责任自负）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lang w:val="zh-CN"/>
              </w:rPr>
            </w:pPr>
            <w:r>
              <w:rPr>
                <w:rFonts w:hint="eastAsia" w:ascii="宋体" w:eastAsia="宋体"/>
                <w:b w:val="0"/>
                <w:color w:val="auto"/>
                <w:sz w:val="22"/>
                <w:szCs w:val="22"/>
              </w:rPr>
              <w:t>投标函（附件五）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供应商法定代表人授权书（见附件六）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供应商参与政府采购活动投标资格声明（见附件七）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供应商的营业执照、税务登记证（如为多证合一仅需提供营业执照）；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供应商财务报表、依法缴纳税收的证明材料、依法缴纳社保的证明材料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供应商“信用中国”(</w:t>
            </w:r>
            <w:r>
              <w:fldChar w:fldCharType="begin"/>
            </w:r>
            <w:r>
              <w:instrText xml:space="preserve"> HYPERLINK "http://www.creditchina.gov.cn" </w:instrText>
            </w:r>
            <w:r>
              <w:fldChar w:fldCharType="separate"/>
            </w:r>
            <w:r>
              <w:rPr>
                <w:rFonts w:hint="eastAsia" w:ascii="宋体" w:eastAsia="宋体"/>
                <w:b w:val="0"/>
                <w:color w:val="auto"/>
                <w:sz w:val="22"/>
                <w:szCs w:val="22"/>
              </w:rPr>
              <w:t>www.creditchina.gov.cn</w:t>
            </w:r>
            <w:r>
              <w:rPr>
                <w:rFonts w:hint="eastAsia" w:ascii="宋体" w:eastAsia="宋体"/>
                <w:b w:val="0"/>
                <w:color w:val="auto"/>
                <w:sz w:val="22"/>
                <w:szCs w:val="22"/>
              </w:rPr>
              <w:fldChar w:fldCharType="end"/>
            </w:r>
            <w:r>
              <w:rPr>
                <w:rFonts w:hint="eastAsia" w:ascii="宋体" w:eastAsia="宋体"/>
                <w:b w:val="0"/>
                <w:color w:val="auto"/>
                <w:sz w:val="22"/>
                <w:szCs w:val="22"/>
              </w:rPr>
              <w:t>)；“中国政府采购网”（http://www.ccgp.gov.cn/）信用记录网页截图；“浙江省政府采购网”（</w:t>
            </w:r>
            <w:r>
              <w:rPr>
                <w:rFonts w:ascii="宋体" w:eastAsia="宋体"/>
                <w:b w:val="0"/>
                <w:color w:val="auto"/>
                <w:sz w:val="22"/>
                <w:szCs w:val="22"/>
              </w:rPr>
              <w:t>http://www.zjzfcg.gov.cn/</w:t>
            </w:r>
            <w:r>
              <w:rPr>
                <w:rFonts w:hint="eastAsia" w:ascii="宋体" w:eastAsia="宋体"/>
                <w:b w:val="0"/>
                <w:color w:val="auto"/>
                <w:sz w:val="22"/>
                <w:szCs w:val="22"/>
              </w:rPr>
              <w:t>）曝光台中查询网页截图；（招标公告发布之日至投标截止时间前均可）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color w:val="auto"/>
                <w:sz w:val="22"/>
                <w:szCs w:val="22"/>
              </w:rPr>
              <w:t>供应商特定资格条件证明（如供应商资格条件未要求特定资格条件的，不需要提供）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color w:val="auto"/>
                <w:sz w:val="22"/>
                <w:szCs w:val="22"/>
              </w:rPr>
              <w:t>法定代表人诚信投标承诺书（附件八）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w:t>
            </w:r>
            <w:r>
              <w:rPr>
                <w:rFonts w:hint="eastAsia" w:ascii="宋体" w:eastAsia="宋体"/>
                <w:b w:val="0"/>
                <w:color w:val="auto"/>
                <w:sz w:val="22"/>
                <w:szCs w:val="22"/>
                <w:lang w:val="en-US" w:eastAsia="zh-CN"/>
              </w:rPr>
              <w:t>各类</w:t>
            </w:r>
            <w:r>
              <w:rPr>
                <w:rFonts w:hint="eastAsia" w:ascii="宋体" w:eastAsia="宋体"/>
                <w:b w:val="0"/>
                <w:color w:val="auto"/>
                <w:sz w:val="22"/>
                <w:szCs w:val="22"/>
              </w:rPr>
              <w:t>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关键性原材料技术指标、性能功能比较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highlight w:val="none"/>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highlight w:val="none"/>
              </w:rPr>
            </w:pPr>
            <w:r>
              <w:rPr>
                <w:rFonts w:hint="eastAsia" w:ascii="宋体" w:eastAsia="宋体"/>
                <w:b w:val="0"/>
                <w:color w:val="auto"/>
                <w:sz w:val="22"/>
                <w:szCs w:val="22"/>
                <w:highlight w:val="none"/>
              </w:rPr>
              <w:t>相关所投产品的相关检测报告（如有则提供）；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供应商提供201</w:t>
            </w:r>
            <w:r>
              <w:rPr>
                <w:rFonts w:hint="eastAsia" w:ascii="宋体" w:eastAsia="宋体"/>
                <w:b w:val="0"/>
                <w:color w:val="auto"/>
                <w:sz w:val="22"/>
                <w:szCs w:val="22"/>
                <w:lang w:val="en-US" w:eastAsia="zh-CN"/>
              </w:rPr>
              <w:t>7</w:t>
            </w:r>
            <w:r>
              <w:rPr>
                <w:rFonts w:hint="eastAsia" w:ascii="宋体" w:eastAsia="宋体"/>
                <w:b w:val="0"/>
                <w:color w:val="auto"/>
                <w:sz w:val="22"/>
                <w:szCs w:val="22"/>
              </w:rPr>
              <w:t>年</w:t>
            </w:r>
            <w:r>
              <w:rPr>
                <w:rFonts w:hint="eastAsia" w:ascii="宋体" w:eastAsia="宋体"/>
                <w:b w:val="0"/>
                <w:color w:val="auto"/>
                <w:sz w:val="22"/>
                <w:szCs w:val="22"/>
                <w:lang w:val="en-US" w:eastAsia="zh-CN"/>
              </w:rPr>
              <w:t>1月1日</w:t>
            </w:r>
            <w:r>
              <w:rPr>
                <w:rFonts w:hint="eastAsia" w:ascii="宋体" w:eastAsia="宋体"/>
                <w:b w:val="0"/>
                <w:color w:val="auto"/>
                <w:sz w:val="22"/>
                <w:szCs w:val="22"/>
              </w:rPr>
              <w:t>以来</w:t>
            </w:r>
            <w:r>
              <w:rPr>
                <w:rFonts w:hint="eastAsia" w:ascii="宋体" w:eastAsia="宋体"/>
                <w:b w:val="0"/>
                <w:color w:val="auto"/>
                <w:sz w:val="22"/>
                <w:szCs w:val="22"/>
                <w:lang w:val="en-US" w:eastAsia="zh-CN"/>
              </w:rPr>
              <w:t>承接</w:t>
            </w:r>
            <w:r>
              <w:rPr>
                <w:rFonts w:hint="eastAsia" w:ascii="宋体" w:eastAsia="宋体"/>
                <w:b w:val="0"/>
                <w:color w:val="auto"/>
                <w:sz w:val="22"/>
                <w:szCs w:val="22"/>
              </w:rPr>
              <w:t>同类项目业绩；（提供的加盖有效公章的中标(成交)通知书或合同复印件）（附件九）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color w:val="auto"/>
                <w:sz w:val="22"/>
                <w:szCs w:val="22"/>
              </w:rPr>
              <w:t>享受小微企业（含监狱企业、残疾人福利性单位）价格折扣须提供以下证明材料：</w:t>
            </w:r>
          </w:p>
          <w:p>
            <w:pPr>
              <w:autoSpaceDE w:val="0"/>
              <w:autoSpaceDN w:val="0"/>
              <w:adjustRightInd w:val="0"/>
              <w:snapToGrid w:val="0"/>
              <w:spacing w:line="430" w:lineRule="atLeast"/>
              <w:rPr>
                <w:rFonts w:ascii="宋体" w:eastAsia="宋体"/>
                <w:color w:val="auto"/>
                <w:sz w:val="22"/>
                <w:szCs w:val="22"/>
              </w:rPr>
            </w:pPr>
            <w:r>
              <w:rPr>
                <w:rFonts w:hint="eastAsia" w:ascii="宋体" w:eastAsia="宋体"/>
                <w:color w:val="auto"/>
                <w:sz w:val="22"/>
                <w:szCs w:val="22"/>
              </w:rPr>
              <w:t>（1）通过浙江政府采购网申请注册加入政府采购供应商库（不包括公示期内，提供浙江省政府采购网页面截图或其它入库证明材料，加盖供应商公章）</w:t>
            </w:r>
          </w:p>
          <w:p>
            <w:pPr>
              <w:autoSpaceDE w:val="0"/>
              <w:autoSpaceDN w:val="0"/>
              <w:adjustRightInd w:val="0"/>
              <w:snapToGrid w:val="0"/>
              <w:spacing w:line="430" w:lineRule="atLeast"/>
              <w:rPr>
                <w:rFonts w:ascii="宋体" w:eastAsia="宋体"/>
                <w:color w:val="auto"/>
                <w:sz w:val="22"/>
                <w:szCs w:val="22"/>
              </w:rPr>
            </w:pPr>
            <w:r>
              <w:rPr>
                <w:rFonts w:hint="eastAsia" w:ascii="宋体" w:eastAsia="宋体"/>
                <w:color w:val="auto"/>
                <w:sz w:val="22"/>
                <w:szCs w:val="22"/>
              </w:rPr>
              <w:t>（2）《中小企业声明函》（原件，加盖供应商公章，格式见招标文件第四部分附件</w:t>
            </w:r>
            <w:r>
              <w:rPr>
                <w:rFonts w:ascii="宋体" w:eastAsia="宋体"/>
                <w:color w:val="auto"/>
                <w:sz w:val="22"/>
                <w:szCs w:val="22"/>
              </w:rPr>
              <w:t>1</w:t>
            </w:r>
            <w:r>
              <w:rPr>
                <w:rFonts w:hint="eastAsia" w:ascii="宋体" w:eastAsia="宋体"/>
                <w:color w:val="auto"/>
                <w:sz w:val="22"/>
                <w:szCs w:val="22"/>
              </w:rPr>
              <w:t>）</w:t>
            </w:r>
          </w:p>
          <w:p>
            <w:pPr>
              <w:autoSpaceDE w:val="0"/>
              <w:autoSpaceDN w:val="0"/>
              <w:adjustRightInd w:val="0"/>
              <w:snapToGrid w:val="0"/>
              <w:spacing w:line="430" w:lineRule="atLeast"/>
              <w:rPr>
                <w:rFonts w:ascii="宋体" w:eastAsia="宋体"/>
                <w:color w:val="auto"/>
                <w:sz w:val="22"/>
                <w:szCs w:val="22"/>
              </w:rPr>
            </w:pPr>
            <w:r>
              <w:rPr>
                <w:rFonts w:hint="eastAsia" w:ascii="宋体" w:eastAsia="宋体"/>
                <w:color w:val="auto"/>
                <w:sz w:val="22"/>
                <w:szCs w:val="22"/>
              </w:rPr>
              <w:t>（3）</w:t>
            </w:r>
            <w:r>
              <w:rPr>
                <w:rFonts w:ascii="宋体" w:eastAsia="宋体"/>
                <w:color w:val="auto"/>
                <w:sz w:val="22"/>
                <w:szCs w:val="22"/>
              </w:rPr>
              <w:t>监狱企业参加政府采购活动时，应当提供由省级以上监狱管理局、戒毒管理局(含新疆生产建设兵团)出具的属于监狱企业的证明文件</w:t>
            </w:r>
            <w:r>
              <w:rPr>
                <w:rFonts w:hint="eastAsia" w:ascii="宋体" w:eastAsia="宋体"/>
                <w:color w:val="auto"/>
                <w:sz w:val="22"/>
                <w:szCs w:val="22"/>
              </w:rPr>
              <w:t>（原件或复印件加盖公章）</w:t>
            </w:r>
            <w:r>
              <w:rPr>
                <w:rFonts w:ascii="宋体" w:eastAsia="宋体"/>
                <w:color w:val="auto"/>
                <w:sz w:val="22"/>
                <w:szCs w:val="22"/>
              </w:rPr>
              <w:t>。在政府采购活动中，监狱企业视同小型、微型企业，享受评审中价格扣除政策</w:t>
            </w:r>
            <w:r>
              <w:rPr>
                <w:rFonts w:hint="eastAsia" w:ascii="宋体" w:eastAsia="宋体"/>
                <w:color w:val="auto"/>
                <w:sz w:val="22"/>
                <w:szCs w:val="22"/>
              </w:rPr>
              <w:t>。</w:t>
            </w:r>
          </w:p>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color w:val="auto"/>
                <w:sz w:val="22"/>
                <w:szCs w:val="22"/>
              </w:rPr>
              <w:t>（4）残疾人福利性单位声明函（原件，加盖供应商公章，格式见招标文件第四部分附件2）</w:t>
            </w:r>
            <w:r>
              <w:rPr>
                <w:rFonts w:ascii="宋体" w:eastAsia="宋体"/>
                <w:color w:val="auto"/>
                <w:sz w:val="22"/>
                <w:szCs w:val="22"/>
              </w:rPr>
              <w:t>在政府采购活动中，</w:t>
            </w:r>
            <w:r>
              <w:rPr>
                <w:rFonts w:hint="eastAsia" w:ascii="宋体" w:eastAsia="宋体"/>
                <w:color w:val="auto"/>
                <w:sz w:val="22"/>
                <w:szCs w:val="22"/>
              </w:rPr>
              <w:t>残疾人福利性单位</w:t>
            </w:r>
            <w:r>
              <w:rPr>
                <w:rFonts w:ascii="宋体" w:eastAsia="宋体"/>
                <w:color w:val="auto"/>
                <w:sz w:val="22"/>
                <w:szCs w:val="22"/>
              </w:rPr>
              <w:t>视同小型、微型企业，享受评审中价格扣除政策</w:t>
            </w:r>
            <w:r>
              <w:rPr>
                <w:rFonts w:hint="eastAsia" w:ascii="宋体" w:eastAsia="宋体"/>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lang w:val="zh-CN"/>
              </w:rPr>
              <w:t>技术部分</w:t>
            </w:r>
            <w:r>
              <w:rPr>
                <w:rFonts w:hint="eastAsia" w:ascii="宋体" w:eastAsia="宋体"/>
                <w:color w:val="auto"/>
                <w:sz w:val="22"/>
                <w:szCs w:val="22"/>
                <w:lang w:val="zh-CN"/>
              </w:rPr>
              <w:t>（▲序号1</w:t>
            </w:r>
            <w:r>
              <w:rPr>
                <w:rFonts w:hint="eastAsia" w:ascii="宋体" w:eastAsia="宋体"/>
                <w:color w:val="auto"/>
                <w:sz w:val="22"/>
                <w:szCs w:val="22"/>
                <w:lang w:val="en-US" w:eastAsia="zh-CN"/>
              </w:rPr>
              <w:t>5</w:t>
            </w:r>
            <w:r>
              <w:rPr>
                <w:rFonts w:hint="eastAsia" w:ascii="宋体" w:eastAsia="宋体"/>
                <w:color w:val="auto"/>
                <w:sz w:val="22"/>
                <w:szCs w:val="22"/>
                <w:lang w:val="zh-CN"/>
              </w:rPr>
              <w:t>-</w:t>
            </w:r>
            <w:r>
              <w:rPr>
                <w:rFonts w:hint="eastAsia" w:ascii="宋体" w:eastAsia="宋体"/>
                <w:color w:val="auto"/>
                <w:sz w:val="22"/>
                <w:szCs w:val="22"/>
                <w:lang w:val="en-US" w:eastAsia="zh-CN"/>
              </w:rPr>
              <w:t>16</w:t>
            </w:r>
            <w:r>
              <w:rPr>
                <w:rFonts w:hint="eastAsia" w:ascii="宋体" w:eastAsia="宋体"/>
                <w:color w:val="auto"/>
                <w:sz w:val="22"/>
                <w:szCs w:val="22"/>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商务偏离表（附件十（一））、技术偏离表（附件十（二））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所投产品的主要部件配置清单（附件十一）；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tabs>
                <w:tab w:val="left" w:pos="5355"/>
              </w:tabs>
              <w:spacing w:line="360" w:lineRule="auto"/>
              <w:rPr>
                <w:rFonts w:ascii="宋体" w:eastAsia="宋体"/>
                <w:b w:val="0"/>
                <w:color w:val="auto"/>
                <w:sz w:val="22"/>
                <w:szCs w:val="22"/>
              </w:rPr>
            </w:pPr>
            <w:r>
              <w:rPr>
                <w:rFonts w:hint="eastAsia" w:ascii="宋体" w:eastAsia="宋体"/>
                <w:b w:val="0"/>
                <w:color w:val="auto"/>
                <w:sz w:val="22"/>
                <w:szCs w:val="22"/>
              </w:rPr>
              <w:t xml:space="preserve">节能环保产品声明函（附件十二，如有则提供）；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节能环保产品品目清单（附件十三，如有则提供）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rPr>
              <w:t>相关节能环保产品认证证书（</w:t>
            </w:r>
            <w:r>
              <w:rPr>
                <w:rFonts w:hint="eastAsia" w:ascii="宋体" w:eastAsia="宋体"/>
                <w:color w:val="auto"/>
                <w:sz w:val="22"/>
              </w:rPr>
              <w:t>本次采购的产品属于政府强制采购节能产品范围的，投标供应商必须选用符合要求的产品，否则按无效投标处理，具体品目见《关于印发节能产品政府采购品目清单的通知》（财库〔</w:t>
            </w:r>
            <w:r>
              <w:rPr>
                <w:rFonts w:ascii="宋体" w:eastAsia="宋体"/>
                <w:color w:val="auto"/>
                <w:sz w:val="22"/>
              </w:rPr>
              <w:t>2019〕19号）</w:t>
            </w:r>
            <w:r>
              <w:rPr>
                <w:rFonts w:hint="eastAsia" w:ascii="宋体" w:eastAsia="宋体" w:cs="Arial"/>
                <w:color w:val="auto"/>
                <w:sz w:val="22"/>
              </w:rPr>
              <w:t>。投标文件中必须提供</w:t>
            </w:r>
            <w:r>
              <w:rPr>
                <w:rFonts w:ascii="宋体" w:eastAsia="宋体"/>
                <w:color w:val="auto"/>
                <w:sz w:val="22"/>
              </w:rPr>
              <w:t>属于政府强制采购的节能产品</w:t>
            </w:r>
            <w:r>
              <w:rPr>
                <w:rFonts w:hint="eastAsia" w:ascii="宋体" w:eastAsia="宋体" w:cs="Arial"/>
                <w:color w:val="auto"/>
                <w:sz w:val="22"/>
              </w:rPr>
              <w:t>的认证证书复印件，否则按无效投标处理。</w:t>
            </w:r>
            <w:r>
              <w:rPr>
                <w:rFonts w:hint="eastAsia" w:ascii="宋体" w:eastAsia="宋体"/>
                <w:b w:val="0"/>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项目服务人员汇总表（附件十四）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hint="default" w:ascii="宋体" w:eastAsia="宋体"/>
                <w:b w:val="0"/>
                <w:color w:val="auto"/>
                <w:sz w:val="22"/>
                <w:szCs w:val="22"/>
                <w:lang w:val="en-US" w:eastAsia="zh-CN"/>
              </w:rPr>
            </w:pPr>
            <w:r>
              <w:rPr>
                <w:rFonts w:hint="eastAsia" w:ascii="宋体" w:eastAsia="宋体"/>
                <w:b w:val="0"/>
                <w:color w:val="auto"/>
                <w:sz w:val="22"/>
                <w:szCs w:val="22"/>
                <w:lang w:val="en-US" w:eastAsia="zh-CN"/>
              </w:rPr>
              <w:t>组织配送能力、专职人配备情况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b w:val="0"/>
                <w:color w:val="auto"/>
                <w:sz w:val="22"/>
                <w:szCs w:val="22"/>
              </w:rPr>
            </w:pPr>
            <w:r>
              <w:rPr>
                <w:rFonts w:hint="eastAsia" w:ascii="宋体" w:eastAsia="宋体"/>
                <w:b w:val="0"/>
                <w:color w:val="auto"/>
                <w:sz w:val="22"/>
                <w:szCs w:val="22"/>
              </w:rPr>
              <w:t xml:space="preserve">售后服务机构及服务认证能力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b w:val="0"/>
                <w:color w:val="auto"/>
                <w:sz w:val="22"/>
                <w:szCs w:val="22"/>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numPr>
                <w:ilvl w:val="0"/>
                <w:numId w:val="14"/>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pPr>
              <w:autoSpaceDE w:val="0"/>
              <w:autoSpaceDN w:val="0"/>
              <w:adjustRightInd w:val="0"/>
              <w:snapToGrid w:val="0"/>
              <w:spacing w:line="430" w:lineRule="atLeast"/>
              <w:rPr>
                <w:rFonts w:ascii="宋体" w:eastAsia="宋体"/>
                <w:color w:val="auto"/>
                <w:sz w:val="22"/>
                <w:szCs w:val="22"/>
              </w:rPr>
            </w:pPr>
            <w:r>
              <w:rPr>
                <w:rFonts w:hint="eastAsia" w:ascii="宋体" w:eastAsia="宋体"/>
                <w:b w:val="0"/>
                <w:color w:val="auto"/>
                <w:sz w:val="22"/>
                <w:szCs w:val="22"/>
              </w:rPr>
              <w:t>供应商针对评分细则，编制目录索引，注明评标细则项目所在投标文件页码。</w:t>
            </w:r>
          </w:p>
        </w:tc>
      </w:tr>
    </w:tbl>
    <w:p>
      <w:pPr>
        <w:autoSpaceDE w:val="0"/>
        <w:autoSpaceDN w:val="0"/>
        <w:adjustRightInd w:val="0"/>
        <w:snapToGri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3、投标内容填写说明</w:t>
      </w:r>
    </w:p>
    <w:p>
      <w:pPr>
        <w:autoSpaceDE w:val="0"/>
        <w:autoSpaceDN w:val="0"/>
        <w:adjustRightInd w:val="0"/>
        <w:snapToGrid w:val="0"/>
        <w:spacing w:line="430" w:lineRule="atLeast"/>
        <w:ind w:firstLine="440" w:firstLineChars="200"/>
        <w:textAlignment w:val="bottom"/>
        <w:rPr>
          <w:rFonts w:hint="eastAsia" w:ascii="宋体" w:eastAsia="宋体"/>
          <w:b w:val="0"/>
          <w:color w:val="auto"/>
          <w:sz w:val="22"/>
        </w:rPr>
      </w:pPr>
      <w:r>
        <w:rPr>
          <w:rFonts w:hint="eastAsia" w:ascii="宋体" w:eastAsia="宋体"/>
          <w:b w:val="0"/>
          <w:color w:val="auto"/>
          <w:sz w:val="22"/>
        </w:rPr>
        <w:t>3.1投标文件格式</w:t>
      </w:r>
    </w:p>
    <w:p>
      <w:pPr>
        <w:tabs>
          <w:tab w:val="left" w:pos="360"/>
        </w:tabs>
        <w:spacing w:line="460" w:lineRule="exact"/>
        <w:rPr>
          <w:rFonts w:hint="eastAsia" w:ascii="新宋体" w:hAnsi="新宋体" w:eastAsia="新宋体" w:cs="新宋体"/>
          <w:b w:val="0"/>
          <w:bCs w:val="0"/>
          <w:color w:val="auto"/>
          <w:sz w:val="22"/>
          <w:szCs w:val="22"/>
        </w:rPr>
      </w:pPr>
      <w:r>
        <w:rPr>
          <w:rFonts w:hint="eastAsia" w:ascii="宋体"/>
          <w:b w:val="0"/>
          <w:color w:val="auto"/>
          <w:sz w:val="22"/>
          <w:lang w:val="en-US" w:eastAsia="zh-CN"/>
        </w:rPr>
        <w:t xml:space="preserve">   </w:t>
      </w:r>
      <w:r>
        <w:rPr>
          <w:rFonts w:hint="eastAsia" w:ascii="宋体"/>
          <w:b w:val="0"/>
          <w:bCs w:val="0"/>
          <w:color w:val="auto"/>
          <w:sz w:val="22"/>
          <w:lang w:val="en-US" w:eastAsia="zh-CN"/>
        </w:rPr>
        <w:t xml:space="preserve">  a、 </w:t>
      </w:r>
      <w:r>
        <w:rPr>
          <w:rFonts w:hint="eastAsia" w:ascii="新宋体" w:hAnsi="新宋体" w:eastAsia="新宋体" w:cs="新宋体"/>
          <w:b w:val="0"/>
          <w:bCs w:val="0"/>
          <w:color w:val="auto"/>
          <w:sz w:val="22"/>
          <w:szCs w:val="22"/>
        </w:rPr>
        <w:t>本项目通过“政采云平台（www.zcygov.cn）”实行在线投标响应（电子投标）。供应商应通过“政采云电子交易客户端”，并按照本采购文件和“政采云平台”的要求编制并加密投标文件。</w:t>
      </w:r>
    </w:p>
    <w:p>
      <w:pPr>
        <w:tabs>
          <w:tab w:val="left" w:pos="360"/>
        </w:tabs>
        <w:spacing w:line="460" w:lineRule="exact"/>
        <w:rPr>
          <w:rFonts w:hint="default" w:eastAsia="宋体"/>
          <w:b w:val="0"/>
          <w:bCs w:val="0"/>
          <w:color w:val="auto"/>
          <w:lang w:val="en-US" w:eastAsia="zh-CN"/>
        </w:rPr>
      </w:pPr>
      <w:r>
        <w:rPr>
          <w:rFonts w:hint="eastAsia"/>
          <w:b w:val="0"/>
          <w:bCs w:val="0"/>
          <w:color w:val="auto"/>
          <w:lang w:val="en-US" w:eastAsia="zh-CN"/>
        </w:rPr>
        <w:t xml:space="preserve">    b、 </w:t>
      </w:r>
      <w:r>
        <w:rPr>
          <w:rFonts w:hint="eastAsia" w:ascii="新宋体" w:hAnsi="新宋体" w:eastAsia="新宋体" w:cs="新宋体"/>
          <w:b w:val="0"/>
          <w:bCs w:val="0"/>
          <w:color w:val="auto"/>
          <w:sz w:val="22"/>
          <w:szCs w:val="22"/>
        </w:rPr>
        <w:t>投标人应当按照本章节 “投标文件组成”规定的内容及顺序在“政采云电子交易客户端”编制投标文件。其中“技术</w:t>
      </w:r>
      <w:r>
        <w:rPr>
          <w:rFonts w:hint="eastAsia" w:ascii="新宋体" w:hAnsi="新宋体" w:eastAsia="新宋体" w:cs="新宋体"/>
          <w:b w:val="0"/>
          <w:bCs w:val="0"/>
          <w:color w:val="auto"/>
          <w:sz w:val="22"/>
          <w:szCs w:val="22"/>
          <w:lang w:val="en-US" w:eastAsia="zh-CN"/>
        </w:rPr>
        <w:t>标</w:t>
      </w:r>
      <w:r>
        <w:rPr>
          <w:rFonts w:hint="eastAsia" w:ascii="新宋体" w:hAnsi="新宋体" w:eastAsia="新宋体" w:cs="新宋体"/>
          <w:b w:val="0"/>
          <w:bCs w:val="0"/>
          <w:color w:val="auto"/>
          <w:sz w:val="22"/>
          <w:szCs w:val="22"/>
        </w:rPr>
        <w:t>”中不得出现本项目投标报价，如因投标人原因提前泄露投标报价，是投标人的责任。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40" w:firstLineChars="200"/>
        <w:textAlignment w:val="bottom"/>
        <w:rPr>
          <w:rFonts w:hint="eastAsia" w:ascii="宋体" w:eastAsia="宋体"/>
          <w:b w:val="0"/>
          <w:bCs w:val="0"/>
          <w:color w:val="auto"/>
          <w:sz w:val="22"/>
        </w:rPr>
      </w:pPr>
      <w:r>
        <w:rPr>
          <w:rFonts w:hint="eastAsia" w:ascii="宋体" w:eastAsia="宋体"/>
          <w:b w:val="0"/>
          <w:bCs w:val="0"/>
          <w:color w:val="auto"/>
          <w:sz w:val="22"/>
          <w:lang w:val="en-US" w:eastAsia="zh-CN"/>
        </w:rPr>
        <w:t>c、</w:t>
      </w:r>
      <w:r>
        <w:rPr>
          <w:rFonts w:hint="eastAsia" w:ascii="宋体" w:eastAsia="宋体"/>
          <w:b w:val="0"/>
          <w:bCs w:val="0"/>
          <w:color w:val="auto"/>
          <w:sz w:val="22"/>
        </w:rPr>
        <w:t>供应商应按照招标文件第三部分第三款第2条（上表）所列出的内容及格式逐一按顺序组成投标文件并装订成册(商务投标部分投标文件与技术资信部分投标文件分开装订分别密封)。</w:t>
      </w:r>
    </w:p>
    <w:p>
      <w:pPr>
        <w:pStyle w:val="2"/>
        <w:keepNext w:val="0"/>
        <w:keepLines w:val="0"/>
        <w:pageBreakBefore w:val="0"/>
        <w:widowControl w:val="0"/>
        <w:kinsoku/>
        <w:wordWrap/>
        <w:overflowPunct/>
        <w:topLinePunct w:val="0"/>
        <w:bidi w:val="0"/>
        <w:spacing w:line="360" w:lineRule="auto"/>
        <w:rPr>
          <w:rFonts w:hint="eastAsia" w:ascii="宋体"/>
          <w:b w:val="0"/>
          <w:bCs w:val="0"/>
          <w:color w:val="auto"/>
          <w:sz w:val="22"/>
          <w:lang w:val="en-US" w:eastAsia="zh-CN"/>
        </w:rPr>
      </w:pPr>
      <w:r>
        <w:rPr>
          <w:rFonts w:hint="eastAsia" w:ascii="宋体"/>
          <w:b w:val="0"/>
          <w:bCs w:val="0"/>
          <w:color w:val="auto"/>
          <w:sz w:val="22"/>
          <w:lang w:val="en-US" w:eastAsia="zh-CN"/>
        </w:rPr>
        <w:t xml:space="preserve">   d、 投标文件内容不完整、编排混乱导致投标文件被误读、漏读或者查找不到相关内容的，是投标人的责任。</w:t>
      </w:r>
    </w:p>
    <w:p>
      <w:pPr>
        <w:pStyle w:val="2"/>
        <w:keepNext w:val="0"/>
        <w:keepLines w:val="0"/>
        <w:pageBreakBefore w:val="0"/>
        <w:widowControl w:val="0"/>
        <w:kinsoku/>
        <w:wordWrap/>
        <w:overflowPunct/>
        <w:topLinePunct w:val="0"/>
        <w:bidi w:val="0"/>
        <w:spacing w:line="360" w:lineRule="auto"/>
        <w:rPr>
          <w:rFonts w:hint="eastAsia"/>
          <w:b w:val="0"/>
          <w:bCs w:val="0"/>
          <w:lang w:val="en-US" w:eastAsia="zh-CN"/>
        </w:rPr>
      </w:pPr>
      <w:r>
        <w:rPr>
          <w:rFonts w:hint="eastAsia"/>
          <w:b w:val="0"/>
          <w:bCs w:val="0"/>
          <w:lang w:val="en-US" w:eastAsia="zh-CN"/>
        </w:rPr>
        <w:t xml:space="preserve">   e、投标文件因字迹潦草或表达不清所引起的后果由投标人负责。</w:t>
      </w:r>
    </w:p>
    <w:p>
      <w:pPr>
        <w:pStyle w:val="2"/>
        <w:keepNext w:val="0"/>
        <w:keepLines w:val="0"/>
        <w:pageBreakBefore w:val="0"/>
        <w:widowControl w:val="0"/>
        <w:kinsoku/>
        <w:wordWrap/>
        <w:overflowPunct/>
        <w:topLinePunct w:val="0"/>
        <w:bidi w:val="0"/>
        <w:spacing w:line="360" w:lineRule="auto"/>
        <w:rPr>
          <w:rFonts w:hint="default" w:eastAsia="宋体"/>
          <w:lang w:val="en-US" w:eastAsia="zh-CN"/>
        </w:rPr>
      </w:pPr>
      <w:r>
        <w:rPr>
          <w:rFonts w:hint="eastAsia"/>
          <w:b w:val="0"/>
          <w:bCs w:val="0"/>
          <w:lang w:val="en-US" w:eastAsia="zh-CN"/>
        </w:rPr>
        <w:t xml:space="preserve">   f 、投标人没有按照本章节 “投标文件组成”要求提供全部资料，或者没有仔细阅读采购文件，或者没有对采购文件在各方面的要求作出实质性响应是投标人的风险，由此造成的一切后果由投标人自行承担。</w:t>
      </w:r>
    </w:p>
    <w:p>
      <w:pPr>
        <w:autoSpaceDE w:val="0"/>
        <w:autoSpaceDN w:val="0"/>
        <w:adjustRightInd w:val="0"/>
        <w:snapToGrid w:val="0"/>
        <w:spacing w:line="430" w:lineRule="atLeast"/>
        <w:ind w:firstLine="440" w:firstLineChars="200"/>
        <w:textAlignment w:val="bottom"/>
        <w:rPr>
          <w:rFonts w:ascii="宋体" w:eastAsia="宋体"/>
          <w:b w:val="0"/>
          <w:color w:val="auto"/>
          <w:sz w:val="22"/>
        </w:rPr>
      </w:pPr>
      <w:r>
        <w:rPr>
          <w:rFonts w:hint="eastAsia" w:ascii="宋体" w:eastAsia="宋体"/>
          <w:b w:val="0"/>
          <w:color w:val="auto"/>
          <w:sz w:val="22"/>
        </w:rPr>
        <w:t>3.2开标一览表为在</w:t>
      </w:r>
      <w:r>
        <w:rPr>
          <w:rFonts w:hint="eastAsia" w:ascii="宋体" w:eastAsia="宋体" w:cs="Arial"/>
          <w:b w:val="0"/>
          <w:color w:val="auto"/>
          <w:sz w:val="22"/>
          <w:szCs w:val="22"/>
        </w:rPr>
        <w:t>商务标</w:t>
      </w:r>
      <w:r>
        <w:rPr>
          <w:rFonts w:hint="eastAsia" w:ascii="宋体" w:eastAsia="宋体"/>
          <w:b w:val="0"/>
          <w:color w:val="auto"/>
          <w:sz w:val="22"/>
        </w:rPr>
        <w:t>开标仪式上唱标的内容，供应商需按格式填写，统一规格，不得自行增减内容。</w:t>
      </w:r>
    </w:p>
    <w:p>
      <w:pPr>
        <w:autoSpaceDE w:val="0"/>
        <w:autoSpaceDN w:val="0"/>
        <w:adjustRightInd w:val="0"/>
        <w:snapToGrid w:val="0"/>
        <w:spacing w:line="454" w:lineRule="atLeast"/>
        <w:ind w:firstLine="431" w:firstLineChars="196"/>
        <w:textAlignment w:val="bottom"/>
        <w:rPr>
          <w:rFonts w:ascii="宋体" w:eastAsia="宋体"/>
          <w:b w:val="0"/>
          <w:color w:val="auto"/>
          <w:sz w:val="22"/>
          <w:szCs w:val="22"/>
        </w:rPr>
      </w:pPr>
      <w:bookmarkStart w:id="142" w:name="_Toc132122115"/>
      <w:bookmarkStart w:id="143" w:name="_Toc132122412"/>
      <w:bookmarkStart w:id="144" w:name="_Toc132122116"/>
      <w:bookmarkStart w:id="145" w:name="_Toc132122413"/>
      <w:r>
        <w:rPr>
          <w:rFonts w:hint="eastAsia" w:ascii="宋体" w:eastAsia="宋体"/>
          <w:b w:val="0"/>
          <w:color w:val="auto"/>
          <w:sz w:val="22"/>
          <w:szCs w:val="22"/>
        </w:rPr>
        <w:t>4、投标报价</w:t>
      </w:r>
      <w:bookmarkEnd w:id="142"/>
      <w:bookmarkEnd w:id="143"/>
    </w:p>
    <w:p>
      <w:pPr>
        <w:autoSpaceDE w:val="0"/>
        <w:autoSpaceDN w:val="0"/>
        <w:adjustRightInd w:val="0"/>
        <w:snapToGrid w:val="0"/>
        <w:spacing w:line="420" w:lineRule="atLeast"/>
        <w:ind w:firstLine="450"/>
        <w:textAlignment w:val="bottom"/>
        <w:rPr>
          <w:rFonts w:ascii="宋体" w:eastAsia="宋体"/>
          <w:b w:val="0"/>
          <w:color w:val="auto"/>
          <w:sz w:val="22"/>
        </w:rPr>
      </w:pPr>
      <w:r>
        <w:rPr>
          <w:rFonts w:hint="eastAsia" w:ascii="宋体" w:eastAsia="宋体" w:cs="Arial"/>
          <w:b w:val="0"/>
          <w:color w:val="auto"/>
          <w:sz w:val="22"/>
          <w:szCs w:val="22"/>
        </w:rPr>
        <w:t>4.1</w:t>
      </w:r>
      <w:r>
        <w:rPr>
          <w:rFonts w:hint="eastAsia" w:ascii="宋体" w:eastAsia="宋体"/>
          <w:b w:val="0"/>
          <w:color w:val="auto"/>
          <w:sz w:val="22"/>
          <w:szCs w:val="22"/>
        </w:rPr>
        <w:t>供应商应按招标文件中</w:t>
      </w:r>
      <w:r>
        <w:rPr>
          <w:rFonts w:hint="eastAsia" w:ascii="宋体" w:eastAsia="宋体"/>
          <w:b w:val="0"/>
          <w:color w:val="auto"/>
          <w:sz w:val="22"/>
        </w:rPr>
        <w:t>《</w:t>
      </w:r>
      <w:r>
        <w:rPr>
          <w:rFonts w:hint="eastAsia" w:ascii="宋体" w:eastAsia="宋体"/>
          <w:b w:val="0"/>
          <w:color w:val="auto"/>
          <w:sz w:val="22"/>
          <w:szCs w:val="22"/>
        </w:rPr>
        <w:t>投标货物数量价格表</w:t>
      </w:r>
      <w:r>
        <w:rPr>
          <w:rFonts w:hint="eastAsia" w:ascii="宋体" w:eastAsia="宋体"/>
          <w:b w:val="0"/>
          <w:color w:val="auto"/>
          <w:sz w:val="22"/>
        </w:rPr>
        <w:t>》填写投标货物数量、价格。</w:t>
      </w:r>
    </w:p>
    <w:p>
      <w:pPr>
        <w:autoSpaceDE w:val="0"/>
        <w:autoSpaceDN w:val="0"/>
        <w:adjustRightInd w:val="0"/>
        <w:snapToGrid w:val="0"/>
        <w:spacing w:line="420" w:lineRule="atLeast"/>
        <w:ind w:firstLine="450"/>
        <w:textAlignment w:val="bottom"/>
        <w:rPr>
          <w:rFonts w:ascii="宋体" w:eastAsia="宋体" w:cs="Arial"/>
          <w:b w:val="0"/>
          <w:color w:val="auto"/>
          <w:sz w:val="22"/>
          <w:szCs w:val="22"/>
        </w:rPr>
      </w:pPr>
      <w:r>
        <w:rPr>
          <w:rFonts w:hint="eastAsia" w:ascii="宋体" w:eastAsia="宋体" w:cs="Arial"/>
          <w:b w:val="0"/>
          <w:color w:val="auto"/>
          <w:sz w:val="22"/>
          <w:szCs w:val="22"/>
        </w:rPr>
        <w:t>4.2本次招标只允许有一个报价，有选择的报价将不予接受。</w:t>
      </w:r>
    </w:p>
    <w:p>
      <w:pPr>
        <w:autoSpaceDE w:val="0"/>
        <w:autoSpaceDN w:val="0"/>
        <w:adjustRightInd w:val="0"/>
        <w:snapToGrid w:val="0"/>
        <w:spacing w:line="420" w:lineRule="atLeast"/>
        <w:ind w:firstLine="450"/>
        <w:textAlignment w:val="bottom"/>
        <w:rPr>
          <w:rFonts w:ascii="宋体" w:eastAsia="宋体"/>
          <w:b w:val="0"/>
          <w:color w:val="auto"/>
          <w:sz w:val="22"/>
          <w:szCs w:val="22"/>
        </w:rPr>
      </w:pPr>
      <w:r>
        <w:rPr>
          <w:rFonts w:hint="eastAsia" w:ascii="宋体" w:eastAsia="宋体"/>
          <w:b w:val="0"/>
          <w:color w:val="auto"/>
          <w:sz w:val="22"/>
          <w:szCs w:val="22"/>
        </w:rPr>
        <w:t>4.3本次招标只有一次投标报价的机会，</w:t>
      </w:r>
      <w:r>
        <w:rPr>
          <w:rFonts w:hint="eastAsia" w:ascii="宋体" w:eastAsia="宋体" w:cs="Arial"/>
          <w:b w:val="0"/>
          <w:color w:val="auto"/>
          <w:sz w:val="22"/>
          <w:szCs w:val="22"/>
        </w:rPr>
        <w:t>投标报价为到货并送到最终用户</w:t>
      </w:r>
      <w:r>
        <w:rPr>
          <w:rFonts w:hint="eastAsia" w:ascii="宋体" w:eastAsia="宋体"/>
          <w:b w:val="0"/>
          <w:color w:val="auto"/>
          <w:sz w:val="22"/>
          <w:szCs w:val="22"/>
        </w:rPr>
        <w:t>安装调试</w:t>
      </w:r>
      <w:r>
        <w:rPr>
          <w:rFonts w:hint="eastAsia" w:ascii="宋体" w:eastAsia="宋体" w:cs="Arial"/>
          <w:b w:val="0"/>
          <w:color w:val="auto"/>
          <w:sz w:val="22"/>
          <w:szCs w:val="22"/>
        </w:rPr>
        <w:t>验收合格后的全部费用</w:t>
      </w:r>
      <w:r>
        <w:rPr>
          <w:rFonts w:hint="eastAsia" w:ascii="宋体" w:eastAsia="宋体"/>
          <w:b w:val="0"/>
          <w:color w:val="auto"/>
          <w:sz w:val="22"/>
          <w:szCs w:val="22"/>
        </w:rPr>
        <w:t>。供应商应在各自技术和商务占优势的基础上并充分考虑本项目的重要性，提供对采购人最优惠的报价。</w:t>
      </w:r>
    </w:p>
    <w:p>
      <w:pPr>
        <w:autoSpaceDE w:val="0"/>
        <w:autoSpaceDN w:val="0"/>
        <w:adjustRightInd w:val="0"/>
        <w:snapToGrid w:val="0"/>
        <w:spacing w:line="420" w:lineRule="atLeast"/>
        <w:ind w:firstLine="450"/>
        <w:textAlignment w:val="bottom"/>
        <w:rPr>
          <w:rFonts w:ascii="宋体" w:eastAsia="宋体"/>
          <w:b w:val="0"/>
          <w:color w:val="auto"/>
          <w:sz w:val="22"/>
          <w:szCs w:val="22"/>
        </w:rPr>
      </w:pPr>
      <w:r>
        <w:rPr>
          <w:rFonts w:hint="eastAsia" w:ascii="宋体" w:eastAsia="宋体"/>
          <w:b w:val="0"/>
          <w:color w:val="auto"/>
          <w:sz w:val="22"/>
          <w:szCs w:val="22"/>
        </w:rPr>
        <w:t>4.4投标报价应包含以下内容。</w:t>
      </w:r>
    </w:p>
    <w:p>
      <w:pPr>
        <w:numPr>
          <w:ilvl w:val="0"/>
          <w:numId w:val="15"/>
        </w:numPr>
        <w:tabs>
          <w:tab w:val="left" w:pos="1025"/>
          <w:tab w:val="clear" w:pos="1058"/>
        </w:tabs>
        <w:adjustRightInd w:val="0"/>
        <w:spacing w:line="450" w:lineRule="atLeast"/>
        <w:ind w:left="630" w:leftChars="300"/>
        <w:rPr>
          <w:rFonts w:ascii="宋体" w:eastAsia="宋体" w:cs="Arial"/>
          <w:b w:val="0"/>
          <w:color w:val="auto"/>
          <w:sz w:val="22"/>
          <w:szCs w:val="22"/>
        </w:rPr>
      </w:pPr>
      <w:r>
        <w:rPr>
          <w:rFonts w:hint="eastAsia" w:ascii="宋体" w:eastAsia="宋体" w:cs="Arial"/>
          <w:b w:val="0"/>
          <w:color w:val="auto"/>
          <w:sz w:val="22"/>
          <w:szCs w:val="22"/>
        </w:rPr>
        <w:t>产品价格</w:t>
      </w:r>
    </w:p>
    <w:p>
      <w:pPr>
        <w:numPr>
          <w:ilvl w:val="0"/>
          <w:numId w:val="15"/>
        </w:numPr>
        <w:tabs>
          <w:tab w:val="left" w:pos="1025"/>
          <w:tab w:val="clear" w:pos="1058"/>
        </w:tabs>
        <w:adjustRightInd w:val="0"/>
        <w:spacing w:line="450" w:lineRule="atLeast"/>
        <w:ind w:left="630" w:leftChars="300"/>
        <w:rPr>
          <w:rFonts w:ascii="宋体" w:eastAsia="宋体" w:cs="Arial"/>
          <w:b w:val="0"/>
          <w:color w:val="auto"/>
          <w:sz w:val="22"/>
          <w:szCs w:val="22"/>
        </w:rPr>
      </w:pPr>
      <w:r>
        <w:rPr>
          <w:rFonts w:hint="eastAsia" w:ascii="宋体" w:eastAsia="宋体" w:cs="Arial"/>
          <w:b w:val="0"/>
          <w:color w:val="auto"/>
          <w:sz w:val="22"/>
          <w:szCs w:val="22"/>
        </w:rPr>
        <w:t>关税、增值税、所得税、其它税与规费（包括产品报关、商检等）</w:t>
      </w:r>
    </w:p>
    <w:p>
      <w:pPr>
        <w:numPr>
          <w:ilvl w:val="0"/>
          <w:numId w:val="15"/>
        </w:numPr>
        <w:tabs>
          <w:tab w:val="left" w:pos="1025"/>
          <w:tab w:val="clear" w:pos="1058"/>
        </w:tabs>
        <w:adjustRightInd w:val="0"/>
        <w:spacing w:line="450" w:lineRule="atLeast"/>
        <w:ind w:left="630" w:leftChars="300"/>
        <w:rPr>
          <w:rFonts w:ascii="宋体" w:eastAsia="宋体" w:cs="Arial"/>
          <w:b w:val="0"/>
          <w:color w:val="auto"/>
          <w:sz w:val="22"/>
          <w:szCs w:val="22"/>
        </w:rPr>
      </w:pPr>
      <w:r>
        <w:rPr>
          <w:rFonts w:hint="eastAsia" w:ascii="宋体" w:eastAsia="宋体" w:cs="Arial"/>
          <w:b w:val="0"/>
          <w:color w:val="auto"/>
          <w:sz w:val="22"/>
          <w:szCs w:val="22"/>
        </w:rPr>
        <w:t>随机工具、随机易损件费（计入产品价格，单列报价清单）</w:t>
      </w:r>
    </w:p>
    <w:p>
      <w:pPr>
        <w:numPr>
          <w:ilvl w:val="0"/>
          <w:numId w:val="15"/>
        </w:numPr>
        <w:tabs>
          <w:tab w:val="left" w:pos="1025"/>
          <w:tab w:val="clear" w:pos="1058"/>
        </w:tabs>
        <w:adjustRightInd w:val="0"/>
        <w:spacing w:line="450" w:lineRule="atLeast"/>
        <w:ind w:left="630" w:leftChars="300"/>
        <w:rPr>
          <w:rFonts w:ascii="宋体" w:eastAsia="宋体" w:cs="Arial"/>
          <w:b w:val="0"/>
          <w:color w:val="auto"/>
          <w:sz w:val="22"/>
          <w:szCs w:val="22"/>
        </w:rPr>
      </w:pPr>
      <w:r>
        <w:rPr>
          <w:rFonts w:hint="eastAsia" w:ascii="宋体" w:eastAsia="宋体" w:cs="Arial"/>
          <w:b w:val="0"/>
          <w:color w:val="auto"/>
          <w:sz w:val="22"/>
          <w:szCs w:val="22"/>
        </w:rPr>
        <w:t>国内运杂费（包括产品到最终用户的装货、卸车、就位费等）</w:t>
      </w:r>
    </w:p>
    <w:p>
      <w:pPr>
        <w:numPr>
          <w:ilvl w:val="0"/>
          <w:numId w:val="15"/>
        </w:numPr>
        <w:tabs>
          <w:tab w:val="left" w:pos="1025"/>
          <w:tab w:val="clear" w:pos="1058"/>
        </w:tabs>
        <w:adjustRightInd w:val="0"/>
        <w:spacing w:line="450" w:lineRule="atLeast"/>
        <w:ind w:left="630" w:leftChars="300"/>
        <w:rPr>
          <w:rFonts w:ascii="宋体" w:eastAsia="宋体" w:cs="Arial"/>
          <w:b w:val="0"/>
          <w:color w:val="auto"/>
          <w:sz w:val="22"/>
          <w:szCs w:val="22"/>
        </w:rPr>
      </w:pPr>
      <w:r>
        <w:rPr>
          <w:rFonts w:hint="eastAsia" w:ascii="宋体" w:eastAsia="宋体" w:cs="Arial"/>
          <w:b w:val="0"/>
          <w:color w:val="auto"/>
          <w:sz w:val="22"/>
          <w:szCs w:val="22"/>
        </w:rPr>
        <w:t>国内运输保险费（是否保险由供应商负责）</w:t>
      </w:r>
    </w:p>
    <w:p>
      <w:pPr>
        <w:numPr>
          <w:ilvl w:val="0"/>
          <w:numId w:val="15"/>
        </w:numPr>
        <w:tabs>
          <w:tab w:val="left" w:pos="1025"/>
          <w:tab w:val="clear" w:pos="1058"/>
        </w:tabs>
        <w:adjustRightInd w:val="0"/>
        <w:spacing w:line="436" w:lineRule="atLeast"/>
        <w:ind w:left="630" w:leftChars="300"/>
        <w:rPr>
          <w:rFonts w:ascii="宋体" w:eastAsia="宋体" w:cs="Arial"/>
          <w:b w:val="0"/>
          <w:color w:val="auto"/>
          <w:sz w:val="22"/>
          <w:szCs w:val="22"/>
        </w:rPr>
      </w:pPr>
      <w:r>
        <w:rPr>
          <w:rFonts w:hint="eastAsia" w:ascii="宋体" w:eastAsia="宋体"/>
          <w:b w:val="0"/>
          <w:color w:val="auto"/>
          <w:sz w:val="22"/>
          <w:szCs w:val="22"/>
        </w:rPr>
        <w:t>产品安装</w:t>
      </w:r>
      <w:r>
        <w:rPr>
          <w:rFonts w:hint="eastAsia" w:ascii="宋体" w:eastAsia="宋体" w:cs="Arial"/>
          <w:b w:val="0"/>
          <w:color w:val="auto"/>
          <w:sz w:val="22"/>
          <w:szCs w:val="22"/>
        </w:rPr>
        <w:t>、</w:t>
      </w:r>
      <w:r>
        <w:rPr>
          <w:rFonts w:hint="eastAsia" w:ascii="宋体" w:eastAsia="宋体"/>
          <w:b w:val="0"/>
          <w:color w:val="auto"/>
          <w:sz w:val="22"/>
          <w:szCs w:val="22"/>
        </w:rPr>
        <w:t>调试、检验及验收费</w:t>
      </w:r>
      <w:r>
        <w:rPr>
          <w:rFonts w:hint="eastAsia" w:ascii="宋体" w:eastAsia="宋体" w:cs="Arial"/>
          <w:b w:val="0"/>
          <w:color w:val="auto"/>
          <w:sz w:val="22"/>
          <w:szCs w:val="22"/>
        </w:rPr>
        <w:t>（包括人员的食宿、交通等）</w:t>
      </w:r>
    </w:p>
    <w:p>
      <w:pPr>
        <w:numPr>
          <w:ilvl w:val="0"/>
          <w:numId w:val="15"/>
        </w:numPr>
        <w:tabs>
          <w:tab w:val="left" w:pos="1025"/>
          <w:tab w:val="clear" w:pos="1058"/>
        </w:tabs>
        <w:adjustRightInd w:val="0"/>
        <w:spacing w:line="450" w:lineRule="atLeast"/>
        <w:ind w:left="630" w:leftChars="300"/>
        <w:rPr>
          <w:rFonts w:ascii="宋体" w:eastAsia="宋体" w:cs="Arial"/>
          <w:b w:val="0"/>
          <w:color w:val="auto"/>
          <w:sz w:val="22"/>
          <w:szCs w:val="22"/>
          <w:u w:val="single"/>
        </w:rPr>
      </w:pPr>
      <w:r>
        <w:rPr>
          <w:rFonts w:hint="eastAsia" w:ascii="宋体" w:eastAsia="宋体" w:cs="Arial"/>
          <w:b w:val="0"/>
          <w:color w:val="auto"/>
          <w:sz w:val="22"/>
          <w:szCs w:val="22"/>
        </w:rPr>
        <w:t>服务及培训费</w:t>
      </w:r>
    </w:p>
    <w:p>
      <w:pPr>
        <w:numPr>
          <w:ilvl w:val="0"/>
          <w:numId w:val="15"/>
        </w:numPr>
        <w:tabs>
          <w:tab w:val="left" w:pos="1025"/>
          <w:tab w:val="clear" w:pos="1058"/>
        </w:tabs>
        <w:adjustRightInd w:val="0"/>
        <w:spacing w:line="450" w:lineRule="atLeast"/>
        <w:ind w:left="630" w:leftChars="300"/>
        <w:rPr>
          <w:rFonts w:ascii="宋体" w:eastAsia="宋体" w:cs="Arial"/>
          <w:b w:val="0"/>
          <w:color w:val="auto"/>
          <w:sz w:val="22"/>
          <w:szCs w:val="22"/>
        </w:rPr>
      </w:pPr>
      <w:r>
        <w:rPr>
          <w:rFonts w:hint="eastAsia" w:ascii="宋体" w:eastAsia="宋体" w:cs="Arial"/>
          <w:b w:val="0"/>
          <w:color w:val="auto"/>
          <w:sz w:val="22"/>
          <w:szCs w:val="22"/>
        </w:rPr>
        <w:t>招标代理服务费</w:t>
      </w:r>
    </w:p>
    <w:p>
      <w:pPr>
        <w:autoSpaceDE w:val="0"/>
        <w:autoSpaceDN w:val="0"/>
        <w:adjustRightInd w:val="0"/>
        <w:snapToGrid w:val="0"/>
        <w:spacing w:line="420" w:lineRule="atLeast"/>
        <w:ind w:firstLine="420" w:firstLineChars="190"/>
        <w:textAlignment w:val="bottom"/>
        <w:rPr>
          <w:rFonts w:ascii="宋体" w:eastAsia="宋体"/>
          <w:b w:val="0"/>
          <w:color w:val="auto"/>
          <w:sz w:val="22"/>
          <w:szCs w:val="22"/>
        </w:rPr>
      </w:pPr>
      <w:r>
        <w:rPr>
          <w:rFonts w:hint="eastAsia" w:ascii="宋体" w:eastAsia="宋体"/>
          <w:color w:val="auto"/>
          <w:sz w:val="22"/>
          <w:szCs w:val="22"/>
        </w:rPr>
        <w:t>供应商在投标报价中应充分考虑所有可能发生的费用，否则采购人将视投标总价中已包括所有费用。</w:t>
      </w:r>
    </w:p>
    <w:p>
      <w:pPr>
        <w:autoSpaceDE w:val="0"/>
        <w:autoSpaceDN w:val="0"/>
        <w:adjustRightInd w:val="0"/>
        <w:snapToGrid w:val="0"/>
        <w:spacing w:line="420" w:lineRule="atLeast"/>
        <w:ind w:firstLine="420" w:firstLineChars="190"/>
        <w:textAlignment w:val="bottom"/>
        <w:rPr>
          <w:rFonts w:ascii="宋体" w:eastAsia="宋体"/>
          <w:color w:val="auto"/>
          <w:sz w:val="22"/>
          <w:szCs w:val="22"/>
        </w:rPr>
      </w:pPr>
      <w:r>
        <w:rPr>
          <w:rFonts w:hint="eastAsia" w:ascii="宋体" w:eastAsia="宋体"/>
          <w:color w:val="auto"/>
          <w:sz w:val="22"/>
          <w:szCs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420" w:lineRule="atLeast"/>
        <w:ind w:firstLine="431" w:firstLineChars="196"/>
        <w:textAlignment w:val="bottom"/>
        <w:rPr>
          <w:rFonts w:ascii="宋体" w:eastAsia="宋体"/>
          <w:b w:val="0"/>
          <w:color w:val="auto"/>
          <w:sz w:val="22"/>
          <w:szCs w:val="22"/>
          <w:u w:val="single"/>
        </w:rPr>
      </w:pPr>
      <w:r>
        <w:rPr>
          <w:rFonts w:hint="eastAsia" w:ascii="宋体" w:eastAsia="宋体"/>
          <w:b w:val="0"/>
          <w:color w:val="auto"/>
          <w:sz w:val="22"/>
          <w:szCs w:val="22"/>
        </w:rPr>
        <w:t>填写报价表格时，各项费用应如实填写。</w:t>
      </w:r>
    </w:p>
    <w:p>
      <w:pPr>
        <w:autoSpaceDE w:val="0"/>
        <w:autoSpaceDN w:val="0"/>
        <w:adjustRightInd w:val="0"/>
        <w:snapToGrid w:val="0"/>
        <w:spacing w:line="420" w:lineRule="atLeast"/>
        <w:ind w:firstLine="440" w:firstLineChars="200"/>
        <w:textAlignment w:val="bottom"/>
        <w:rPr>
          <w:rFonts w:ascii="宋体" w:eastAsia="宋体"/>
          <w:b w:val="0"/>
          <w:color w:val="auto"/>
          <w:sz w:val="22"/>
        </w:rPr>
      </w:pPr>
      <w:r>
        <w:rPr>
          <w:rFonts w:hint="eastAsia" w:ascii="宋体" w:eastAsia="宋体"/>
          <w:b w:val="0"/>
          <w:color w:val="auto"/>
          <w:sz w:val="22"/>
        </w:rPr>
        <w:t>5、采购人要求分类报价是为了方便评标与合同执行，但在任何情况下不限制采购人以其认为最合适的条款签订合同的权利。</w:t>
      </w:r>
    </w:p>
    <w:bookmarkEnd w:id="144"/>
    <w:bookmarkEnd w:id="145"/>
    <w:p>
      <w:pPr>
        <w:pStyle w:val="13"/>
        <w:adjustRightInd w:val="0"/>
        <w:snapToGrid w:val="0"/>
        <w:spacing w:line="430" w:lineRule="atLeast"/>
        <w:ind w:firstLine="440" w:firstLineChars="200"/>
        <w:rPr>
          <w:rFonts w:hAnsi="宋体" w:eastAsia="宋体"/>
          <w:b w:val="0"/>
          <w:color w:val="auto"/>
          <w:sz w:val="22"/>
        </w:rPr>
      </w:pPr>
      <w:bookmarkStart w:id="146" w:name="_Toc132122117"/>
      <w:bookmarkStart w:id="147" w:name="_Toc132122414"/>
      <w:r>
        <w:rPr>
          <w:rFonts w:hint="eastAsia" w:hAnsi="宋体" w:eastAsia="宋体"/>
          <w:b w:val="0"/>
          <w:color w:val="auto"/>
          <w:sz w:val="22"/>
        </w:rPr>
        <w:t>6、投标文件的有效期</w:t>
      </w:r>
      <w:bookmarkEnd w:id="146"/>
      <w:bookmarkEnd w:id="147"/>
    </w:p>
    <w:p>
      <w:pPr>
        <w:pStyle w:val="13"/>
        <w:adjustRightInd w:val="0"/>
        <w:snapToGrid w:val="0"/>
        <w:spacing w:line="430" w:lineRule="atLeast"/>
        <w:ind w:firstLine="440" w:firstLineChars="200"/>
        <w:rPr>
          <w:rFonts w:hAnsi="宋体" w:eastAsia="宋体"/>
          <w:b w:val="0"/>
          <w:color w:val="auto"/>
          <w:sz w:val="22"/>
        </w:rPr>
      </w:pPr>
      <w:r>
        <w:rPr>
          <w:rFonts w:hint="eastAsia" w:hAnsi="宋体" w:eastAsia="宋体"/>
          <w:b w:val="0"/>
          <w:color w:val="auto"/>
          <w:sz w:val="22"/>
        </w:rPr>
        <w:t>6.1自投标截止时间起90天内，投标文件应保持有效。有效期短于这个规定期限的投标将被拒绝。</w:t>
      </w:r>
    </w:p>
    <w:p>
      <w:pPr>
        <w:pStyle w:val="13"/>
        <w:adjustRightInd w:val="0"/>
        <w:snapToGrid w:val="0"/>
        <w:spacing w:line="430" w:lineRule="atLeast"/>
        <w:ind w:firstLine="440" w:firstLineChars="200"/>
        <w:rPr>
          <w:rFonts w:hAnsi="宋体" w:eastAsia="宋体"/>
          <w:b w:val="0"/>
          <w:color w:val="auto"/>
          <w:sz w:val="22"/>
        </w:rPr>
      </w:pPr>
      <w:r>
        <w:rPr>
          <w:rFonts w:hint="eastAsia" w:hAnsi="宋体" w:eastAsia="宋体"/>
          <w:b w:val="0"/>
          <w:color w:val="auto"/>
          <w:sz w:val="22"/>
        </w:rPr>
        <w:t>6.2在特殊情况下，采购人可与供应商协商延长投标文件的有效期，这种要求和答复均应以书面形式进行。</w:t>
      </w:r>
    </w:p>
    <w:p>
      <w:pPr>
        <w:pStyle w:val="13"/>
        <w:adjustRightInd w:val="0"/>
        <w:snapToGrid w:val="0"/>
        <w:spacing w:line="430" w:lineRule="atLeast"/>
        <w:ind w:firstLine="440" w:firstLineChars="200"/>
        <w:rPr>
          <w:rFonts w:hAnsi="宋体" w:eastAsia="宋体"/>
          <w:b w:val="0"/>
          <w:color w:val="auto"/>
          <w:sz w:val="22"/>
        </w:rPr>
      </w:pPr>
      <w:r>
        <w:rPr>
          <w:rFonts w:hint="eastAsia" w:hAnsi="宋体" w:eastAsia="宋体"/>
          <w:b w:val="0"/>
          <w:color w:val="auto"/>
          <w:sz w:val="22"/>
        </w:rPr>
        <w:t>6.3供应商可拒绝接受延期要求。同意延长有效期的供应商不能修改投标文件。</w:t>
      </w:r>
    </w:p>
    <w:p>
      <w:pPr>
        <w:pStyle w:val="13"/>
        <w:adjustRightInd w:val="0"/>
        <w:snapToGrid w:val="0"/>
        <w:spacing w:line="454" w:lineRule="atLeast"/>
        <w:ind w:firstLine="440" w:firstLineChars="200"/>
        <w:rPr>
          <w:rFonts w:hint="eastAsia" w:hAnsi="宋体" w:eastAsia="宋体"/>
          <w:b w:val="0"/>
          <w:color w:val="auto"/>
          <w:sz w:val="22"/>
          <w:highlight w:val="none"/>
        </w:rPr>
      </w:pPr>
      <w:bookmarkStart w:id="148" w:name="_Toc132122118"/>
      <w:bookmarkStart w:id="149" w:name="_Toc132122415"/>
      <w:r>
        <w:rPr>
          <w:rFonts w:hint="eastAsia" w:hAnsi="宋体" w:eastAsia="宋体"/>
          <w:b w:val="0"/>
          <w:color w:val="auto"/>
          <w:sz w:val="22"/>
          <w:highlight w:val="none"/>
        </w:rPr>
        <w:t>7、</w:t>
      </w:r>
      <w:bookmarkEnd w:id="148"/>
      <w:bookmarkEnd w:id="149"/>
      <w:r>
        <w:rPr>
          <w:rFonts w:hint="eastAsia" w:hAnsi="宋体" w:eastAsia="宋体"/>
          <w:b w:val="0"/>
          <w:color w:val="auto"/>
          <w:sz w:val="22"/>
          <w:highlight w:val="none"/>
        </w:rPr>
        <w:t>投标文件的签章</w:t>
      </w:r>
    </w:p>
    <w:p>
      <w:pPr>
        <w:pStyle w:val="13"/>
        <w:adjustRightInd w:val="0"/>
        <w:snapToGrid w:val="0"/>
        <w:spacing w:line="454" w:lineRule="atLeast"/>
        <w:ind w:firstLine="440" w:firstLineChars="200"/>
        <w:rPr>
          <w:rFonts w:hint="eastAsia" w:hAnsi="宋体" w:eastAsia="宋体" w:cs="Arial"/>
          <w:b w:val="0"/>
          <w:color w:val="auto"/>
          <w:sz w:val="22"/>
          <w:szCs w:val="22"/>
          <w:highlight w:val="none"/>
        </w:rPr>
      </w:pPr>
      <w:r>
        <w:rPr>
          <w:rFonts w:hint="eastAsia" w:hAnsi="宋体" w:eastAsia="宋体" w:cs="Arial"/>
          <w:b w:val="0"/>
          <w:color w:val="auto"/>
          <w:sz w:val="22"/>
          <w:szCs w:val="22"/>
          <w:highlight w:val="none"/>
        </w:rPr>
        <w:t>7.1投标文件的签章要求：投标人须知前附表；</w:t>
      </w:r>
    </w:p>
    <w:p>
      <w:pPr>
        <w:pStyle w:val="13"/>
        <w:adjustRightInd w:val="0"/>
        <w:snapToGrid w:val="0"/>
        <w:spacing w:line="454" w:lineRule="atLeast"/>
        <w:ind w:firstLine="440" w:firstLineChars="200"/>
        <w:rPr>
          <w:rFonts w:hint="eastAsia" w:hAnsi="宋体" w:eastAsia="宋体" w:cs="Arial"/>
          <w:b w:val="0"/>
          <w:color w:val="auto"/>
          <w:sz w:val="22"/>
          <w:szCs w:val="22"/>
          <w:highlight w:val="none"/>
        </w:rPr>
      </w:pPr>
      <w:r>
        <w:rPr>
          <w:rFonts w:hint="eastAsia" w:hAnsi="宋体" w:eastAsia="宋体" w:cs="Arial"/>
          <w:b w:val="0"/>
          <w:color w:val="auto"/>
          <w:sz w:val="22"/>
          <w:szCs w:val="22"/>
          <w:highlight w:val="none"/>
        </w:rPr>
        <w:t>7.2投标文件应由投标人法定代表人或其授权代表签章（电子签章），并时加盖投标人公章（电子签章）。</w:t>
      </w:r>
    </w:p>
    <w:p>
      <w:pPr>
        <w:pStyle w:val="13"/>
        <w:adjustRightInd w:val="0"/>
        <w:snapToGrid w:val="0"/>
        <w:spacing w:line="454" w:lineRule="atLeast"/>
        <w:ind w:firstLine="440" w:firstLineChars="200"/>
        <w:rPr>
          <w:rFonts w:hint="eastAsia" w:hAnsi="宋体" w:eastAsia="宋体" w:cs="Arial"/>
          <w:b w:val="0"/>
          <w:color w:val="auto"/>
          <w:sz w:val="22"/>
          <w:szCs w:val="22"/>
          <w:highlight w:val="none"/>
        </w:rPr>
      </w:pPr>
      <w:r>
        <w:rPr>
          <w:rFonts w:hint="eastAsia" w:hAnsi="宋体" w:eastAsia="宋体" w:cs="Arial"/>
          <w:b w:val="0"/>
          <w:color w:val="auto"/>
          <w:sz w:val="22"/>
          <w:szCs w:val="22"/>
          <w:highlight w:val="none"/>
          <w:lang w:val="en-US" w:eastAsia="zh-CN"/>
        </w:rPr>
        <w:t>7</w:t>
      </w:r>
      <w:r>
        <w:rPr>
          <w:rFonts w:hint="eastAsia" w:hAnsi="宋体" w:eastAsia="宋体" w:cs="Arial"/>
          <w:b w:val="0"/>
          <w:color w:val="auto"/>
          <w:sz w:val="22"/>
          <w:szCs w:val="22"/>
          <w:highlight w:val="none"/>
        </w:rPr>
        <w:t>.3电子签章操作指南详见采购公告附件《供应商项目采购-电子招投标操作指南》。</w:t>
      </w:r>
    </w:p>
    <w:p>
      <w:pPr>
        <w:pStyle w:val="13"/>
        <w:adjustRightInd w:val="0"/>
        <w:snapToGrid w:val="0"/>
        <w:spacing w:line="454" w:lineRule="atLeast"/>
        <w:ind w:firstLine="440" w:firstLineChars="200"/>
        <w:rPr>
          <w:rFonts w:hint="eastAsia" w:hAnsi="宋体" w:eastAsia="宋体" w:cs="Arial"/>
          <w:b w:val="0"/>
          <w:color w:val="auto"/>
          <w:sz w:val="22"/>
          <w:szCs w:val="22"/>
          <w:highlight w:val="none"/>
        </w:rPr>
      </w:pPr>
      <w:r>
        <w:rPr>
          <w:rFonts w:hint="eastAsia" w:hAnsi="宋体" w:eastAsia="宋体" w:cs="Arial"/>
          <w:b w:val="0"/>
          <w:color w:val="auto"/>
          <w:sz w:val="22"/>
          <w:szCs w:val="22"/>
          <w:highlight w:val="none"/>
          <w:lang w:val="en-US" w:eastAsia="zh-CN"/>
        </w:rPr>
        <w:t>8、</w:t>
      </w:r>
      <w:r>
        <w:rPr>
          <w:rFonts w:hint="eastAsia" w:hAnsi="宋体" w:eastAsia="宋体" w:cs="Arial"/>
          <w:b w:val="0"/>
          <w:color w:val="auto"/>
          <w:sz w:val="22"/>
          <w:szCs w:val="22"/>
          <w:highlight w:val="none"/>
        </w:rPr>
        <w:t>投标文件的形式</w:t>
      </w:r>
    </w:p>
    <w:p>
      <w:pPr>
        <w:pStyle w:val="13"/>
        <w:adjustRightInd w:val="0"/>
        <w:snapToGrid w:val="0"/>
        <w:spacing w:line="454" w:lineRule="atLeast"/>
        <w:ind w:firstLine="440" w:firstLineChars="200"/>
        <w:rPr>
          <w:rFonts w:hint="eastAsia" w:hAnsi="宋体" w:eastAsia="宋体" w:cs="Arial"/>
          <w:b w:val="0"/>
          <w:color w:val="auto"/>
          <w:sz w:val="22"/>
          <w:szCs w:val="22"/>
          <w:highlight w:val="none"/>
        </w:rPr>
      </w:pPr>
      <w:r>
        <w:rPr>
          <w:rFonts w:hint="eastAsia" w:hAnsi="宋体" w:eastAsia="宋体" w:cs="Arial"/>
          <w:b w:val="0"/>
          <w:color w:val="auto"/>
          <w:sz w:val="22"/>
          <w:szCs w:val="22"/>
          <w:highlight w:val="none"/>
          <w:lang w:val="en-US" w:eastAsia="zh-CN"/>
        </w:rPr>
        <w:t>8</w:t>
      </w:r>
      <w:r>
        <w:rPr>
          <w:rFonts w:hint="eastAsia" w:hAnsi="宋体" w:eastAsia="宋体" w:cs="Arial"/>
          <w:b w:val="0"/>
          <w:color w:val="auto"/>
          <w:sz w:val="22"/>
          <w:szCs w:val="22"/>
          <w:highlight w:val="none"/>
        </w:rPr>
        <w:t>.1投标文件的形式：见投标人须知前附表；</w:t>
      </w:r>
    </w:p>
    <w:p>
      <w:pPr>
        <w:pStyle w:val="13"/>
        <w:adjustRightInd w:val="0"/>
        <w:snapToGrid w:val="0"/>
        <w:spacing w:line="454" w:lineRule="atLeast"/>
        <w:ind w:firstLine="440" w:firstLineChars="200"/>
        <w:rPr>
          <w:rFonts w:hint="eastAsia" w:hAnsi="宋体" w:eastAsia="宋体" w:cs="Arial"/>
          <w:b w:val="0"/>
          <w:color w:val="auto"/>
          <w:sz w:val="22"/>
          <w:szCs w:val="22"/>
          <w:highlight w:val="none"/>
        </w:rPr>
      </w:pPr>
      <w:r>
        <w:rPr>
          <w:rFonts w:hint="eastAsia" w:hAnsi="宋体" w:eastAsia="宋体" w:cs="Arial"/>
          <w:b w:val="0"/>
          <w:color w:val="auto"/>
          <w:sz w:val="22"/>
          <w:szCs w:val="22"/>
          <w:highlight w:val="none"/>
          <w:lang w:val="en-US" w:eastAsia="zh-CN"/>
        </w:rPr>
        <w:t>8</w:t>
      </w:r>
      <w:r>
        <w:rPr>
          <w:rFonts w:hint="eastAsia" w:hAnsi="宋体" w:eastAsia="宋体" w:cs="Arial"/>
          <w:b w:val="0"/>
          <w:color w:val="auto"/>
          <w:sz w:val="22"/>
          <w:szCs w:val="22"/>
          <w:highlight w:val="none"/>
        </w:rPr>
        <w:t>.2“电子加密投标文件”：“电子加密投标文件”是指通过“政采云电子交易客户端”完成投标文件编制后生成并加密的数据电文形式的投标文件。</w:t>
      </w:r>
    </w:p>
    <w:p>
      <w:pPr>
        <w:pStyle w:val="13"/>
        <w:adjustRightInd w:val="0"/>
        <w:snapToGrid w:val="0"/>
        <w:spacing w:line="454" w:lineRule="atLeast"/>
        <w:ind w:firstLine="440" w:firstLineChars="200"/>
        <w:rPr>
          <w:rFonts w:hint="eastAsia" w:hAnsi="宋体" w:eastAsia="宋体" w:cs="Arial"/>
          <w:b w:val="0"/>
          <w:color w:val="auto"/>
          <w:sz w:val="22"/>
          <w:szCs w:val="22"/>
          <w:highlight w:val="none"/>
        </w:rPr>
      </w:pPr>
      <w:r>
        <w:rPr>
          <w:rFonts w:hint="eastAsia" w:hAnsi="宋体" w:eastAsia="宋体" w:cs="Arial"/>
          <w:b w:val="0"/>
          <w:color w:val="auto"/>
          <w:sz w:val="22"/>
          <w:szCs w:val="22"/>
          <w:highlight w:val="none"/>
          <w:lang w:val="en-US" w:eastAsia="zh-CN"/>
        </w:rPr>
        <w:t>8</w:t>
      </w:r>
      <w:r>
        <w:rPr>
          <w:rFonts w:hint="eastAsia" w:hAnsi="宋体" w:eastAsia="宋体" w:cs="Arial"/>
          <w:b w:val="0"/>
          <w:color w:val="auto"/>
          <w:sz w:val="22"/>
          <w:szCs w:val="22"/>
          <w:highlight w:val="none"/>
        </w:rPr>
        <w:t>.3“备份投标文件”：“备份投标文件”是指与“电子加密投标文件”同时生成的数据电文形式的电子文件（备份标书），其他方式编制的“备份投标文件”视为无效的“备份投标文件”</w:t>
      </w:r>
    </w:p>
    <w:p>
      <w:pPr>
        <w:spacing w:line="400" w:lineRule="exact"/>
        <w:outlineLvl w:val="0"/>
        <w:rPr>
          <w:rFonts w:ascii="宋体" w:eastAsia="宋体"/>
          <w:color w:val="auto"/>
          <w:sz w:val="22"/>
          <w:szCs w:val="22"/>
        </w:rPr>
      </w:pPr>
      <w:bookmarkStart w:id="150" w:name="_Toc132126154"/>
      <w:bookmarkStart w:id="151" w:name="_Toc132125095"/>
      <w:bookmarkStart w:id="152" w:name="_Toc132122119"/>
      <w:bookmarkStart w:id="153" w:name="_Toc132655776"/>
      <w:bookmarkStart w:id="154" w:name="_Toc132125037"/>
      <w:bookmarkStart w:id="155" w:name="_Toc132123547"/>
      <w:bookmarkStart w:id="156" w:name="_Toc132122416"/>
      <w:bookmarkStart w:id="157" w:name="_Toc132123838"/>
      <w:bookmarkStart w:id="158" w:name="_Toc494407535"/>
      <w:bookmarkStart w:id="159" w:name="_Toc132125151"/>
      <w:bookmarkStart w:id="160" w:name="_Toc132123881"/>
      <w:bookmarkStart w:id="161" w:name="_Toc132123439"/>
      <w:bookmarkStart w:id="162" w:name="_Toc132125574"/>
      <w:bookmarkStart w:id="163" w:name="_Toc132125983"/>
      <w:bookmarkStart w:id="164" w:name="_Toc132123634"/>
      <w:bookmarkStart w:id="165" w:name="_Toc132124594"/>
      <w:r>
        <w:rPr>
          <w:rFonts w:hint="eastAsia" w:ascii="宋体" w:eastAsia="宋体"/>
          <w:color w:val="auto"/>
          <w:sz w:val="22"/>
          <w:szCs w:val="22"/>
        </w:rPr>
        <w:t>四、投标文件的密封与递交</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13"/>
        <w:adjustRightInd w:val="0"/>
        <w:snapToGrid w:val="0"/>
        <w:spacing w:line="454" w:lineRule="atLeast"/>
        <w:ind w:firstLine="221" w:firstLineChars="100"/>
        <w:rPr>
          <w:rFonts w:hint="eastAsia" w:ascii="新宋体" w:hAnsi="新宋体" w:eastAsia="新宋体" w:cs="新宋体"/>
          <w:bCs/>
          <w:kern w:val="0"/>
          <w:sz w:val="22"/>
          <w:szCs w:val="22"/>
        </w:rPr>
      </w:pPr>
      <w:r>
        <w:rPr>
          <w:rFonts w:hint="eastAsia" w:ascii="新宋体" w:hAnsi="新宋体" w:eastAsia="新宋体" w:cs="新宋体"/>
          <w:bCs/>
          <w:kern w:val="0"/>
          <w:sz w:val="22"/>
          <w:szCs w:val="22"/>
          <w:lang w:val="en-US" w:eastAsia="zh-CN"/>
        </w:rPr>
        <w:t>1、</w:t>
      </w:r>
      <w:r>
        <w:rPr>
          <w:rFonts w:hint="eastAsia" w:ascii="新宋体" w:hAnsi="新宋体" w:eastAsia="新宋体" w:cs="新宋体"/>
          <w:bCs/>
          <w:kern w:val="0"/>
          <w:sz w:val="22"/>
          <w:szCs w:val="22"/>
        </w:rPr>
        <w:t>投标文件的上传、递交：见投标人须知前附表。</w:t>
      </w:r>
    </w:p>
    <w:p>
      <w:pPr>
        <w:tabs>
          <w:tab w:val="left" w:pos="540"/>
        </w:tabs>
        <w:spacing w:line="460" w:lineRule="exact"/>
        <w:rPr>
          <w:rFonts w:hint="eastAsia" w:ascii="新宋体" w:hAnsi="新宋体" w:eastAsia="新宋体" w:cs="新宋体"/>
          <w:b/>
          <w:bCs/>
          <w:kern w:val="0"/>
          <w:sz w:val="22"/>
          <w:szCs w:val="22"/>
        </w:rPr>
      </w:pPr>
      <w:r>
        <w:rPr>
          <w:rFonts w:hint="eastAsia" w:hAnsi="宋体" w:eastAsia="宋体" w:cs="Arial"/>
          <w:b w:val="0"/>
          <w:color w:val="auto"/>
          <w:sz w:val="22"/>
          <w:szCs w:val="22"/>
        </w:rPr>
        <w:t xml:space="preserve">  </w:t>
      </w:r>
      <w:r>
        <w:rPr>
          <w:rFonts w:hint="eastAsia" w:eastAsia="宋体" w:cs="Arial"/>
          <w:b w:val="0"/>
          <w:color w:val="auto"/>
          <w:sz w:val="22"/>
          <w:szCs w:val="22"/>
          <w:lang w:val="en-US" w:eastAsia="zh-CN"/>
        </w:rPr>
        <w:t>2、</w:t>
      </w:r>
      <w:r>
        <w:rPr>
          <w:rFonts w:hint="eastAsia" w:ascii="新宋体" w:hAnsi="新宋体" w:eastAsia="新宋体" w:cs="新宋体"/>
          <w:b/>
          <w:bCs/>
          <w:kern w:val="0"/>
          <w:sz w:val="22"/>
          <w:szCs w:val="22"/>
        </w:rPr>
        <w:t>“电子加密投标文件”解密和异常情况处理。</w:t>
      </w:r>
    </w:p>
    <w:p>
      <w:pPr>
        <w:tabs>
          <w:tab w:val="left" w:pos="540"/>
        </w:tabs>
        <w:spacing w:line="460" w:lineRule="exact"/>
        <w:rPr>
          <w:rFonts w:ascii="宋体" w:eastAsia="宋体"/>
          <w:b w:val="0"/>
          <w:color w:val="auto"/>
          <w:sz w:val="22"/>
          <w:szCs w:val="22"/>
        </w:rPr>
      </w:pPr>
      <w:r>
        <w:rPr>
          <w:rFonts w:hint="eastAsia" w:hAnsi="宋体" w:eastAsia="宋体" w:cs="Arial"/>
          <w:b w:val="0"/>
          <w:color w:val="auto"/>
          <w:sz w:val="22"/>
          <w:szCs w:val="22"/>
          <w:lang w:val="en-US" w:eastAsia="zh-CN"/>
        </w:rPr>
        <w:t xml:space="preserve">  </w:t>
      </w:r>
      <w:r>
        <w:rPr>
          <w:rFonts w:hint="eastAsia" w:eastAsia="宋体" w:cs="Arial"/>
          <w:b w:val="0"/>
          <w:color w:val="auto"/>
          <w:sz w:val="22"/>
          <w:szCs w:val="22"/>
          <w:lang w:val="en-US" w:eastAsia="zh-CN"/>
        </w:rPr>
        <w:t>2.1</w:t>
      </w:r>
      <w:r>
        <w:rPr>
          <w:rFonts w:hint="eastAsia" w:ascii="新宋体" w:hAnsi="新宋体" w:eastAsia="新宋体" w:cs="新宋体"/>
          <w:bCs/>
          <w:kern w:val="0"/>
          <w:sz w:val="22"/>
          <w:szCs w:val="22"/>
        </w:rPr>
        <w:t>“电子加密投标文件”解密：见投标人须知前附表。</w:t>
      </w:r>
    </w:p>
    <w:p>
      <w:pPr>
        <w:pStyle w:val="8"/>
        <w:adjustRightInd w:val="0"/>
        <w:snapToGrid w:val="0"/>
        <w:spacing w:beforeLines="50" w:after="50" w:line="400" w:lineRule="atLeast"/>
        <w:ind w:left="0" w:leftChars="0" w:firstLine="220" w:firstLineChars="100"/>
        <w:rPr>
          <w:rFonts w:ascii="宋体" w:eastAsia="宋体"/>
          <w:b w:val="0"/>
          <w:color w:val="auto"/>
          <w:sz w:val="22"/>
          <w:szCs w:val="22"/>
        </w:rPr>
      </w:pPr>
      <w:r>
        <w:rPr>
          <w:rFonts w:hint="eastAsia" w:ascii="宋体" w:eastAsia="宋体"/>
          <w:b w:val="0"/>
          <w:color w:val="auto"/>
          <w:sz w:val="22"/>
          <w:szCs w:val="22"/>
        </w:rPr>
        <w:t>3、投标文件的修改和撤回</w:t>
      </w:r>
    </w:p>
    <w:p>
      <w:pPr>
        <w:tabs>
          <w:tab w:val="left" w:pos="540"/>
        </w:tabs>
        <w:spacing w:line="460" w:lineRule="exact"/>
        <w:ind w:firstLine="220" w:firstLineChars="100"/>
        <w:rPr>
          <w:rFonts w:hint="eastAsia" w:ascii="新宋体" w:hAnsi="新宋体" w:eastAsia="新宋体" w:cs="新宋体"/>
          <w:bCs/>
          <w:kern w:val="0"/>
          <w:sz w:val="22"/>
          <w:szCs w:val="22"/>
        </w:rPr>
      </w:pPr>
      <w:r>
        <w:rPr>
          <w:rFonts w:hint="eastAsia" w:ascii="宋体" w:eastAsia="宋体"/>
          <w:b w:val="0"/>
          <w:color w:val="auto"/>
          <w:sz w:val="22"/>
          <w:szCs w:val="22"/>
        </w:rPr>
        <w:t>3.1</w:t>
      </w:r>
      <w:r>
        <w:rPr>
          <w:rFonts w:hint="eastAsia" w:ascii="新宋体" w:hAnsi="新宋体" w:eastAsia="新宋体" w:cs="新宋体"/>
          <w:bCs/>
          <w:kern w:val="0"/>
          <w:sz w:val="22"/>
          <w:szCs w:val="22"/>
        </w:rPr>
        <w:t>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lang w:val="en-US" w:eastAsia="zh-CN"/>
        </w:rPr>
        <w:t>3</w:t>
      </w:r>
      <w:r>
        <w:rPr>
          <w:rFonts w:hint="eastAsia" w:ascii="新宋体" w:hAnsi="新宋体" w:eastAsia="新宋体" w:cs="新宋体"/>
          <w:bCs/>
          <w:kern w:val="0"/>
          <w:sz w:val="22"/>
          <w:szCs w:val="22"/>
        </w:rPr>
        <w:t>.2</w:t>
      </w:r>
      <w:r>
        <w:rPr>
          <w:rFonts w:ascii="新宋体" w:hAnsi="新宋体" w:eastAsia="新宋体" w:cs="新宋体"/>
          <w:bCs/>
          <w:kern w:val="0"/>
          <w:sz w:val="22"/>
          <w:szCs w:val="22"/>
        </w:rPr>
        <w:t>投标文件递交截止时间后，投标人不得撤回、修改</w:t>
      </w:r>
      <w:r>
        <w:rPr>
          <w:rFonts w:hint="eastAsia" w:ascii="新宋体" w:hAnsi="新宋体" w:eastAsia="新宋体" w:cs="新宋体"/>
          <w:bCs/>
          <w:kern w:val="0"/>
          <w:sz w:val="22"/>
          <w:szCs w:val="22"/>
        </w:rPr>
        <w:t>投标文件。</w:t>
      </w:r>
    </w:p>
    <w:p>
      <w:pPr>
        <w:pStyle w:val="13"/>
        <w:adjustRightInd w:val="0"/>
        <w:snapToGrid w:val="0"/>
        <w:spacing w:line="440" w:lineRule="atLeast"/>
        <w:outlineLvl w:val="0"/>
        <w:rPr>
          <w:rFonts w:hAnsi="宋体" w:eastAsia="宋体"/>
          <w:color w:val="auto"/>
          <w:sz w:val="22"/>
          <w:szCs w:val="22"/>
        </w:rPr>
      </w:pPr>
      <w:bookmarkStart w:id="166" w:name="_Toc494407536"/>
      <w:r>
        <w:rPr>
          <w:rFonts w:hint="eastAsia" w:hAnsi="宋体" w:eastAsia="宋体"/>
          <w:color w:val="auto"/>
          <w:sz w:val="22"/>
          <w:szCs w:val="22"/>
        </w:rPr>
        <w:t>五、开标和评标</w:t>
      </w:r>
      <w:bookmarkEnd w:id="166"/>
    </w:p>
    <w:p>
      <w:pPr>
        <w:pStyle w:val="13"/>
        <w:adjustRightInd w:val="0"/>
        <w:snapToGrid w:val="0"/>
        <w:spacing w:line="440" w:lineRule="atLeast"/>
        <w:ind w:firstLine="435" w:firstLineChars="197"/>
        <w:rPr>
          <w:rFonts w:hint="eastAsia" w:ascii="新宋体" w:hAnsi="新宋体" w:eastAsia="新宋体" w:cs="新宋体"/>
          <w:b/>
          <w:bCs/>
          <w:kern w:val="0"/>
          <w:sz w:val="22"/>
          <w:szCs w:val="22"/>
        </w:rPr>
      </w:pPr>
      <w:r>
        <w:rPr>
          <w:rFonts w:hint="eastAsia" w:hAnsi="宋体" w:eastAsia="宋体"/>
          <w:color w:val="auto"/>
          <w:sz w:val="22"/>
          <w:szCs w:val="22"/>
        </w:rPr>
        <w:t>1、</w:t>
      </w:r>
      <w:r>
        <w:rPr>
          <w:rFonts w:hint="eastAsia" w:ascii="新宋体" w:hAnsi="新宋体" w:eastAsia="新宋体" w:cs="新宋体"/>
          <w:b/>
          <w:bCs/>
          <w:kern w:val="0"/>
          <w:sz w:val="22"/>
          <w:szCs w:val="22"/>
        </w:rPr>
        <w:t>开标形式</w:t>
      </w:r>
    </w:p>
    <w:p>
      <w:pPr>
        <w:tabs>
          <w:tab w:val="left" w:pos="540"/>
        </w:tabs>
        <w:spacing w:line="460" w:lineRule="exact"/>
        <w:ind w:firstLine="221" w:firstLineChars="100"/>
        <w:rPr>
          <w:rFonts w:hint="eastAsia" w:ascii="新宋体" w:hAnsi="新宋体" w:eastAsia="新宋体" w:cs="新宋体"/>
          <w:bCs/>
          <w:kern w:val="0"/>
          <w:sz w:val="22"/>
          <w:szCs w:val="22"/>
        </w:rPr>
      </w:pPr>
      <w:r>
        <w:rPr>
          <w:rFonts w:hint="eastAsia" w:ascii="新宋体" w:hAnsi="新宋体" w:eastAsia="新宋体" w:cs="新宋体"/>
          <w:bCs/>
          <w:kern w:val="0"/>
          <w:sz w:val="22"/>
          <w:szCs w:val="22"/>
          <w:lang w:val="en-US" w:eastAsia="zh-CN"/>
        </w:rPr>
        <w:t>1.1采购</w:t>
      </w:r>
      <w:r>
        <w:rPr>
          <w:rFonts w:hint="eastAsia" w:ascii="新宋体" w:hAnsi="新宋体" w:eastAsia="新宋体" w:cs="新宋体"/>
          <w:bCs/>
          <w:kern w:val="0"/>
          <w:sz w:val="22"/>
          <w:szCs w:val="22"/>
        </w:rPr>
        <w:t>组织机构将按照采购文件规定的时间通过“政采云平台”组织开标、开启投标文件，所有供应商均应当准时在线参加。</w:t>
      </w:r>
    </w:p>
    <w:p>
      <w:pPr>
        <w:tabs>
          <w:tab w:val="left" w:pos="540"/>
        </w:tabs>
        <w:spacing w:line="460" w:lineRule="exact"/>
        <w:ind w:firstLine="221" w:firstLineChars="100"/>
        <w:rPr>
          <w:rFonts w:ascii="新宋体" w:hAnsi="新宋体" w:eastAsia="新宋体" w:cs="新宋体"/>
          <w:b/>
          <w:bCs/>
          <w:kern w:val="0"/>
          <w:sz w:val="22"/>
          <w:szCs w:val="22"/>
        </w:rPr>
      </w:pPr>
      <w:r>
        <w:rPr>
          <w:rFonts w:eastAsia="宋体"/>
          <w:b/>
          <w:bCs/>
          <w:color w:val="auto"/>
          <w:sz w:val="22"/>
          <w:szCs w:val="22"/>
        </w:rPr>
        <w:t>1.</w:t>
      </w:r>
      <w:r>
        <w:rPr>
          <w:rFonts w:hint="eastAsia" w:eastAsia="宋体"/>
          <w:b/>
          <w:bCs/>
          <w:color w:val="auto"/>
          <w:sz w:val="22"/>
          <w:szCs w:val="22"/>
          <w:lang w:val="en-US" w:eastAsia="zh-CN"/>
        </w:rPr>
        <w:t>2</w:t>
      </w:r>
      <w:r>
        <w:rPr>
          <w:rFonts w:ascii="新宋体" w:hAnsi="新宋体" w:eastAsia="新宋体" w:cs="新宋体"/>
          <w:b/>
          <w:bCs/>
          <w:kern w:val="0"/>
          <w:sz w:val="22"/>
          <w:szCs w:val="22"/>
        </w:rPr>
        <w:t>开标准备</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lang w:val="en-US" w:eastAsia="zh-CN"/>
        </w:rPr>
        <w:t>1.2</w:t>
      </w:r>
      <w:r>
        <w:rPr>
          <w:rFonts w:hint="eastAsia" w:ascii="新宋体" w:hAnsi="新宋体" w:eastAsia="新宋体" w:cs="新宋体"/>
          <w:bCs/>
          <w:kern w:val="0"/>
          <w:sz w:val="22"/>
          <w:szCs w:val="22"/>
        </w:rPr>
        <w:t>.1开标的准备工作由采购组织机构负责落实。</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lang w:val="en-US" w:eastAsia="zh-CN"/>
        </w:rPr>
        <w:t>1.2</w:t>
      </w:r>
      <w:r>
        <w:rPr>
          <w:rFonts w:hint="eastAsia" w:ascii="新宋体" w:hAnsi="新宋体" w:eastAsia="新宋体" w:cs="新宋体"/>
          <w:bCs/>
          <w:kern w:val="0"/>
          <w:sz w:val="22"/>
          <w:szCs w:val="22"/>
        </w:rPr>
        <w:t>.2采购组织机构将按照采购文件规定的时间通过“政采云平台”组织开标、开启投标文件，所有供应商均应当准时在线参加。投标人</w:t>
      </w:r>
      <w:r>
        <w:rPr>
          <w:rFonts w:ascii="新宋体" w:hAnsi="新宋体" w:eastAsia="新宋体" w:cs="新宋体"/>
          <w:bCs/>
          <w:kern w:val="0"/>
          <w:sz w:val="22"/>
          <w:szCs w:val="22"/>
        </w:rPr>
        <w:t>如不</w:t>
      </w:r>
      <w:r>
        <w:rPr>
          <w:rFonts w:hint="eastAsia" w:ascii="新宋体" w:hAnsi="新宋体" w:eastAsia="新宋体" w:cs="新宋体"/>
          <w:bCs/>
          <w:kern w:val="0"/>
          <w:sz w:val="22"/>
          <w:szCs w:val="22"/>
        </w:rPr>
        <w:t>参加</w:t>
      </w:r>
      <w:r>
        <w:rPr>
          <w:rFonts w:ascii="新宋体" w:hAnsi="新宋体" w:eastAsia="新宋体" w:cs="新宋体"/>
          <w:bCs/>
          <w:kern w:val="0"/>
          <w:sz w:val="22"/>
          <w:szCs w:val="22"/>
        </w:rPr>
        <w:t>开标大会的，</w:t>
      </w:r>
      <w:r>
        <w:rPr>
          <w:rFonts w:hint="eastAsia" w:ascii="新宋体" w:hAnsi="新宋体" w:eastAsia="新宋体" w:cs="新宋体"/>
          <w:bCs/>
          <w:kern w:val="0"/>
          <w:sz w:val="22"/>
          <w:szCs w:val="22"/>
        </w:rPr>
        <w:t>视同认可开标结果，</w:t>
      </w:r>
      <w:r>
        <w:rPr>
          <w:rFonts w:ascii="新宋体" w:hAnsi="新宋体" w:eastAsia="新宋体" w:cs="新宋体"/>
          <w:bCs/>
          <w:kern w:val="0"/>
          <w:sz w:val="22"/>
          <w:szCs w:val="22"/>
        </w:rPr>
        <w:t>事后不得对采购相关人员、开标过程和开标结果提出异议</w:t>
      </w:r>
      <w:r>
        <w:rPr>
          <w:rFonts w:hint="eastAsia" w:ascii="新宋体" w:hAnsi="新宋体" w:eastAsia="新宋体" w:cs="新宋体"/>
          <w:bCs/>
          <w:kern w:val="0"/>
          <w:sz w:val="22"/>
          <w:szCs w:val="22"/>
        </w:rPr>
        <w:t>，同时投标人因未在线参加开标而导致投标文件无法按时解密等一切后果由供应商自己承担。</w:t>
      </w:r>
    </w:p>
    <w:p>
      <w:pPr>
        <w:tabs>
          <w:tab w:val="left" w:pos="540"/>
        </w:tabs>
        <w:spacing w:line="460" w:lineRule="exact"/>
        <w:rPr>
          <w:rFonts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1.3</w:t>
      </w:r>
      <w:r>
        <w:rPr>
          <w:rFonts w:ascii="新宋体" w:hAnsi="新宋体" w:eastAsia="新宋体" w:cs="新宋体"/>
          <w:b/>
          <w:bCs/>
          <w:kern w:val="0"/>
          <w:sz w:val="22"/>
          <w:szCs w:val="22"/>
        </w:rPr>
        <w:t>开标</w:t>
      </w:r>
      <w:r>
        <w:rPr>
          <w:rFonts w:hint="eastAsia" w:ascii="新宋体" w:hAnsi="新宋体" w:eastAsia="新宋体" w:cs="新宋体"/>
          <w:b/>
          <w:bCs/>
          <w:kern w:val="0"/>
          <w:sz w:val="22"/>
          <w:szCs w:val="22"/>
        </w:rPr>
        <w:t>流程（两阶段）</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1.3</w:t>
      </w:r>
      <w:r>
        <w:rPr>
          <w:rFonts w:hint="eastAsia" w:ascii="新宋体" w:hAnsi="新宋体" w:eastAsia="新宋体" w:cs="新宋体"/>
          <w:b/>
          <w:bCs/>
          <w:kern w:val="0"/>
          <w:sz w:val="22"/>
          <w:szCs w:val="22"/>
        </w:rPr>
        <w:t>.1开标第一阶段</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w:t>
      </w:r>
      <w:r>
        <w:rPr>
          <w:rFonts w:ascii="新宋体" w:hAnsi="新宋体" w:eastAsia="新宋体" w:cs="新宋体"/>
          <w:b/>
          <w:bCs/>
          <w:kern w:val="0"/>
          <w:sz w:val="22"/>
          <w:szCs w:val="22"/>
        </w:rPr>
        <w:t>1</w:t>
      </w:r>
      <w:r>
        <w:rPr>
          <w:rFonts w:hint="eastAsia" w:ascii="新宋体" w:hAnsi="新宋体" w:eastAsia="新宋体" w:cs="新宋体"/>
          <w:b/>
          <w:bCs/>
          <w:kern w:val="0"/>
          <w:sz w:val="22"/>
          <w:szCs w:val="22"/>
        </w:rPr>
        <w:t>）向各投标人发出电子加密投标文件【开始解密】通知，由供应商按采购文件规定的时间内自行进行投标文件解密。投标人在规定的时间内（开标时间起半个小时内）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highlight w:val="yellow"/>
        </w:rPr>
        <w:t>（</w:t>
      </w:r>
      <w:r>
        <w:rPr>
          <w:rFonts w:ascii="新宋体" w:hAnsi="新宋体" w:eastAsia="新宋体" w:cs="新宋体"/>
          <w:b/>
          <w:bCs/>
          <w:kern w:val="0"/>
          <w:sz w:val="22"/>
          <w:szCs w:val="22"/>
          <w:highlight w:val="yellow"/>
        </w:rPr>
        <w:t>2</w:t>
      </w:r>
      <w:r>
        <w:rPr>
          <w:rFonts w:hint="eastAsia" w:ascii="新宋体" w:hAnsi="新宋体" w:eastAsia="新宋体" w:cs="新宋体"/>
          <w:b/>
          <w:bCs/>
          <w:kern w:val="0"/>
          <w:sz w:val="22"/>
          <w:szCs w:val="22"/>
          <w:highlight w:val="yellow"/>
        </w:rPr>
        <w:t>）投标文件解密结束，各投标人签署《政府采购活动现场确认声明书》（见附件）后将扫描件发送至采购代理机构邮箱：</w:t>
      </w:r>
      <w:r>
        <w:rPr>
          <w:rFonts w:hint="eastAsia" w:ascii="新宋体" w:hAnsi="新宋体" w:eastAsia="新宋体" w:cs="新宋体"/>
          <w:b/>
          <w:sz w:val="22"/>
          <w:szCs w:val="22"/>
          <w:highlight w:val="yellow"/>
          <w:u w:val="single"/>
          <w:lang w:val="en-US" w:eastAsia="zh-CN"/>
        </w:rPr>
        <w:t>714935941</w:t>
      </w:r>
      <w:r>
        <w:rPr>
          <w:rFonts w:ascii="新宋体" w:hAnsi="新宋体" w:eastAsia="新宋体" w:cs="新宋体"/>
          <w:b/>
          <w:sz w:val="22"/>
          <w:szCs w:val="22"/>
          <w:highlight w:val="yellow"/>
          <w:u w:val="single"/>
        </w:rPr>
        <w:t>6@qq.com</w:t>
      </w:r>
      <w:r>
        <w:rPr>
          <w:rFonts w:hint="eastAsia" w:ascii="新宋体" w:hAnsi="新宋体" w:eastAsia="新宋体" w:cs="新宋体"/>
          <w:b/>
          <w:bCs/>
          <w:kern w:val="0"/>
          <w:sz w:val="22"/>
          <w:szCs w:val="22"/>
          <w:highlight w:val="yellow"/>
        </w:rPr>
        <w:t>；</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w:t>
      </w:r>
      <w:r>
        <w:rPr>
          <w:rFonts w:ascii="新宋体" w:hAnsi="新宋体" w:eastAsia="新宋体" w:cs="新宋体"/>
          <w:b/>
          <w:bCs/>
          <w:kern w:val="0"/>
          <w:sz w:val="22"/>
          <w:szCs w:val="22"/>
        </w:rPr>
        <w:t>3</w:t>
      </w:r>
      <w:r>
        <w:rPr>
          <w:rFonts w:hint="eastAsia" w:ascii="新宋体" w:hAnsi="新宋体" w:eastAsia="新宋体" w:cs="新宋体"/>
          <w:b/>
          <w:bCs/>
          <w:kern w:val="0"/>
          <w:sz w:val="22"/>
          <w:szCs w:val="22"/>
        </w:rPr>
        <w:t>）开启投标文件，进入资格审查；</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w:t>
      </w:r>
      <w:r>
        <w:rPr>
          <w:rFonts w:ascii="新宋体" w:hAnsi="新宋体" w:eastAsia="新宋体" w:cs="新宋体"/>
          <w:b/>
          <w:bCs/>
          <w:kern w:val="0"/>
          <w:sz w:val="22"/>
          <w:szCs w:val="22"/>
        </w:rPr>
        <w:t>4</w:t>
      </w:r>
      <w:r>
        <w:rPr>
          <w:rFonts w:hint="eastAsia" w:ascii="新宋体" w:hAnsi="新宋体" w:eastAsia="新宋体" w:cs="新宋体"/>
          <w:b/>
          <w:bCs/>
          <w:kern w:val="0"/>
          <w:sz w:val="22"/>
          <w:szCs w:val="22"/>
        </w:rPr>
        <w:t>）开启资格审查通过的投标人的商务技术文件进入符合性审查、商务技术评审；</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w:t>
      </w:r>
      <w:r>
        <w:rPr>
          <w:rFonts w:ascii="新宋体" w:hAnsi="新宋体" w:eastAsia="新宋体" w:cs="新宋体"/>
          <w:b/>
          <w:bCs/>
          <w:kern w:val="0"/>
          <w:sz w:val="22"/>
          <w:szCs w:val="22"/>
        </w:rPr>
        <w:t>5</w:t>
      </w:r>
      <w:r>
        <w:rPr>
          <w:rFonts w:hint="eastAsia" w:ascii="新宋体" w:hAnsi="新宋体" w:eastAsia="新宋体" w:cs="新宋体"/>
          <w:b/>
          <w:bCs/>
          <w:kern w:val="0"/>
          <w:sz w:val="22"/>
          <w:szCs w:val="22"/>
        </w:rPr>
        <w:t>）第一阶段开标结束。</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备注：开标大会的第一阶段结束后，采购人或采购代理机构将对依法对投标人的资格进行审查，资格审查结束后进入符合性审查和商务技术文件的评审工作，具体见本章节“投标人资格审查”相关规定。</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lang w:val="en-US" w:eastAsia="zh-CN"/>
        </w:rPr>
        <w:t>1.3</w:t>
      </w:r>
      <w:r>
        <w:rPr>
          <w:rFonts w:hint="eastAsia" w:ascii="新宋体" w:hAnsi="新宋体" w:eastAsia="新宋体" w:cs="新宋体"/>
          <w:b/>
          <w:bCs/>
          <w:kern w:val="0"/>
          <w:sz w:val="22"/>
          <w:szCs w:val="22"/>
        </w:rPr>
        <w:t>.2开标大会第二阶段</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（1）符合性审查、商务技术文件的评审结束后，举行开标大会第二阶段会议。首先在“政采云平台”系统平台上公布符合性审查、商务技术评审无效供应商名称及理由</w:t>
      </w:r>
      <w:r>
        <w:rPr>
          <w:rFonts w:ascii="新宋体" w:hAnsi="新宋体" w:eastAsia="新宋体" w:cs="新宋体"/>
          <w:b/>
          <w:bCs/>
          <w:kern w:val="0"/>
          <w:sz w:val="22"/>
          <w:szCs w:val="22"/>
        </w:rPr>
        <w:t>；公布经商务技术评审</w:t>
      </w:r>
      <w:r>
        <w:rPr>
          <w:rFonts w:hint="eastAsia" w:ascii="新宋体" w:hAnsi="新宋体" w:eastAsia="新宋体" w:cs="新宋体"/>
          <w:b/>
          <w:bCs/>
          <w:kern w:val="0"/>
          <w:sz w:val="22"/>
          <w:szCs w:val="22"/>
        </w:rPr>
        <w:t>后有效投标人的</w:t>
      </w:r>
      <w:r>
        <w:rPr>
          <w:rFonts w:ascii="新宋体" w:hAnsi="新宋体" w:eastAsia="新宋体" w:cs="新宋体"/>
          <w:b/>
          <w:bCs/>
          <w:kern w:val="0"/>
          <w:sz w:val="22"/>
          <w:szCs w:val="22"/>
        </w:rPr>
        <w:t>名单，同时公布</w:t>
      </w:r>
      <w:r>
        <w:rPr>
          <w:rFonts w:hint="eastAsia" w:ascii="新宋体" w:hAnsi="新宋体" w:eastAsia="新宋体" w:cs="新宋体"/>
          <w:b/>
          <w:bCs/>
          <w:kern w:val="0"/>
          <w:sz w:val="22"/>
          <w:szCs w:val="22"/>
        </w:rPr>
        <w:t>其</w:t>
      </w:r>
      <w:r>
        <w:rPr>
          <w:rFonts w:ascii="新宋体" w:hAnsi="新宋体" w:eastAsia="新宋体" w:cs="新宋体"/>
          <w:b/>
          <w:bCs/>
          <w:kern w:val="0"/>
          <w:sz w:val="22"/>
          <w:szCs w:val="22"/>
        </w:rPr>
        <w:t>商务技术</w:t>
      </w:r>
      <w:r>
        <w:rPr>
          <w:rFonts w:hint="eastAsia" w:ascii="新宋体" w:hAnsi="新宋体" w:eastAsia="新宋体" w:cs="新宋体"/>
          <w:b/>
          <w:bCs/>
          <w:kern w:val="0"/>
          <w:sz w:val="22"/>
          <w:szCs w:val="22"/>
        </w:rPr>
        <w:t>部分</w:t>
      </w:r>
      <w:r>
        <w:rPr>
          <w:rFonts w:ascii="新宋体" w:hAnsi="新宋体" w:eastAsia="新宋体" w:cs="新宋体"/>
          <w:b/>
          <w:bCs/>
          <w:kern w:val="0"/>
          <w:sz w:val="22"/>
          <w:szCs w:val="22"/>
        </w:rPr>
        <w:t>得分情况</w:t>
      </w:r>
      <w:r>
        <w:rPr>
          <w:rFonts w:hint="eastAsia" w:ascii="新宋体" w:hAnsi="新宋体" w:eastAsia="新宋体" w:cs="新宋体"/>
          <w:b/>
          <w:bCs/>
          <w:kern w:val="0"/>
          <w:sz w:val="22"/>
          <w:szCs w:val="22"/>
        </w:rPr>
        <w:t>。</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（2）开启通过符合性审查、商务技术文件评审有效投标人的报价文件，在“政采云平台”系统平台上公布开标一览表有关内容，同时当场制作开标记录</w:t>
      </w:r>
      <w:r>
        <w:rPr>
          <w:rFonts w:ascii="新宋体" w:hAnsi="新宋体" w:eastAsia="新宋体" w:cs="新宋体"/>
          <w:b/>
          <w:bCs/>
          <w:kern w:val="0"/>
          <w:sz w:val="22"/>
          <w:szCs w:val="22"/>
        </w:rPr>
        <w:t>。</w:t>
      </w:r>
      <w:r>
        <w:rPr>
          <w:rFonts w:hint="eastAsia" w:ascii="新宋体" w:hAnsi="新宋体" w:eastAsia="新宋体" w:cs="新宋体"/>
          <w:b/>
          <w:bCs/>
          <w:kern w:val="0"/>
          <w:sz w:val="22"/>
          <w:szCs w:val="22"/>
        </w:rPr>
        <w:t>开标</w:t>
      </w:r>
      <w:r>
        <w:rPr>
          <w:rFonts w:ascii="新宋体" w:hAnsi="新宋体" w:eastAsia="新宋体" w:cs="新宋体"/>
          <w:b/>
          <w:bCs/>
          <w:kern w:val="0"/>
          <w:sz w:val="22"/>
          <w:szCs w:val="22"/>
        </w:rPr>
        <w:t>结束后，由评标委员会对报价的合理性、准确性等进行审查核实</w:t>
      </w:r>
      <w:r>
        <w:rPr>
          <w:rFonts w:hint="eastAsia" w:ascii="新宋体" w:hAnsi="新宋体" w:eastAsia="新宋体" w:cs="新宋体"/>
          <w:b/>
          <w:bCs/>
          <w:kern w:val="0"/>
          <w:sz w:val="22"/>
          <w:szCs w:val="22"/>
        </w:rPr>
        <w:t>。</w:t>
      </w:r>
    </w:p>
    <w:p>
      <w:pPr>
        <w:tabs>
          <w:tab w:val="left" w:pos="540"/>
        </w:tabs>
        <w:spacing w:line="460" w:lineRule="exact"/>
        <w:rPr>
          <w:rFonts w:hint="eastAsia" w:ascii="新宋体" w:hAnsi="新宋体" w:eastAsia="新宋体" w:cs="新宋体"/>
          <w:b/>
          <w:bCs/>
          <w:kern w:val="0"/>
          <w:sz w:val="22"/>
          <w:szCs w:val="22"/>
        </w:rPr>
      </w:pPr>
      <w:r>
        <w:rPr>
          <w:rFonts w:hint="eastAsia" w:ascii="新宋体" w:hAnsi="新宋体" w:eastAsia="新宋体" w:cs="新宋体"/>
          <w:b/>
          <w:bCs/>
          <w:kern w:val="0"/>
          <w:sz w:val="22"/>
          <w:szCs w:val="22"/>
        </w:rPr>
        <w:t>（3）评审结束后，在“政采云平台”系统平台上公布中标（成交）候选供应商名单，及采购人最终确定中标或成交供应商名单的时间和公告方式等。</w:t>
      </w:r>
    </w:p>
    <w:p>
      <w:pPr>
        <w:tabs>
          <w:tab w:val="left" w:pos="540"/>
        </w:tabs>
        <w:spacing w:line="460" w:lineRule="exact"/>
        <w:rPr>
          <w:rFonts w:hint="eastAsia" w:ascii="新宋体" w:hAnsi="新宋体" w:eastAsia="新宋体" w:cs="新宋体"/>
          <w:b/>
          <w:bCs/>
          <w:kern w:val="0"/>
          <w:sz w:val="22"/>
          <w:szCs w:val="22"/>
          <w:highlight w:val="none"/>
        </w:rPr>
      </w:pPr>
      <w:r>
        <w:rPr>
          <w:rFonts w:hint="eastAsia" w:ascii="新宋体" w:hAnsi="新宋体" w:eastAsia="新宋体" w:cs="新宋体"/>
          <w:b/>
          <w:bCs/>
          <w:kern w:val="0"/>
          <w:sz w:val="22"/>
          <w:szCs w:val="22"/>
          <w:highlight w:val="none"/>
        </w:rPr>
        <w:t>特别说明：如遇“政采云平台”电子化开标或评审程序调整的，按调整后程序执行。</w:t>
      </w:r>
    </w:p>
    <w:p>
      <w:pPr>
        <w:tabs>
          <w:tab w:val="left" w:pos="540"/>
        </w:tabs>
        <w:spacing w:line="460" w:lineRule="exact"/>
        <w:rPr>
          <w:rFonts w:hint="eastAsia" w:ascii="新宋体" w:hAnsi="新宋体" w:eastAsia="新宋体" w:cs="新宋体"/>
          <w:b/>
          <w:bCs/>
          <w:kern w:val="0"/>
          <w:sz w:val="22"/>
          <w:szCs w:val="22"/>
        </w:rPr>
      </w:pPr>
      <w:bookmarkStart w:id="167" w:name="_Toc33194393"/>
      <w:bookmarkStart w:id="168" w:name="_Toc24550037"/>
      <w:r>
        <w:rPr>
          <w:rFonts w:hint="eastAsia" w:ascii="新宋体" w:hAnsi="新宋体" w:eastAsia="新宋体" w:cs="新宋体"/>
          <w:b/>
          <w:bCs/>
          <w:kern w:val="0"/>
          <w:sz w:val="22"/>
          <w:szCs w:val="22"/>
          <w:lang w:val="en-US" w:eastAsia="zh-CN"/>
        </w:rPr>
        <w:t>1.4</w:t>
      </w:r>
      <w:r>
        <w:rPr>
          <w:rFonts w:hint="eastAsia" w:ascii="新宋体" w:hAnsi="新宋体" w:eastAsia="新宋体" w:cs="新宋体"/>
          <w:b/>
          <w:bCs/>
          <w:kern w:val="0"/>
          <w:sz w:val="22"/>
          <w:szCs w:val="22"/>
        </w:rPr>
        <w:t>. 投标人资格审查</w:t>
      </w:r>
      <w:bookmarkEnd w:id="167"/>
      <w:bookmarkEnd w:id="168"/>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lang w:val="en-US" w:eastAsia="zh-CN"/>
        </w:rPr>
        <w:t>1.4</w:t>
      </w:r>
      <w:r>
        <w:rPr>
          <w:rFonts w:hint="eastAsia" w:ascii="新宋体" w:hAnsi="新宋体" w:eastAsia="新宋体" w:cs="新宋体"/>
          <w:bCs/>
          <w:kern w:val="0"/>
          <w:sz w:val="22"/>
          <w:szCs w:val="22"/>
        </w:rPr>
        <w:t>.1开标大会第一阶段结束后，采购人或采购代理机构首先依法对各投标人的资格进行审查，审查各投标人的资格是否满足采购文件的要求。</w:t>
      </w:r>
      <w:r>
        <w:rPr>
          <w:rFonts w:ascii="新宋体" w:hAnsi="新宋体" w:eastAsia="新宋体" w:cs="新宋体"/>
          <w:bCs/>
          <w:kern w:val="0"/>
          <w:sz w:val="22"/>
          <w:szCs w:val="22"/>
        </w:rPr>
        <w:t>采购人或采购代理机构对投标人所</w:t>
      </w:r>
      <w:r>
        <w:rPr>
          <w:rFonts w:hint="eastAsia" w:ascii="新宋体" w:hAnsi="新宋体" w:eastAsia="新宋体" w:cs="新宋体"/>
          <w:bCs/>
          <w:kern w:val="0"/>
          <w:sz w:val="22"/>
          <w:szCs w:val="22"/>
        </w:rPr>
        <w:t>提交</w:t>
      </w:r>
      <w:r>
        <w:rPr>
          <w:rFonts w:ascii="新宋体" w:hAnsi="新宋体" w:eastAsia="新宋体" w:cs="新宋体"/>
          <w:bCs/>
          <w:kern w:val="0"/>
          <w:sz w:val="22"/>
          <w:szCs w:val="22"/>
        </w:rPr>
        <w:t>的资格审查材料仅负审核的责任。如发现投标人所提</w:t>
      </w:r>
      <w:r>
        <w:rPr>
          <w:rFonts w:hint="eastAsia" w:ascii="新宋体" w:hAnsi="新宋体" w:eastAsia="新宋体" w:cs="新宋体"/>
          <w:bCs/>
          <w:kern w:val="0"/>
          <w:sz w:val="22"/>
          <w:szCs w:val="22"/>
        </w:rPr>
        <w:t>交</w:t>
      </w:r>
      <w:r>
        <w:rPr>
          <w:rFonts w:ascii="新宋体" w:hAnsi="新宋体" w:eastAsia="新宋体" w:cs="新宋体"/>
          <w:bCs/>
          <w:kern w:val="0"/>
          <w:sz w:val="22"/>
          <w:szCs w:val="22"/>
        </w:rPr>
        <w:t>的资格审查材料不合法或</w:t>
      </w:r>
      <w:r>
        <w:rPr>
          <w:rFonts w:hint="eastAsia" w:ascii="新宋体" w:hAnsi="新宋体" w:eastAsia="新宋体" w:cs="新宋体"/>
          <w:bCs/>
          <w:kern w:val="0"/>
          <w:sz w:val="22"/>
          <w:szCs w:val="22"/>
        </w:rPr>
        <w:t>与事实不符</w:t>
      </w:r>
      <w:r>
        <w:rPr>
          <w:rFonts w:ascii="新宋体" w:hAnsi="新宋体" w:eastAsia="新宋体" w:cs="新宋体"/>
          <w:bCs/>
          <w:kern w:val="0"/>
          <w:sz w:val="22"/>
          <w:szCs w:val="22"/>
        </w:rPr>
        <w:t>，采购人可取消</w:t>
      </w:r>
      <w:r>
        <w:rPr>
          <w:rFonts w:hint="eastAsia" w:ascii="新宋体" w:hAnsi="新宋体" w:eastAsia="新宋体" w:cs="新宋体"/>
          <w:bCs/>
          <w:kern w:val="0"/>
          <w:sz w:val="22"/>
          <w:szCs w:val="22"/>
        </w:rPr>
        <w:t>其</w:t>
      </w:r>
      <w:r>
        <w:rPr>
          <w:rFonts w:ascii="新宋体" w:hAnsi="新宋体" w:eastAsia="新宋体" w:cs="新宋体"/>
          <w:bCs/>
          <w:kern w:val="0"/>
          <w:sz w:val="22"/>
          <w:szCs w:val="22"/>
        </w:rPr>
        <w:t>中标资格并追究投标人的法律责任。</w:t>
      </w:r>
    </w:p>
    <w:p>
      <w:pPr>
        <w:tabs>
          <w:tab w:val="left" w:pos="540"/>
        </w:tabs>
        <w:spacing w:line="460" w:lineRule="exact"/>
        <w:rPr>
          <w:rFonts w:hint="eastAsia" w:ascii="新宋体" w:hAnsi="新宋体" w:eastAsia="新宋体" w:cs="新宋体"/>
          <w:bCs/>
          <w:kern w:val="0"/>
          <w:sz w:val="22"/>
          <w:szCs w:val="22"/>
        </w:rPr>
      </w:pPr>
      <w:r>
        <w:rPr>
          <w:rFonts w:hint="eastAsia" w:ascii="新宋体" w:hAnsi="新宋体" w:eastAsia="新宋体" w:cs="新宋体"/>
          <w:bCs/>
          <w:kern w:val="0"/>
          <w:sz w:val="22"/>
          <w:szCs w:val="22"/>
          <w:lang w:val="en-US" w:eastAsia="zh-CN"/>
        </w:rPr>
        <w:t>1.4</w:t>
      </w:r>
      <w:r>
        <w:rPr>
          <w:rFonts w:hint="eastAsia" w:ascii="新宋体" w:hAnsi="新宋体" w:eastAsia="新宋体" w:cs="新宋体"/>
          <w:bCs/>
          <w:kern w:val="0"/>
          <w:sz w:val="22"/>
          <w:szCs w:val="22"/>
        </w:rPr>
        <w:t>.2投标人提交的资格审查材料无法证明其符合采购文件规定的“投标人资格要求”的，采购人或采购代理机构将对其作资格审查不通过处理（无效投标），并不再将其投标提交评标委员会进行后续评审。</w:t>
      </w:r>
    </w:p>
    <w:p>
      <w:pPr>
        <w:tabs>
          <w:tab w:val="left" w:pos="540"/>
        </w:tabs>
        <w:spacing w:line="460" w:lineRule="exact"/>
        <w:rPr>
          <w:rFonts w:hint="eastAsia" w:hAnsi="宋体" w:eastAsia="宋体" w:cs="Arial"/>
          <w:color w:val="auto"/>
          <w:sz w:val="22"/>
          <w:szCs w:val="22"/>
        </w:rPr>
      </w:pPr>
      <w:r>
        <w:rPr>
          <w:rFonts w:hint="eastAsia" w:ascii="新宋体" w:hAnsi="新宋体" w:eastAsia="新宋体" w:cs="新宋体"/>
          <w:bCs/>
          <w:kern w:val="0"/>
          <w:sz w:val="22"/>
          <w:szCs w:val="22"/>
          <w:lang w:val="en-US" w:eastAsia="zh-CN"/>
        </w:rPr>
        <w:t>1.4</w:t>
      </w:r>
      <w:r>
        <w:rPr>
          <w:rFonts w:hint="eastAsia" w:ascii="新宋体" w:hAnsi="新宋体" w:eastAsia="新宋体" w:cs="新宋体"/>
          <w:bCs/>
          <w:kern w:val="0"/>
          <w:sz w:val="22"/>
          <w:szCs w:val="22"/>
        </w:rPr>
        <w:t>.3单位负责人为同一人或者存在直接控股、管理关系的不同供应商参加同一合同项下的政府采购活动的，相关投标人均作资格无效处理。</w:t>
      </w:r>
    </w:p>
    <w:p>
      <w:pPr>
        <w:pStyle w:val="13"/>
        <w:adjustRightInd w:val="0"/>
        <w:snapToGrid w:val="0"/>
        <w:spacing w:line="440" w:lineRule="atLeast"/>
        <w:ind w:firstLine="435" w:firstLineChars="197"/>
        <w:rPr>
          <w:rFonts w:hAnsi="宋体" w:eastAsia="宋体" w:cs="Arial"/>
          <w:color w:val="auto"/>
          <w:sz w:val="22"/>
          <w:szCs w:val="22"/>
        </w:rPr>
      </w:pPr>
      <w:r>
        <w:rPr>
          <w:rFonts w:hint="eastAsia" w:hAnsi="宋体" w:eastAsia="宋体" w:cs="Arial"/>
          <w:color w:val="auto"/>
          <w:sz w:val="22"/>
          <w:szCs w:val="22"/>
        </w:rPr>
        <w:t>2、评标</w:t>
      </w:r>
    </w:p>
    <w:p>
      <w:pPr>
        <w:pStyle w:val="13"/>
        <w:adjustRightInd w:val="0"/>
        <w:snapToGrid w:val="0"/>
        <w:spacing w:line="440" w:lineRule="atLeast"/>
        <w:ind w:firstLine="435" w:firstLineChars="197"/>
        <w:rPr>
          <w:rFonts w:hAnsi="宋体" w:eastAsia="宋体" w:cs="Arial"/>
          <w:color w:val="auto"/>
          <w:sz w:val="22"/>
          <w:szCs w:val="22"/>
        </w:rPr>
      </w:pPr>
      <w:r>
        <w:rPr>
          <w:rFonts w:hint="eastAsia" w:hAnsi="宋体" w:eastAsia="宋体" w:cs="Arial"/>
          <w:color w:val="auto"/>
          <w:sz w:val="22"/>
          <w:szCs w:val="22"/>
        </w:rPr>
        <w:t>2.1评标由采购人依法组建的评标委员会负责</w:t>
      </w:r>
      <w:r>
        <w:rPr>
          <w:rFonts w:hint="eastAsia" w:hAnsi="宋体" w:eastAsia="宋体"/>
          <w:color w:val="auto"/>
          <w:sz w:val="22"/>
          <w:szCs w:val="22"/>
        </w:rPr>
        <w:t>，并独立履行下列职责：</w:t>
      </w:r>
    </w:p>
    <w:p>
      <w:pPr>
        <w:snapToGrid w:val="0"/>
        <w:spacing w:line="440" w:lineRule="atLeast"/>
        <w:ind w:firstLine="433" w:firstLineChars="197"/>
        <w:rPr>
          <w:rFonts w:ascii="宋体" w:eastAsia="宋体"/>
          <w:b w:val="0"/>
          <w:color w:val="auto"/>
          <w:sz w:val="22"/>
          <w:szCs w:val="22"/>
        </w:rPr>
      </w:pPr>
      <w:r>
        <w:rPr>
          <w:rFonts w:hint="eastAsia" w:ascii="宋体" w:eastAsia="宋体"/>
          <w:b w:val="0"/>
          <w:color w:val="auto"/>
          <w:sz w:val="22"/>
          <w:szCs w:val="22"/>
        </w:rPr>
        <w:t>1）审查投标文件是否符合招标文件要求，并做出评价；</w:t>
      </w:r>
    </w:p>
    <w:p>
      <w:pPr>
        <w:snapToGrid w:val="0"/>
        <w:spacing w:line="440" w:lineRule="atLeast"/>
        <w:ind w:firstLine="433" w:firstLineChars="197"/>
        <w:rPr>
          <w:rFonts w:ascii="宋体" w:eastAsia="宋体"/>
          <w:b w:val="0"/>
          <w:color w:val="auto"/>
          <w:sz w:val="22"/>
          <w:szCs w:val="22"/>
        </w:rPr>
      </w:pPr>
      <w:r>
        <w:rPr>
          <w:rFonts w:hint="eastAsia" w:ascii="宋体" w:eastAsia="宋体"/>
          <w:b w:val="0"/>
          <w:color w:val="auto"/>
          <w:sz w:val="22"/>
          <w:szCs w:val="22"/>
        </w:rPr>
        <w:t>2）要求供应商对投标文件有关事项做出解释或者澄清；</w:t>
      </w:r>
    </w:p>
    <w:p>
      <w:pPr>
        <w:snapToGrid w:val="0"/>
        <w:spacing w:line="440" w:lineRule="atLeast"/>
        <w:ind w:firstLine="433" w:firstLineChars="197"/>
        <w:rPr>
          <w:rFonts w:ascii="宋体" w:eastAsia="宋体"/>
          <w:b w:val="0"/>
          <w:color w:val="auto"/>
          <w:sz w:val="22"/>
          <w:szCs w:val="22"/>
        </w:rPr>
      </w:pPr>
      <w:r>
        <w:rPr>
          <w:rFonts w:hint="eastAsia" w:ascii="宋体" w:eastAsia="宋体"/>
          <w:b w:val="0"/>
          <w:color w:val="auto"/>
          <w:sz w:val="22"/>
          <w:szCs w:val="22"/>
        </w:rPr>
        <w:t>3）按照招标文件确定的评标办法确定中标人，并对其排序；综合得分最高的供应商推荐为中标人；</w:t>
      </w:r>
    </w:p>
    <w:p>
      <w:pPr>
        <w:pStyle w:val="13"/>
        <w:adjustRightInd w:val="0"/>
        <w:snapToGrid w:val="0"/>
        <w:spacing w:line="440" w:lineRule="atLeast"/>
        <w:ind w:firstLine="433" w:firstLineChars="197"/>
        <w:rPr>
          <w:rFonts w:hAnsi="宋体" w:eastAsia="宋体"/>
          <w:b w:val="0"/>
          <w:color w:val="auto"/>
          <w:sz w:val="22"/>
          <w:szCs w:val="22"/>
        </w:rPr>
      </w:pPr>
      <w:r>
        <w:rPr>
          <w:rFonts w:hint="eastAsia" w:hAnsi="宋体" w:eastAsia="宋体"/>
          <w:b w:val="0"/>
          <w:color w:val="auto"/>
          <w:sz w:val="22"/>
          <w:szCs w:val="22"/>
        </w:rPr>
        <w:t>4）向采购人或者有关部门报告非法干预评标工作的行为。</w:t>
      </w:r>
    </w:p>
    <w:p>
      <w:pPr>
        <w:pStyle w:val="13"/>
        <w:adjustRightInd w:val="0"/>
        <w:snapToGrid w:val="0"/>
        <w:spacing w:line="440" w:lineRule="atLeast"/>
        <w:ind w:firstLine="433" w:firstLineChars="197"/>
        <w:rPr>
          <w:rFonts w:hAnsi="宋体" w:eastAsia="宋体"/>
          <w:b w:val="0"/>
          <w:color w:val="auto"/>
          <w:sz w:val="22"/>
          <w:szCs w:val="22"/>
        </w:rPr>
      </w:pPr>
      <w:r>
        <w:rPr>
          <w:rFonts w:hint="eastAsia" w:hAnsi="宋体" w:eastAsia="宋体"/>
          <w:b w:val="0"/>
          <w:color w:val="auto"/>
          <w:sz w:val="22"/>
          <w:szCs w:val="22"/>
        </w:rPr>
        <w:t>5）根据采购人的授权确定中标人名单；</w:t>
      </w:r>
    </w:p>
    <w:p>
      <w:pPr>
        <w:snapToGrid w:val="0"/>
        <w:spacing w:line="440" w:lineRule="atLeast"/>
        <w:ind w:firstLine="435" w:firstLineChars="197"/>
        <w:rPr>
          <w:rFonts w:ascii="宋体" w:eastAsia="宋体"/>
          <w:color w:val="auto"/>
          <w:sz w:val="22"/>
          <w:szCs w:val="22"/>
        </w:rPr>
      </w:pPr>
      <w:r>
        <w:rPr>
          <w:rFonts w:hint="eastAsia" w:ascii="宋体" w:eastAsia="宋体"/>
          <w:color w:val="auto"/>
          <w:sz w:val="22"/>
          <w:szCs w:val="22"/>
        </w:rPr>
        <w:t>2.2评标应当遵循下列工作程序：</w:t>
      </w:r>
    </w:p>
    <w:p>
      <w:pPr>
        <w:snapToGrid w:val="0"/>
        <w:spacing w:line="440" w:lineRule="atLeast"/>
        <w:ind w:firstLine="433" w:firstLineChars="197"/>
        <w:rPr>
          <w:rFonts w:ascii="宋体" w:eastAsia="宋体"/>
          <w:b w:val="0"/>
          <w:color w:val="auto"/>
          <w:sz w:val="22"/>
          <w:szCs w:val="22"/>
        </w:rPr>
      </w:pPr>
      <w:r>
        <w:rPr>
          <w:rFonts w:hint="eastAsia" w:ascii="宋体" w:eastAsia="宋体"/>
          <w:b w:val="0"/>
          <w:color w:val="auto"/>
          <w:sz w:val="22"/>
          <w:szCs w:val="22"/>
        </w:rPr>
        <w:t>1）投标文件初审。初审分为资格性检查和符合性检查。</w:t>
      </w:r>
    </w:p>
    <w:p>
      <w:pPr>
        <w:snapToGrid w:val="0"/>
        <w:spacing w:line="440" w:lineRule="atLeast"/>
        <w:ind w:firstLine="323" w:firstLineChars="147"/>
        <w:rPr>
          <w:rFonts w:ascii="宋体" w:eastAsia="宋体"/>
          <w:b w:val="0"/>
          <w:color w:val="auto"/>
          <w:sz w:val="22"/>
          <w:szCs w:val="22"/>
          <w:highlight w:val="none"/>
        </w:rPr>
      </w:pPr>
      <w:r>
        <w:rPr>
          <w:rFonts w:hint="eastAsia" w:ascii="宋体" w:eastAsia="宋体"/>
          <w:b w:val="0"/>
          <w:color w:val="auto"/>
          <w:sz w:val="22"/>
          <w:szCs w:val="22"/>
          <w:highlight w:val="none"/>
        </w:rPr>
        <w:t>（1)资格性检查。依据法律法规和招标文件的规定，对投标文件中的资格证明文件等进行审查，以确定供应商是否具备投标资格。</w:t>
      </w:r>
    </w:p>
    <w:p>
      <w:pPr>
        <w:snapToGrid w:val="0"/>
        <w:spacing w:line="440" w:lineRule="atLeast"/>
        <w:ind w:firstLine="323" w:firstLineChars="147"/>
        <w:rPr>
          <w:rFonts w:ascii="宋体" w:eastAsia="宋体"/>
          <w:b w:val="0"/>
          <w:color w:val="auto"/>
          <w:sz w:val="22"/>
          <w:szCs w:val="22"/>
          <w:highlight w:val="none"/>
        </w:rPr>
      </w:pPr>
      <w:r>
        <w:rPr>
          <w:rFonts w:hint="eastAsia" w:ascii="宋体" w:eastAsia="宋体"/>
          <w:b w:val="0"/>
          <w:color w:val="auto"/>
          <w:sz w:val="22"/>
          <w:szCs w:val="22"/>
          <w:highlight w:val="none"/>
        </w:rPr>
        <w:t>（2)符合性检查。依据招标文件的规定，从投标文件的有效性、完整性和对招标文件的响应程度进行审查，以确定是否对招标文件的实质性要求做出响应。</w:t>
      </w:r>
    </w:p>
    <w:p>
      <w:pPr>
        <w:spacing w:line="460" w:lineRule="exact"/>
        <w:ind w:firstLine="220" w:firstLineChars="100"/>
        <w:rPr>
          <w:rFonts w:hint="eastAsia" w:ascii="宋体" w:hAnsi="宋体" w:eastAsia="宋体" w:cs="宋体"/>
          <w:b w:val="0"/>
          <w:bCs w:val="0"/>
          <w:kern w:val="2"/>
          <w:sz w:val="22"/>
          <w:szCs w:val="22"/>
        </w:rPr>
      </w:pPr>
      <w:r>
        <w:rPr>
          <w:rFonts w:hint="eastAsia" w:ascii="宋体" w:eastAsia="宋体"/>
          <w:b w:val="0"/>
          <w:color w:val="auto"/>
          <w:sz w:val="22"/>
          <w:szCs w:val="22"/>
          <w:highlight w:val="none"/>
        </w:rPr>
        <w:t>2）澄清有关问题。</w:t>
      </w:r>
      <w:r>
        <w:rPr>
          <w:rFonts w:hint="eastAsia" w:ascii="宋体" w:hAnsi="宋体" w:eastAsia="宋体" w:cs="宋体"/>
          <w:b w:val="0"/>
          <w:bCs w:val="0"/>
          <w:kern w:val="2"/>
          <w:sz w:val="22"/>
          <w:szCs w:val="22"/>
          <w:highlight w:val="none"/>
        </w:rPr>
        <w:t>为有助于投标文件的审查、评价和比较，评</w:t>
      </w:r>
      <w:r>
        <w:rPr>
          <w:rFonts w:hint="eastAsia" w:ascii="宋体" w:hAnsi="宋体" w:eastAsia="宋体" w:cs="宋体"/>
          <w:b w:val="0"/>
          <w:bCs w:val="0"/>
          <w:kern w:val="2"/>
          <w:sz w:val="22"/>
          <w:szCs w:val="22"/>
        </w:rPr>
        <w:t>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pStyle w:val="2"/>
        <w:keepNext w:val="0"/>
        <w:keepLines w:val="0"/>
        <w:pageBreakBefore w:val="0"/>
        <w:widowControl w:val="0"/>
        <w:kinsoku/>
        <w:wordWrap/>
        <w:overflowPunct/>
        <w:topLinePunct w:val="0"/>
        <w:autoSpaceDE/>
        <w:autoSpaceDN/>
        <w:bidi w:val="0"/>
        <w:adjustRightInd/>
        <w:snapToGrid/>
        <w:spacing w:line="360" w:lineRule="auto"/>
        <w:ind w:firstLine="441"/>
        <w:textAlignment w:val="auto"/>
        <w:rPr>
          <w:rFonts w:hint="eastAsia" w:ascii="宋体" w:hAnsi="宋体" w:eastAsia="宋体" w:cs="宋体"/>
          <w:b w:val="0"/>
          <w:bCs w:val="0"/>
          <w:kern w:val="2"/>
          <w:sz w:val="22"/>
          <w:szCs w:val="22"/>
          <w:lang w:val="en-US" w:eastAsia="zh-CN"/>
        </w:rPr>
      </w:pPr>
      <w:r>
        <w:rPr>
          <w:rFonts w:hint="eastAsia" w:ascii="宋体" w:hAnsi="宋体" w:eastAsia="宋体" w:cs="宋体"/>
          <w:b w:val="0"/>
          <w:bCs w:val="0"/>
          <w:kern w:val="2"/>
          <w:sz w:val="22"/>
          <w:szCs w:val="22"/>
          <w:lang w:val="en-US" w:eastAsia="zh-CN"/>
        </w:rPr>
        <w:t>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41"/>
        <w:textAlignment w:val="auto"/>
        <w:rPr>
          <w:rFonts w:ascii="宋体" w:eastAsia="宋体" w:cs="Arial"/>
          <w:b w:val="0"/>
          <w:color w:val="auto"/>
          <w:sz w:val="22"/>
          <w:szCs w:val="22"/>
        </w:rPr>
      </w:pPr>
      <w:r>
        <w:rPr>
          <w:rFonts w:hint="eastAsia" w:ascii="宋体" w:eastAsia="宋体" w:cs="Arial"/>
          <w:b w:val="0"/>
          <w:color w:val="auto"/>
          <w:sz w:val="22"/>
          <w:szCs w:val="22"/>
        </w:rPr>
        <w:t>实质上没有响应招标文件要求的投标将被拒绝。供应商不得通过修正或撤消不合要求的偏离从而使其投标成为实质上响应的投标。</w:t>
      </w:r>
    </w:p>
    <w:p>
      <w:pPr>
        <w:snapToGrid w:val="0"/>
        <w:spacing w:line="440" w:lineRule="atLeast"/>
        <w:ind w:firstLine="433" w:firstLineChars="197"/>
        <w:rPr>
          <w:rFonts w:ascii="宋体" w:eastAsia="宋体"/>
          <w:b w:val="0"/>
          <w:color w:val="auto"/>
          <w:sz w:val="22"/>
          <w:szCs w:val="22"/>
        </w:rPr>
      </w:pPr>
      <w:r>
        <w:rPr>
          <w:rFonts w:hint="eastAsia" w:ascii="宋体" w:eastAsia="宋体" w:cs="Arial"/>
          <w:b w:val="0"/>
          <w:color w:val="auto"/>
          <w:sz w:val="22"/>
          <w:szCs w:val="22"/>
        </w:rPr>
        <w:t>评标委员会对投标文件的判定，只依据投标文件内容本身，不依靠开标后的任何外来证明。</w:t>
      </w:r>
    </w:p>
    <w:p>
      <w:pPr>
        <w:pStyle w:val="13"/>
        <w:adjustRightInd w:val="0"/>
        <w:snapToGrid w:val="0"/>
        <w:spacing w:line="440" w:lineRule="atLeast"/>
        <w:ind w:firstLine="433" w:firstLineChars="197"/>
        <w:rPr>
          <w:rFonts w:hAnsi="宋体" w:eastAsia="宋体"/>
          <w:b w:val="0"/>
          <w:color w:val="auto"/>
          <w:sz w:val="22"/>
          <w:szCs w:val="22"/>
        </w:rPr>
      </w:pPr>
      <w:r>
        <w:rPr>
          <w:rFonts w:hint="eastAsia" w:hAnsi="宋体" w:eastAsia="宋体"/>
          <w:b w:val="0"/>
          <w:color w:val="auto"/>
          <w:sz w:val="22"/>
          <w:szCs w:val="22"/>
        </w:rPr>
        <w:t>3）比较与评价。按招标文件中规定的评标方法和标准，对资格性检查和符合性检查合格的投标文件进行商务和技术评估，综合比较与评价。</w:t>
      </w:r>
    </w:p>
    <w:p>
      <w:pPr>
        <w:pStyle w:val="13"/>
        <w:adjustRightInd w:val="0"/>
        <w:snapToGrid w:val="0"/>
        <w:spacing w:line="440" w:lineRule="atLeast"/>
        <w:ind w:firstLine="433" w:firstLineChars="197"/>
        <w:rPr>
          <w:rFonts w:hAnsi="宋体" w:eastAsia="宋体"/>
          <w:b w:val="0"/>
          <w:color w:val="auto"/>
          <w:sz w:val="22"/>
          <w:szCs w:val="22"/>
        </w:rPr>
      </w:pPr>
      <w:r>
        <w:rPr>
          <w:rFonts w:hint="eastAsia" w:hAnsi="宋体" w:eastAsia="宋体"/>
          <w:b w:val="0"/>
          <w:color w:val="auto"/>
          <w:sz w:val="22"/>
          <w:szCs w:val="22"/>
        </w:rPr>
        <w:t>4）推荐中标人候选人名单，并根据采购人的授权确定中标人。</w:t>
      </w:r>
    </w:p>
    <w:p>
      <w:pPr>
        <w:pStyle w:val="13"/>
        <w:adjustRightInd w:val="0"/>
        <w:snapToGrid w:val="0"/>
        <w:spacing w:line="440" w:lineRule="atLeast"/>
        <w:ind w:firstLine="435" w:firstLineChars="197"/>
        <w:rPr>
          <w:rFonts w:hAnsi="宋体" w:eastAsia="宋体" w:cs="Arial"/>
          <w:color w:val="auto"/>
          <w:sz w:val="22"/>
          <w:szCs w:val="22"/>
          <w:u w:val="single"/>
        </w:rPr>
      </w:pPr>
      <w:r>
        <w:rPr>
          <w:rFonts w:hint="eastAsia" w:hAnsi="宋体" w:eastAsia="宋体"/>
          <w:color w:val="auto"/>
          <w:sz w:val="22"/>
          <w:szCs w:val="22"/>
        </w:rPr>
        <w:t xml:space="preserve">2.3 </w:t>
      </w:r>
      <w:r>
        <w:rPr>
          <w:rFonts w:hint="eastAsia" w:hAnsi="宋体" w:eastAsia="宋体"/>
          <w:color w:val="auto"/>
          <w:sz w:val="22"/>
          <w:szCs w:val="22"/>
          <w:u w:val="single"/>
        </w:rPr>
        <w:t>▲</w:t>
      </w:r>
      <w:r>
        <w:rPr>
          <w:rFonts w:hAnsi="宋体" w:eastAsia="宋体" w:cs="Arial"/>
          <w:color w:val="auto"/>
          <w:sz w:val="22"/>
          <w:szCs w:val="22"/>
          <w:u w:val="single"/>
        </w:rPr>
        <w:t>投标人存在下列情况之一的，投标无效:</w:t>
      </w:r>
    </w:p>
    <w:p>
      <w:pPr>
        <w:spacing w:line="460" w:lineRule="exact"/>
        <w:ind w:firstLine="420"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1）投标文件正本未按采购文件要求签署、盖章的；</w:t>
      </w:r>
    </w:p>
    <w:p>
      <w:pPr>
        <w:spacing w:line="460" w:lineRule="exact"/>
        <w:ind w:firstLine="420"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2）不具备采购文件中规定的资格要求的；</w:t>
      </w:r>
    </w:p>
    <w:p>
      <w:pPr>
        <w:spacing w:line="460" w:lineRule="exact"/>
        <w:ind w:firstLine="420"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3）报价超过采购文件中规定的预算金额或者最高限价的；</w:t>
      </w:r>
    </w:p>
    <w:p>
      <w:pPr>
        <w:spacing w:line="460" w:lineRule="exact"/>
        <w:ind w:firstLine="420"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4）投标文件含有采购人不能接受的附加条件的（包括采购文件中明确要求不得偏离的招标要求，存在负偏离的）；</w:t>
      </w:r>
    </w:p>
    <w:p>
      <w:pPr>
        <w:spacing w:line="460" w:lineRule="exact"/>
        <w:ind w:firstLine="420"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5）仅提交“备份投标文件”的；</w:t>
      </w:r>
    </w:p>
    <w:p>
      <w:pPr>
        <w:spacing w:line="460" w:lineRule="exact"/>
        <w:ind w:firstLine="420"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6）对关键条文的偏离、保留或反对，例如关于付款方式、完工期（服务期）、免费质保期、适用法律法规、标准、税费等其他内容；</w:t>
      </w:r>
    </w:p>
    <w:p>
      <w:pPr>
        <w:spacing w:line="460" w:lineRule="exact"/>
        <w:ind w:firstLine="420"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7）存在串标、抬标或弄虚作假情况的；</w:t>
      </w:r>
    </w:p>
    <w:p>
      <w:pPr>
        <w:spacing w:line="460" w:lineRule="exact"/>
        <w:ind w:firstLine="420" w:firstLineChars="190"/>
        <w:rPr>
          <w:rFonts w:hint="eastAsia" w:ascii="新宋体" w:hAnsi="新宋体" w:eastAsia="新宋体" w:cs="新宋体"/>
          <w:kern w:val="0"/>
          <w:sz w:val="22"/>
          <w:szCs w:val="22"/>
        </w:rPr>
      </w:pPr>
      <w:r>
        <w:rPr>
          <w:rFonts w:hint="eastAsia" w:ascii="新宋体" w:hAnsi="新宋体" w:eastAsia="新宋体" w:cs="新宋体"/>
          <w:kern w:val="0"/>
          <w:sz w:val="22"/>
          <w:szCs w:val="22"/>
        </w:rPr>
        <w:t>8）法律、法规和采购文件规定的其他无效情形（或出现重大偏差）。</w:t>
      </w:r>
    </w:p>
    <w:p>
      <w:pPr>
        <w:pStyle w:val="13"/>
        <w:adjustRightInd w:val="0"/>
        <w:snapToGrid w:val="0"/>
        <w:spacing w:line="440" w:lineRule="atLeast"/>
        <w:ind w:firstLine="435" w:firstLineChars="197"/>
        <w:rPr>
          <w:rFonts w:hAnsi="宋体" w:eastAsia="宋体" w:cs="Arial"/>
          <w:color w:val="auto"/>
          <w:sz w:val="22"/>
          <w:szCs w:val="22"/>
          <w:u w:val="single"/>
        </w:rPr>
      </w:pPr>
      <w:r>
        <w:rPr>
          <w:rFonts w:hint="eastAsia" w:hAnsi="宋体" w:eastAsia="宋体"/>
          <w:color w:val="auto"/>
          <w:sz w:val="22"/>
          <w:szCs w:val="22"/>
        </w:rPr>
        <w:t>2.4</w:t>
      </w:r>
      <w:r>
        <w:rPr>
          <w:rFonts w:hint="eastAsia" w:hAnsi="宋体" w:eastAsia="宋体"/>
          <w:color w:val="auto"/>
          <w:sz w:val="22"/>
          <w:szCs w:val="22"/>
          <w:u w:val="single"/>
        </w:rPr>
        <w:t>▲</w:t>
      </w:r>
      <w:r>
        <w:rPr>
          <w:rFonts w:hint="eastAsia" w:hAnsi="宋体" w:eastAsia="宋体" w:cs="Arial"/>
          <w:color w:val="auto"/>
          <w:sz w:val="22"/>
          <w:szCs w:val="22"/>
          <w:u w:val="single"/>
        </w:rPr>
        <w:t>评标委员会发现投标文件有下列情形之一的属于重大偏差(评标委员会按少数服从多数原则认定),按照无效投标处理：</w:t>
      </w:r>
    </w:p>
    <w:p>
      <w:pPr>
        <w:pStyle w:val="13"/>
        <w:adjustRightInd w:val="0"/>
        <w:snapToGrid w:val="0"/>
        <w:spacing w:line="440" w:lineRule="atLeas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1）未按招标文件要求编制或字迹模糊、辨认不清的投标文件；</w:t>
      </w:r>
    </w:p>
    <w:p>
      <w:pPr>
        <w:pStyle w:val="13"/>
        <w:adjustRightInd w:val="0"/>
        <w:snapToGrid w:val="0"/>
        <w:spacing w:line="440" w:lineRule="atLeast"/>
        <w:ind w:firstLine="435" w:firstLineChars="197"/>
        <w:rPr>
          <w:rFonts w:hAnsi="宋体" w:eastAsia="宋体" w:cs="Arial"/>
          <w:color w:val="auto"/>
          <w:sz w:val="22"/>
          <w:szCs w:val="22"/>
          <w:u w:val="single"/>
        </w:rPr>
      </w:pPr>
      <w:r>
        <w:rPr>
          <w:rFonts w:hint="eastAsia" w:hAnsi="宋体" w:eastAsia="宋体" w:cs="Arial"/>
          <w:color w:val="auto"/>
          <w:sz w:val="22"/>
          <w:szCs w:val="22"/>
          <w:u w:val="single"/>
        </w:rPr>
        <w:t>2）供应商技术资信投标文件中出现投标报价；</w:t>
      </w:r>
    </w:p>
    <w:p>
      <w:pPr>
        <w:pStyle w:val="13"/>
        <w:adjustRightInd w:val="0"/>
        <w:snapToGrid w:val="0"/>
        <w:spacing w:line="410" w:lineRule="atLeast"/>
        <w:ind w:firstLine="435" w:firstLineChars="197"/>
        <w:rPr>
          <w:rFonts w:hAnsi="宋体" w:eastAsia="宋体" w:cs="Arial"/>
          <w:color w:val="auto"/>
          <w:sz w:val="22"/>
          <w:szCs w:val="22"/>
          <w:u w:val="single"/>
        </w:rPr>
      </w:pPr>
      <w:r>
        <w:rPr>
          <w:rFonts w:hAnsi="宋体" w:eastAsia="宋体" w:cs="Arial"/>
          <w:color w:val="auto"/>
          <w:sz w:val="22"/>
          <w:szCs w:val="22"/>
          <w:u w:val="single"/>
        </w:rPr>
        <w:t>3</w:t>
      </w:r>
      <w:r>
        <w:rPr>
          <w:rFonts w:hint="eastAsia" w:hAnsi="宋体" w:eastAsia="宋体" w:cs="Arial"/>
          <w:color w:val="auto"/>
          <w:sz w:val="22"/>
          <w:szCs w:val="22"/>
          <w:u w:val="single"/>
        </w:rPr>
        <w:t>）除2.3条款以外，出现其它明显不符合技术规格、技术标准的要求或不满足招标文件技术规格书中的主要参数的投标文件；</w:t>
      </w:r>
    </w:p>
    <w:p>
      <w:pPr>
        <w:pStyle w:val="13"/>
        <w:adjustRightInd w:val="0"/>
        <w:snapToGrid w:val="0"/>
        <w:spacing w:line="410" w:lineRule="atLeast"/>
        <w:ind w:firstLine="435" w:firstLineChars="197"/>
        <w:rPr>
          <w:rFonts w:hAnsi="宋体" w:eastAsia="宋体" w:cs="Arial"/>
          <w:color w:val="auto"/>
          <w:sz w:val="22"/>
          <w:szCs w:val="22"/>
          <w:u w:val="single"/>
        </w:rPr>
      </w:pPr>
      <w:r>
        <w:rPr>
          <w:rFonts w:hAnsi="宋体" w:eastAsia="宋体" w:cs="Arial"/>
          <w:color w:val="auto"/>
          <w:sz w:val="22"/>
          <w:szCs w:val="22"/>
          <w:u w:val="single"/>
        </w:rPr>
        <w:t>4</w:t>
      </w:r>
      <w:r>
        <w:rPr>
          <w:rFonts w:hint="eastAsia" w:hAnsi="宋体" w:eastAsia="宋体" w:cs="Arial"/>
          <w:color w:val="auto"/>
          <w:sz w:val="22"/>
          <w:szCs w:val="22"/>
          <w:u w:val="single"/>
        </w:rPr>
        <w:t>）除2.3条款以外，出现投标货物数量与招标文件对比出现较大偏差；商务报价明细表计算错误，出现较大差错；</w:t>
      </w:r>
    </w:p>
    <w:p>
      <w:pPr>
        <w:pStyle w:val="13"/>
        <w:adjustRightInd w:val="0"/>
        <w:snapToGrid w:val="0"/>
        <w:spacing w:line="410" w:lineRule="atLeast"/>
        <w:ind w:firstLine="435" w:firstLineChars="197"/>
        <w:rPr>
          <w:rFonts w:hAnsi="宋体" w:eastAsia="宋体" w:cs="Arial"/>
          <w:color w:val="auto"/>
          <w:sz w:val="22"/>
          <w:szCs w:val="22"/>
          <w:u w:val="single"/>
        </w:rPr>
      </w:pPr>
      <w:r>
        <w:rPr>
          <w:rFonts w:hAnsi="宋体" w:eastAsia="宋体" w:cs="Arial"/>
          <w:color w:val="auto"/>
          <w:sz w:val="22"/>
          <w:szCs w:val="22"/>
          <w:u w:val="single"/>
        </w:rPr>
        <w:t>5</w:t>
      </w:r>
      <w:r>
        <w:rPr>
          <w:rFonts w:hint="eastAsia" w:hAnsi="宋体" w:eastAsia="宋体" w:cs="Arial"/>
          <w:color w:val="auto"/>
          <w:sz w:val="22"/>
          <w:szCs w:val="22"/>
          <w:u w:val="single"/>
        </w:rPr>
        <w:t>）除2.3条款以外，出现其它不符合招标文件中规定的实质性要求的投标文件，是否为偏离实质性要求由评标委员会认定。</w:t>
      </w:r>
    </w:p>
    <w:p>
      <w:pPr>
        <w:pStyle w:val="13"/>
        <w:adjustRightInd w:val="0"/>
        <w:snapToGrid w:val="0"/>
        <w:spacing w:line="410" w:lineRule="atLeast"/>
        <w:ind w:firstLine="435" w:firstLineChars="197"/>
        <w:rPr>
          <w:rFonts w:hAnsi="宋体" w:eastAsia="宋体" w:cs="Arial"/>
          <w:color w:val="auto"/>
          <w:sz w:val="22"/>
          <w:szCs w:val="22"/>
        </w:rPr>
      </w:pPr>
      <w:r>
        <w:rPr>
          <w:rFonts w:hAnsi="宋体" w:eastAsia="宋体" w:cs="Arial"/>
          <w:color w:val="auto"/>
          <w:sz w:val="22"/>
          <w:szCs w:val="22"/>
        </w:rPr>
        <w:t xml:space="preserve">2.5 </w:t>
      </w:r>
      <w:r>
        <w:rPr>
          <w:rFonts w:hint="eastAsia" w:hAnsi="宋体" w:eastAsia="宋体" w:cs="Arial"/>
          <w:color w:val="auto"/>
          <w:sz w:val="22"/>
          <w:szCs w:val="22"/>
        </w:rPr>
        <w:t>开启供应商商务报价文件后发现价格、数量有误，其投标价将按下述原则处理：</w:t>
      </w:r>
    </w:p>
    <w:p>
      <w:pPr>
        <w:adjustRightInd w:val="0"/>
        <w:snapToGrid w:val="0"/>
        <w:spacing w:line="410" w:lineRule="atLeast"/>
        <w:ind w:firstLine="433" w:firstLineChars="197"/>
        <w:rPr>
          <w:rFonts w:ascii="宋体" w:eastAsia="宋体"/>
          <w:b w:val="0"/>
          <w:color w:val="auto"/>
          <w:sz w:val="22"/>
        </w:rPr>
      </w:pPr>
      <w:r>
        <w:rPr>
          <w:rFonts w:ascii="宋体" w:eastAsia="宋体"/>
          <w:b w:val="0"/>
          <w:color w:val="auto"/>
          <w:sz w:val="22"/>
        </w:rPr>
        <w:t>1) 任何有漏去一些小项货物或服务的投标将被视为其费用已包含在投标总价中，投标价格不予调整。如果供应商不接受上述处理方式，将</w:t>
      </w:r>
      <w:r>
        <w:rPr>
          <w:rFonts w:hint="eastAsia" w:ascii="宋体" w:eastAsia="宋体"/>
          <w:b w:val="0"/>
          <w:color w:val="auto"/>
          <w:sz w:val="22"/>
        </w:rPr>
        <w:t>作为</w:t>
      </w:r>
      <w:r>
        <w:rPr>
          <w:rFonts w:ascii="宋体" w:eastAsia="宋体"/>
          <w:b w:val="0"/>
          <w:color w:val="auto"/>
          <w:sz w:val="22"/>
        </w:rPr>
        <w:t>无效投标。</w:t>
      </w:r>
    </w:p>
    <w:p>
      <w:pPr>
        <w:adjustRightInd w:val="0"/>
        <w:snapToGrid w:val="0"/>
        <w:spacing w:line="410" w:lineRule="atLeast"/>
        <w:ind w:firstLine="433" w:firstLineChars="197"/>
        <w:rPr>
          <w:rFonts w:ascii="宋体" w:eastAsia="宋体"/>
          <w:b w:val="0"/>
          <w:color w:val="auto"/>
          <w:sz w:val="22"/>
        </w:rPr>
      </w:pPr>
      <w:r>
        <w:rPr>
          <w:rFonts w:ascii="宋体" w:eastAsia="宋体"/>
          <w:b w:val="0"/>
          <w:color w:val="auto"/>
          <w:sz w:val="22"/>
        </w:rPr>
        <w:t>2) 任何有多报一些小项工程或货物的投标其投标价不予调整，如果该供应商中标，则合同价格必须为核减掉多报的一些小项工程或货物后的价格。如果供应商不接受上述处理方式，将</w:t>
      </w:r>
      <w:r>
        <w:rPr>
          <w:rFonts w:hint="eastAsia" w:ascii="宋体" w:eastAsia="宋体"/>
          <w:b w:val="0"/>
          <w:color w:val="auto"/>
          <w:sz w:val="22"/>
        </w:rPr>
        <w:t>作为</w:t>
      </w:r>
      <w:r>
        <w:rPr>
          <w:rFonts w:ascii="宋体" w:eastAsia="宋体"/>
          <w:b w:val="0"/>
          <w:color w:val="auto"/>
          <w:sz w:val="22"/>
        </w:rPr>
        <w:t>无效投标。</w:t>
      </w:r>
    </w:p>
    <w:p>
      <w:pPr>
        <w:adjustRightInd w:val="0"/>
        <w:snapToGrid w:val="0"/>
        <w:spacing w:line="410" w:lineRule="atLeast"/>
        <w:ind w:firstLine="433" w:firstLineChars="197"/>
        <w:rPr>
          <w:rFonts w:ascii="宋体" w:eastAsia="宋体"/>
          <w:b w:val="0"/>
          <w:color w:val="auto"/>
          <w:sz w:val="22"/>
        </w:rPr>
      </w:pPr>
      <w:r>
        <w:rPr>
          <w:rFonts w:ascii="宋体" w:eastAsia="宋体"/>
          <w:b w:val="0"/>
          <w:color w:val="auto"/>
          <w:sz w:val="22"/>
        </w:rPr>
        <w:t>3）</w:t>
      </w:r>
      <w:r>
        <w:rPr>
          <w:rFonts w:hint="eastAsia" w:ascii="宋体" w:eastAsia="宋体"/>
          <w:b w:val="0"/>
          <w:color w:val="auto"/>
          <w:sz w:val="22"/>
        </w:rPr>
        <w:t>对于计算错误的其投标价不予调整，如果该供应商中标，如其投标价格计算错误导致多报者合同价格予以据实核减，少报者合同价格不予调整。如果供应商不接受上述处理方式，将作为无效投标</w:t>
      </w:r>
      <w:r>
        <w:rPr>
          <w:rFonts w:ascii="宋体" w:eastAsia="宋体"/>
          <w:b w:val="0"/>
          <w:color w:val="auto"/>
          <w:sz w:val="22"/>
        </w:rPr>
        <w:t>。</w:t>
      </w:r>
    </w:p>
    <w:p>
      <w:pPr>
        <w:adjustRightInd w:val="0"/>
        <w:snapToGrid w:val="0"/>
        <w:spacing w:line="410" w:lineRule="atLeast"/>
        <w:ind w:firstLine="433" w:firstLineChars="197"/>
        <w:rPr>
          <w:rFonts w:ascii="宋体" w:eastAsia="宋体"/>
          <w:color w:val="auto"/>
          <w:sz w:val="22"/>
          <w:u w:val="single"/>
        </w:rPr>
      </w:pPr>
      <w:r>
        <w:rPr>
          <w:rFonts w:ascii="宋体" w:eastAsia="宋体"/>
          <w:b w:val="0"/>
          <w:color w:val="auto"/>
          <w:sz w:val="22"/>
          <w:u w:val="single"/>
        </w:rPr>
        <w:t>4）对于计算错误，多报或漏报的一些小项工程或货物、服务的仅仅为非实质性重大偏差范围内的偏离，并经过评标委员会按少数服从多数原则认定为细微偏差，评审时其投标价不予调整。</w:t>
      </w:r>
      <w:r>
        <w:rPr>
          <w:rFonts w:hint="eastAsia" w:ascii="宋体" w:eastAsia="宋体"/>
          <w:color w:val="auto"/>
          <w:sz w:val="22"/>
          <w:u w:val="single"/>
        </w:rPr>
        <w:t>如认定为重大偏差的，做无效投标处理。</w:t>
      </w:r>
    </w:p>
    <w:p>
      <w:pPr>
        <w:adjustRightInd w:val="0"/>
        <w:snapToGrid w:val="0"/>
        <w:spacing w:line="410" w:lineRule="atLeast"/>
        <w:ind w:firstLine="435" w:firstLineChars="197"/>
        <w:rPr>
          <w:rFonts w:ascii="宋体" w:eastAsia="宋体" w:cs="Arial"/>
          <w:b w:val="0"/>
          <w:color w:val="auto"/>
          <w:sz w:val="22"/>
          <w:szCs w:val="22"/>
        </w:rPr>
      </w:pPr>
      <w:r>
        <w:rPr>
          <w:rFonts w:ascii="宋体" w:eastAsia="宋体"/>
          <w:color w:val="auto"/>
          <w:sz w:val="22"/>
          <w:u w:val="single"/>
        </w:rPr>
        <w:t xml:space="preserve">2.6 </w:t>
      </w:r>
      <w:r>
        <w:rPr>
          <w:rFonts w:hint="eastAsia" w:ascii="宋体" w:eastAsia="宋体"/>
          <w:color w:val="auto"/>
          <w:sz w:val="22"/>
          <w:u w:val="single"/>
        </w:rPr>
        <w:t>▲</w:t>
      </w:r>
      <w:r>
        <w:rPr>
          <w:rFonts w:ascii="宋体" w:eastAsia="宋体"/>
          <w:color w:val="auto"/>
          <w:sz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adjustRightInd w:val="0"/>
        <w:snapToGrid w:val="0"/>
        <w:spacing w:line="410" w:lineRule="atLeast"/>
        <w:ind w:firstLine="433" w:firstLineChars="197"/>
        <w:rPr>
          <w:rFonts w:hAnsi="宋体" w:eastAsia="宋体"/>
          <w:b w:val="0"/>
          <w:color w:val="auto"/>
          <w:sz w:val="22"/>
          <w:szCs w:val="22"/>
        </w:rPr>
      </w:pPr>
      <w:r>
        <w:rPr>
          <w:rFonts w:hint="eastAsia" w:hAnsi="宋体" w:eastAsia="宋体" w:cs="Arial"/>
          <w:b w:val="0"/>
          <w:color w:val="auto"/>
          <w:sz w:val="22"/>
          <w:szCs w:val="22"/>
        </w:rPr>
        <w:t>2.7 评标委员会</w:t>
      </w:r>
      <w:r>
        <w:rPr>
          <w:rFonts w:hint="eastAsia" w:hAnsi="宋体" w:eastAsia="宋体"/>
          <w:b w:val="0"/>
          <w:color w:val="auto"/>
          <w:sz w:val="22"/>
          <w:szCs w:val="22"/>
        </w:rPr>
        <w:t>在评标中，不得改变招标文件中规定的评标标准、方法和中标条件。</w:t>
      </w:r>
    </w:p>
    <w:p>
      <w:pPr>
        <w:pStyle w:val="13"/>
        <w:adjustRightInd w:val="0"/>
        <w:snapToGrid w:val="0"/>
        <w:spacing w:line="410" w:lineRule="atLeast"/>
        <w:ind w:firstLine="435" w:firstLineChars="197"/>
        <w:rPr>
          <w:rFonts w:hAnsi="宋体" w:eastAsia="宋体"/>
          <w:color w:val="auto"/>
          <w:sz w:val="22"/>
          <w:szCs w:val="22"/>
          <w:u w:val="single"/>
        </w:rPr>
      </w:pPr>
      <w:r>
        <w:rPr>
          <w:rFonts w:hint="eastAsia" w:hAnsi="宋体" w:eastAsia="宋体"/>
          <w:color w:val="auto"/>
          <w:sz w:val="22"/>
          <w:szCs w:val="22"/>
          <w:u w:val="single"/>
        </w:rPr>
        <w:t>2.8 评标时如遇到招标文件未规定的特殊情况，由评标委员会按少数服从多数原则集体决定处理。</w:t>
      </w:r>
    </w:p>
    <w:p>
      <w:pPr>
        <w:pStyle w:val="13"/>
        <w:adjustRightInd w:val="0"/>
        <w:snapToGrid w:val="0"/>
        <w:spacing w:line="410" w:lineRule="atLeast"/>
        <w:ind w:firstLine="435" w:firstLineChars="197"/>
        <w:rPr>
          <w:rFonts w:hAnsi="宋体" w:eastAsia="宋体"/>
          <w:color w:val="auto"/>
          <w:sz w:val="22"/>
          <w:szCs w:val="22"/>
          <w:u w:val="single"/>
        </w:rPr>
      </w:pPr>
      <w:r>
        <w:rPr>
          <w:rFonts w:hint="eastAsia" w:hAnsi="宋体" w:eastAsia="宋体"/>
          <w:color w:val="auto"/>
          <w:sz w:val="22"/>
          <w:szCs w:val="22"/>
          <w:u w:val="single"/>
        </w:rPr>
        <w:t>2.9评标委员会对未中标的供应商不作解释。同时根据政府采购法实施条例第四十条规定，本项目不对供应商公布详细的评审情况，不公布具体评标细则中小项得分。</w:t>
      </w:r>
    </w:p>
    <w:p>
      <w:pPr>
        <w:pStyle w:val="13"/>
        <w:adjustRightInd w:val="0"/>
        <w:snapToGrid w:val="0"/>
        <w:spacing w:line="410" w:lineRule="atLeast"/>
        <w:ind w:firstLine="433" w:firstLineChars="197"/>
        <w:rPr>
          <w:rFonts w:hAnsi="宋体" w:eastAsia="宋体" w:cs="Arial"/>
          <w:b w:val="0"/>
          <w:color w:val="auto"/>
          <w:sz w:val="22"/>
          <w:szCs w:val="22"/>
        </w:rPr>
      </w:pPr>
      <w:r>
        <w:rPr>
          <w:rFonts w:hint="eastAsia" w:hAnsi="宋体" w:eastAsia="宋体" w:cs="Arial"/>
          <w:b w:val="0"/>
          <w:color w:val="auto"/>
          <w:sz w:val="22"/>
          <w:szCs w:val="22"/>
        </w:rPr>
        <w:t>3、投标文件的澄清</w:t>
      </w:r>
    </w:p>
    <w:p>
      <w:pPr>
        <w:adjustRightInd w:val="0"/>
        <w:snapToGrid w:val="0"/>
        <w:spacing w:line="410" w:lineRule="atLeast"/>
        <w:ind w:firstLine="433" w:firstLineChars="197"/>
        <w:rPr>
          <w:rFonts w:hint="eastAsia" w:ascii="宋体" w:eastAsia="宋体" w:cs="Arial"/>
          <w:b w:val="0"/>
          <w:color w:val="auto"/>
          <w:sz w:val="22"/>
          <w:szCs w:val="22"/>
        </w:rPr>
      </w:pPr>
      <w:r>
        <w:rPr>
          <w:rFonts w:hint="eastAsia" w:ascii="宋体" w:eastAsia="宋体" w:cs="Arial"/>
          <w:b w:val="0"/>
          <w:color w:val="auto"/>
          <w:sz w:val="22"/>
          <w:szCs w:val="22"/>
        </w:rPr>
        <w:t>3.1 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adjustRightInd w:val="0"/>
        <w:snapToGrid w:val="0"/>
        <w:spacing w:line="410" w:lineRule="atLeast"/>
        <w:ind w:firstLine="433" w:firstLineChars="197"/>
        <w:rPr>
          <w:rFonts w:ascii="宋体" w:eastAsia="宋体" w:cs="Arial"/>
          <w:b w:val="0"/>
          <w:color w:val="auto"/>
          <w:sz w:val="22"/>
          <w:szCs w:val="22"/>
        </w:rPr>
      </w:pPr>
      <w:r>
        <w:rPr>
          <w:rFonts w:hint="eastAsia" w:ascii="宋体" w:eastAsia="宋体" w:cs="Arial"/>
          <w:b w:val="0"/>
          <w:color w:val="auto"/>
          <w:sz w:val="22"/>
          <w:szCs w:val="22"/>
        </w:rPr>
        <w:t xml:space="preserve">3.2 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 </w:t>
      </w:r>
    </w:p>
    <w:p>
      <w:pPr>
        <w:adjustRightInd w:val="0"/>
        <w:snapToGrid w:val="0"/>
        <w:spacing w:line="410" w:lineRule="atLeast"/>
        <w:ind w:left="414" w:leftChars="197"/>
        <w:rPr>
          <w:rFonts w:ascii="宋体" w:eastAsia="宋体" w:cs="Arial"/>
          <w:b w:val="0"/>
          <w:color w:val="auto"/>
          <w:sz w:val="22"/>
          <w:szCs w:val="22"/>
        </w:rPr>
      </w:pPr>
      <w:r>
        <w:rPr>
          <w:rFonts w:hint="eastAsia" w:ascii="宋体" w:eastAsia="宋体" w:cs="Arial"/>
          <w:b w:val="0"/>
          <w:color w:val="auto"/>
          <w:sz w:val="22"/>
          <w:szCs w:val="22"/>
        </w:rPr>
        <w:t>4、禁止供应商相互串通投标。</w:t>
      </w:r>
      <w:r>
        <w:rPr>
          <w:rFonts w:hint="eastAsia" w:ascii="宋体" w:eastAsia="宋体" w:cs="Arial"/>
          <w:b w:val="0"/>
          <w:color w:val="auto"/>
          <w:sz w:val="22"/>
          <w:szCs w:val="22"/>
        </w:rPr>
        <w:br w:type="textWrapping"/>
      </w:r>
      <w:r>
        <w:rPr>
          <w:rFonts w:hint="eastAsia" w:ascii="宋体" w:eastAsia="宋体" w:cs="Arial"/>
          <w:b w:val="0"/>
          <w:color w:val="auto"/>
          <w:sz w:val="22"/>
          <w:szCs w:val="22"/>
        </w:rPr>
        <w:t>4</w:t>
      </w:r>
      <w:r>
        <w:rPr>
          <w:rFonts w:ascii="宋体" w:eastAsia="宋体" w:cs="Arial"/>
          <w:b w:val="0"/>
          <w:color w:val="auto"/>
          <w:sz w:val="22"/>
          <w:szCs w:val="22"/>
        </w:rPr>
        <w:t>.1、</w:t>
      </w:r>
      <w:r>
        <w:rPr>
          <w:rFonts w:hint="eastAsia" w:ascii="宋体" w:eastAsia="宋体" w:cs="Arial"/>
          <w:b w:val="0"/>
          <w:color w:val="auto"/>
          <w:sz w:val="22"/>
          <w:szCs w:val="22"/>
        </w:rPr>
        <w:t>有下列情形之一的，视为供应商相互串通投标：</w:t>
      </w:r>
      <w:r>
        <w:rPr>
          <w:rFonts w:hint="eastAsia" w:ascii="宋体" w:eastAsia="宋体" w:cs="Arial"/>
          <w:b w:val="0"/>
          <w:color w:val="auto"/>
          <w:sz w:val="22"/>
          <w:szCs w:val="22"/>
        </w:rPr>
        <w:br w:type="textWrapping"/>
      </w:r>
      <w:r>
        <w:rPr>
          <w:rFonts w:hint="eastAsia" w:ascii="宋体" w:eastAsia="宋体" w:cs="Arial"/>
          <w:b w:val="0"/>
          <w:color w:val="auto"/>
          <w:sz w:val="22"/>
          <w:szCs w:val="22"/>
        </w:rPr>
        <w:t>（一）不同供应商的投标文件由同一单位或者个人编制；</w:t>
      </w:r>
      <w:r>
        <w:rPr>
          <w:rFonts w:hint="eastAsia" w:ascii="宋体" w:eastAsia="宋体" w:cs="Arial"/>
          <w:b w:val="0"/>
          <w:color w:val="auto"/>
          <w:sz w:val="22"/>
          <w:szCs w:val="22"/>
        </w:rPr>
        <w:br w:type="textWrapping"/>
      </w:r>
      <w:r>
        <w:rPr>
          <w:rFonts w:hint="eastAsia" w:ascii="宋体" w:eastAsia="宋体" w:cs="Arial"/>
          <w:b w:val="0"/>
          <w:color w:val="auto"/>
          <w:sz w:val="22"/>
          <w:szCs w:val="22"/>
        </w:rPr>
        <w:t>（二）不同供应商委托同一单位或者个人办理投标事宜；</w:t>
      </w:r>
      <w:r>
        <w:rPr>
          <w:rFonts w:hint="eastAsia" w:ascii="宋体" w:eastAsia="宋体" w:cs="Arial"/>
          <w:b w:val="0"/>
          <w:color w:val="auto"/>
          <w:sz w:val="22"/>
          <w:szCs w:val="22"/>
        </w:rPr>
        <w:br w:type="textWrapping"/>
      </w:r>
      <w:r>
        <w:rPr>
          <w:rFonts w:hint="eastAsia" w:ascii="宋体" w:eastAsia="宋体" w:cs="Arial"/>
          <w:b w:val="0"/>
          <w:color w:val="auto"/>
          <w:sz w:val="22"/>
          <w:szCs w:val="22"/>
        </w:rPr>
        <w:t>（三）不同供应商的投标文件载明的项目管理成员为同一人；</w:t>
      </w:r>
      <w:r>
        <w:rPr>
          <w:rFonts w:hint="eastAsia" w:ascii="宋体" w:eastAsia="宋体" w:cs="Arial"/>
          <w:b w:val="0"/>
          <w:color w:val="auto"/>
          <w:sz w:val="22"/>
          <w:szCs w:val="22"/>
        </w:rPr>
        <w:br w:type="textWrapping"/>
      </w:r>
      <w:r>
        <w:rPr>
          <w:rFonts w:hint="eastAsia" w:ascii="宋体" w:eastAsia="宋体" w:cs="Arial"/>
          <w:b w:val="0"/>
          <w:color w:val="auto"/>
          <w:sz w:val="22"/>
          <w:szCs w:val="22"/>
        </w:rPr>
        <w:t>（四）不同供应商的投标文件异常一致或者投标报价呈规律性差异；</w:t>
      </w:r>
      <w:r>
        <w:rPr>
          <w:rFonts w:hint="eastAsia" w:ascii="宋体" w:eastAsia="宋体" w:cs="Arial"/>
          <w:b w:val="0"/>
          <w:color w:val="auto"/>
          <w:sz w:val="22"/>
          <w:szCs w:val="22"/>
        </w:rPr>
        <w:br w:type="textWrapping"/>
      </w:r>
      <w:r>
        <w:rPr>
          <w:rFonts w:hint="eastAsia" w:ascii="宋体" w:eastAsia="宋体" w:cs="Arial"/>
          <w:b w:val="0"/>
          <w:color w:val="auto"/>
          <w:sz w:val="22"/>
          <w:szCs w:val="22"/>
        </w:rPr>
        <w:t>（五）不同供应商的投标文件相互混装；</w:t>
      </w:r>
    </w:p>
    <w:p>
      <w:pPr>
        <w:adjustRightInd w:val="0"/>
        <w:snapToGrid w:val="0"/>
        <w:spacing w:line="410" w:lineRule="atLeast"/>
        <w:ind w:left="414" w:leftChars="197"/>
        <w:rPr>
          <w:rFonts w:ascii="宋体" w:eastAsia="宋体"/>
          <w:b w:val="0"/>
          <w:color w:val="auto"/>
          <w:sz w:val="22"/>
          <w:szCs w:val="22"/>
        </w:rPr>
      </w:pPr>
      <w:r>
        <w:rPr>
          <w:rFonts w:hint="eastAsia" w:ascii="宋体" w:eastAsia="宋体" w:cs="Arial"/>
          <w:b w:val="0"/>
          <w:color w:val="auto"/>
          <w:sz w:val="22"/>
          <w:szCs w:val="22"/>
        </w:rPr>
        <w:t>4.2、经评标委员会认定供应商进行串通投标的，评标委员会可以对相关供应商做出无效投标处理，并上报政府采购管理部门进行进一步处理。</w:t>
      </w:r>
    </w:p>
    <w:p>
      <w:pPr>
        <w:pStyle w:val="13"/>
        <w:adjustRightInd w:val="0"/>
        <w:snapToGrid w:val="0"/>
        <w:spacing w:line="410" w:lineRule="atLeast"/>
        <w:ind w:firstLine="433" w:firstLineChars="197"/>
        <w:rPr>
          <w:rFonts w:hAnsi="宋体" w:eastAsia="宋体" w:cs="Arial"/>
          <w:b w:val="0"/>
          <w:color w:val="auto"/>
          <w:sz w:val="22"/>
          <w:szCs w:val="22"/>
        </w:rPr>
      </w:pPr>
      <w:r>
        <w:rPr>
          <w:rFonts w:hint="eastAsia" w:hAnsi="宋体" w:eastAsia="宋体" w:cs="Arial"/>
          <w:b w:val="0"/>
          <w:color w:val="auto"/>
          <w:sz w:val="22"/>
          <w:szCs w:val="22"/>
        </w:rPr>
        <w:t>5、评标原则</w:t>
      </w:r>
    </w:p>
    <w:p>
      <w:pPr>
        <w:pStyle w:val="13"/>
        <w:adjustRightInd w:val="0"/>
        <w:snapToGrid w:val="0"/>
        <w:spacing w:line="410" w:lineRule="atLeast"/>
        <w:ind w:firstLine="435" w:firstLineChars="197"/>
        <w:rPr>
          <w:rFonts w:hAnsi="宋体" w:eastAsia="宋体" w:cs="Arial"/>
          <w:color w:val="auto"/>
          <w:sz w:val="22"/>
          <w:szCs w:val="22"/>
        </w:rPr>
      </w:pPr>
      <w:r>
        <w:rPr>
          <w:rFonts w:hint="eastAsia" w:hAnsi="宋体" w:eastAsia="宋体" w:cs="Arial"/>
          <w:color w:val="auto"/>
          <w:sz w:val="22"/>
          <w:szCs w:val="22"/>
        </w:rPr>
        <w:t>▲投标截止时或评审过程中有效投标供应商不足三家的，不予开标或评标。</w:t>
      </w:r>
    </w:p>
    <w:p>
      <w:pPr>
        <w:pStyle w:val="13"/>
        <w:adjustRightInd w:val="0"/>
        <w:snapToGrid w:val="0"/>
        <w:spacing w:line="410" w:lineRule="atLeast"/>
        <w:ind w:firstLine="433" w:firstLineChars="197"/>
        <w:rPr>
          <w:rFonts w:hAnsi="宋体" w:eastAsia="宋体" w:cs="Arial"/>
          <w:b w:val="0"/>
          <w:color w:val="auto"/>
          <w:sz w:val="22"/>
          <w:szCs w:val="22"/>
        </w:rPr>
      </w:pPr>
      <w:r>
        <w:rPr>
          <w:rFonts w:hint="eastAsia" w:hAnsi="宋体" w:eastAsia="宋体" w:cs="Arial"/>
          <w:b w:val="0"/>
          <w:color w:val="auto"/>
          <w:sz w:val="22"/>
          <w:szCs w:val="22"/>
        </w:rPr>
        <w:t>评标委员会按照招标文件的要求和条件对投标文件进行商务和技术评估，综合比较与评价。</w:t>
      </w:r>
    </w:p>
    <w:p>
      <w:pPr>
        <w:pStyle w:val="13"/>
        <w:adjustRightInd w:val="0"/>
        <w:snapToGrid w:val="0"/>
        <w:spacing w:line="410" w:lineRule="atLeast"/>
        <w:ind w:firstLine="433" w:firstLineChars="197"/>
        <w:rPr>
          <w:rFonts w:hint="eastAsia" w:hAnsi="宋体" w:eastAsia="宋体" w:cs="Arial"/>
          <w:b w:val="0"/>
          <w:color w:val="auto"/>
          <w:sz w:val="22"/>
          <w:szCs w:val="22"/>
        </w:rPr>
      </w:pPr>
      <w:r>
        <w:rPr>
          <w:rFonts w:hint="eastAsia" w:hAnsi="宋体" w:eastAsia="宋体" w:cs="Arial"/>
          <w:b w:val="0"/>
          <w:color w:val="auto"/>
          <w:sz w:val="22"/>
          <w:szCs w:val="22"/>
        </w:rPr>
        <w:t>评标办法具体见本招标文件。</w:t>
      </w:r>
    </w:p>
    <w:p>
      <w:pPr>
        <w:spacing w:line="460" w:lineRule="exact"/>
        <w:ind w:firstLine="220" w:firstLineChars="100"/>
        <w:rPr>
          <w:rFonts w:hint="eastAsia" w:ascii="宋体" w:hAnsi="宋体" w:eastAsia="宋体" w:cs="Arial"/>
          <w:b w:val="0"/>
          <w:color w:val="auto"/>
          <w:sz w:val="22"/>
          <w:szCs w:val="22"/>
          <w:lang w:val="en-US" w:eastAsia="zh-CN" w:bidi="ar-SA"/>
        </w:rPr>
      </w:pPr>
      <w:r>
        <w:rPr>
          <w:rFonts w:hint="eastAsia" w:ascii="宋体" w:hAnsi="宋体" w:eastAsia="宋体" w:cs="Arial"/>
          <w:b w:val="0"/>
          <w:color w:val="auto"/>
          <w:sz w:val="22"/>
          <w:szCs w:val="22"/>
          <w:lang w:val="en-US" w:eastAsia="zh-CN" w:bidi="ar-SA"/>
        </w:rPr>
        <w:t>6、可中止电子交易活动的情形</w:t>
      </w:r>
    </w:p>
    <w:p>
      <w:pPr>
        <w:spacing w:line="460" w:lineRule="exact"/>
        <w:ind w:firstLine="220" w:firstLineChars="100"/>
        <w:rPr>
          <w:rFonts w:ascii="新宋体" w:hAnsi="新宋体" w:eastAsia="新宋体" w:cs="新宋体"/>
          <w:b w:val="0"/>
          <w:bCs/>
          <w:kern w:val="0"/>
          <w:sz w:val="22"/>
          <w:szCs w:val="22"/>
        </w:rPr>
      </w:pPr>
      <w:r>
        <w:rPr>
          <w:rFonts w:hint="eastAsia" w:ascii="新宋体" w:hAnsi="新宋体" w:eastAsia="新宋体" w:cs="新宋体"/>
          <w:b w:val="0"/>
          <w:bCs/>
          <w:kern w:val="0"/>
          <w:sz w:val="22"/>
          <w:szCs w:val="22"/>
          <w:lang w:val="en-US" w:eastAsia="zh-CN"/>
        </w:rPr>
        <w:t>6</w:t>
      </w:r>
      <w:r>
        <w:rPr>
          <w:rFonts w:hint="eastAsia" w:ascii="新宋体" w:hAnsi="新宋体" w:eastAsia="新宋体" w:cs="新宋体"/>
          <w:b w:val="0"/>
          <w:bCs/>
          <w:kern w:val="0"/>
          <w:sz w:val="22"/>
          <w:szCs w:val="22"/>
        </w:rPr>
        <w:t>.1采购过程中出现以下情形，导致电子交易平台无法正常运行，或者无法保证电子交易的公平、公正和安全时，采购组织机构可中止电子交易活动：</w:t>
      </w:r>
    </w:p>
    <w:p>
      <w:pPr>
        <w:numPr>
          <w:ilvl w:val="2"/>
          <w:numId w:val="16"/>
        </w:numPr>
        <w:tabs>
          <w:tab w:val="left" w:pos="993"/>
        </w:tabs>
        <w:spacing w:line="460" w:lineRule="exact"/>
        <w:ind w:left="993" w:hanging="426"/>
        <w:rPr>
          <w:rFonts w:ascii="新宋体" w:hAnsi="新宋体" w:eastAsia="新宋体" w:cs="新宋体"/>
          <w:b w:val="0"/>
          <w:bCs/>
          <w:kern w:val="0"/>
          <w:sz w:val="22"/>
          <w:szCs w:val="22"/>
        </w:rPr>
      </w:pPr>
      <w:r>
        <w:rPr>
          <w:rFonts w:hint="eastAsia" w:ascii="新宋体" w:hAnsi="新宋体" w:eastAsia="新宋体" w:cs="新宋体"/>
          <w:b w:val="0"/>
          <w:bCs/>
          <w:kern w:val="0"/>
          <w:sz w:val="22"/>
          <w:szCs w:val="22"/>
        </w:rPr>
        <w:t>电子交易平台发生故障而无法登录访问的；</w:t>
      </w:r>
    </w:p>
    <w:p>
      <w:pPr>
        <w:numPr>
          <w:ilvl w:val="2"/>
          <w:numId w:val="16"/>
        </w:numPr>
        <w:tabs>
          <w:tab w:val="left" w:pos="993"/>
        </w:tabs>
        <w:spacing w:line="460" w:lineRule="exact"/>
        <w:ind w:left="993" w:hanging="426"/>
        <w:rPr>
          <w:rFonts w:ascii="新宋体" w:hAnsi="新宋体" w:eastAsia="新宋体" w:cs="新宋体"/>
          <w:b w:val="0"/>
          <w:bCs/>
          <w:kern w:val="0"/>
          <w:sz w:val="22"/>
          <w:szCs w:val="22"/>
        </w:rPr>
      </w:pPr>
      <w:r>
        <w:rPr>
          <w:rFonts w:hint="eastAsia" w:ascii="新宋体" w:hAnsi="新宋体" w:eastAsia="新宋体" w:cs="新宋体"/>
          <w:b w:val="0"/>
          <w:bCs/>
          <w:kern w:val="0"/>
          <w:sz w:val="22"/>
          <w:szCs w:val="22"/>
        </w:rPr>
        <w:t>电子交易平台应用或数据库出现错误，不能进行正常操作的；</w:t>
      </w:r>
    </w:p>
    <w:p>
      <w:pPr>
        <w:numPr>
          <w:ilvl w:val="2"/>
          <w:numId w:val="16"/>
        </w:numPr>
        <w:tabs>
          <w:tab w:val="left" w:pos="993"/>
        </w:tabs>
        <w:spacing w:line="460" w:lineRule="exact"/>
        <w:ind w:left="993" w:hanging="426"/>
        <w:rPr>
          <w:rFonts w:ascii="新宋体" w:hAnsi="新宋体" w:eastAsia="新宋体" w:cs="新宋体"/>
          <w:b w:val="0"/>
          <w:bCs/>
          <w:kern w:val="0"/>
          <w:sz w:val="22"/>
          <w:szCs w:val="22"/>
        </w:rPr>
      </w:pPr>
      <w:r>
        <w:rPr>
          <w:rFonts w:hint="eastAsia" w:ascii="新宋体" w:hAnsi="新宋体" w:eastAsia="新宋体" w:cs="新宋体"/>
          <w:b w:val="0"/>
          <w:bCs/>
          <w:kern w:val="0"/>
          <w:sz w:val="22"/>
          <w:szCs w:val="22"/>
        </w:rPr>
        <w:t>电子交易平台发现严重安全漏洞，有潜在泄密危险的；</w:t>
      </w:r>
    </w:p>
    <w:p>
      <w:pPr>
        <w:numPr>
          <w:ilvl w:val="2"/>
          <w:numId w:val="16"/>
        </w:numPr>
        <w:tabs>
          <w:tab w:val="left" w:pos="993"/>
        </w:tabs>
        <w:spacing w:line="460" w:lineRule="exact"/>
        <w:ind w:left="993" w:hanging="426"/>
        <w:rPr>
          <w:rFonts w:ascii="新宋体" w:hAnsi="新宋体" w:eastAsia="新宋体" w:cs="新宋体"/>
          <w:b w:val="0"/>
          <w:bCs/>
          <w:kern w:val="0"/>
          <w:sz w:val="22"/>
          <w:szCs w:val="22"/>
        </w:rPr>
      </w:pPr>
      <w:r>
        <w:rPr>
          <w:rFonts w:hint="eastAsia" w:ascii="新宋体" w:hAnsi="新宋体" w:eastAsia="新宋体" w:cs="新宋体"/>
          <w:b w:val="0"/>
          <w:bCs/>
          <w:kern w:val="0"/>
          <w:sz w:val="22"/>
          <w:szCs w:val="22"/>
        </w:rPr>
        <w:t>病毒发作导致不能进行正常操作的；</w:t>
      </w:r>
    </w:p>
    <w:p>
      <w:pPr>
        <w:numPr>
          <w:ilvl w:val="2"/>
          <w:numId w:val="16"/>
        </w:numPr>
        <w:tabs>
          <w:tab w:val="left" w:pos="993"/>
        </w:tabs>
        <w:spacing w:line="460" w:lineRule="exact"/>
        <w:ind w:left="993" w:hanging="426"/>
        <w:rPr>
          <w:rFonts w:ascii="新宋体" w:hAnsi="新宋体" w:eastAsia="新宋体" w:cs="新宋体"/>
          <w:b w:val="0"/>
          <w:bCs/>
          <w:kern w:val="0"/>
          <w:sz w:val="22"/>
          <w:szCs w:val="22"/>
        </w:rPr>
      </w:pPr>
      <w:r>
        <w:rPr>
          <w:rFonts w:hint="eastAsia" w:ascii="新宋体" w:hAnsi="新宋体" w:eastAsia="新宋体" w:cs="新宋体"/>
          <w:b w:val="0"/>
          <w:bCs/>
          <w:kern w:val="0"/>
          <w:sz w:val="22"/>
          <w:szCs w:val="22"/>
        </w:rPr>
        <w:t>其他无法保证电子交易的公平、公正和安全的情况。</w:t>
      </w:r>
    </w:p>
    <w:p>
      <w:pPr>
        <w:spacing w:line="460" w:lineRule="exact"/>
        <w:rPr>
          <w:rFonts w:hint="eastAsia" w:hAnsi="宋体" w:eastAsia="宋体" w:cs="Arial"/>
          <w:b w:val="0"/>
          <w:color w:val="auto"/>
          <w:sz w:val="22"/>
          <w:szCs w:val="22"/>
        </w:rPr>
      </w:pPr>
      <w:r>
        <w:rPr>
          <w:rFonts w:hint="eastAsia" w:ascii="新宋体" w:hAnsi="新宋体" w:eastAsia="新宋体" w:cs="新宋体"/>
          <w:b w:val="0"/>
          <w:bCs/>
          <w:kern w:val="0"/>
          <w:sz w:val="22"/>
          <w:szCs w:val="22"/>
          <w:lang w:val="en-US" w:eastAsia="zh-CN"/>
        </w:rPr>
        <w:t>6</w:t>
      </w:r>
      <w:r>
        <w:rPr>
          <w:rFonts w:hint="eastAsia" w:ascii="新宋体" w:hAnsi="新宋体" w:eastAsia="新宋体" w:cs="新宋体"/>
          <w:b w:val="0"/>
          <w:bCs/>
          <w:kern w:val="0"/>
          <w:sz w:val="22"/>
          <w:szCs w:val="22"/>
        </w:rPr>
        <w:t>.2出现前款规定情形，不影响采购公平、公正性的，采购组织机构可以待上述情形消除后继续组织电子交易活动；影响或可能影响采购公平、公正性的，应当重新采购。</w:t>
      </w:r>
    </w:p>
    <w:p>
      <w:pPr>
        <w:pStyle w:val="13"/>
        <w:adjustRightInd w:val="0"/>
        <w:snapToGrid w:val="0"/>
        <w:spacing w:line="410" w:lineRule="atLeast"/>
        <w:ind w:firstLine="435" w:firstLineChars="197"/>
        <w:outlineLvl w:val="0"/>
        <w:rPr>
          <w:rFonts w:hAnsi="宋体" w:eastAsia="宋体"/>
          <w:color w:val="auto"/>
          <w:sz w:val="22"/>
          <w:szCs w:val="22"/>
        </w:rPr>
      </w:pPr>
      <w:bookmarkStart w:id="169" w:name="_Toc494407537"/>
      <w:r>
        <w:rPr>
          <w:rFonts w:hint="eastAsia" w:hAnsi="宋体" w:eastAsia="宋体"/>
          <w:color w:val="auto"/>
          <w:sz w:val="22"/>
          <w:szCs w:val="22"/>
        </w:rPr>
        <w:t>六、授予合同</w:t>
      </w:r>
      <w:bookmarkEnd w:id="169"/>
    </w:p>
    <w:p>
      <w:pPr>
        <w:pStyle w:val="13"/>
        <w:adjustRightInd w:val="0"/>
        <w:snapToGrid w:val="0"/>
        <w:spacing w:line="410" w:lineRule="atLeast"/>
        <w:ind w:firstLine="433" w:firstLineChars="197"/>
        <w:rPr>
          <w:rFonts w:hAnsi="宋体" w:eastAsia="宋体"/>
          <w:b w:val="0"/>
          <w:color w:val="auto"/>
          <w:sz w:val="22"/>
          <w:szCs w:val="22"/>
        </w:rPr>
      </w:pPr>
      <w:r>
        <w:rPr>
          <w:rFonts w:hint="eastAsia" w:hAnsi="宋体" w:eastAsia="宋体"/>
          <w:b w:val="0"/>
          <w:color w:val="auto"/>
          <w:sz w:val="22"/>
          <w:szCs w:val="22"/>
        </w:rPr>
        <w:t>1、决标</w:t>
      </w:r>
    </w:p>
    <w:p>
      <w:pPr>
        <w:pStyle w:val="13"/>
        <w:adjustRightInd w:val="0"/>
        <w:snapToGrid w:val="0"/>
        <w:spacing w:line="410" w:lineRule="atLeast"/>
        <w:ind w:firstLine="433" w:firstLineChars="197"/>
        <w:rPr>
          <w:rFonts w:hAnsi="宋体" w:eastAsia="宋体"/>
          <w:b w:val="0"/>
          <w:color w:val="auto"/>
          <w:sz w:val="22"/>
          <w:szCs w:val="22"/>
        </w:rPr>
      </w:pPr>
      <w:r>
        <w:rPr>
          <w:rFonts w:hint="eastAsia" w:hAnsi="宋体" w:eastAsia="宋体"/>
          <w:b w:val="0"/>
          <w:color w:val="auto"/>
          <w:sz w:val="22"/>
          <w:szCs w:val="22"/>
        </w:rPr>
        <w:t>评标结束后，评标委员会按照招标文件确定的评标办法推荐中标供应商。</w:t>
      </w:r>
    </w:p>
    <w:p>
      <w:pPr>
        <w:pStyle w:val="13"/>
        <w:adjustRightInd w:val="0"/>
        <w:snapToGrid w:val="0"/>
        <w:spacing w:line="410" w:lineRule="atLeast"/>
        <w:ind w:firstLine="433" w:firstLineChars="197"/>
        <w:rPr>
          <w:rFonts w:hAnsi="宋体" w:eastAsia="宋体"/>
          <w:b w:val="0"/>
          <w:color w:val="auto"/>
          <w:sz w:val="22"/>
          <w:szCs w:val="22"/>
        </w:rPr>
      </w:pPr>
      <w:r>
        <w:rPr>
          <w:rFonts w:hint="eastAsia" w:hAnsi="宋体" w:eastAsia="宋体"/>
          <w:b w:val="0"/>
          <w:color w:val="auto"/>
          <w:sz w:val="22"/>
          <w:szCs w:val="22"/>
        </w:rPr>
        <w:t>2、中标通知书</w:t>
      </w:r>
    </w:p>
    <w:p>
      <w:pPr>
        <w:spacing w:line="410" w:lineRule="atLeast"/>
        <w:ind w:firstLine="435" w:firstLineChars="197"/>
        <w:rPr>
          <w:rFonts w:ascii="宋体" w:eastAsia="宋体"/>
          <w:color w:val="auto"/>
          <w:sz w:val="22"/>
          <w:szCs w:val="22"/>
        </w:rPr>
      </w:pPr>
      <w:r>
        <w:rPr>
          <w:rFonts w:hint="eastAsia" w:ascii="宋体" w:eastAsia="宋体"/>
          <w:color w:val="auto"/>
          <w:sz w:val="22"/>
          <w:szCs w:val="22"/>
        </w:rPr>
        <w:t>2.1、采购人依法确认中标供应商后，代理机构在浙江省政府采购网上公告中标结果，公告期限为1个工作日。同时向中标供应商发出中标通知书。</w:t>
      </w:r>
    </w:p>
    <w:p>
      <w:pPr>
        <w:adjustRightInd w:val="0"/>
        <w:snapToGrid w:val="0"/>
        <w:spacing w:line="410" w:lineRule="atLeast"/>
        <w:ind w:firstLine="433" w:firstLineChars="197"/>
        <w:rPr>
          <w:rFonts w:ascii="宋体" w:eastAsia="宋体"/>
          <w:b w:val="0"/>
          <w:color w:val="auto"/>
          <w:sz w:val="22"/>
          <w:szCs w:val="22"/>
        </w:rPr>
      </w:pPr>
      <w:r>
        <w:rPr>
          <w:rFonts w:hint="eastAsia" w:ascii="宋体" w:eastAsia="宋体"/>
          <w:b w:val="0"/>
          <w:color w:val="auto"/>
          <w:sz w:val="22"/>
          <w:szCs w:val="22"/>
        </w:rPr>
        <w:t>2.2、中标通知书对采购人和中标人具有法律约束力。中标通知书发出后，采购人改变中标结果或者中标人放弃中标的，应当承担法律责任。</w:t>
      </w:r>
    </w:p>
    <w:p>
      <w:pPr>
        <w:adjustRightInd w:val="0"/>
        <w:snapToGrid w:val="0"/>
        <w:spacing w:line="410" w:lineRule="atLeast"/>
        <w:ind w:firstLine="433" w:firstLineChars="197"/>
        <w:rPr>
          <w:rFonts w:ascii="宋体" w:eastAsia="宋体"/>
          <w:b w:val="0"/>
          <w:color w:val="auto"/>
          <w:sz w:val="22"/>
          <w:szCs w:val="22"/>
        </w:rPr>
      </w:pPr>
      <w:r>
        <w:rPr>
          <w:rFonts w:hint="eastAsia" w:ascii="宋体" w:eastAsia="宋体"/>
          <w:b w:val="0"/>
          <w:color w:val="auto"/>
          <w:sz w:val="22"/>
          <w:szCs w:val="22"/>
        </w:rPr>
        <w:t>2.3、中标无效</w:t>
      </w:r>
    </w:p>
    <w:p>
      <w:pPr>
        <w:adjustRightInd w:val="0"/>
        <w:snapToGrid w:val="0"/>
        <w:spacing w:line="380" w:lineRule="exact"/>
        <w:ind w:firstLine="433" w:firstLineChars="197"/>
        <w:rPr>
          <w:rFonts w:ascii="宋体" w:eastAsia="宋体"/>
          <w:b w:val="0"/>
          <w:color w:val="auto"/>
          <w:sz w:val="22"/>
          <w:szCs w:val="22"/>
        </w:rPr>
      </w:pPr>
      <w:r>
        <w:rPr>
          <w:rFonts w:ascii="宋体" w:eastAsia="宋体"/>
          <w:b w:val="0"/>
          <w:color w:val="auto"/>
          <w:sz w:val="22"/>
          <w:szCs w:val="22"/>
        </w:rPr>
        <w:t>1）发现中标供应商资格无效或中标供应商放弃中标或拒绝与采购人签订合同的,采购人可以按照评审报告推荐的中标候选人名单排序，确定下一候选人为中标供应商，也可以重新开展政府采购活动。</w:t>
      </w:r>
      <w:r>
        <w:rPr>
          <w:rFonts w:ascii="宋体" w:eastAsia="宋体"/>
          <w:b w:val="0"/>
          <w:color w:val="auto"/>
          <w:sz w:val="22"/>
          <w:szCs w:val="22"/>
        </w:rPr>
        <w:br w:type="textWrapping"/>
      </w:r>
      <w:r>
        <w:rPr>
          <w:rFonts w:ascii="宋体" w:eastAsia="宋体"/>
          <w:b w:val="0"/>
          <w:color w:val="auto"/>
          <w:sz w:val="22"/>
          <w:szCs w:val="22"/>
        </w:rPr>
        <w:t xml:space="preserve">    2）有《中华人民共和国政府采购法实施条例》第七十一条、第七十二条、第七十三条、第七十四条规定的违法行为之一，由政府采购监管部门依法处理。</w:t>
      </w:r>
    </w:p>
    <w:p>
      <w:pPr>
        <w:adjustRightInd w:val="0"/>
        <w:snapToGrid w:val="0"/>
        <w:spacing w:line="380" w:lineRule="exact"/>
        <w:ind w:firstLine="433" w:firstLineChars="197"/>
        <w:rPr>
          <w:rFonts w:ascii="宋体" w:eastAsia="宋体"/>
          <w:b w:val="0"/>
          <w:color w:val="auto"/>
          <w:sz w:val="22"/>
          <w:szCs w:val="22"/>
        </w:rPr>
      </w:pPr>
      <w:r>
        <w:rPr>
          <w:rFonts w:hint="eastAsia" w:ascii="宋体" w:eastAsia="宋体"/>
          <w:b w:val="0"/>
          <w:color w:val="auto"/>
          <w:sz w:val="22"/>
          <w:szCs w:val="22"/>
        </w:rPr>
        <w:t>4、签订合同</w:t>
      </w:r>
    </w:p>
    <w:p>
      <w:pPr>
        <w:adjustRightInd w:val="0"/>
        <w:snapToGrid w:val="0"/>
        <w:spacing w:line="380" w:lineRule="exact"/>
        <w:ind w:firstLine="433" w:firstLineChars="197"/>
        <w:rPr>
          <w:rFonts w:ascii="宋体" w:eastAsia="宋体"/>
          <w:b w:val="0"/>
          <w:color w:val="auto"/>
          <w:sz w:val="22"/>
          <w:szCs w:val="22"/>
        </w:rPr>
      </w:pPr>
      <w:r>
        <w:rPr>
          <w:rFonts w:hint="eastAsia" w:ascii="宋体" w:eastAsia="宋体"/>
          <w:b w:val="0"/>
          <w:color w:val="auto"/>
          <w:sz w:val="22"/>
          <w:szCs w:val="22"/>
        </w:rPr>
        <w:t xml:space="preserve">4.1 </w:t>
      </w:r>
      <w:r>
        <w:rPr>
          <w:rFonts w:ascii="宋体" w:eastAsia="宋体"/>
          <w:b w:val="0"/>
          <w:color w:val="auto"/>
          <w:sz w:val="22"/>
          <w:szCs w:val="22"/>
        </w:rPr>
        <w:t>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pPr>
        <w:adjustRightInd w:val="0"/>
        <w:snapToGrid w:val="0"/>
        <w:spacing w:line="380" w:lineRule="exact"/>
        <w:ind w:firstLine="433" w:firstLineChars="197"/>
        <w:rPr>
          <w:rFonts w:ascii="宋体" w:eastAsia="宋体"/>
          <w:b w:val="0"/>
          <w:color w:val="auto"/>
          <w:sz w:val="22"/>
          <w:szCs w:val="22"/>
        </w:rPr>
      </w:pPr>
      <w:r>
        <w:rPr>
          <w:rFonts w:hint="eastAsia" w:ascii="宋体" w:eastAsia="宋体"/>
          <w:b w:val="0"/>
          <w:color w:val="auto"/>
          <w:sz w:val="22"/>
          <w:szCs w:val="22"/>
        </w:rPr>
        <w:t>4.2 招标文件、中标供应商的投标文件及投标修改文件、评标过程中有关澄清文件及经双方签字的询标纪要（承诺）和中标通知书均作为合同附件。</w:t>
      </w:r>
    </w:p>
    <w:p>
      <w:pPr>
        <w:adjustRightInd w:val="0"/>
        <w:snapToGrid w:val="0"/>
        <w:spacing w:line="380" w:lineRule="exact"/>
        <w:ind w:firstLine="433" w:firstLineChars="197"/>
        <w:rPr>
          <w:rFonts w:ascii="宋体" w:eastAsia="宋体"/>
          <w:b w:val="0"/>
          <w:color w:val="auto"/>
          <w:sz w:val="22"/>
          <w:szCs w:val="22"/>
        </w:rPr>
      </w:pPr>
      <w:r>
        <w:rPr>
          <w:rFonts w:hint="eastAsia" w:ascii="宋体" w:eastAsia="宋体"/>
          <w:b w:val="0"/>
          <w:color w:val="auto"/>
          <w:sz w:val="22"/>
          <w:szCs w:val="22"/>
        </w:rPr>
        <w:t>4.3 拒签合同的责任</w:t>
      </w:r>
    </w:p>
    <w:p>
      <w:pPr>
        <w:pStyle w:val="13"/>
        <w:adjustRightInd w:val="0"/>
        <w:snapToGrid w:val="0"/>
        <w:spacing w:line="380" w:lineRule="exact"/>
        <w:ind w:firstLine="433" w:firstLineChars="197"/>
        <w:rPr>
          <w:rFonts w:hAnsi="宋体" w:eastAsia="宋体"/>
          <w:b w:val="0"/>
          <w:color w:val="auto"/>
          <w:sz w:val="22"/>
          <w:szCs w:val="22"/>
          <w:highlight w:val="none"/>
        </w:rPr>
      </w:pPr>
      <w:r>
        <w:rPr>
          <w:rFonts w:hint="eastAsia" w:hAnsi="宋体" w:eastAsia="宋体"/>
          <w:b w:val="0"/>
          <w:color w:val="auto"/>
          <w:sz w:val="22"/>
          <w:szCs w:val="22"/>
        </w:rPr>
        <w:t>中标供应商在规定时间内（30日历天）借故否认已经承诺的条件、拒签合同或拒交履约保证金者，以投标违约处理，并赔偿采购人由此造成的直接经济损失；采购人重新组织招标的，所需费用</w:t>
      </w:r>
      <w:r>
        <w:rPr>
          <w:rFonts w:hint="eastAsia" w:hAnsi="宋体" w:eastAsia="宋体"/>
          <w:b w:val="0"/>
          <w:color w:val="auto"/>
          <w:sz w:val="22"/>
          <w:szCs w:val="22"/>
          <w:highlight w:val="none"/>
        </w:rPr>
        <w:t>由原中标供应商承担。</w:t>
      </w:r>
    </w:p>
    <w:p>
      <w:pPr>
        <w:pStyle w:val="13"/>
        <w:adjustRightInd w:val="0"/>
        <w:snapToGrid w:val="0"/>
        <w:spacing w:line="380" w:lineRule="exact"/>
        <w:ind w:firstLine="435" w:firstLineChars="197"/>
        <w:rPr>
          <w:rFonts w:hAnsi="宋体" w:eastAsia="宋体"/>
          <w:color w:val="auto"/>
          <w:sz w:val="22"/>
          <w:szCs w:val="22"/>
          <w:highlight w:val="none"/>
        </w:rPr>
      </w:pPr>
      <w:r>
        <w:rPr>
          <w:rFonts w:hint="eastAsia" w:hAnsi="宋体" w:eastAsia="宋体"/>
          <w:color w:val="auto"/>
          <w:sz w:val="22"/>
          <w:szCs w:val="22"/>
          <w:highlight w:val="none"/>
        </w:rPr>
        <w:t>5、履约保证金</w:t>
      </w:r>
    </w:p>
    <w:p>
      <w:pPr>
        <w:autoSpaceDE w:val="0"/>
        <w:autoSpaceDN w:val="0"/>
        <w:adjustRightInd w:val="0"/>
        <w:snapToGrid w:val="0"/>
        <w:spacing w:line="380" w:lineRule="exact"/>
        <w:ind w:firstLine="433" w:firstLineChars="197"/>
        <w:textAlignment w:val="bottom"/>
        <w:rPr>
          <w:rFonts w:ascii="宋体" w:eastAsia="宋体"/>
          <w:b w:val="0"/>
          <w:color w:val="auto"/>
          <w:sz w:val="22"/>
          <w:szCs w:val="22"/>
          <w:highlight w:val="none"/>
          <w:u w:val="single"/>
        </w:rPr>
      </w:pPr>
      <w:r>
        <w:rPr>
          <w:rFonts w:hint="eastAsia" w:ascii="宋体" w:eastAsia="宋体"/>
          <w:b w:val="0"/>
          <w:color w:val="auto"/>
          <w:sz w:val="22"/>
          <w:szCs w:val="22"/>
          <w:highlight w:val="none"/>
          <w:u w:val="single"/>
        </w:rPr>
        <w:t>履约保证金按招标文件规定，在中标人与采购人签订合同前递交。</w:t>
      </w:r>
    </w:p>
    <w:p>
      <w:pPr>
        <w:autoSpaceDE w:val="0"/>
        <w:autoSpaceDN w:val="0"/>
        <w:adjustRightInd w:val="0"/>
        <w:snapToGrid w:val="0"/>
        <w:spacing w:line="380" w:lineRule="exact"/>
        <w:ind w:firstLine="435" w:firstLineChars="197"/>
        <w:textAlignment w:val="bottom"/>
        <w:rPr>
          <w:rFonts w:ascii="宋体" w:eastAsia="宋体"/>
          <w:color w:val="auto"/>
          <w:sz w:val="22"/>
          <w:szCs w:val="22"/>
        </w:rPr>
      </w:pPr>
      <w:r>
        <w:rPr>
          <w:rFonts w:hint="eastAsia" w:ascii="宋体" w:eastAsia="宋体"/>
          <w:color w:val="auto"/>
          <w:sz w:val="22"/>
          <w:szCs w:val="22"/>
        </w:rPr>
        <w:t>6</w:t>
      </w:r>
      <w:r>
        <w:rPr>
          <w:rFonts w:hint="eastAsia" w:ascii="宋体" w:eastAsia="宋体" w:cs="仿宋_GB2312"/>
          <w:color w:val="auto"/>
          <w:sz w:val="22"/>
          <w:szCs w:val="22"/>
          <w:lang w:val="zh-CN"/>
        </w:rPr>
        <w:t>、</w:t>
      </w:r>
      <w:r>
        <w:rPr>
          <w:rFonts w:hint="eastAsia" w:ascii="宋体" w:eastAsia="宋体"/>
          <w:color w:val="auto"/>
          <w:sz w:val="22"/>
          <w:szCs w:val="22"/>
        </w:rPr>
        <w:t>招标代理服务费</w:t>
      </w:r>
    </w:p>
    <w:p>
      <w:pPr>
        <w:autoSpaceDE w:val="0"/>
        <w:autoSpaceDN w:val="0"/>
        <w:adjustRightInd w:val="0"/>
        <w:snapToGrid w:val="0"/>
        <w:spacing w:line="380" w:lineRule="exact"/>
        <w:ind w:firstLine="438" w:firstLineChars="209"/>
        <w:textAlignment w:val="bottom"/>
        <w:rPr>
          <w:rFonts w:ascii="宋体" w:eastAsia="宋体"/>
          <w:b w:val="0"/>
          <w:bCs/>
          <w:color w:val="auto"/>
          <w:kern w:val="2"/>
          <w:sz w:val="22"/>
          <w:szCs w:val="22"/>
        </w:rPr>
      </w:pPr>
      <w:r>
        <w:rPr>
          <w:rFonts w:hint="eastAsia" w:ascii="宋体" w:eastAsia="宋体" w:cs="Arial"/>
          <w:b w:val="0"/>
          <w:bCs/>
          <w:kern w:val="2"/>
          <w:szCs w:val="21"/>
        </w:rPr>
        <w:t>中标供应商在领取中标通知书时向代理机构支付代理服务费人民币</w:t>
      </w:r>
      <w:r>
        <w:rPr>
          <w:rFonts w:hint="eastAsia" w:ascii="宋体" w:eastAsia="宋体" w:cs="Arial"/>
          <w:b w:val="0"/>
          <w:bCs/>
          <w:kern w:val="2"/>
          <w:szCs w:val="21"/>
          <w:lang w:val="en-US" w:eastAsia="zh-CN"/>
        </w:rPr>
        <w:t>贰万</w:t>
      </w:r>
      <w:r>
        <w:rPr>
          <w:rFonts w:hint="eastAsia" w:ascii="宋体" w:eastAsia="宋体" w:cs="Arial"/>
          <w:b w:val="0"/>
          <w:bCs/>
          <w:kern w:val="2"/>
          <w:szCs w:val="21"/>
        </w:rPr>
        <w:t>元整，代理服务费包含在投标总价中。</w:t>
      </w:r>
    </w:p>
    <w:p>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170" w:name="_Toc494407538"/>
    </w:p>
    <w:p>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hint="eastAsia" w:ascii="宋体" w:eastAsia="宋体"/>
          <w:color w:val="auto"/>
          <w:sz w:val="28"/>
          <w:szCs w:val="28"/>
        </w:rPr>
        <w:t>第四部分   政府采购政策功能相关说明</w:t>
      </w:r>
      <w:bookmarkEnd w:id="170"/>
    </w:p>
    <w:p>
      <w:pPr>
        <w:jc w:val="left"/>
        <w:rPr>
          <w:rFonts w:ascii="宋体" w:eastAsia="宋体"/>
          <w:b w:val="0"/>
          <w:color w:val="auto"/>
          <w:sz w:val="22"/>
          <w:szCs w:val="22"/>
        </w:rPr>
      </w:pPr>
    </w:p>
    <w:p>
      <w:pPr>
        <w:jc w:val="left"/>
        <w:rPr>
          <w:rFonts w:ascii="宋体" w:eastAsia="宋体"/>
          <w:b w:val="0"/>
          <w:color w:val="auto"/>
          <w:sz w:val="22"/>
          <w:szCs w:val="22"/>
        </w:rPr>
      </w:pPr>
      <w:r>
        <w:rPr>
          <w:rFonts w:hint="eastAsia" w:ascii="宋体" w:eastAsia="宋体"/>
          <w:b w:val="0"/>
          <w:color w:val="auto"/>
          <w:sz w:val="22"/>
          <w:szCs w:val="22"/>
        </w:rPr>
        <w:t>一、小、微企业（含监狱企业、残疾人福利性单位）扶持政策说明</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1、文件依据</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（1）关于印发《政府采购促进中小企业发展暂行办法》的通知（财库[2011]181号）</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（2）浙江省财政厅转发财政部 工业和信息化部关于印发《政府采购促进中小企业发展暂行办法》的通知（浙财采监[2012]11号）</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（3）浙江省省财政厅《关于开展政府采购供应商网上注册登记和诚信管理工作的通知》（浙财采监〔2010〕8号)</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（4）《工业和信息化部、国家统计局、国家发展和改革委员会、财政部关于印发中小企业划型标准规定的通知》（</w:t>
      </w:r>
      <w:r>
        <w:rPr>
          <w:rFonts w:ascii="宋体" w:eastAsia="宋体"/>
          <w:b w:val="0"/>
          <w:color w:val="auto"/>
          <w:sz w:val="22"/>
          <w:szCs w:val="22"/>
        </w:rPr>
        <w:t>工信部联企业[2011]300号</w:t>
      </w:r>
      <w:r>
        <w:rPr>
          <w:rFonts w:hint="eastAsia" w:ascii="宋体" w:eastAsia="宋体"/>
          <w:b w:val="0"/>
          <w:color w:val="auto"/>
          <w:sz w:val="22"/>
          <w:szCs w:val="22"/>
        </w:rPr>
        <w:t>）</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（5）财政部、司法部《关于政府采购支持监狱企业发展有关问题的通知》（财库〔2014〕68号）</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（6）《财政部 民政部 中国残疾人联合会关于促进残疾人就业政府采购政策的通知》（财库〔2017〕 141号）</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w:t>
      </w:r>
      <w:r>
        <w:rPr>
          <w:rFonts w:ascii="宋体" w:eastAsia="宋体"/>
          <w:b w:val="0"/>
          <w:color w:val="auto"/>
          <w:sz w:val="22"/>
          <w:szCs w:val="22"/>
        </w:rPr>
        <w:t>7）《浙江省财政厅  浙江省经济和信息化委员会关于简化中小企业类别确认流程有关事项的通知》（浙财采监〔2018〕2号)</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2、享受小微企业价格折扣应具备的条件与价格折扣比例</w:t>
      </w:r>
    </w:p>
    <w:p>
      <w:pPr>
        <w:spacing w:line="440" w:lineRule="atLeast"/>
        <w:jc w:val="left"/>
        <w:rPr>
          <w:rFonts w:ascii="宋体" w:eastAsia="宋体"/>
          <w:color w:val="auto"/>
          <w:sz w:val="22"/>
          <w:szCs w:val="22"/>
        </w:rPr>
      </w:pPr>
      <w:r>
        <w:rPr>
          <w:rFonts w:hint="eastAsia" w:ascii="宋体" w:eastAsia="宋体"/>
          <w:color w:val="auto"/>
          <w:sz w:val="22"/>
          <w:szCs w:val="22"/>
        </w:rPr>
        <w:t>（1）符合中小企业划分标准；</w:t>
      </w:r>
      <w:r>
        <w:rPr>
          <w:rFonts w:hint="eastAsia" w:ascii="宋体" w:eastAsia="宋体"/>
          <w:color w:val="auto"/>
          <w:sz w:val="22"/>
          <w:szCs w:val="22"/>
        </w:rPr>
        <w:br w:type="textWrapping"/>
      </w:r>
      <w:r>
        <w:rPr>
          <w:rFonts w:hint="eastAsia" w:ascii="宋体" w:eastAsia="宋体"/>
          <w:color w:val="auto"/>
          <w:sz w:val="22"/>
          <w:szCs w:val="22"/>
        </w:rPr>
        <w:t>（2）提供本企业制造的货物、承担的工程或者服务，或者提供其他中小企业制造的货物。本项所称货物不包括使用大型企业注册商标的货物。</w:t>
      </w:r>
      <w:r>
        <w:rPr>
          <w:rFonts w:hint="eastAsia" w:ascii="宋体" w:eastAsia="宋体"/>
          <w:color w:val="auto"/>
          <w:sz w:val="22"/>
          <w:szCs w:val="22"/>
        </w:rPr>
        <w:br w:type="textWrapping"/>
      </w:r>
      <w:r>
        <w:rPr>
          <w:rFonts w:hint="eastAsia" w:ascii="宋体" w:eastAsia="宋体"/>
          <w:color w:val="auto"/>
          <w:sz w:val="22"/>
          <w:szCs w:val="22"/>
        </w:rPr>
        <w:t>  中小企业划分标准，是指国务院有关部门根据企业从业人员、营业收入、资产总额等指标制定的中小企业划型标准。</w:t>
      </w:r>
      <w:r>
        <w:rPr>
          <w:rFonts w:hint="eastAsia" w:ascii="宋体" w:eastAsia="宋体"/>
          <w:color w:val="auto"/>
          <w:sz w:val="22"/>
          <w:szCs w:val="22"/>
        </w:rPr>
        <w:br w:type="textWrapping"/>
      </w:r>
      <w:r>
        <w:rPr>
          <w:rFonts w:hint="eastAsia" w:ascii="宋体" w:eastAsia="宋体"/>
          <w:color w:val="auto"/>
          <w:sz w:val="22"/>
          <w:szCs w:val="22"/>
        </w:rPr>
        <w:t>  小型、微型企业提供中型企业制造的货物的，视同为中型企业。</w:t>
      </w:r>
    </w:p>
    <w:p>
      <w:pPr>
        <w:spacing w:line="440" w:lineRule="atLeast"/>
        <w:jc w:val="left"/>
        <w:rPr>
          <w:rFonts w:ascii="宋体" w:eastAsia="宋体"/>
          <w:color w:val="auto"/>
          <w:sz w:val="22"/>
          <w:szCs w:val="22"/>
          <w:u w:val="single"/>
        </w:rPr>
      </w:pPr>
      <w:r>
        <w:rPr>
          <w:rFonts w:hint="eastAsia" w:ascii="宋体" w:eastAsia="宋体"/>
          <w:color w:val="auto"/>
          <w:sz w:val="22"/>
          <w:szCs w:val="22"/>
          <w:u w:val="single"/>
        </w:rPr>
        <w:t>（3）本项目对小型和微型企业产品的价格给予6%的扣除，用扣除后的价格参与评审。</w:t>
      </w:r>
    </w:p>
    <w:p>
      <w:pPr>
        <w:spacing w:line="440" w:lineRule="atLeast"/>
        <w:jc w:val="left"/>
        <w:rPr>
          <w:rFonts w:ascii="宋体" w:eastAsia="宋体"/>
          <w:b w:val="0"/>
          <w:color w:val="auto"/>
          <w:sz w:val="22"/>
          <w:szCs w:val="22"/>
        </w:rPr>
      </w:pPr>
      <w:r>
        <w:rPr>
          <w:rFonts w:hint="eastAsia" w:ascii="宋体" w:eastAsia="宋体"/>
          <w:b w:val="0"/>
          <w:color w:val="auto"/>
          <w:sz w:val="22"/>
          <w:szCs w:val="22"/>
          <w:u w:val="single"/>
        </w:rPr>
        <w:t>3、享受小微企业价格折扣应提供以下证明材料（投标文件技术资信标中，缺一不可）</w:t>
      </w:r>
      <w:r>
        <w:rPr>
          <w:rFonts w:hint="eastAsia" w:ascii="宋体" w:eastAsia="宋体"/>
          <w:b w:val="0"/>
          <w:color w:val="auto"/>
          <w:sz w:val="22"/>
          <w:szCs w:val="22"/>
        </w:rPr>
        <w:t>：</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（1）通过浙江政府采购网申请注册加入政府采购供应商库（不包括公示期内，提供浙江省政府采购网页面截图或其它入库证明材料，加盖供应商公章）</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（2）《中小企业声明函》（原件，加盖供应商公章，格式见附件1）</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4、</w:t>
      </w:r>
      <w:r>
        <w:rPr>
          <w:rFonts w:hint="eastAsia" w:ascii="宋体" w:eastAsia="宋体"/>
          <w:b w:val="0"/>
          <w:color w:val="auto"/>
          <w:sz w:val="22"/>
          <w:szCs w:val="22"/>
          <w:u w:val="single"/>
        </w:rPr>
        <w:t>享受监狱企业价格折扣应提供以下证明材料（投标文件技术资信标中，不提供的不享受价格折扣）</w:t>
      </w:r>
      <w:r>
        <w:rPr>
          <w:rFonts w:hint="eastAsia" w:ascii="宋体" w:eastAsia="宋体"/>
          <w:b w:val="0"/>
          <w:color w:val="auto"/>
          <w:sz w:val="22"/>
          <w:szCs w:val="22"/>
        </w:rPr>
        <w:t>：</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w:t>
      </w:r>
      <w:r>
        <w:rPr>
          <w:rFonts w:ascii="宋体" w:eastAsia="宋体"/>
          <w:b w:val="0"/>
          <w:color w:val="auto"/>
          <w:sz w:val="22"/>
          <w:szCs w:val="22"/>
        </w:rPr>
        <w:t>1</w:t>
      </w:r>
      <w:r>
        <w:rPr>
          <w:rFonts w:hint="eastAsia" w:ascii="宋体" w:eastAsia="宋体"/>
          <w:b w:val="0"/>
          <w:color w:val="auto"/>
          <w:sz w:val="22"/>
          <w:szCs w:val="22"/>
        </w:rPr>
        <w:t>）</w:t>
      </w:r>
      <w:r>
        <w:rPr>
          <w:rFonts w:ascii="宋体" w:eastAsia="宋体"/>
          <w:b w:val="0"/>
          <w:color w:val="auto"/>
          <w:sz w:val="22"/>
          <w:szCs w:val="22"/>
        </w:rPr>
        <w:t>监狱企业参加政府采购活动时，应当提供由省级以上监狱管理局、戒毒管理局(含新疆生产建设兵团)出具的属于监狱企业的证明文件</w:t>
      </w:r>
      <w:r>
        <w:rPr>
          <w:rFonts w:hint="eastAsia" w:ascii="宋体" w:eastAsia="宋体"/>
          <w:b w:val="0"/>
          <w:color w:val="auto"/>
          <w:sz w:val="22"/>
          <w:szCs w:val="22"/>
        </w:rPr>
        <w:t>（原件或复印件加盖公章）</w:t>
      </w:r>
      <w:r>
        <w:rPr>
          <w:rFonts w:ascii="宋体" w:eastAsia="宋体"/>
          <w:b w:val="0"/>
          <w:color w:val="auto"/>
          <w:sz w:val="22"/>
          <w:szCs w:val="22"/>
        </w:rPr>
        <w:t>。在政府采购活动中，监狱企业视同小型、微型企业，享受评审中价格扣除政策</w:t>
      </w:r>
      <w:r>
        <w:rPr>
          <w:rFonts w:hint="eastAsia" w:ascii="宋体" w:eastAsia="宋体"/>
          <w:b w:val="0"/>
          <w:color w:val="auto"/>
          <w:sz w:val="22"/>
          <w:szCs w:val="22"/>
        </w:rPr>
        <w:t>。</w:t>
      </w:r>
    </w:p>
    <w:p>
      <w:pPr>
        <w:spacing w:line="440" w:lineRule="atLeast"/>
        <w:jc w:val="left"/>
        <w:rPr>
          <w:rFonts w:ascii="宋体" w:eastAsia="宋体"/>
          <w:b w:val="0"/>
          <w:color w:val="auto"/>
          <w:sz w:val="22"/>
          <w:szCs w:val="22"/>
        </w:rPr>
      </w:pPr>
      <w:r>
        <w:rPr>
          <w:rFonts w:ascii="宋体" w:eastAsia="宋体"/>
          <w:b w:val="0"/>
          <w:color w:val="auto"/>
          <w:sz w:val="22"/>
          <w:szCs w:val="22"/>
        </w:rPr>
        <w:t>5</w:t>
      </w:r>
      <w:r>
        <w:rPr>
          <w:rFonts w:hint="eastAsia" w:ascii="宋体" w:eastAsia="宋体"/>
          <w:b w:val="0"/>
          <w:color w:val="auto"/>
          <w:sz w:val="22"/>
          <w:szCs w:val="22"/>
        </w:rPr>
        <w:t>、</w:t>
      </w:r>
      <w:r>
        <w:rPr>
          <w:rFonts w:hint="eastAsia" w:ascii="宋体" w:eastAsia="宋体"/>
          <w:b w:val="0"/>
          <w:color w:val="auto"/>
          <w:sz w:val="22"/>
          <w:szCs w:val="22"/>
          <w:u w:val="single"/>
        </w:rPr>
        <w:t>享受残疾人福利性单位格折扣应提供以下证明材料（投标文件技术资信标中，不提供的不享受价格折扣）</w:t>
      </w:r>
      <w:r>
        <w:rPr>
          <w:rFonts w:hint="eastAsia" w:ascii="宋体" w:eastAsia="宋体"/>
          <w:b w:val="0"/>
          <w:color w:val="auto"/>
          <w:sz w:val="22"/>
          <w:szCs w:val="22"/>
        </w:rPr>
        <w:t>：</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w:t>
      </w:r>
      <w:r>
        <w:rPr>
          <w:rFonts w:ascii="宋体" w:eastAsia="宋体"/>
          <w:b w:val="0"/>
          <w:color w:val="auto"/>
          <w:sz w:val="22"/>
          <w:szCs w:val="22"/>
        </w:rPr>
        <w:t>1</w:t>
      </w:r>
      <w:r>
        <w:rPr>
          <w:rFonts w:hint="eastAsia" w:ascii="宋体" w:eastAsia="宋体"/>
          <w:b w:val="0"/>
          <w:color w:val="auto"/>
          <w:sz w:val="22"/>
          <w:szCs w:val="22"/>
        </w:rPr>
        <w:t>）残疾人福利性单位声明函；</w:t>
      </w:r>
    </w:p>
    <w:p>
      <w:pPr>
        <w:spacing w:line="440" w:lineRule="atLeast"/>
        <w:jc w:val="left"/>
        <w:rPr>
          <w:rFonts w:ascii="宋体" w:eastAsia="宋体"/>
          <w:b w:val="0"/>
          <w:color w:val="auto"/>
          <w:sz w:val="22"/>
          <w:szCs w:val="22"/>
        </w:rPr>
      </w:pPr>
      <w:r>
        <w:rPr>
          <w:rFonts w:ascii="宋体" w:eastAsia="宋体"/>
          <w:b w:val="0"/>
          <w:color w:val="auto"/>
          <w:sz w:val="22"/>
          <w:szCs w:val="22"/>
        </w:rPr>
        <w:t>6</w:t>
      </w:r>
      <w:r>
        <w:rPr>
          <w:rFonts w:hint="eastAsia" w:ascii="宋体" w:eastAsia="宋体"/>
          <w:b w:val="0"/>
          <w:color w:val="auto"/>
          <w:sz w:val="22"/>
          <w:szCs w:val="22"/>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宋体" w:eastAsia="宋体"/>
          <w:b w:val="0"/>
          <w:color w:val="auto"/>
          <w:sz w:val="22"/>
          <w:szCs w:val="22"/>
        </w:rPr>
      </w:pPr>
    </w:p>
    <w:p>
      <w:pPr>
        <w:spacing w:line="440" w:lineRule="atLeast"/>
        <w:jc w:val="left"/>
        <w:rPr>
          <w:rFonts w:ascii="宋体" w:eastAsia="宋体"/>
          <w:b w:val="0"/>
          <w:color w:val="auto"/>
          <w:sz w:val="22"/>
          <w:szCs w:val="22"/>
        </w:rPr>
      </w:pPr>
    </w:p>
    <w:p>
      <w:pPr>
        <w:pStyle w:val="30"/>
        <w:rPr>
          <w:rFonts w:ascii="宋体" w:eastAsia="宋体"/>
          <w:b w:val="0"/>
          <w:color w:val="auto"/>
          <w:sz w:val="22"/>
          <w:szCs w:val="22"/>
        </w:rPr>
      </w:pPr>
    </w:p>
    <w:p>
      <w:pPr>
        <w:spacing w:line="440" w:lineRule="atLeast"/>
        <w:jc w:val="left"/>
        <w:rPr>
          <w:rFonts w:ascii="宋体" w:eastAsia="宋体"/>
          <w:b w:val="0"/>
          <w:color w:val="auto"/>
          <w:sz w:val="22"/>
          <w:szCs w:val="22"/>
        </w:rPr>
      </w:pPr>
    </w:p>
    <w:p>
      <w:pPr>
        <w:spacing w:line="440" w:lineRule="atLeast"/>
        <w:rPr>
          <w:rFonts w:ascii="宋体" w:eastAsia="宋体"/>
          <w:b w:val="0"/>
          <w:color w:val="auto"/>
          <w:sz w:val="22"/>
          <w:szCs w:val="22"/>
        </w:rPr>
      </w:pPr>
      <w:r>
        <w:rPr>
          <w:rFonts w:hint="eastAsia" w:ascii="宋体" w:eastAsia="宋体"/>
          <w:b w:val="0"/>
          <w:color w:val="auto"/>
          <w:sz w:val="22"/>
          <w:szCs w:val="22"/>
        </w:rPr>
        <w:t>附件1：</w:t>
      </w:r>
    </w:p>
    <w:p>
      <w:pPr>
        <w:spacing w:line="440" w:lineRule="atLeast"/>
        <w:jc w:val="center"/>
        <w:rPr>
          <w:rFonts w:ascii="宋体" w:eastAsia="宋体"/>
          <w:b w:val="0"/>
          <w:color w:val="auto"/>
          <w:sz w:val="22"/>
          <w:szCs w:val="22"/>
        </w:rPr>
      </w:pPr>
      <w:r>
        <w:rPr>
          <w:rFonts w:hint="eastAsia" w:ascii="宋体" w:eastAsia="宋体"/>
          <w:b w:val="0"/>
          <w:color w:val="auto"/>
          <w:sz w:val="22"/>
          <w:szCs w:val="22"/>
        </w:rPr>
        <w:t>中小企业声明函</w:t>
      </w:r>
    </w:p>
    <w:p>
      <w:pPr>
        <w:spacing w:beforeLines="100" w:line="44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本公司郑重声明，根据《政府采购促进中小企业发展暂行办法》（财库[2011]181号）的规定，本公司为______（请填写：中型、小型、微型）企业。即，本公司同时满足以下条件：</w:t>
      </w:r>
      <w:r>
        <w:rPr>
          <w:rFonts w:hint="eastAsia" w:ascii="宋体" w:eastAsia="宋体"/>
          <w:b w:val="0"/>
          <w:color w:val="auto"/>
          <w:sz w:val="22"/>
          <w:szCs w:val="22"/>
        </w:rPr>
        <w:br w:type="textWrapping"/>
      </w:r>
      <w:r>
        <w:rPr>
          <w:rFonts w:hint="eastAsia" w:ascii="宋体" w:eastAsia="宋体"/>
          <w:b w:val="0"/>
          <w:color w:val="auto"/>
          <w:sz w:val="22"/>
          <w:szCs w:val="22"/>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eastAsia="宋体"/>
          <w:b w:val="0"/>
          <w:color w:val="auto"/>
          <w:sz w:val="22"/>
          <w:szCs w:val="22"/>
        </w:rPr>
        <w:br w:type="textWrapping"/>
      </w:r>
      <w:r>
        <w:rPr>
          <w:rFonts w:hint="eastAsia" w:ascii="宋体" w:eastAsia="宋体"/>
          <w:b w:val="0"/>
          <w:color w:val="auto"/>
          <w:sz w:val="22"/>
          <w:szCs w:val="22"/>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eastAsia="宋体"/>
          <w:b w:val="0"/>
          <w:color w:val="auto"/>
          <w:sz w:val="22"/>
          <w:szCs w:val="22"/>
        </w:rPr>
        <w:br w:type="textWrapping"/>
      </w:r>
      <w:r>
        <w:rPr>
          <w:rFonts w:hint="eastAsia" w:ascii="宋体" w:eastAsia="宋体"/>
          <w:b w:val="0"/>
          <w:color w:val="auto"/>
          <w:sz w:val="22"/>
          <w:szCs w:val="22"/>
        </w:rPr>
        <w:t>    本公司对上述声明的真实性负责。如有虚假，将依法承担相应责任。</w:t>
      </w:r>
    </w:p>
    <w:p>
      <w:pPr>
        <w:spacing w:beforeLines="100" w:line="440" w:lineRule="atLeast"/>
        <w:ind w:firstLine="440" w:firstLineChars="200"/>
        <w:rPr>
          <w:rFonts w:ascii="宋体" w:eastAsia="宋体"/>
          <w:b w:val="0"/>
          <w:color w:val="auto"/>
          <w:sz w:val="22"/>
          <w:szCs w:val="22"/>
        </w:rPr>
      </w:pPr>
    </w:p>
    <w:p>
      <w:pPr>
        <w:spacing w:beforeLines="100" w:line="440" w:lineRule="atLeast"/>
        <w:ind w:firstLine="440" w:firstLineChars="200"/>
        <w:jc w:val="right"/>
        <w:rPr>
          <w:rFonts w:ascii="宋体" w:eastAsia="宋体"/>
          <w:b w:val="0"/>
          <w:color w:val="auto"/>
          <w:sz w:val="22"/>
          <w:szCs w:val="22"/>
        </w:rPr>
      </w:pPr>
      <w:r>
        <w:rPr>
          <w:rFonts w:hint="eastAsia" w:ascii="宋体" w:eastAsia="宋体"/>
          <w:b w:val="0"/>
          <w:color w:val="auto"/>
          <w:sz w:val="22"/>
          <w:szCs w:val="22"/>
        </w:rPr>
        <w:t>投标供应商名称（盖章）：                </w:t>
      </w:r>
      <w:r>
        <w:rPr>
          <w:rFonts w:hint="eastAsia" w:ascii="宋体" w:eastAsia="宋体"/>
          <w:b w:val="0"/>
          <w:color w:val="auto"/>
          <w:sz w:val="22"/>
          <w:szCs w:val="22"/>
        </w:rPr>
        <w:br w:type="textWrapping"/>
      </w:r>
      <w:r>
        <w:rPr>
          <w:rFonts w:hint="eastAsia" w:ascii="宋体" w:eastAsia="宋体"/>
          <w:b w:val="0"/>
          <w:color w:val="auto"/>
          <w:sz w:val="22"/>
          <w:szCs w:val="22"/>
        </w:rPr>
        <w:t xml:space="preserve">      日期：                             　　　　　</w:t>
      </w:r>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p>
    <w:p>
      <w:pPr>
        <w:spacing w:line="440" w:lineRule="atLeast"/>
        <w:rPr>
          <w:rFonts w:ascii="宋体" w:eastAsia="宋体"/>
          <w:b w:val="0"/>
          <w:color w:val="auto"/>
          <w:sz w:val="22"/>
          <w:szCs w:val="22"/>
        </w:rPr>
      </w:pPr>
      <w:r>
        <w:rPr>
          <w:rFonts w:hint="eastAsia" w:ascii="宋体" w:eastAsia="宋体"/>
          <w:b w:val="0"/>
          <w:color w:val="auto"/>
          <w:sz w:val="22"/>
          <w:szCs w:val="22"/>
        </w:rPr>
        <w:t>附件2</w:t>
      </w:r>
    </w:p>
    <w:p>
      <w:pPr>
        <w:spacing w:line="588" w:lineRule="exact"/>
        <w:jc w:val="center"/>
        <w:rPr>
          <w:rFonts w:ascii="宋体" w:eastAsia="宋体"/>
          <w:b w:val="0"/>
          <w:color w:val="auto"/>
          <w:spacing w:val="6"/>
          <w:sz w:val="22"/>
          <w:szCs w:val="22"/>
        </w:rPr>
      </w:pPr>
      <w:bookmarkStart w:id="171" w:name="OLE_LINK14"/>
      <w:bookmarkStart w:id="172" w:name="OLE_LINK13"/>
      <w:r>
        <w:rPr>
          <w:rFonts w:hint="eastAsia" w:ascii="宋体" w:eastAsia="宋体"/>
          <w:b w:val="0"/>
          <w:color w:val="auto"/>
          <w:spacing w:val="6"/>
          <w:sz w:val="22"/>
          <w:szCs w:val="22"/>
        </w:rPr>
        <w:t>残疾人福利性单位声明函</w:t>
      </w:r>
    </w:p>
    <w:bookmarkEnd w:id="171"/>
    <w:bookmarkEnd w:id="172"/>
    <w:p>
      <w:pPr>
        <w:spacing w:line="588" w:lineRule="exact"/>
        <w:rPr>
          <w:rFonts w:ascii="宋体" w:eastAsia="宋体"/>
          <w:b w:val="0"/>
          <w:color w:val="auto"/>
          <w:spacing w:val="6"/>
          <w:sz w:val="22"/>
          <w:szCs w:val="22"/>
        </w:rPr>
      </w:pPr>
    </w:p>
    <w:p>
      <w:pPr>
        <w:spacing w:line="588" w:lineRule="exact"/>
        <w:ind w:firstLine="464" w:firstLineChars="200"/>
        <w:rPr>
          <w:rFonts w:ascii="宋体" w:eastAsia="宋体"/>
          <w:b w:val="0"/>
          <w:color w:val="auto"/>
          <w:spacing w:val="6"/>
          <w:sz w:val="22"/>
          <w:szCs w:val="22"/>
        </w:rPr>
      </w:pPr>
      <w:r>
        <w:rPr>
          <w:rFonts w:hint="eastAsia" w:ascii="宋体" w:eastAsia="宋体"/>
          <w:b w:val="0"/>
          <w:color w:val="auto"/>
          <w:spacing w:val="6"/>
          <w:sz w:val="22"/>
          <w:szCs w:val="22"/>
        </w:rPr>
        <w:t>本单位郑重声明，根据《财政部 民政部 中国残疾人联合会关于促进残疾人就业政府采购政策的通知》（财库</w:t>
      </w:r>
      <w:r>
        <w:rPr>
          <w:rFonts w:hint="eastAsia" w:ascii="宋体" w:eastAsia="宋体"/>
          <w:b w:val="0"/>
          <w:color w:val="auto"/>
          <w:sz w:val="22"/>
          <w:szCs w:val="22"/>
        </w:rPr>
        <w:t>〔2017〕 141</w:t>
      </w:r>
      <w:r>
        <w:rPr>
          <w:rFonts w:hint="eastAsia" w:ascii="宋体" w:eastAsia="宋体"/>
          <w:b w:val="0"/>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宋体" w:eastAsia="宋体"/>
          <w:b w:val="0"/>
          <w:color w:val="auto"/>
          <w:spacing w:val="6"/>
          <w:sz w:val="22"/>
          <w:szCs w:val="22"/>
        </w:rPr>
      </w:pPr>
      <w:r>
        <w:rPr>
          <w:rFonts w:hint="eastAsia" w:ascii="宋体" w:eastAsia="宋体"/>
          <w:b w:val="0"/>
          <w:color w:val="auto"/>
          <w:spacing w:val="6"/>
          <w:sz w:val="22"/>
          <w:szCs w:val="22"/>
        </w:rPr>
        <w:t>本单位对上述声明的真实性负责。如有虚假，将依法承担相应责任。</w:t>
      </w:r>
    </w:p>
    <w:p>
      <w:pPr>
        <w:spacing w:line="588" w:lineRule="exact"/>
        <w:ind w:firstLine="464" w:firstLineChars="200"/>
        <w:rPr>
          <w:rFonts w:ascii="宋体" w:eastAsia="宋体"/>
          <w:b w:val="0"/>
          <w:color w:val="auto"/>
          <w:spacing w:val="6"/>
          <w:sz w:val="22"/>
          <w:szCs w:val="22"/>
        </w:rPr>
      </w:pPr>
    </w:p>
    <w:p>
      <w:pPr>
        <w:spacing w:line="588" w:lineRule="exact"/>
        <w:ind w:firstLine="464" w:firstLineChars="200"/>
        <w:rPr>
          <w:rFonts w:ascii="宋体" w:eastAsia="宋体"/>
          <w:b w:val="0"/>
          <w:color w:val="auto"/>
          <w:spacing w:val="6"/>
          <w:sz w:val="22"/>
          <w:szCs w:val="22"/>
        </w:rPr>
      </w:pPr>
    </w:p>
    <w:p>
      <w:pPr>
        <w:tabs>
          <w:tab w:val="left" w:pos="4860"/>
        </w:tabs>
        <w:spacing w:line="588" w:lineRule="exact"/>
        <w:ind w:right="1560" w:firstLine="464" w:firstLineChars="200"/>
        <w:jc w:val="center"/>
        <w:rPr>
          <w:rFonts w:ascii="宋体" w:eastAsia="宋体"/>
          <w:b w:val="0"/>
          <w:color w:val="auto"/>
          <w:spacing w:val="6"/>
          <w:sz w:val="22"/>
          <w:szCs w:val="22"/>
        </w:rPr>
      </w:pPr>
      <w:r>
        <w:rPr>
          <w:rFonts w:hint="eastAsia" w:ascii="宋体" w:eastAsia="宋体"/>
          <w:b w:val="0"/>
          <w:color w:val="auto"/>
          <w:spacing w:val="6"/>
          <w:sz w:val="22"/>
          <w:szCs w:val="22"/>
        </w:rPr>
        <w:t xml:space="preserve">               单位名称（盖章）：</w:t>
      </w:r>
    </w:p>
    <w:p>
      <w:pPr>
        <w:tabs>
          <w:tab w:val="left" w:pos="4860"/>
        </w:tabs>
        <w:spacing w:line="588" w:lineRule="exact"/>
        <w:ind w:right="1560" w:firstLine="464" w:firstLineChars="200"/>
        <w:jc w:val="center"/>
        <w:rPr>
          <w:rFonts w:ascii="宋体" w:eastAsia="宋体"/>
          <w:b w:val="0"/>
          <w:color w:val="auto"/>
          <w:spacing w:val="6"/>
          <w:sz w:val="22"/>
          <w:szCs w:val="22"/>
        </w:rPr>
      </w:pPr>
      <w:r>
        <w:rPr>
          <w:rFonts w:hint="eastAsia" w:ascii="宋体" w:eastAsia="宋体"/>
          <w:b w:val="0"/>
          <w:color w:val="auto"/>
          <w:spacing w:val="6"/>
          <w:sz w:val="22"/>
          <w:szCs w:val="22"/>
        </w:rPr>
        <w:t xml:space="preserve">       日  期：</w:t>
      </w:r>
    </w:p>
    <w:p>
      <w:pPr>
        <w:tabs>
          <w:tab w:val="left" w:pos="4860"/>
        </w:tabs>
        <w:spacing w:line="588" w:lineRule="exact"/>
        <w:ind w:right="1560" w:firstLine="464" w:firstLineChars="200"/>
        <w:jc w:val="center"/>
        <w:rPr>
          <w:rFonts w:ascii="宋体" w:eastAsia="宋体"/>
          <w:b w:val="0"/>
          <w:color w:val="auto"/>
          <w:spacing w:val="6"/>
          <w:sz w:val="22"/>
          <w:szCs w:val="22"/>
        </w:rPr>
      </w:pPr>
    </w:p>
    <w:p>
      <w:pPr>
        <w:tabs>
          <w:tab w:val="left" w:pos="4860"/>
        </w:tabs>
        <w:spacing w:line="588" w:lineRule="exact"/>
        <w:ind w:right="1560" w:firstLine="466" w:firstLineChars="200"/>
        <w:jc w:val="center"/>
        <w:rPr>
          <w:rFonts w:ascii="宋体" w:eastAsia="宋体"/>
          <w:color w:val="auto"/>
          <w:spacing w:val="6"/>
          <w:sz w:val="22"/>
          <w:szCs w:val="22"/>
        </w:rPr>
      </w:pPr>
    </w:p>
    <w:p>
      <w:pPr>
        <w:tabs>
          <w:tab w:val="left" w:pos="4860"/>
        </w:tabs>
        <w:spacing w:line="588" w:lineRule="exact"/>
        <w:ind w:right="1560"/>
        <w:jc w:val="left"/>
        <w:rPr>
          <w:rFonts w:ascii="宋体" w:eastAsia="宋体"/>
          <w:b w:val="0"/>
          <w:color w:val="auto"/>
          <w:sz w:val="22"/>
          <w:szCs w:val="22"/>
        </w:rPr>
      </w:pPr>
      <w:r>
        <w:rPr>
          <w:rFonts w:hint="eastAsia" w:ascii="宋体" w:eastAsia="宋体"/>
          <w:b w:val="0"/>
          <w:color w:val="auto"/>
          <w:sz w:val="22"/>
          <w:szCs w:val="22"/>
        </w:rPr>
        <w:t>备注说明：</w:t>
      </w:r>
    </w:p>
    <w:p>
      <w:pPr>
        <w:tabs>
          <w:tab w:val="left" w:pos="4860"/>
        </w:tabs>
        <w:spacing w:line="588" w:lineRule="exact"/>
        <w:ind w:right="1560"/>
        <w:jc w:val="left"/>
        <w:rPr>
          <w:rFonts w:ascii="宋体" w:eastAsia="宋体"/>
          <w:b w:val="0"/>
          <w:color w:val="auto"/>
          <w:sz w:val="22"/>
          <w:szCs w:val="22"/>
        </w:rPr>
      </w:pPr>
      <w:r>
        <w:rPr>
          <w:rFonts w:hint="eastAsia" w:ascii="宋体" w:eastAsia="宋体"/>
          <w:b w:val="0"/>
          <w:color w:val="auto"/>
          <w:sz w:val="22"/>
          <w:szCs w:val="22"/>
        </w:rPr>
        <w:t>1、如中标，将在中标公示中将此残疾人福利性单位声明函予以公示，接受社会监督；</w:t>
      </w:r>
    </w:p>
    <w:p>
      <w:pPr>
        <w:tabs>
          <w:tab w:val="left" w:pos="4860"/>
        </w:tabs>
        <w:spacing w:line="588" w:lineRule="exact"/>
        <w:ind w:right="1560"/>
        <w:jc w:val="left"/>
        <w:rPr>
          <w:rFonts w:ascii="宋体" w:eastAsia="宋体"/>
          <w:color w:val="auto"/>
          <w:spacing w:val="6"/>
          <w:sz w:val="22"/>
          <w:szCs w:val="22"/>
        </w:rPr>
      </w:pPr>
      <w:r>
        <w:rPr>
          <w:rFonts w:ascii="宋体" w:eastAsia="宋体"/>
          <w:b w:val="0"/>
          <w:color w:val="auto"/>
          <w:sz w:val="22"/>
          <w:szCs w:val="22"/>
        </w:rPr>
        <w:t>2</w:t>
      </w:r>
      <w:r>
        <w:rPr>
          <w:rFonts w:hint="eastAsia" w:ascii="宋体" w:eastAsia="宋体"/>
          <w:b w:val="0"/>
          <w:color w:val="auto"/>
          <w:sz w:val="22"/>
          <w:szCs w:val="22"/>
        </w:rPr>
        <w:t>、供应商提供的《残疾人福利性单位声明函》与事实不符的，依照《政府采购法》第七十七条第一款的规定追究法律责任。</w:t>
      </w:r>
    </w:p>
    <w:p>
      <w:pPr>
        <w:jc w:val="left"/>
        <w:rPr>
          <w:rFonts w:ascii="宋体" w:eastAsia="宋体"/>
          <w:b w:val="0"/>
          <w:color w:val="auto"/>
          <w:sz w:val="22"/>
          <w:szCs w:val="22"/>
        </w:rPr>
      </w:pPr>
    </w:p>
    <w:p>
      <w:pPr>
        <w:jc w:val="left"/>
        <w:rPr>
          <w:rFonts w:ascii="宋体" w:eastAsia="宋体"/>
          <w:b w:val="0"/>
          <w:color w:val="auto"/>
          <w:sz w:val="22"/>
          <w:szCs w:val="22"/>
        </w:rPr>
      </w:pPr>
    </w:p>
    <w:p>
      <w:pPr>
        <w:jc w:val="left"/>
        <w:rPr>
          <w:rFonts w:ascii="宋体" w:eastAsia="宋体"/>
          <w:b w:val="0"/>
          <w:color w:val="auto"/>
          <w:sz w:val="22"/>
          <w:szCs w:val="22"/>
        </w:rPr>
      </w:pPr>
    </w:p>
    <w:p>
      <w:pPr>
        <w:jc w:val="left"/>
        <w:rPr>
          <w:rFonts w:ascii="宋体" w:eastAsia="宋体"/>
          <w:b w:val="0"/>
          <w:color w:val="auto"/>
          <w:sz w:val="22"/>
          <w:szCs w:val="22"/>
        </w:rPr>
      </w:pPr>
    </w:p>
    <w:p>
      <w:pPr>
        <w:jc w:val="left"/>
        <w:rPr>
          <w:rFonts w:ascii="宋体" w:eastAsia="宋体"/>
          <w:b w:val="0"/>
          <w:color w:val="auto"/>
          <w:sz w:val="22"/>
          <w:szCs w:val="22"/>
        </w:rPr>
      </w:pPr>
    </w:p>
    <w:p>
      <w:pPr>
        <w:jc w:val="left"/>
        <w:rPr>
          <w:rFonts w:ascii="宋体" w:eastAsia="宋体"/>
          <w:b w:val="0"/>
          <w:color w:val="auto"/>
          <w:sz w:val="22"/>
          <w:szCs w:val="22"/>
        </w:rPr>
      </w:pPr>
    </w:p>
    <w:p>
      <w:pPr>
        <w:jc w:val="left"/>
        <w:rPr>
          <w:rFonts w:ascii="宋体" w:eastAsia="宋体"/>
          <w:b w:val="0"/>
          <w:color w:val="auto"/>
          <w:sz w:val="22"/>
          <w:szCs w:val="22"/>
        </w:rPr>
      </w:pPr>
    </w:p>
    <w:p>
      <w:pPr>
        <w:jc w:val="left"/>
        <w:rPr>
          <w:rFonts w:ascii="宋体" w:eastAsia="宋体"/>
          <w:b w:val="0"/>
          <w:color w:val="auto"/>
          <w:sz w:val="22"/>
          <w:szCs w:val="22"/>
        </w:rPr>
      </w:pPr>
    </w:p>
    <w:p>
      <w:pPr>
        <w:jc w:val="left"/>
        <w:rPr>
          <w:rFonts w:ascii="宋体" w:eastAsia="宋体"/>
          <w:b w:val="0"/>
          <w:color w:val="auto"/>
          <w:sz w:val="22"/>
          <w:szCs w:val="22"/>
        </w:rPr>
      </w:pPr>
      <w:r>
        <w:rPr>
          <w:rFonts w:hint="eastAsia" w:ascii="宋体" w:eastAsia="宋体"/>
          <w:b w:val="0"/>
          <w:color w:val="auto"/>
          <w:sz w:val="22"/>
          <w:szCs w:val="22"/>
        </w:rPr>
        <w:t>二、节能、环保产品优先（强制）采购政策说明</w:t>
      </w:r>
    </w:p>
    <w:p>
      <w:pPr>
        <w:spacing w:line="440" w:lineRule="atLeast"/>
        <w:jc w:val="left"/>
        <w:rPr>
          <w:rFonts w:ascii="宋体" w:eastAsia="宋体"/>
          <w:b w:val="0"/>
          <w:color w:val="auto"/>
          <w:sz w:val="22"/>
          <w:szCs w:val="22"/>
        </w:rPr>
      </w:pPr>
      <w:r>
        <w:rPr>
          <w:rFonts w:hint="eastAsia" w:ascii="宋体" w:eastAsia="宋体"/>
          <w:b w:val="0"/>
          <w:color w:val="auto"/>
          <w:sz w:val="22"/>
          <w:szCs w:val="22"/>
        </w:rPr>
        <w:t>1、政策依据</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（一）《国务院办公厅关于建立政府强制采购节能产品制度的通知》</w:t>
      </w:r>
      <w:r>
        <w:rPr>
          <w:rFonts w:ascii="宋体" w:eastAsia="宋体"/>
          <w:b w:val="0"/>
          <w:color w:val="auto"/>
          <w:sz w:val="22"/>
          <w:szCs w:val="22"/>
        </w:rPr>
        <w:t>(国办发[2007]51号)</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（二）财政部、发展改革委发布的《节能产品政府采购实施意见》</w:t>
      </w:r>
      <w:r>
        <w:rPr>
          <w:rFonts w:ascii="宋体" w:eastAsia="宋体"/>
          <w:b w:val="0"/>
          <w:color w:val="auto"/>
          <w:sz w:val="22"/>
          <w:szCs w:val="22"/>
        </w:rPr>
        <w:t>(财库[2004]185号)</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（三）财政部、原环保总局印发的《环境标志产品政府采购实施的意见》（财库</w:t>
      </w:r>
      <w:r>
        <w:rPr>
          <w:rFonts w:ascii="宋体" w:eastAsia="宋体"/>
          <w:b w:val="0"/>
          <w:color w:val="auto"/>
          <w:sz w:val="22"/>
          <w:szCs w:val="22"/>
        </w:rPr>
        <w:t xml:space="preserve"> [2006]90号）</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（四）《关于调整优化节能产品、环境标志产品政府采购执行机制的通知》（财库〔</w:t>
      </w:r>
      <w:r>
        <w:rPr>
          <w:rFonts w:ascii="宋体" w:eastAsia="宋体"/>
          <w:b w:val="0"/>
          <w:color w:val="auto"/>
          <w:sz w:val="22"/>
          <w:szCs w:val="22"/>
        </w:rPr>
        <w:t>2019〕9号</w:t>
      </w:r>
      <w:r>
        <w:rPr>
          <w:rFonts w:hint="eastAsia" w:ascii="宋体" w:eastAsia="宋体"/>
          <w:b w:val="0"/>
          <w:color w:val="auto"/>
          <w:sz w:val="22"/>
          <w:szCs w:val="22"/>
        </w:rPr>
        <w:t>）</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（五）《关于印发节能产品政府采购品目清单的通知》（财库〔</w:t>
      </w:r>
      <w:r>
        <w:rPr>
          <w:rFonts w:ascii="宋体" w:eastAsia="宋体"/>
          <w:b w:val="0"/>
          <w:color w:val="auto"/>
          <w:sz w:val="22"/>
          <w:szCs w:val="22"/>
        </w:rPr>
        <w:t>2019〕1</w:t>
      </w:r>
      <w:r>
        <w:rPr>
          <w:rFonts w:hint="eastAsia" w:ascii="宋体" w:eastAsia="宋体"/>
          <w:b w:val="0"/>
          <w:color w:val="auto"/>
          <w:sz w:val="22"/>
          <w:szCs w:val="22"/>
        </w:rPr>
        <w:t>9</w:t>
      </w:r>
      <w:r>
        <w:rPr>
          <w:rFonts w:ascii="宋体" w:eastAsia="宋体"/>
          <w:b w:val="0"/>
          <w:color w:val="auto"/>
          <w:sz w:val="22"/>
          <w:szCs w:val="22"/>
        </w:rPr>
        <w:t>号</w:t>
      </w:r>
      <w:r>
        <w:rPr>
          <w:rFonts w:hint="eastAsia" w:ascii="宋体" w:eastAsia="宋体"/>
          <w:b w:val="0"/>
          <w:color w:val="auto"/>
          <w:sz w:val="22"/>
          <w:szCs w:val="22"/>
        </w:rPr>
        <w:t>）</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（六）《关于印发环境标志产品政府采购品目清单的通知》（财库〔</w:t>
      </w:r>
      <w:r>
        <w:rPr>
          <w:rFonts w:ascii="宋体" w:eastAsia="宋体"/>
          <w:b w:val="0"/>
          <w:color w:val="auto"/>
          <w:sz w:val="22"/>
          <w:szCs w:val="22"/>
        </w:rPr>
        <w:t>2019〕18号</w:t>
      </w:r>
      <w:r>
        <w:rPr>
          <w:rFonts w:hint="eastAsia" w:ascii="宋体" w:eastAsia="宋体"/>
          <w:b w:val="0"/>
          <w:color w:val="auto"/>
          <w:sz w:val="22"/>
          <w:szCs w:val="22"/>
        </w:rPr>
        <w:t>）</w:t>
      </w:r>
    </w:p>
    <w:p>
      <w:pPr>
        <w:snapToGrid w:val="0"/>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（七）《市场监管总局关于发布参与实施政府采购节能产品、环境标志产品认证机构名录的公告》（</w:t>
      </w:r>
      <w:r>
        <w:rPr>
          <w:rFonts w:ascii="宋体" w:eastAsia="宋体"/>
          <w:b w:val="0"/>
          <w:color w:val="auto"/>
          <w:sz w:val="22"/>
          <w:szCs w:val="22"/>
        </w:rPr>
        <w:t>2019年第16号</w:t>
      </w:r>
      <w:r>
        <w:rPr>
          <w:rFonts w:hint="eastAsia" w:ascii="宋体" w:eastAsia="宋体"/>
          <w:b w:val="0"/>
          <w:color w:val="auto"/>
          <w:sz w:val="22"/>
          <w:szCs w:val="22"/>
        </w:rPr>
        <w:t>）</w:t>
      </w:r>
    </w:p>
    <w:p>
      <w:pPr>
        <w:snapToGrid w:val="0"/>
        <w:spacing w:line="460" w:lineRule="atLeast"/>
        <w:ind w:firstLine="440" w:firstLineChars="200"/>
        <w:jc w:val="center"/>
        <w:rPr>
          <w:rFonts w:ascii="宋体" w:eastAsia="宋体" w:cs="宋体"/>
          <w:b w:val="0"/>
          <w:color w:val="auto"/>
          <w:sz w:val="22"/>
        </w:rPr>
      </w:pPr>
      <w:r>
        <w:rPr>
          <w:rFonts w:hint="eastAsia" w:ascii="宋体" w:eastAsia="宋体"/>
          <w:b w:val="0"/>
          <w:color w:val="auto"/>
          <w:sz w:val="22"/>
          <w:szCs w:val="22"/>
        </w:rPr>
        <w:t>2</w:t>
      </w:r>
      <w:r>
        <w:rPr>
          <w:rFonts w:ascii="宋体" w:eastAsia="宋体"/>
          <w:b w:val="0"/>
          <w:color w:val="auto"/>
          <w:sz w:val="22"/>
          <w:szCs w:val="22"/>
        </w:rPr>
        <w:t>、供应商投标货物属于节能、环保优先（强制）采购范围的，须提供相关证明材料。</w:t>
      </w:r>
    </w:p>
    <w:p>
      <w:pPr>
        <w:spacing w:line="440" w:lineRule="atLeast"/>
        <w:jc w:val="left"/>
        <w:rPr>
          <w:rFonts w:ascii="宋体" w:eastAsia="宋体"/>
          <w:b w:val="0"/>
          <w:color w:val="auto"/>
          <w:sz w:val="22"/>
          <w:szCs w:val="2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pStyle w:val="2"/>
        <w:rPr>
          <w:rFonts w:ascii="宋体" w:eastAsia="宋体"/>
          <w:color w:val="auto"/>
          <w:sz w:val="32"/>
          <w:szCs w:val="32"/>
        </w:rPr>
      </w:pPr>
    </w:p>
    <w:p>
      <w:pPr>
        <w:pStyle w:val="3"/>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ind w:firstLine="480"/>
        <w:jc w:val="center"/>
        <w:rPr>
          <w:rFonts w:ascii="宋体" w:eastAsia="宋体"/>
          <w:color w:val="auto"/>
          <w:sz w:val="32"/>
          <w:szCs w:val="32"/>
        </w:rPr>
      </w:pPr>
    </w:p>
    <w:p>
      <w:pPr>
        <w:spacing w:line="440" w:lineRule="atLeast"/>
        <w:jc w:val="both"/>
        <w:rPr>
          <w:rFonts w:ascii="宋体" w:eastAsia="宋体"/>
          <w:color w:val="auto"/>
          <w:sz w:val="32"/>
          <w:szCs w:val="32"/>
        </w:rPr>
      </w:pPr>
    </w:p>
    <w:p>
      <w:pPr>
        <w:snapToGrid w:val="0"/>
        <w:spacing w:line="440" w:lineRule="atLeast"/>
        <w:jc w:val="center"/>
        <w:rPr>
          <w:rFonts w:hint="eastAsia" w:ascii="宋体" w:eastAsia="宋体"/>
          <w:b w:val="0"/>
          <w:color w:val="auto"/>
          <w:sz w:val="36"/>
        </w:rPr>
      </w:pPr>
      <w:bookmarkStart w:id="173" w:name="_Toc494407540"/>
      <w:r>
        <w:rPr>
          <w:rFonts w:hint="eastAsia" w:ascii="宋体" w:eastAsia="宋体"/>
          <w:b w:val="0"/>
          <w:color w:val="auto"/>
          <w:sz w:val="36"/>
        </w:rPr>
        <w:t>第五部分  合同格式（参考格式</w:t>
      </w:r>
      <w:r>
        <w:rPr>
          <w:rFonts w:hint="eastAsia" w:ascii="宋体" w:eastAsia="宋体"/>
          <w:b w:val="0"/>
          <w:color w:val="auto"/>
          <w:sz w:val="36"/>
          <w:lang w:eastAsia="zh-CN"/>
        </w:rPr>
        <w:t>，</w:t>
      </w:r>
      <w:r>
        <w:rPr>
          <w:rFonts w:hint="eastAsia" w:ascii="宋体" w:eastAsia="宋体"/>
          <w:b w:val="0"/>
          <w:color w:val="auto"/>
          <w:sz w:val="36"/>
          <w:lang w:val="en-US" w:eastAsia="zh-CN"/>
        </w:rPr>
        <w:t>最终以签订的为准</w:t>
      </w:r>
      <w:r>
        <w:rPr>
          <w:rFonts w:hint="eastAsia" w:ascii="宋体" w:eastAsia="宋体"/>
          <w:b w:val="0"/>
          <w:color w:val="auto"/>
          <w:sz w:val="36"/>
        </w:rPr>
        <w:t>）</w:t>
      </w:r>
    </w:p>
    <w:p>
      <w:pPr>
        <w:pStyle w:val="13"/>
        <w:snapToGrid w:val="0"/>
        <w:spacing w:line="440" w:lineRule="atLeast"/>
        <w:jc w:val="left"/>
        <w:rPr>
          <w:rFonts w:hint="eastAsia" w:hAnsi="宋体" w:eastAsia="宋体"/>
          <w:b w:val="0"/>
          <w:color w:val="auto"/>
          <w:sz w:val="24"/>
        </w:rPr>
      </w:pPr>
      <w:r>
        <w:rPr>
          <w:rFonts w:hint="eastAsia" w:hAnsi="宋体" w:eastAsia="宋体"/>
          <w:b w:val="0"/>
          <w:color w:val="auto"/>
          <w:sz w:val="24"/>
        </w:rPr>
        <w:t xml:space="preserve">                                    编号  ：</w:t>
      </w:r>
    </w:p>
    <w:p>
      <w:pPr>
        <w:pStyle w:val="13"/>
        <w:snapToGrid w:val="0"/>
        <w:spacing w:line="396" w:lineRule="atLeast"/>
        <w:jc w:val="center"/>
        <w:rPr>
          <w:rFonts w:hint="eastAsia" w:hAnsi="宋体" w:eastAsia="宋体"/>
          <w:color w:val="auto"/>
          <w:sz w:val="22"/>
          <w:szCs w:val="22"/>
        </w:rPr>
      </w:pPr>
      <w:r>
        <w:rPr>
          <w:rFonts w:hint="eastAsia" w:hAnsi="宋体" w:eastAsia="宋体"/>
          <w:color w:val="auto"/>
          <w:sz w:val="22"/>
          <w:szCs w:val="22"/>
        </w:rPr>
        <w:t>（中标供应商须主动联系采购代理机构领取中标通知书，须在中标通知书发出之日起</w:t>
      </w:r>
      <w:r>
        <w:rPr>
          <w:rFonts w:hAnsi="宋体" w:eastAsia="宋体"/>
          <w:color w:val="auto"/>
          <w:sz w:val="22"/>
          <w:szCs w:val="22"/>
        </w:rPr>
        <w:t>30日内主动与采购人联系签订合同。未经采购人许可，在规定时间内未到采购人处与采购人签订合同，则</w:t>
      </w:r>
      <w:r>
        <w:rPr>
          <w:rFonts w:hint="eastAsia" w:hAnsi="宋体" w:eastAsia="宋体"/>
          <w:color w:val="auto"/>
          <w:sz w:val="22"/>
          <w:szCs w:val="22"/>
        </w:rPr>
        <w:t>采购</w:t>
      </w:r>
      <w:r>
        <w:rPr>
          <w:rFonts w:hAnsi="宋体" w:eastAsia="宋体"/>
          <w:color w:val="auto"/>
          <w:sz w:val="22"/>
          <w:szCs w:val="22"/>
        </w:rPr>
        <w:t>人有权拒签合同</w:t>
      </w:r>
      <w:r>
        <w:rPr>
          <w:rFonts w:hint="eastAsia" w:hAnsi="宋体" w:eastAsia="宋体"/>
          <w:color w:val="auto"/>
          <w:sz w:val="22"/>
          <w:szCs w:val="22"/>
        </w:rPr>
        <w:t>，</w:t>
      </w:r>
      <w:r>
        <w:rPr>
          <w:rFonts w:hAnsi="宋体" w:eastAsia="宋体"/>
          <w:color w:val="auto"/>
          <w:sz w:val="22"/>
          <w:szCs w:val="22"/>
        </w:rPr>
        <w:t>造成的后果由中标供应商自行负责。</w:t>
      </w:r>
      <w:r>
        <w:rPr>
          <w:rFonts w:hint="eastAsia" w:hAnsi="宋体" w:eastAsia="宋体"/>
          <w:color w:val="auto"/>
          <w:sz w:val="22"/>
          <w:szCs w:val="22"/>
        </w:rPr>
        <w:t>）</w:t>
      </w:r>
    </w:p>
    <w:p>
      <w:pPr>
        <w:snapToGrid w:val="0"/>
        <w:spacing w:line="440" w:lineRule="atLeast"/>
        <w:rPr>
          <w:rFonts w:hint="eastAsia" w:ascii="宋体" w:eastAsia="宋体"/>
          <w:b w:val="0"/>
          <w:color w:val="auto"/>
          <w:sz w:val="22"/>
        </w:rPr>
      </w:pPr>
      <w:r>
        <w:rPr>
          <w:rFonts w:hint="eastAsia" w:ascii="宋体" w:eastAsia="宋体"/>
          <w:b w:val="0"/>
          <w:color w:val="auto"/>
          <w:sz w:val="22"/>
        </w:rPr>
        <w:t>采购人：</w:t>
      </w:r>
      <w:r>
        <w:rPr>
          <w:rFonts w:hint="eastAsia" w:ascii="宋体" w:eastAsia="宋体"/>
          <w:b w:val="0"/>
          <w:color w:val="auto"/>
          <w:sz w:val="22"/>
          <w:u w:val="single"/>
        </w:rPr>
        <w:t xml:space="preserve">               </w:t>
      </w:r>
    </w:p>
    <w:p>
      <w:pPr>
        <w:snapToGrid w:val="0"/>
        <w:spacing w:line="440" w:lineRule="atLeast"/>
        <w:rPr>
          <w:rFonts w:hint="eastAsia" w:ascii="宋体" w:eastAsia="宋体"/>
          <w:b w:val="0"/>
          <w:color w:val="auto"/>
          <w:sz w:val="22"/>
        </w:rPr>
      </w:pPr>
      <w:r>
        <w:rPr>
          <w:rFonts w:hint="eastAsia" w:ascii="宋体" w:eastAsia="宋体"/>
          <w:b w:val="0"/>
          <w:color w:val="auto"/>
          <w:sz w:val="22"/>
        </w:rPr>
        <w:t>中标供应商：本次招标的中标供应商</w:t>
      </w:r>
    </w:p>
    <w:p>
      <w:pPr>
        <w:snapToGrid w:val="0"/>
        <w:spacing w:line="440" w:lineRule="atLeast"/>
        <w:ind w:firstLine="570"/>
        <w:rPr>
          <w:rFonts w:hint="eastAsia" w:ascii="宋体" w:eastAsia="宋体"/>
          <w:b w:val="0"/>
          <w:color w:val="auto"/>
          <w:sz w:val="22"/>
        </w:rPr>
      </w:pPr>
      <w:r>
        <w:rPr>
          <w:rFonts w:hint="eastAsia" w:ascii="宋体" w:eastAsia="宋体"/>
          <w:b w:val="0"/>
          <w:color w:val="auto"/>
          <w:sz w:val="22"/>
        </w:rPr>
        <w:t>双方经协商，就中标供应商向采购人提供本公司产品以及相关产品的伴随服务事宜达成以下条款：</w:t>
      </w:r>
    </w:p>
    <w:p>
      <w:pPr>
        <w:snapToGrid w:val="0"/>
        <w:spacing w:line="440" w:lineRule="atLeast"/>
        <w:rPr>
          <w:rFonts w:hint="eastAsia" w:ascii="宋体" w:eastAsia="宋体"/>
          <w:b w:val="0"/>
          <w:color w:val="auto"/>
          <w:sz w:val="22"/>
        </w:rPr>
      </w:pPr>
      <w:r>
        <w:rPr>
          <w:rFonts w:hint="eastAsia" w:ascii="宋体" w:eastAsia="宋体"/>
          <w:b w:val="0"/>
          <w:color w:val="auto"/>
          <w:sz w:val="22"/>
        </w:rPr>
        <w:t>第一条：采购商品清单及合同价格</w:t>
      </w:r>
    </w:p>
    <w:p>
      <w:pPr>
        <w:snapToGrid w:val="0"/>
        <w:spacing w:line="440" w:lineRule="atLeast"/>
        <w:ind w:firstLine="540"/>
        <w:rPr>
          <w:rFonts w:hint="eastAsia" w:ascii="宋体" w:eastAsia="宋体"/>
          <w:b w:val="0"/>
          <w:color w:val="auto"/>
          <w:sz w:val="22"/>
        </w:rPr>
      </w:pPr>
      <w:r>
        <w:rPr>
          <w:rFonts w:hint="eastAsia" w:ascii="宋体" w:eastAsia="宋体"/>
          <w:b w:val="0"/>
          <w:color w:val="auto"/>
          <w:sz w:val="22"/>
        </w:rPr>
        <w:t>中标供应商保证提供如下内容的合格产品：        金额单位：人民币元</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713"/>
        <w:gridCol w:w="1128"/>
        <w:gridCol w:w="1129"/>
        <w:gridCol w:w="112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2267" w:type="dxa"/>
            <w:noWrap w:val="0"/>
            <w:vAlign w:val="center"/>
          </w:tcPr>
          <w:p>
            <w:pPr>
              <w:snapToGrid w:val="0"/>
              <w:spacing w:line="440" w:lineRule="atLeast"/>
              <w:ind w:firstLine="240"/>
              <w:jc w:val="center"/>
              <w:rPr>
                <w:rFonts w:hint="eastAsia" w:ascii="宋体" w:eastAsia="宋体"/>
                <w:b w:val="0"/>
                <w:color w:val="auto"/>
                <w:sz w:val="22"/>
              </w:rPr>
            </w:pPr>
            <w:r>
              <w:rPr>
                <w:rFonts w:hint="eastAsia" w:ascii="宋体" w:eastAsia="宋体"/>
                <w:b w:val="0"/>
                <w:color w:val="auto"/>
                <w:sz w:val="22"/>
              </w:rPr>
              <w:t>采购产品名称</w:t>
            </w:r>
          </w:p>
        </w:tc>
        <w:tc>
          <w:tcPr>
            <w:tcW w:w="2713" w:type="dxa"/>
            <w:noWrap w:val="0"/>
            <w:vAlign w:val="center"/>
          </w:tcPr>
          <w:p>
            <w:pPr>
              <w:snapToGrid w:val="0"/>
              <w:spacing w:line="440" w:lineRule="atLeast"/>
              <w:jc w:val="center"/>
              <w:rPr>
                <w:rFonts w:hint="eastAsia" w:ascii="宋体" w:eastAsia="宋体"/>
                <w:b w:val="0"/>
                <w:color w:val="auto"/>
                <w:sz w:val="22"/>
              </w:rPr>
            </w:pPr>
            <w:r>
              <w:rPr>
                <w:rFonts w:hint="eastAsia" w:ascii="宋体" w:eastAsia="宋体"/>
                <w:b w:val="0"/>
                <w:color w:val="auto"/>
                <w:sz w:val="22"/>
              </w:rPr>
              <w:t>型号规格和主要配置</w:t>
            </w:r>
          </w:p>
        </w:tc>
        <w:tc>
          <w:tcPr>
            <w:tcW w:w="1128" w:type="dxa"/>
            <w:noWrap w:val="0"/>
            <w:vAlign w:val="center"/>
          </w:tcPr>
          <w:p>
            <w:pPr>
              <w:snapToGrid w:val="0"/>
              <w:spacing w:line="440" w:lineRule="atLeast"/>
              <w:jc w:val="center"/>
              <w:rPr>
                <w:rFonts w:hint="eastAsia" w:ascii="宋体" w:eastAsia="宋体"/>
                <w:b w:val="0"/>
                <w:color w:val="auto"/>
                <w:sz w:val="22"/>
              </w:rPr>
            </w:pPr>
            <w:r>
              <w:rPr>
                <w:rFonts w:hint="eastAsia" w:ascii="宋体" w:eastAsia="宋体"/>
                <w:b w:val="0"/>
                <w:color w:val="auto"/>
                <w:sz w:val="22"/>
              </w:rPr>
              <w:t>数量</w:t>
            </w:r>
          </w:p>
        </w:tc>
        <w:tc>
          <w:tcPr>
            <w:tcW w:w="1129" w:type="dxa"/>
            <w:noWrap w:val="0"/>
            <w:vAlign w:val="center"/>
          </w:tcPr>
          <w:p>
            <w:pPr>
              <w:snapToGrid w:val="0"/>
              <w:spacing w:line="440" w:lineRule="atLeast"/>
              <w:jc w:val="center"/>
              <w:rPr>
                <w:rFonts w:hint="eastAsia" w:ascii="宋体" w:eastAsia="宋体"/>
                <w:b w:val="0"/>
                <w:color w:val="auto"/>
                <w:sz w:val="22"/>
              </w:rPr>
            </w:pPr>
            <w:r>
              <w:rPr>
                <w:rFonts w:hint="eastAsia" w:ascii="宋体" w:eastAsia="宋体"/>
                <w:b w:val="0"/>
                <w:color w:val="auto"/>
                <w:sz w:val="22"/>
              </w:rPr>
              <w:t>中标价</w:t>
            </w:r>
          </w:p>
        </w:tc>
        <w:tc>
          <w:tcPr>
            <w:tcW w:w="1129" w:type="dxa"/>
            <w:noWrap w:val="0"/>
            <w:vAlign w:val="center"/>
          </w:tcPr>
          <w:p>
            <w:pPr>
              <w:snapToGrid w:val="0"/>
              <w:spacing w:line="440" w:lineRule="atLeast"/>
              <w:jc w:val="center"/>
              <w:rPr>
                <w:rFonts w:hint="eastAsia" w:ascii="宋体" w:eastAsia="宋体"/>
                <w:b w:val="0"/>
                <w:color w:val="auto"/>
                <w:sz w:val="22"/>
              </w:rPr>
            </w:pPr>
            <w:r>
              <w:rPr>
                <w:rFonts w:hint="eastAsia" w:ascii="宋体" w:eastAsia="宋体"/>
                <w:b w:val="0"/>
                <w:color w:val="auto"/>
                <w:sz w:val="22"/>
              </w:rPr>
              <w:t>完工期</w:t>
            </w:r>
          </w:p>
        </w:tc>
        <w:tc>
          <w:tcPr>
            <w:tcW w:w="1129" w:type="dxa"/>
            <w:noWrap w:val="0"/>
            <w:vAlign w:val="center"/>
          </w:tcPr>
          <w:p>
            <w:pPr>
              <w:snapToGrid w:val="0"/>
              <w:spacing w:line="440" w:lineRule="atLeast"/>
              <w:jc w:val="center"/>
              <w:rPr>
                <w:rFonts w:hint="eastAsia" w:ascii="宋体" w:eastAsia="宋体"/>
                <w:b w:val="0"/>
                <w:color w:val="auto"/>
                <w:sz w:val="22"/>
              </w:rPr>
            </w:pPr>
            <w:r>
              <w:rPr>
                <w:rFonts w:hint="eastAsia" w:ascii="宋体" w:eastAsia="宋体"/>
                <w:b w:val="0"/>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2267" w:type="dxa"/>
            <w:noWrap w:val="0"/>
            <w:vAlign w:val="center"/>
          </w:tcPr>
          <w:p>
            <w:pPr>
              <w:snapToGrid w:val="0"/>
              <w:spacing w:line="440" w:lineRule="atLeast"/>
              <w:jc w:val="center"/>
              <w:rPr>
                <w:rFonts w:hint="eastAsia" w:ascii="宋体" w:eastAsia="宋体"/>
                <w:b w:val="0"/>
                <w:color w:val="auto"/>
                <w:sz w:val="22"/>
              </w:rPr>
            </w:pPr>
          </w:p>
        </w:tc>
        <w:tc>
          <w:tcPr>
            <w:tcW w:w="2713" w:type="dxa"/>
            <w:noWrap w:val="0"/>
            <w:vAlign w:val="center"/>
          </w:tcPr>
          <w:p>
            <w:pPr>
              <w:snapToGrid w:val="0"/>
              <w:spacing w:line="440" w:lineRule="atLeast"/>
              <w:jc w:val="center"/>
              <w:rPr>
                <w:rFonts w:hint="eastAsia" w:ascii="宋体" w:eastAsia="宋体"/>
                <w:b w:val="0"/>
                <w:color w:val="auto"/>
                <w:sz w:val="22"/>
              </w:rPr>
            </w:pPr>
          </w:p>
        </w:tc>
        <w:tc>
          <w:tcPr>
            <w:tcW w:w="1128" w:type="dxa"/>
            <w:noWrap w:val="0"/>
            <w:vAlign w:val="center"/>
          </w:tcPr>
          <w:p>
            <w:pPr>
              <w:snapToGrid w:val="0"/>
              <w:spacing w:line="440" w:lineRule="atLeast"/>
              <w:jc w:val="center"/>
              <w:rPr>
                <w:rFonts w:hint="eastAsia" w:ascii="宋体" w:eastAsia="宋体"/>
                <w:b w:val="0"/>
                <w:color w:val="auto"/>
                <w:sz w:val="22"/>
              </w:rPr>
            </w:pPr>
          </w:p>
        </w:tc>
        <w:tc>
          <w:tcPr>
            <w:tcW w:w="1129" w:type="dxa"/>
            <w:noWrap w:val="0"/>
            <w:vAlign w:val="center"/>
          </w:tcPr>
          <w:p>
            <w:pPr>
              <w:snapToGrid w:val="0"/>
              <w:spacing w:line="440" w:lineRule="atLeast"/>
              <w:jc w:val="center"/>
              <w:rPr>
                <w:rFonts w:hint="eastAsia" w:ascii="宋体" w:eastAsia="宋体"/>
                <w:b w:val="0"/>
                <w:color w:val="auto"/>
                <w:sz w:val="22"/>
              </w:rPr>
            </w:pPr>
          </w:p>
        </w:tc>
        <w:tc>
          <w:tcPr>
            <w:tcW w:w="1129" w:type="dxa"/>
            <w:noWrap w:val="0"/>
            <w:vAlign w:val="center"/>
          </w:tcPr>
          <w:p>
            <w:pPr>
              <w:snapToGrid w:val="0"/>
              <w:spacing w:line="440" w:lineRule="atLeast"/>
              <w:jc w:val="center"/>
              <w:rPr>
                <w:rFonts w:hint="eastAsia" w:ascii="宋体" w:eastAsia="宋体"/>
                <w:b w:val="0"/>
                <w:color w:val="auto"/>
                <w:sz w:val="22"/>
              </w:rPr>
            </w:pPr>
          </w:p>
        </w:tc>
        <w:tc>
          <w:tcPr>
            <w:tcW w:w="1129" w:type="dxa"/>
            <w:noWrap w:val="0"/>
            <w:vAlign w:val="center"/>
          </w:tcPr>
          <w:p>
            <w:pPr>
              <w:snapToGrid w:val="0"/>
              <w:spacing w:line="440" w:lineRule="atLeast"/>
              <w:jc w:val="center"/>
              <w:rPr>
                <w:rFonts w:hint="eastAsia"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2267" w:type="dxa"/>
            <w:noWrap w:val="0"/>
            <w:vAlign w:val="center"/>
          </w:tcPr>
          <w:p>
            <w:pPr>
              <w:snapToGrid w:val="0"/>
              <w:spacing w:line="440" w:lineRule="atLeast"/>
              <w:jc w:val="center"/>
              <w:rPr>
                <w:rFonts w:hint="eastAsia" w:ascii="宋体" w:eastAsia="宋体"/>
                <w:b w:val="0"/>
                <w:color w:val="auto"/>
                <w:sz w:val="22"/>
              </w:rPr>
            </w:pPr>
          </w:p>
        </w:tc>
        <w:tc>
          <w:tcPr>
            <w:tcW w:w="2713" w:type="dxa"/>
            <w:noWrap w:val="0"/>
            <w:vAlign w:val="center"/>
          </w:tcPr>
          <w:p>
            <w:pPr>
              <w:snapToGrid w:val="0"/>
              <w:spacing w:line="440" w:lineRule="atLeast"/>
              <w:jc w:val="center"/>
              <w:rPr>
                <w:rFonts w:hint="eastAsia" w:ascii="宋体" w:eastAsia="宋体"/>
                <w:b w:val="0"/>
                <w:color w:val="auto"/>
                <w:sz w:val="22"/>
              </w:rPr>
            </w:pPr>
          </w:p>
        </w:tc>
        <w:tc>
          <w:tcPr>
            <w:tcW w:w="1128" w:type="dxa"/>
            <w:noWrap w:val="0"/>
            <w:vAlign w:val="center"/>
          </w:tcPr>
          <w:p>
            <w:pPr>
              <w:snapToGrid w:val="0"/>
              <w:spacing w:line="440" w:lineRule="atLeast"/>
              <w:jc w:val="center"/>
              <w:rPr>
                <w:rFonts w:hint="eastAsia" w:ascii="宋体" w:eastAsia="宋体"/>
                <w:b w:val="0"/>
                <w:color w:val="auto"/>
                <w:sz w:val="22"/>
              </w:rPr>
            </w:pPr>
          </w:p>
        </w:tc>
        <w:tc>
          <w:tcPr>
            <w:tcW w:w="1129" w:type="dxa"/>
            <w:noWrap w:val="0"/>
            <w:vAlign w:val="center"/>
          </w:tcPr>
          <w:p>
            <w:pPr>
              <w:snapToGrid w:val="0"/>
              <w:spacing w:line="440" w:lineRule="atLeast"/>
              <w:jc w:val="center"/>
              <w:rPr>
                <w:rFonts w:hint="eastAsia" w:ascii="宋体" w:eastAsia="宋体"/>
                <w:b w:val="0"/>
                <w:color w:val="auto"/>
                <w:sz w:val="22"/>
              </w:rPr>
            </w:pPr>
          </w:p>
        </w:tc>
        <w:tc>
          <w:tcPr>
            <w:tcW w:w="1129" w:type="dxa"/>
            <w:noWrap w:val="0"/>
            <w:vAlign w:val="center"/>
          </w:tcPr>
          <w:p>
            <w:pPr>
              <w:snapToGrid w:val="0"/>
              <w:spacing w:line="440" w:lineRule="atLeast"/>
              <w:jc w:val="center"/>
              <w:rPr>
                <w:rFonts w:hint="eastAsia" w:ascii="宋体" w:eastAsia="宋体"/>
                <w:b w:val="0"/>
                <w:color w:val="auto"/>
                <w:sz w:val="22"/>
              </w:rPr>
            </w:pPr>
          </w:p>
        </w:tc>
        <w:tc>
          <w:tcPr>
            <w:tcW w:w="1129" w:type="dxa"/>
            <w:noWrap w:val="0"/>
            <w:vAlign w:val="center"/>
          </w:tcPr>
          <w:p>
            <w:pPr>
              <w:snapToGrid w:val="0"/>
              <w:spacing w:line="440" w:lineRule="atLeast"/>
              <w:jc w:val="center"/>
              <w:rPr>
                <w:rFonts w:hint="eastAsia"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2267" w:type="dxa"/>
            <w:noWrap w:val="0"/>
            <w:vAlign w:val="center"/>
          </w:tcPr>
          <w:p>
            <w:pPr>
              <w:snapToGrid w:val="0"/>
              <w:spacing w:line="440" w:lineRule="atLeast"/>
              <w:jc w:val="center"/>
              <w:rPr>
                <w:rFonts w:hint="eastAsia" w:ascii="宋体" w:eastAsia="宋体"/>
                <w:b w:val="0"/>
                <w:color w:val="auto"/>
                <w:sz w:val="22"/>
              </w:rPr>
            </w:pPr>
          </w:p>
        </w:tc>
        <w:tc>
          <w:tcPr>
            <w:tcW w:w="2713" w:type="dxa"/>
            <w:noWrap w:val="0"/>
            <w:vAlign w:val="center"/>
          </w:tcPr>
          <w:p>
            <w:pPr>
              <w:snapToGrid w:val="0"/>
              <w:spacing w:line="440" w:lineRule="atLeast"/>
              <w:jc w:val="center"/>
              <w:rPr>
                <w:rFonts w:hint="eastAsia" w:ascii="宋体" w:eastAsia="宋体"/>
                <w:b w:val="0"/>
                <w:color w:val="auto"/>
                <w:sz w:val="22"/>
              </w:rPr>
            </w:pPr>
          </w:p>
        </w:tc>
        <w:tc>
          <w:tcPr>
            <w:tcW w:w="1128" w:type="dxa"/>
            <w:noWrap w:val="0"/>
            <w:vAlign w:val="center"/>
          </w:tcPr>
          <w:p>
            <w:pPr>
              <w:snapToGrid w:val="0"/>
              <w:spacing w:line="440" w:lineRule="atLeast"/>
              <w:jc w:val="center"/>
              <w:rPr>
                <w:rFonts w:hint="eastAsia" w:ascii="宋体" w:eastAsia="宋体"/>
                <w:b w:val="0"/>
                <w:color w:val="auto"/>
                <w:sz w:val="22"/>
              </w:rPr>
            </w:pPr>
          </w:p>
        </w:tc>
        <w:tc>
          <w:tcPr>
            <w:tcW w:w="1129" w:type="dxa"/>
            <w:noWrap w:val="0"/>
            <w:vAlign w:val="center"/>
          </w:tcPr>
          <w:p>
            <w:pPr>
              <w:snapToGrid w:val="0"/>
              <w:spacing w:line="440" w:lineRule="atLeast"/>
              <w:jc w:val="center"/>
              <w:rPr>
                <w:rFonts w:hint="eastAsia" w:ascii="宋体" w:eastAsia="宋体"/>
                <w:b w:val="0"/>
                <w:color w:val="auto"/>
                <w:sz w:val="22"/>
              </w:rPr>
            </w:pPr>
          </w:p>
        </w:tc>
        <w:tc>
          <w:tcPr>
            <w:tcW w:w="1129" w:type="dxa"/>
            <w:noWrap w:val="0"/>
            <w:vAlign w:val="center"/>
          </w:tcPr>
          <w:p>
            <w:pPr>
              <w:snapToGrid w:val="0"/>
              <w:spacing w:line="440" w:lineRule="atLeast"/>
              <w:jc w:val="center"/>
              <w:rPr>
                <w:rFonts w:hint="eastAsia" w:ascii="宋体" w:eastAsia="宋体"/>
                <w:b w:val="0"/>
                <w:color w:val="auto"/>
                <w:sz w:val="22"/>
              </w:rPr>
            </w:pPr>
          </w:p>
        </w:tc>
        <w:tc>
          <w:tcPr>
            <w:tcW w:w="1129" w:type="dxa"/>
            <w:noWrap w:val="0"/>
            <w:vAlign w:val="center"/>
          </w:tcPr>
          <w:p>
            <w:pPr>
              <w:snapToGrid w:val="0"/>
              <w:spacing w:line="440" w:lineRule="atLeast"/>
              <w:jc w:val="center"/>
              <w:rPr>
                <w:rFonts w:hint="eastAsia" w:ascii="宋体" w:eastAsia="宋体"/>
                <w:b w:val="0"/>
                <w:color w:val="auto"/>
                <w:sz w:val="22"/>
              </w:rPr>
            </w:pPr>
          </w:p>
        </w:tc>
      </w:tr>
    </w:tbl>
    <w:p>
      <w:pPr>
        <w:snapToGrid w:val="0"/>
        <w:spacing w:line="440" w:lineRule="atLeast"/>
        <w:rPr>
          <w:rFonts w:hint="eastAsia" w:ascii="宋体" w:eastAsia="宋体"/>
          <w:b w:val="0"/>
          <w:color w:val="auto"/>
          <w:sz w:val="22"/>
        </w:rPr>
      </w:pPr>
      <w:r>
        <w:rPr>
          <w:rFonts w:hint="eastAsia" w:ascii="宋体" w:eastAsia="宋体"/>
          <w:b w:val="0"/>
          <w:color w:val="auto"/>
          <w:sz w:val="22"/>
        </w:rPr>
        <w:t>第二条：质量标准和要求</w:t>
      </w:r>
    </w:p>
    <w:p>
      <w:pPr>
        <w:snapToGrid w:val="0"/>
        <w:spacing w:line="440" w:lineRule="atLeast"/>
        <w:ind w:firstLine="420"/>
        <w:rPr>
          <w:rFonts w:hint="eastAsia" w:ascii="宋体" w:eastAsia="宋体"/>
          <w:b w:val="0"/>
          <w:color w:val="auto"/>
          <w:sz w:val="22"/>
        </w:rPr>
      </w:pPr>
      <w:r>
        <w:rPr>
          <w:rFonts w:hint="eastAsia" w:ascii="宋体" w:eastAsia="宋体"/>
          <w:b w:val="0"/>
          <w:color w:val="auto"/>
          <w:sz w:val="22"/>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snapToGrid w:val="0"/>
        <w:spacing w:line="440" w:lineRule="atLeast"/>
        <w:ind w:firstLine="420"/>
        <w:rPr>
          <w:rFonts w:hint="eastAsia" w:ascii="宋体" w:eastAsia="宋体"/>
          <w:b w:val="0"/>
          <w:color w:val="auto"/>
          <w:sz w:val="22"/>
        </w:rPr>
      </w:pPr>
      <w:r>
        <w:rPr>
          <w:rFonts w:hint="eastAsia" w:ascii="宋体" w:eastAsia="宋体"/>
          <w:b w:val="0"/>
          <w:color w:val="auto"/>
          <w:sz w:val="22"/>
        </w:rPr>
        <w:t>2、中标供应商所出售的货物还应符合国家和浙江省有关安全、环保、卫生之规定。</w:t>
      </w:r>
    </w:p>
    <w:p>
      <w:pPr>
        <w:snapToGrid w:val="0"/>
        <w:spacing w:line="440" w:lineRule="atLeast"/>
        <w:rPr>
          <w:rFonts w:hint="eastAsia" w:ascii="宋体" w:eastAsia="宋体"/>
          <w:b w:val="0"/>
          <w:color w:val="auto"/>
          <w:sz w:val="22"/>
        </w:rPr>
      </w:pPr>
      <w:r>
        <w:rPr>
          <w:rFonts w:hint="eastAsia" w:ascii="宋体" w:eastAsia="宋体"/>
          <w:b w:val="0"/>
          <w:color w:val="auto"/>
          <w:sz w:val="22"/>
        </w:rPr>
        <w:t>第三条：权利瑕疵担保</w:t>
      </w:r>
    </w:p>
    <w:p>
      <w:pPr>
        <w:snapToGrid w:val="0"/>
        <w:spacing w:line="440" w:lineRule="atLeast"/>
        <w:ind w:firstLine="420"/>
        <w:rPr>
          <w:rFonts w:hint="eastAsia" w:ascii="宋体" w:eastAsia="宋体"/>
          <w:b w:val="0"/>
          <w:color w:val="auto"/>
          <w:sz w:val="22"/>
        </w:rPr>
      </w:pPr>
      <w:r>
        <w:rPr>
          <w:rFonts w:hint="eastAsia" w:ascii="宋体" w:eastAsia="宋体"/>
          <w:b w:val="0"/>
          <w:color w:val="auto"/>
          <w:sz w:val="22"/>
        </w:rPr>
        <w:t>1、中标供应商保证对其出售的货物享有合法的权利。</w:t>
      </w:r>
    </w:p>
    <w:p>
      <w:pPr>
        <w:snapToGrid w:val="0"/>
        <w:spacing w:line="440" w:lineRule="atLeast"/>
        <w:ind w:firstLine="420"/>
        <w:rPr>
          <w:rFonts w:hint="eastAsia" w:ascii="宋体" w:eastAsia="宋体"/>
          <w:b w:val="0"/>
          <w:color w:val="auto"/>
          <w:sz w:val="22"/>
        </w:rPr>
      </w:pPr>
      <w:r>
        <w:rPr>
          <w:rFonts w:hint="eastAsia" w:ascii="宋体" w:eastAsia="宋体"/>
          <w:b w:val="0"/>
          <w:color w:val="auto"/>
          <w:sz w:val="22"/>
        </w:rPr>
        <w:t>2、中标供应商保证在其出售的货物上不存在任何未曾向采购人透露的担保物权，如抵押权、质押权、留置权等。</w:t>
      </w:r>
    </w:p>
    <w:p>
      <w:pPr>
        <w:snapToGrid w:val="0"/>
        <w:spacing w:line="440" w:lineRule="atLeast"/>
        <w:ind w:firstLine="420"/>
        <w:rPr>
          <w:rFonts w:hint="eastAsia" w:ascii="宋体" w:eastAsia="宋体"/>
          <w:b w:val="0"/>
          <w:color w:val="auto"/>
          <w:sz w:val="22"/>
        </w:rPr>
      </w:pPr>
      <w:r>
        <w:rPr>
          <w:rFonts w:hint="eastAsia" w:ascii="宋体" w:eastAsia="宋体"/>
          <w:b w:val="0"/>
          <w:color w:val="auto"/>
          <w:sz w:val="22"/>
        </w:rPr>
        <w:t>3、中标供应商保证其所出售的货物没有侵犯任何第三人的知识产权和商业秘密等权利。</w:t>
      </w:r>
    </w:p>
    <w:p>
      <w:pPr>
        <w:snapToGrid w:val="0"/>
        <w:spacing w:line="440" w:lineRule="atLeast"/>
        <w:ind w:firstLine="420"/>
        <w:rPr>
          <w:rFonts w:hint="eastAsia" w:ascii="宋体" w:eastAsia="宋体"/>
          <w:b w:val="0"/>
          <w:color w:val="auto"/>
          <w:sz w:val="22"/>
        </w:rPr>
      </w:pPr>
      <w:r>
        <w:rPr>
          <w:rFonts w:hint="eastAsia" w:ascii="宋体" w:eastAsia="宋体"/>
          <w:b w:val="0"/>
          <w:color w:val="auto"/>
          <w:sz w:val="22"/>
        </w:rPr>
        <w:t>4、如采购人使用该货物构成上述侵权的，则由中标供应商承担全部责任。</w:t>
      </w:r>
    </w:p>
    <w:p>
      <w:pPr>
        <w:snapToGrid w:val="0"/>
        <w:spacing w:line="440" w:lineRule="atLeast"/>
        <w:rPr>
          <w:rFonts w:hint="eastAsia" w:ascii="宋体" w:eastAsia="宋体"/>
          <w:b w:val="0"/>
          <w:color w:val="auto"/>
          <w:sz w:val="22"/>
        </w:rPr>
      </w:pPr>
      <w:r>
        <w:rPr>
          <w:rFonts w:hint="eastAsia" w:ascii="宋体" w:eastAsia="宋体"/>
          <w:b w:val="0"/>
          <w:color w:val="auto"/>
          <w:sz w:val="22"/>
        </w:rPr>
        <w:t>第四条：包装要求</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1、中标供应商所出售的全部货物均应按标准保护措施进行包装，这类包装应适应于远距离运输、防潮、防震、防锈和防野蛮装卸等要求，以确保货物安全无损地运抵指定现场。</w:t>
      </w:r>
    </w:p>
    <w:p>
      <w:pPr>
        <w:snapToGrid w:val="0"/>
        <w:spacing w:line="440" w:lineRule="atLeast"/>
        <w:ind w:firstLine="360"/>
        <w:rPr>
          <w:rFonts w:hint="eastAsia" w:ascii="宋体" w:eastAsia="宋体"/>
          <w:b w:val="0"/>
          <w:color w:val="auto"/>
          <w:sz w:val="22"/>
        </w:rPr>
      </w:pPr>
      <w:r>
        <w:rPr>
          <w:rFonts w:hint="eastAsia" w:ascii="宋体" w:eastAsia="宋体"/>
          <w:b w:val="0"/>
          <w:color w:val="auto"/>
          <w:sz w:val="22"/>
        </w:rPr>
        <w:t xml:space="preserve"> 2、每一个包装箱内应附一份详细装箱单、质量证书和保修保养证书。</w:t>
      </w:r>
    </w:p>
    <w:p>
      <w:pPr>
        <w:snapToGrid w:val="0"/>
        <w:spacing w:line="400" w:lineRule="atLeast"/>
        <w:rPr>
          <w:rFonts w:hint="eastAsia" w:ascii="宋体" w:eastAsia="宋体"/>
          <w:b w:val="0"/>
          <w:bCs/>
          <w:color w:val="auto"/>
          <w:sz w:val="22"/>
          <w:szCs w:val="22"/>
        </w:rPr>
      </w:pPr>
      <w:r>
        <w:rPr>
          <w:rFonts w:hint="eastAsia" w:ascii="宋体" w:eastAsia="宋体"/>
          <w:b w:val="0"/>
          <w:bCs/>
          <w:color w:val="auto"/>
          <w:sz w:val="22"/>
          <w:szCs w:val="22"/>
        </w:rPr>
        <w:t>第五条：完工期</w:t>
      </w:r>
    </w:p>
    <w:p>
      <w:pPr>
        <w:spacing w:line="460" w:lineRule="atLeast"/>
        <w:ind w:firstLine="442" w:firstLineChars="200"/>
        <w:rPr>
          <w:rFonts w:hint="eastAsia" w:ascii="宋体" w:eastAsia="宋体"/>
          <w:color w:val="auto"/>
          <w:sz w:val="22"/>
          <w:highlight w:val="none"/>
        </w:rPr>
      </w:pPr>
      <w:r>
        <w:rPr>
          <w:rFonts w:hint="eastAsia" w:eastAsia="宋体"/>
          <w:color w:val="auto"/>
          <w:sz w:val="22"/>
          <w:highlight w:val="none"/>
        </w:rPr>
        <w:t>▲</w:t>
      </w:r>
      <w:r>
        <w:rPr>
          <w:rFonts w:hint="eastAsia" w:eastAsia="宋体"/>
          <w:sz w:val="22"/>
          <w:highlight w:val="none"/>
        </w:rPr>
        <w:t>在</w:t>
      </w:r>
      <w:r>
        <w:rPr>
          <w:rFonts w:hint="eastAsia" w:eastAsia="宋体"/>
          <w:sz w:val="22"/>
          <w:szCs w:val="22"/>
          <w:highlight w:val="none"/>
          <w:u w:val="single"/>
        </w:rPr>
        <w:t>接到采购人通知</w:t>
      </w:r>
      <w:r>
        <w:rPr>
          <w:rFonts w:hint="eastAsia" w:eastAsia="宋体"/>
          <w:sz w:val="22"/>
          <w:highlight w:val="none"/>
        </w:rPr>
        <w:t>后30</w:t>
      </w:r>
      <w:r>
        <w:rPr>
          <w:rFonts w:eastAsia="宋体"/>
          <w:sz w:val="22"/>
          <w:highlight w:val="none"/>
        </w:rPr>
        <w:t>日历天内交货并通过采购人验收</w:t>
      </w:r>
      <w:r>
        <w:rPr>
          <w:rFonts w:hint="eastAsia" w:ascii="宋体" w:eastAsia="宋体"/>
          <w:b w:val="0"/>
          <w:sz w:val="22"/>
          <w:szCs w:val="22"/>
          <w:highlight w:val="none"/>
        </w:rPr>
        <w:t>。</w:t>
      </w:r>
    </w:p>
    <w:p>
      <w:pPr>
        <w:snapToGrid w:val="0"/>
        <w:spacing w:line="440" w:lineRule="atLeast"/>
        <w:rPr>
          <w:rFonts w:hint="eastAsia" w:ascii="宋体" w:eastAsia="宋体"/>
          <w:b w:val="0"/>
          <w:color w:val="auto"/>
          <w:sz w:val="22"/>
        </w:rPr>
      </w:pPr>
      <w:r>
        <w:rPr>
          <w:rFonts w:hint="eastAsia" w:ascii="宋体" w:hAnsi="Courier New" w:eastAsia="宋体"/>
          <w:b w:val="0"/>
          <w:bCs/>
          <w:color w:val="auto"/>
          <w:sz w:val="22"/>
          <w:szCs w:val="22"/>
        </w:rPr>
        <w:t>第六条：</w:t>
      </w:r>
      <w:r>
        <w:rPr>
          <w:rFonts w:hint="eastAsia" w:ascii="宋体" w:eastAsia="宋体"/>
          <w:b w:val="0"/>
          <w:color w:val="auto"/>
          <w:sz w:val="22"/>
        </w:rPr>
        <w:t>验收</w:t>
      </w:r>
    </w:p>
    <w:p>
      <w:pPr>
        <w:snapToGrid w:val="0"/>
        <w:spacing w:line="440" w:lineRule="atLeast"/>
        <w:ind w:firstLine="480"/>
        <w:rPr>
          <w:rFonts w:hint="eastAsia" w:ascii="宋体" w:eastAsia="宋体"/>
          <w:b w:val="0"/>
          <w:color w:val="auto"/>
          <w:sz w:val="22"/>
        </w:rPr>
      </w:pPr>
      <w:r>
        <w:rPr>
          <w:rFonts w:hint="eastAsia" w:ascii="宋体" w:eastAsia="宋体"/>
          <w:b w:val="0"/>
          <w:color w:val="auto"/>
          <w:sz w:val="22"/>
        </w:rPr>
        <w:t>中标供应商送货至指定地点后，由采购人根据货物的技术规格要求和质量标准，对货物进行检查验收。</w:t>
      </w:r>
    </w:p>
    <w:p>
      <w:pPr>
        <w:snapToGrid w:val="0"/>
        <w:spacing w:line="440" w:lineRule="atLeast"/>
        <w:ind w:firstLine="480"/>
        <w:rPr>
          <w:rFonts w:hint="eastAsia" w:ascii="宋体" w:eastAsia="宋体"/>
          <w:b w:val="0"/>
          <w:color w:val="auto"/>
          <w:sz w:val="22"/>
        </w:rPr>
      </w:pPr>
      <w:r>
        <w:rPr>
          <w:rFonts w:hint="eastAsia" w:ascii="宋体" w:eastAsia="宋体"/>
          <w:b w:val="0"/>
          <w:color w:val="auto"/>
          <w:sz w:val="22"/>
        </w:rPr>
        <w:t>货物的数量不足或表面瑕疵，采购人应在验收时当面提出；对质量问题有异议的应在安装调试后10个工作日内提出。</w:t>
      </w:r>
    </w:p>
    <w:p>
      <w:pPr>
        <w:snapToGrid w:val="0"/>
        <w:spacing w:line="440" w:lineRule="atLeast"/>
        <w:ind w:firstLine="480"/>
        <w:rPr>
          <w:rFonts w:hint="eastAsia" w:ascii="宋体" w:eastAsia="宋体"/>
          <w:b w:val="0"/>
          <w:color w:val="auto"/>
          <w:sz w:val="22"/>
        </w:rPr>
      </w:pPr>
      <w:r>
        <w:rPr>
          <w:rFonts w:hint="eastAsia" w:ascii="宋体" w:eastAsia="宋体"/>
          <w:b w:val="0"/>
          <w:color w:val="auto"/>
          <w:sz w:val="22"/>
        </w:rPr>
        <w:t>在验收过程中发现数量不足或有质量、技术等问题，中标供应商应负责按照采购人的要求采取补足、更换或退货等处理措施，并承担由此发生的一切费用和损失。</w:t>
      </w:r>
    </w:p>
    <w:p>
      <w:pPr>
        <w:snapToGrid w:val="0"/>
        <w:spacing w:line="440" w:lineRule="atLeast"/>
        <w:ind w:firstLine="480"/>
        <w:rPr>
          <w:rFonts w:hint="eastAsia" w:ascii="宋体" w:eastAsia="宋体"/>
          <w:b w:val="0"/>
          <w:color w:val="auto"/>
          <w:sz w:val="22"/>
        </w:rPr>
      </w:pPr>
      <w:r>
        <w:rPr>
          <w:rFonts w:hint="eastAsia" w:ascii="宋体" w:eastAsia="宋体"/>
          <w:b w:val="0"/>
          <w:color w:val="auto"/>
          <w:sz w:val="22"/>
        </w:rPr>
        <w:t>采购人在中标供应商按合同规定交货和安装、调试后，无正当理由而拖延接收、验收或拒绝接收、验收的，应承担由此而造成的中标供应商直接损失。</w:t>
      </w:r>
    </w:p>
    <w:p>
      <w:pPr>
        <w:snapToGrid w:val="0"/>
        <w:spacing w:line="440" w:lineRule="atLeast"/>
        <w:rPr>
          <w:rFonts w:hint="eastAsia" w:ascii="宋体" w:eastAsia="宋体"/>
          <w:b w:val="0"/>
          <w:color w:val="auto"/>
          <w:sz w:val="22"/>
        </w:rPr>
      </w:pPr>
      <w:r>
        <w:rPr>
          <w:rFonts w:hint="eastAsia" w:ascii="宋体" w:eastAsia="宋体"/>
          <w:b w:val="0"/>
          <w:color w:val="auto"/>
          <w:sz w:val="22"/>
        </w:rPr>
        <w:t>第七条：售后服务</w:t>
      </w:r>
    </w:p>
    <w:p>
      <w:pPr>
        <w:snapToGrid w:val="0"/>
        <w:spacing w:line="440" w:lineRule="atLeast"/>
        <w:ind w:firstLine="480"/>
        <w:rPr>
          <w:rFonts w:hint="eastAsia" w:ascii="宋体" w:eastAsia="宋体"/>
          <w:sz w:val="22"/>
          <w:szCs w:val="22"/>
        </w:rPr>
      </w:pPr>
      <w:r>
        <w:rPr>
          <w:rFonts w:hint="eastAsia" w:ascii="宋体" w:eastAsia="宋体"/>
          <w:sz w:val="22"/>
          <w:szCs w:val="22"/>
        </w:rPr>
        <w:t>1、质保期：3年；</w:t>
      </w:r>
    </w:p>
    <w:p>
      <w:pPr>
        <w:snapToGrid w:val="0"/>
        <w:spacing w:line="440" w:lineRule="atLeast"/>
        <w:ind w:firstLine="480"/>
        <w:rPr>
          <w:rFonts w:hint="eastAsia" w:ascii="宋体" w:eastAsia="宋体"/>
          <w:color w:val="auto"/>
          <w:sz w:val="22"/>
          <w:szCs w:val="22"/>
        </w:rPr>
      </w:pPr>
      <w:r>
        <w:rPr>
          <w:rFonts w:hint="eastAsia" w:ascii="宋体" w:eastAsia="宋体"/>
          <w:color w:val="auto"/>
          <w:sz w:val="22"/>
          <w:szCs w:val="22"/>
        </w:rPr>
        <w:t>2、三年内如因质量问题导致无法使用的，应无条件免费更换，</w:t>
      </w:r>
    </w:p>
    <w:p>
      <w:pPr>
        <w:snapToGrid w:val="0"/>
        <w:spacing w:line="440" w:lineRule="atLeast"/>
        <w:rPr>
          <w:rFonts w:hint="eastAsia" w:ascii="宋体" w:eastAsia="宋体"/>
          <w:b w:val="0"/>
          <w:color w:val="auto"/>
          <w:sz w:val="22"/>
        </w:rPr>
      </w:pPr>
      <w:r>
        <w:rPr>
          <w:rFonts w:hint="eastAsia" w:ascii="宋体" w:eastAsia="宋体"/>
          <w:b w:val="0"/>
          <w:color w:val="auto"/>
          <w:sz w:val="22"/>
        </w:rPr>
        <w:t>第八条：履约保证金</w:t>
      </w:r>
    </w:p>
    <w:p>
      <w:pPr>
        <w:snapToGrid w:val="0"/>
        <w:spacing w:line="400" w:lineRule="atLeast"/>
        <w:ind w:firstLine="440" w:firstLineChars="200"/>
        <w:rPr>
          <w:rFonts w:hint="eastAsia" w:ascii="宋体" w:hAnsi="Courier New" w:eastAsia="宋体"/>
          <w:b w:val="0"/>
          <w:color w:val="auto"/>
          <w:sz w:val="22"/>
          <w:szCs w:val="22"/>
          <w:u w:val="single"/>
        </w:rPr>
      </w:pPr>
      <w:r>
        <w:rPr>
          <w:rFonts w:hint="eastAsia" w:ascii="宋体" w:hAnsi="Courier New" w:eastAsia="宋体"/>
          <w:b w:val="0"/>
          <w:color w:val="auto"/>
          <w:sz w:val="22"/>
          <w:szCs w:val="22"/>
          <w:u w:val="single"/>
        </w:rPr>
        <w:t>按照招标文件规定。</w:t>
      </w:r>
    </w:p>
    <w:p>
      <w:pPr>
        <w:snapToGrid w:val="0"/>
        <w:spacing w:line="440" w:lineRule="atLeast"/>
        <w:rPr>
          <w:rFonts w:hint="eastAsia" w:ascii="宋体" w:eastAsia="宋体"/>
          <w:b w:val="0"/>
          <w:color w:val="auto"/>
          <w:sz w:val="22"/>
        </w:rPr>
      </w:pPr>
      <w:r>
        <w:rPr>
          <w:rFonts w:hint="eastAsia" w:ascii="宋体" w:eastAsia="宋体"/>
          <w:b w:val="0"/>
          <w:color w:val="auto"/>
          <w:sz w:val="22"/>
        </w:rPr>
        <w:t>第</w:t>
      </w:r>
      <w:r>
        <w:rPr>
          <w:rFonts w:hint="eastAsia" w:ascii="宋体" w:hAnsi="Courier New" w:eastAsia="宋体"/>
          <w:b w:val="0"/>
          <w:color w:val="auto"/>
          <w:sz w:val="22"/>
        </w:rPr>
        <w:t>九</w:t>
      </w:r>
      <w:r>
        <w:rPr>
          <w:rFonts w:hint="eastAsia" w:ascii="宋体" w:eastAsia="宋体"/>
          <w:b w:val="0"/>
          <w:color w:val="auto"/>
          <w:sz w:val="22"/>
        </w:rPr>
        <w:t>条：货款的支付</w:t>
      </w:r>
    </w:p>
    <w:p>
      <w:pPr>
        <w:snapToGrid w:val="0"/>
        <w:spacing w:line="400" w:lineRule="atLeast"/>
        <w:ind w:firstLine="440" w:firstLineChars="200"/>
        <w:rPr>
          <w:rFonts w:hint="eastAsia" w:ascii="宋体" w:hAnsi="Courier New" w:eastAsia="宋体"/>
          <w:b w:val="0"/>
          <w:color w:val="auto"/>
          <w:sz w:val="22"/>
          <w:szCs w:val="22"/>
          <w:u w:val="single"/>
        </w:rPr>
      </w:pPr>
      <w:r>
        <w:rPr>
          <w:rFonts w:hint="eastAsia" w:ascii="宋体" w:hAnsi="Courier New" w:eastAsia="宋体"/>
          <w:b w:val="0"/>
          <w:color w:val="auto"/>
          <w:sz w:val="22"/>
          <w:szCs w:val="22"/>
          <w:u w:val="single"/>
        </w:rPr>
        <w:t>按照招标文件规定。</w:t>
      </w:r>
    </w:p>
    <w:p>
      <w:pPr>
        <w:snapToGrid w:val="0"/>
        <w:spacing w:line="440" w:lineRule="atLeast"/>
        <w:rPr>
          <w:rFonts w:hint="eastAsia" w:ascii="宋体" w:eastAsia="宋体"/>
          <w:b w:val="0"/>
          <w:color w:val="auto"/>
          <w:sz w:val="22"/>
        </w:rPr>
      </w:pPr>
      <w:r>
        <w:rPr>
          <w:rFonts w:hint="eastAsia" w:ascii="宋体" w:eastAsia="宋体"/>
          <w:b w:val="0"/>
          <w:color w:val="auto"/>
          <w:sz w:val="22"/>
        </w:rPr>
        <w:t>第</w:t>
      </w:r>
      <w:r>
        <w:rPr>
          <w:rFonts w:hint="eastAsia" w:ascii="宋体" w:hAnsi="Courier New" w:eastAsia="宋体"/>
          <w:b w:val="0"/>
          <w:color w:val="auto"/>
          <w:sz w:val="22"/>
        </w:rPr>
        <w:t>十</w:t>
      </w:r>
      <w:r>
        <w:rPr>
          <w:rFonts w:hint="eastAsia" w:ascii="宋体" w:eastAsia="宋体"/>
          <w:b w:val="0"/>
          <w:color w:val="auto"/>
          <w:sz w:val="22"/>
        </w:rPr>
        <w:t>条：辅助服务</w:t>
      </w:r>
    </w:p>
    <w:p>
      <w:pPr>
        <w:snapToGrid w:val="0"/>
        <w:spacing w:line="440" w:lineRule="atLeast"/>
        <w:ind w:firstLine="440" w:firstLineChars="200"/>
        <w:rPr>
          <w:rFonts w:hint="eastAsia" w:ascii="宋体" w:eastAsia="宋体"/>
          <w:b w:val="0"/>
          <w:color w:val="auto"/>
          <w:sz w:val="22"/>
        </w:rPr>
      </w:pPr>
      <w:r>
        <w:rPr>
          <w:rFonts w:hint="eastAsia" w:ascii="宋体" w:eastAsia="宋体"/>
          <w:b w:val="0"/>
          <w:color w:val="auto"/>
          <w:sz w:val="22"/>
        </w:rPr>
        <w:t>中标供应商应提交所提供货物的技术文件，包括相应的每一套设备的中文技术文件，例如：产品目录、图纸、操作手册、使用说明、维护手册和/或服务指南。这些文件应包装好随同货物一起发运。</w:t>
      </w:r>
    </w:p>
    <w:p>
      <w:pPr>
        <w:snapToGrid w:val="0"/>
        <w:spacing w:line="440" w:lineRule="atLeast"/>
        <w:ind w:firstLine="440" w:firstLineChars="200"/>
        <w:rPr>
          <w:rFonts w:hint="eastAsia" w:ascii="宋体" w:eastAsia="宋体"/>
          <w:b w:val="0"/>
          <w:color w:val="auto"/>
          <w:sz w:val="22"/>
        </w:rPr>
      </w:pPr>
      <w:r>
        <w:rPr>
          <w:rFonts w:hint="eastAsia" w:ascii="宋体" w:eastAsia="宋体"/>
          <w:b w:val="0"/>
          <w:color w:val="auto"/>
          <w:sz w:val="22"/>
        </w:rPr>
        <w:t>中标供应商还应提供下列服务：</w:t>
      </w:r>
    </w:p>
    <w:p>
      <w:pPr>
        <w:spacing w:line="420" w:lineRule="atLeast"/>
        <w:rPr>
          <w:rFonts w:hint="eastAsia" w:ascii="宋体" w:eastAsia="宋体"/>
          <w:b w:val="0"/>
          <w:color w:val="auto"/>
          <w:sz w:val="22"/>
          <w:szCs w:val="22"/>
        </w:rPr>
      </w:pPr>
      <w:r>
        <w:rPr>
          <w:rFonts w:hint="eastAsia" w:ascii="宋体" w:eastAsia="宋体"/>
          <w:b w:val="0"/>
          <w:color w:val="auto"/>
          <w:sz w:val="22"/>
          <w:szCs w:val="22"/>
        </w:rPr>
        <w:t xml:space="preserve">    （1）货物的现场指导安装、调试、启动监督及技术支持；</w:t>
      </w:r>
    </w:p>
    <w:p>
      <w:pPr>
        <w:spacing w:line="420" w:lineRule="atLeast"/>
        <w:rPr>
          <w:rFonts w:hint="eastAsia" w:ascii="宋体" w:eastAsia="宋体"/>
          <w:b w:val="0"/>
          <w:color w:val="auto"/>
          <w:sz w:val="22"/>
          <w:szCs w:val="22"/>
        </w:rPr>
      </w:pPr>
      <w:r>
        <w:rPr>
          <w:rFonts w:hint="eastAsia" w:ascii="宋体" w:eastAsia="宋体"/>
          <w:b w:val="0"/>
          <w:color w:val="auto"/>
          <w:sz w:val="22"/>
          <w:szCs w:val="22"/>
        </w:rPr>
        <w:t xml:space="preserve">    （2）在厂家和/或项目现场就货物的指导安装、启动、运营、维护对采购人操作人员进行培训。辅助服务的费用包含在合同价中，采购人不再另行支付。</w:t>
      </w:r>
    </w:p>
    <w:p>
      <w:pPr>
        <w:snapToGrid w:val="0"/>
        <w:spacing w:line="440" w:lineRule="atLeast"/>
        <w:ind w:left="-360" w:firstLine="360"/>
        <w:rPr>
          <w:rFonts w:hint="eastAsia" w:ascii="宋体" w:eastAsia="宋体"/>
          <w:b w:val="0"/>
          <w:color w:val="auto"/>
          <w:sz w:val="22"/>
        </w:rPr>
      </w:pPr>
      <w:r>
        <w:rPr>
          <w:rFonts w:hint="eastAsia" w:ascii="宋体" w:eastAsia="宋体"/>
          <w:b w:val="0"/>
          <w:color w:val="auto"/>
          <w:sz w:val="22"/>
        </w:rPr>
        <w:t>第十一条：质量保证</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Pr>
          <w:rFonts w:hint="eastAsia" w:ascii="宋体" w:eastAsia="宋体"/>
          <w:b w:val="0"/>
          <w:color w:val="auto"/>
          <w:sz w:val="22"/>
          <w:u w:val="single"/>
        </w:rPr>
        <w:t>3年</w:t>
      </w:r>
      <w:r>
        <w:rPr>
          <w:rFonts w:hint="eastAsia" w:ascii="宋体" w:eastAsia="宋体"/>
          <w:b w:val="0"/>
          <w:color w:val="auto"/>
          <w:sz w:val="22"/>
        </w:rPr>
        <w:t>的质量保证期内，中标供应商应对由于设计、工艺或材料的缺陷而产生的故障负责。</w:t>
      </w:r>
    </w:p>
    <w:p>
      <w:pPr>
        <w:snapToGrid w:val="0"/>
        <w:spacing w:line="440" w:lineRule="atLeast"/>
        <w:ind w:firstLine="495" w:firstLineChars="225"/>
        <w:rPr>
          <w:rFonts w:hint="eastAsia" w:ascii="宋体" w:eastAsia="宋体"/>
          <w:b w:val="0"/>
          <w:color w:val="auto"/>
          <w:sz w:val="22"/>
        </w:rPr>
      </w:pPr>
      <w:r>
        <w:rPr>
          <w:rFonts w:hint="eastAsia" w:ascii="宋体" w:eastAsia="宋体"/>
          <w:b w:val="0"/>
          <w:color w:val="auto"/>
          <w:sz w:val="22"/>
        </w:rPr>
        <w:t>在质量保证期内，如果货物的质量或规格与合同不符，或证实货物是有缺陷的，包括潜在的缺陷或使用不符合要求的材料等，采购人可以根据本合同第十二条规定以书面形式向中标供应商提出补救措施或索赔。</w:t>
      </w:r>
    </w:p>
    <w:p>
      <w:pPr>
        <w:snapToGrid w:val="0"/>
        <w:spacing w:line="440" w:lineRule="atLeast"/>
        <w:ind w:firstLine="420"/>
        <w:rPr>
          <w:rFonts w:hint="eastAsia" w:ascii="宋体" w:eastAsia="宋体"/>
          <w:b w:val="0"/>
          <w:color w:val="auto"/>
          <w:sz w:val="22"/>
        </w:rPr>
      </w:pPr>
      <w:r>
        <w:rPr>
          <w:rFonts w:hint="eastAsia" w:ascii="宋体" w:eastAsia="宋体"/>
          <w:b w:val="0"/>
          <w:color w:val="auto"/>
          <w:sz w:val="22"/>
        </w:rPr>
        <w:t>中标供应商在约定的时间内未能弥补缺陷，采购人可采取必要的补救措施，但其风险和费用将由中标供应商承担，采购人根据合同规定对中标供应商行使的其他权利不受影响。</w:t>
      </w:r>
    </w:p>
    <w:p>
      <w:pPr>
        <w:snapToGrid w:val="0"/>
        <w:spacing w:line="440" w:lineRule="atLeast"/>
        <w:rPr>
          <w:rFonts w:hint="eastAsia" w:ascii="宋体" w:eastAsia="宋体"/>
          <w:b w:val="0"/>
          <w:color w:val="auto"/>
          <w:sz w:val="22"/>
        </w:rPr>
      </w:pPr>
      <w:r>
        <w:rPr>
          <w:rFonts w:hint="eastAsia" w:ascii="宋体" w:eastAsia="宋体"/>
          <w:b w:val="0"/>
          <w:color w:val="auto"/>
          <w:sz w:val="22"/>
        </w:rPr>
        <w:t>第十二条：补救措施和索赔</w:t>
      </w:r>
    </w:p>
    <w:p>
      <w:pPr>
        <w:snapToGrid w:val="0"/>
        <w:spacing w:line="440" w:lineRule="atLeast"/>
        <w:ind w:firstLine="420"/>
        <w:rPr>
          <w:rFonts w:hint="eastAsia" w:ascii="宋体" w:eastAsia="宋体"/>
          <w:b w:val="0"/>
          <w:color w:val="auto"/>
          <w:sz w:val="22"/>
        </w:rPr>
      </w:pPr>
      <w:r>
        <w:rPr>
          <w:rFonts w:hint="eastAsia" w:ascii="宋体" w:eastAsia="宋体"/>
          <w:b w:val="0"/>
          <w:color w:val="auto"/>
          <w:sz w:val="22"/>
        </w:rPr>
        <w:t>1、采购人有权根据权威质量检测部门出具的检验报告向中标供应商提出索赔。</w:t>
      </w:r>
    </w:p>
    <w:p>
      <w:pPr>
        <w:snapToGrid w:val="0"/>
        <w:spacing w:line="440" w:lineRule="atLeast"/>
        <w:ind w:firstLine="420"/>
        <w:rPr>
          <w:rFonts w:hint="eastAsia" w:ascii="宋体" w:eastAsia="宋体"/>
          <w:b w:val="0"/>
          <w:color w:val="auto"/>
          <w:sz w:val="22"/>
        </w:rPr>
      </w:pPr>
      <w:r>
        <w:rPr>
          <w:rFonts w:hint="eastAsia" w:ascii="宋体" w:eastAsia="宋体"/>
          <w:b w:val="0"/>
          <w:color w:val="auto"/>
          <w:sz w:val="22"/>
        </w:rPr>
        <w:t>2、在质量保证期内，如果中标供应商对缺陷产品负有责任而采购人提出索赔，中标供应商应按照采购人同意的下列一种或多种方式解决索赔事宜，并且采购人可以收取中标供应商合同总价20%的违约金：</w:t>
      </w:r>
    </w:p>
    <w:p>
      <w:pPr>
        <w:snapToGrid w:val="0"/>
        <w:spacing w:line="440" w:lineRule="atLeast"/>
        <w:ind w:firstLine="440" w:firstLineChars="200"/>
        <w:rPr>
          <w:rFonts w:hint="eastAsia" w:ascii="宋体" w:eastAsia="宋体"/>
          <w:b w:val="0"/>
          <w:color w:val="auto"/>
          <w:sz w:val="22"/>
        </w:rPr>
      </w:pPr>
      <w:r>
        <w:rPr>
          <w:rFonts w:hint="eastAsia" w:ascii="宋体" w:eastAsia="宋体"/>
          <w:b w:val="0"/>
          <w:color w:val="auto"/>
          <w:sz w:val="22"/>
        </w:rPr>
        <w:t>（1） 中标供应商退货并将货款退还给采购人，由此发生的一切费用和损失由中标供应商承担。</w:t>
      </w:r>
    </w:p>
    <w:p>
      <w:pPr>
        <w:snapToGrid w:val="0"/>
        <w:spacing w:line="440" w:lineRule="atLeast"/>
        <w:ind w:firstLine="440" w:firstLineChars="200"/>
        <w:rPr>
          <w:rFonts w:hint="eastAsia" w:ascii="宋体" w:eastAsia="宋体"/>
          <w:b w:val="0"/>
          <w:color w:val="auto"/>
          <w:sz w:val="22"/>
        </w:rPr>
      </w:pPr>
      <w:r>
        <w:rPr>
          <w:rFonts w:hint="eastAsia" w:ascii="宋体" w:eastAsia="宋体"/>
          <w:b w:val="0"/>
          <w:color w:val="auto"/>
          <w:sz w:val="22"/>
        </w:rPr>
        <w:t>（2） 根据货物的质量状况以及采购人所遭受的损失，经过双方商定降低货物的价格。</w:t>
      </w:r>
    </w:p>
    <w:p>
      <w:pPr>
        <w:snapToGrid w:val="0"/>
        <w:spacing w:line="440" w:lineRule="atLeast"/>
        <w:ind w:firstLine="440" w:firstLineChars="200"/>
        <w:rPr>
          <w:rFonts w:hint="eastAsia" w:ascii="宋体" w:eastAsia="宋体"/>
          <w:b w:val="0"/>
          <w:color w:val="auto"/>
          <w:sz w:val="22"/>
        </w:rPr>
      </w:pPr>
      <w:r>
        <w:rPr>
          <w:rFonts w:hint="eastAsia" w:ascii="宋体" w:eastAsia="宋体"/>
          <w:b w:val="0"/>
          <w:color w:val="auto"/>
          <w:sz w:val="22"/>
        </w:rPr>
        <w:t>（3） 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和/或更换件的质量保证期。</w:t>
      </w:r>
    </w:p>
    <w:p>
      <w:pPr>
        <w:snapToGrid w:val="0"/>
        <w:spacing w:line="440" w:lineRule="atLeast"/>
        <w:ind w:firstLine="440" w:firstLineChars="200"/>
        <w:rPr>
          <w:rFonts w:hint="eastAsia" w:ascii="宋体" w:eastAsia="宋体"/>
          <w:b w:val="0"/>
          <w:color w:val="auto"/>
          <w:sz w:val="22"/>
        </w:rPr>
      </w:pPr>
      <w:r>
        <w:rPr>
          <w:rFonts w:hint="eastAsia" w:ascii="宋体" w:eastAsia="宋体"/>
          <w:b w:val="0"/>
          <w:color w:val="auto"/>
          <w:sz w:val="22"/>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pPr>
        <w:snapToGrid w:val="0"/>
        <w:spacing w:line="440" w:lineRule="atLeast"/>
        <w:rPr>
          <w:rFonts w:hint="eastAsia" w:ascii="宋体" w:eastAsia="宋体"/>
          <w:b w:val="0"/>
          <w:color w:val="auto"/>
          <w:sz w:val="22"/>
        </w:rPr>
      </w:pPr>
      <w:r>
        <w:rPr>
          <w:rFonts w:hint="eastAsia" w:ascii="宋体" w:eastAsia="宋体"/>
          <w:b w:val="0"/>
          <w:color w:val="auto"/>
          <w:sz w:val="22"/>
        </w:rPr>
        <w:t>第十三条：履约延误</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1、中标供应商应按照《合同》规定的时间、地点交货和提供服务。</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2、在履行《合同》过程中，如果中标供应商可能遇到妨碍按时交货和提供服务的情况时，应及时将拖延的事实、可能拖延的期限和理由通知采购人。采购人在收到中标供应商通知后，应尽快对情况进行评价，并确定是否同意延长交货时间或延期提供服务。</w:t>
      </w:r>
    </w:p>
    <w:p>
      <w:pPr>
        <w:snapToGrid w:val="0"/>
        <w:spacing w:line="440" w:lineRule="atLeast"/>
        <w:ind w:firstLine="440" w:firstLineChars="200"/>
        <w:rPr>
          <w:rFonts w:hint="eastAsia" w:ascii="宋体" w:eastAsia="宋体"/>
          <w:b w:val="0"/>
          <w:color w:val="auto"/>
          <w:sz w:val="22"/>
        </w:rPr>
      </w:pPr>
      <w:r>
        <w:rPr>
          <w:rFonts w:hint="eastAsia" w:ascii="宋体" w:eastAsia="宋体"/>
          <w:b w:val="0"/>
          <w:color w:val="auto"/>
          <w:sz w:val="22"/>
        </w:rPr>
        <w:t>3、如中标供应商无正当理由而拖延交货，经协商无效,采购人有权追究中标供应商的违约责任。延期交货违约责任按每延期一天罚款2000元处理，如果超出合同规定期限10天应不能供货，则采购人可以终止合同，并收取中标供应商合同总价20%的违约金。</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第</w:t>
      </w:r>
      <w:r>
        <w:rPr>
          <w:rFonts w:hint="eastAsia" w:eastAsia="宋体"/>
          <w:b w:val="0"/>
          <w:color w:val="auto"/>
          <w:sz w:val="22"/>
        </w:rPr>
        <w:t>十四</w:t>
      </w:r>
      <w:r>
        <w:rPr>
          <w:rFonts w:hint="eastAsia" w:ascii="宋体" w:eastAsia="宋体"/>
          <w:b w:val="0"/>
          <w:color w:val="auto"/>
          <w:sz w:val="22"/>
        </w:rPr>
        <w:t>条：不可抗力</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1、如果合同各方因不可抗力而导致合同实施延误或不能履行合同义务的话，不应该承担误期赔偿或不能履行合同义务的责任。</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2、本条所述的“不可抗力”系指那些双方不可预见、不可避免、不可克服的事件，但不包括双方的违约或疏忽。这些事件包括但不限于：战争、严重火灾、洪水、梅雨、台风、地震、国家政策的重大变化，以及双方商定的其他事件。</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napToGrid w:val="0"/>
        <w:spacing w:line="440" w:lineRule="atLeast"/>
        <w:rPr>
          <w:rFonts w:hint="eastAsia" w:ascii="宋体" w:eastAsia="宋体"/>
          <w:b w:val="0"/>
          <w:color w:val="auto"/>
          <w:sz w:val="22"/>
        </w:rPr>
      </w:pPr>
      <w:r>
        <w:rPr>
          <w:rFonts w:hint="eastAsia" w:ascii="宋体" w:eastAsia="宋体"/>
          <w:b w:val="0"/>
          <w:color w:val="auto"/>
          <w:sz w:val="22"/>
        </w:rPr>
        <w:t>第</w:t>
      </w:r>
      <w:r>
        <w:rPr>
          <w:rFonts w:hint="eastAsia" w:ascii="宋体" w:hAnsi="Courier New" w:eastAsia="宋体"/>
          <w:b w:val="0"/>
          <w:color w:val="auto"/>
          <w:sz w:val="22"/>
        </w:rPr>
        <w:t>十五</w:t>
      </w:r>
      <w:r>
        <w:rPr>
          <w:rFonts w:hint="eastAsia" w:ascii="宋体" w:eastAsia="宋体"/>
          <w:b w:val="0"/>
          <w:color w:val="auto"/>
          <w:sz w:val="22"/>
        </w:rPr>
        <w:t>条：争议的解决</w:t>
      </w:r>
    </w:p>
    <w:p>
      <w:pPr>
        <w:snapToGrid w:val="0"/>
        <w:spacing w:line="440" w:lineRule="atLeast"/>
        <w:ind w:firstLine="480"/>
        <w:rPr>
          <w:rFonts w:hint="eastAsia" w:ascii="宋体" w:eastAsia="宋体"/>
          <w:b w:val="0"/>
          <w:color w:val="auto"/>
          <w:sz w:val="22"/>
        </w:rPr>
      </w:pPr>
      <w:r>
        <w:rPr>
          <w:rFonts w:hint="eastAsia" w:ascii="宋体" w:eastAsia="宋体"/>
          <w:b w:val="0"/>
          <w:color w:val="auto"/>
          <w:sz w:val="22"/>
        </w:rPr>
        <w:t>在发生所供商品的质量、售后服务等问题时，采购人有权直接向中标供应商索赔，签订必要的书面处理合同。协商不能解决的，任何一方有权在合同签约地选择仲裁或诉讼的途径解决。</w:t>
      </w:r>
    </w:p>
    <w:p>
      <w:pPr>
        <w:snapToGrid w:val="0"/>
        <w:spacing w:line="440" w:lineRule="atLeast"/>
        <w:rPr>
          <w:rFonts w:hint="eastAsia" w:ascii="宋体" w:eastAsia="宋体"/>
          <w:b w:val="0"/>
          <w:color w:val="auto"/>
          <w:sz w:val="22"/>
        </w:rPr>
      </w:pPr>
      <w:r>
        <w:rPr>
          <w:rFonts w:hint="eastAsia" w:ascii="宋体" w:eastAsia="宋体"/>
          <w:b w:val="0"/>
          <w:color w:val="auto"/>
          <w:sz w:val="22"/>
        </w:rPr>
        <w:t>第十六条：违约处理</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1、在采购人对中标供应商违约而采取的任何补救措施不受影响的情况下，采购人可在下列情况下向中标供应商发出书面通知书，提出终止部分或全部合同。</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（1）中标供应商提供的产品质量、配置不符合国家规定和承诺的标准；</w:t>
      </w:r>
    </w:p>
    <w:p>
      <w:pPr>
        <w:snapToGrid w:val="0"/>
        <w:spacing w:line="440" w:lineRule="atLeast"/>
        <w:ind w:firstLine="330" w:firstLineChars="150"/>
        <w:rPr>
          <w:rFonts w:hint="eastAsia" w:ascii="宋体" w:eastAsia="宋体"/>
          <w:b w:val="0"/>
          <w:color w:val="auto"/>
          <w:sz w:val="22"/>
        </w:rPr>
      </w:pPr>
      <w:r>
        <w:rPr>
          <w:rFonts w:hint="eastAsia" w:ascii="宋体" w:eastAsia="宋体"/>
          <w:b w:val="0"/>
          <w:color w:val="auto"/>
          <w:sz w:val="22"/>
        </w:rPr>
        <w:t>（2）中标供应商没有按承诺的时间供货、维修或提供其他服务；</w:t>
      </w:r>
    </w:p>
    <w:p>
      <w:pPr>
        <w:snapToGrid w:val="0"/>
        <w:spacing w:line="440" w:lineRule="atLeast"/>
        <w:ind w:firstLine="330" w:firstLineChars="150"/>
        <w:rPr>
          <w:rFonts w:hint="eastAsia" w:ascii="宋体" w:eastAsia="宋体"/>
          <w:b w:val="0"/>
          <w:color w:val="auto"/>
          <w:sz w:val="22"/>
        </w:rPr>
      </w:pPr>
      <w:r>
        <w:rPr>
          <w:rFonts w:hint="eastAsia" w:ascii="宋体" w:eastAsia="宋体"/>
          <w:b w:val="0"/>
          <w:color w:val="auto"/>
          <w:sz w:val="22"/>
        </w:rPr>
        <w:t>（3）中标供应商没有按承诺的价格或优惠率签订合同并供货。</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snapToGrid w:val="0"/>
        <w:spacing w:line="440" w:lineRule="atLeast"/>
        <w:rPr>
          <w:rFonts w:hint="eastAsia" w:ascii="宋体" w:eastAsia="宋体"/>
          <w:b w:val="0"/>
          <w:color w:val="auto"/>
          <w:sz w:val="22"/>
        </w:rPr>
      </w:pPr>
      <w:r>
        <w:rPr>
          <w:rFonts w:hint="eastAsia" w:ascii="宋体" w:eastAsia="宋体"/>
          <w:b w:val="0"/>
          <w:color w:val="auto"/>
          <w:sz w:val="22"/>
        </w:rPr>
        <w:t>第十七条：合同转让和分包</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除采购人事先书面同意外，中标供应商不得转让和分包其应履行的合同义务。</w:t>
      </w:r>
    </w:p>
    <w:p>
      <w:pPr>
        <w:snapToGrid w:val="0"/>
        <w:spacing w:line="440" w:lineRule="atLeast"/>
        <w:rPr>
          <w:rFonts w:hint="eastAsia" w:ascii="宋体" w:eastAsia="宋体"/>
          <w:b w:val="0"/>
          <w:color w:val="auto"/>
          <w:sz w:val="22"/>
        </w:rPr>
      </w:pPr>
      <w:r>
        <w:rPr>
          <w:rFonts w:hint="eastAsia" w:ascii="宋体" w:eastAsia="宋体"/>
          <w:b w:val="0"/>
          <w:color w:val="auto"/>
          <w:sz w:val="22"/>
        </w:rPr>
        <w:t>第十八条：合同生效</w:t>
      </w:r>
    </w:p>
    <w:p>
      <w:pPr>
        <w:snapToGrid w:val="0"/>
        <w:spacing w:line="440" w:lineRule="atLeast"/>
        <w:ind w:firstLine="480"/>
        <w:rPr>
          <w:rFonts w:hint="eastAsia" w:ascii="宋体" w:eastAsia="宋体"/>
          <w:b w:val="0"/>
          <w:color w:val="auto"/>
          <w:sz w:val="22"/>
        </w:rPr>
      </w:pPr>
      <w:r>
        <w:rPr>
          <w:rFonts w:hint="eastAsia" w:ascii="宋体" w:eastAsia="宋体"/>
          <w:b w:val="0"/>
          <w:color w:val="auto"/>
          <w:sz w:val="22"/>
        </w:rPr>
        <w:t>1、如上述文件与本合同有不符之处，以有利于采购人的为准。</w:t>
      </w:r>
    </w:p>
    <w:p>
      <w:pPr>
        <w:pStyle w:val="13"/>
        <w:snapToGrid w:val="0"/>
        <w:spacing w:line="396" w:lineRule="atLeast"/>
        <w:ind w:firstLine="480"/>
        <w:rPr>
          <w:rFonts w:hint="eastAsia" w:hAnsi="宋体" w:eastAsia="宋体"/>
          <w:color w:val="auto"/>
          <w:sz w:val="22"/>
          <w:u w:val="single"/>
        </w:rPr>
      </w:pPr>
      <w:r>
        <w:rPr>
          <w:rFonts w:hint="eastAsia" w:hAnsi="宋体" w:eastAsia="宋体"/>
          <w:color w:val="auto"/>
          <w:sz w:val="22"/>
          <w:u w:val="single"/>
        </w:rPr>
        <w:t>2、本合同一式陆份，供需双方各执叁份。</w:t>
      </w:r>
    </w:p>
    <w:p>
      <w:pPr>
        <w:snapToGrid w:val="0"/>
        <w:spacing w:line="440" w:lineRule="atLeast"/>
        <w:rPr>
          <w:rFonts w:hint="eastAsia" w:ascii="宋体" w:eastAsia="宋体"/>
          <w:b w:val="0"/>
          <w:color w:val="auto"/>
          <w:sz w:val="22"/>
        </w:rPr>
      </w:pPr>
      <w:r>
        <w:rPr>
          <w:rFonts w:hint="eastAsia" w:ascii="宋体" w:eastAsia="宋体"/>
          <w:b w:val="0"/>
          <w:color w:val="auto"/>
          <w:sz w:val="22"/>
        </w:rPr>
        <w:t>第</w:t>
      </w:r>
      <w:r>
        <w:rPr>
          <w:rFonts w:hint="eastAsia" w:eastAsia="宋体"/>
          <w:b w:val="0"/>
          <w:color w:val="auto"/>
          <w:sz w:val="22"/>
        </w:rPr>
        <w:t>十九</w:t>
      </w:r>
      <w:r>
        <w:rPr>
          <w:rFonts w:hint="eastAsia" w:ascii="宋体" w:eastAsia="宋体"/>
          <w:b w:val="0"/>
          <w:color w:val="auto"/>
          <w:sz w:val="22"/>
        </w:rPr>
        <w:t>条：合同修改</w:t>
      </w:r>
    </w:p>
    <w:p>
      <w:pPr>
        <w:snapToGrid w:val="0"/>
        <w:spacing w:line="440" w:lineRule="atLeast"/>
        <w:ind w:firstLine="480"/>
        <w:rPr>
          <w:rFonts w:hint="eastAsia" w:ascii="宋体" w:eastAsia="宋体"/>
          <w:b w:val="0"/>
          <w:color w:val="auto"/>
          <w:sz w:val="22"/>
        </w:rPr>
      </w:pPr>
      <w:r>
        <w:rPr>
          <w:rFonts w:hint="eastAsia" w:ascii="宋体" w:eastAsia="宋体"/>
          <w:b w:val="0"/>
          <w:color w:val="auto"/>
          <w:sz w:val="22"/>
        </w:rPr>
        <w:t>除了双方签署书面修改合同，并成为本合同不可分割的一部分之外，本合同条件不得有任何变化或修改。</w:t>
      </w:r>
    </w:p>
    <w:p>
      <w:pPr>
        <w:snapToGrid w:val="0"/>
        <w:spacing w:line="440" w:lineRule="atLeast"/>
        <w:rPr>
          <w:rFonts w:hint="eastAsia" w:ascii="宋体" w:eastAsia="宋体"/>
          <w:b w:val="0"/>
          <w:color w:val="auto"/>
          <w:sz w:val="22"/>
        </w:rPr>
      </w:pPr>
      <w:r>
        <w:rPr>
          <w:rFonts w:hint="eastAsia" w:ascii="宋体" w:eastAsia="宋体"/>
          <w:b w:val="0"/>
          <w:color w:val="auto"/>
          <w:sz w:val="22"/>
        </w:rPr>
        <w:t>第二十条 合同附件</w:t>
      </w:r>
    </w:p>
    <w:p>
      <w:pPr>
        <w:snapToGrid w:val="0"/>
        <w:spacing w:line="440" w:lineRule="atLeast"/>
        <w:rPr>
          <w:rFonts w:hint="eastAsia" w:ascii="宋体" w:eastAsia="宋体"/>
          <w:b w:val="0"/>
          <w:color w:val="auto"/>
          <w:sz w:val="22"/>
        </w:rPr>
      </w:pPr>
      <w:r>
        <w:rPr>
          <w:rFonts w:hint="eastAsia" w:ascii="宋体" w:eastAsia="宋体"/>
          <w:b w:val="0"/>
          <w:color w:val="auto"/>
          <w:sz w:val="22"/>
        </w:rPr>
        <w:t xml:space="preserve">    下列文件与本合同具有同等法律效力：</w:t>
      </w:r>
    </w:p>
    <w:p>
      <w:pPr>
        <w:snapToGrid w:val="0"/>
        <w:spacing w:line="440" w:lineRule="atLeast"/>
        <w:ind w:firstLine="431" w:firstLineChars="196"/>
        <w:rPr>
          <w:rFonts w:hint="eastAsia" w:ascii="宋体" w:eastAsia="宋体"/>
          <w:b w:val="0"/>
          <w:color w:val="auto"/>
          <w:sz w:val="22"/>
        </w:rPr>
      </w:pPr>
      <w:r>
        <w:rPr>
          <w:rFonts w:hint="eastAsia" w:ascii="宋体" w:eastAsia="宋体"/>
          <w:b w:val="0"/>
          <w:color w:val="auto"/>
          <w:sz w:val="22"/>
        </w:rPr>
        <w:t>1、采购人的招标文件与招标补充文件；</w:t>
      </w:r>
    </w:p>
    <w:p>
      <w:pPr>
        <w:snapToGrid w:val="0"/>
        <w:spacing w:line="440" w:lineRule="atLeast"/>
        <w:ind w:firstLine="431" w:firstLineChars="196"/>
        <w:rPr>
          <w:rFonts w:hint="eastAsia" w:ascii="宋体" w:eastAsia="宋体"/>
          <w:b w:val="0"/>
          <w:color w:val="auto"/>
          <w:sz w:val="22"/>
        </w:rPr>
      </w:pPr>
      <w:r>
        <w:rPr>
          <w:rFonts w:hint="eastAsia" w:ascii="宋体" w:eastAsia="宋体"/>
          <w:b w:val="0"/>
          <w:color w:val="auto"/>
          <w:sz w:val="22"/>
        </w:rPr>
        <w:t>2、中标供应商投标文件；</w:t>
      </w:r>
    </w:p>
    <w:p>
      <w:pPr>
        <w:snapToGrid w:val="0"/>
        <w:spacing w:line="440" w:lineRule="atLeast"/>
        <w:ind w:firstLine="431" w:firstLineChars="196"/>
        <w:rPr>
          <w:rFonts w:hint="eastAsia" w:ascii="宋体" w:eastAsia="宋体"/>
          <w:b w:val="0"/>
          <w:color w:val="auto"/>
          <w:sz w:val="22"/>
        </w:rPr>
      </w:pPr>
      <w:r>
        <w:rPr>
          <w:rFonts w:hint="eastAsia" w:ascii="宋体" w:eastAsia="宋体"/>
          <w:b w:val="0"/>
          <w:color w:val="auto"/>
          <w:sz w:val="22"/>
        </w:rPr>
        <w:t>3、询标纪要和承诺书；</w:t>
      </w:r>
    </w:p>
    <w:p>
      <w:pPr>
        <w:snapToGrid w:val="0"/>
        <w:spacing w:line="440" w:lineRule="atLeast"/>
        <w:ind w:firstLine="431" w:firstLineChars="196"/>
        <w:rPr>
          <w:rFonts w:hint="eastAsia" w:ascii="宋体" w:eastAsia="宋体"/>
          <w:b w:val="0"/>
          <w:color w:val="auto"/>
          <w:sz w:val="22"/>
        </w:rPr>
      </w:pPr>
      <w:r>
        <w:rPr>
          <w:rFonts w:hint="eastAsia" w:ascii="宋体" w:eastAsia="宋体"/>
          <w:b w:val="0"/>
          <w:color w:val="auto"/>
          <w:sz w:val="22"/>
        </w:rPr>
        <w:t>4、中标通知书。</w:t>
      </w:r>
    </w:p>
    <w:p>
      <w:pPr>
        <w:snapToGrid w:val="0"/>
        <w:spacing w:line="440" w:lineRule="atLeast"/>
        <w:ind w:firstLine="440" w:firstLineChars="200"/>
        <w:rPr>
          <w:rFonts w:hint="eastAsia" w:ascii="宋体" w:eastAsia="宋体"/>
          <w:b w:val="0"/>
          <w:color w:val="auto"/>
          <w:sz w:val="22"/>
        </w:rPr>
      </w:pPr>
    </w:p>
    <w:p>
      <w:pPr>
        <w:spacing w:line="420" w:lineRule="atLeast"/>
        <w:ind w:firstLine="1199" w:firstLineChars="545"/>
        <w:rPr>
          <w:rFonts w:hint="eastAsia" w:ascii="宋体" w:eastAsia="宋体"/>
          <w:b w:val="0"/>
          <w:color w:val="auto"/>
          <w:sz w:val="22"/>
          <w:szCs w:val="22"/>
        </w:rPr>
      </w:pPr>
      <w:r>
        <w:rPr>
          <w:rFonts w:hint="eastAsia" w:ascii="宋体" w:eastAsia="宋体"/>
          <w:b w:val="0"/>
          <w:color w:val="auto"/>
          <w:sz w:val="22"/>
          <w:szCs w:val="22"/>
        </w:rPr>
        <w:t>采购人(盖章)：                                 中标供应商（盖章）</w:t>
      </w:r>
    </w:p>
    <w:p>
      <w:pPr>
        <w:spacing w:line="420" w:lineRule="atLeast"/>
        <w:ind w:firstLine="1199" w:firstLineChars="545"/>
        <w:rPr>
          <w:rFonts w:hint="eastAsia" w:ascii="宋体" w:eastAsia="宋体"/>
          <w:b w:val="0"/>
          <w:color w:val="auto"/>
          <w:sz w:val="22"/>
          <w:szCs w:val="22"/>
        </w:rPr>
      </w:pPr>
      <w:r>
        <w:rPr>
          <w:rFonts w:hint="eastAsia" w:ascii="宋体" w:eastAsia="宋体"/>
          <w:b w:val="0"/>
          <w:color w:val="auto"/>
          <w:sz w:val="22"/>
          <w:szCs w:val="22"/>
        </w:rPr>
        <w:t>法定代表人：                                   法定代表人：</w:t>
      </w:r>
    </w:p>
    <w:p>
      <w:pPr>
        <w:spacing w:line="420" w:lineRule="atLeast"/>
        <w:ind w:firstLine="1199" w:firstLineChars="545"/>
        <w:rPr>
          <w:rFonts w:hint="eastAsia" w:ascii="宋体" w:eastAsia="宋体"/>
          <w:b w:val="0"/>
          <w:color w:val="auto"/>
          <w:sz w:val="22"/>
          <w:szCs w:val="22"/>
        </w:rPr>
      </w:pPr>
      <w:r>
        <w:rPr>
          <w:rFonts w:hint="eastAsia" w:ascii="宋体" w:eastAsia="宋体"/>
          <w:b w:val="0"/>
          <w:color w:val="auto"/>
          <w:sz w:val="22"/>
          <w:szCs w:val="22"/>
        </w:rPr>
        <w:t>开户银行：                                     开户银行：</w:t>
      </w:r>
    </w:p>
    <w:p>
      <w:pPr>
        <w:spacing w:line="420" w:lineRule="atLeast"/>
        <w:ind w:firstLine="1199" w:firstLineChars="545"/>
        <w:rPr>
          <w:rFonts w:hint="eastAsia" w:ascii="宋体" w:eastAsia="宋体"/>
          <w:b w:val="0"/>
          <w:color w:val="auto"/>
          <w:sz w:val="22"/>
          <w:szCs w:val="22"/>
        </w:rPr>
      </w:pPr>
      <w:r>
        <w:rPr>
          <w:rFonts w:hint="eastAsia" w:ascii="宋体" w:eastAsia="宋体"/>
          <w:b w:val="0"/>
          <w:color w:val="auto"/>
          <w:sz w:val="22"/>
          <w:szCs w:val="22"/>
        </w:rPr>
        <w:t>开户名称：                                     开户名称：</w:t>
      </w:r>
    </w:p>
    <w:p>
      <w:pPr>
        <w:spacing w:line="420" w:lineRule="atLeast"/>
        <w:ind w:firstLine="1199" w:firstLineChars="545"/>
        <w:rPr>
          <w:rFonts w:hint="eastAsia" w:ascii="宋体" w:eastAsia="宋体"/>
          <w:b w:val="0"/>
          <w:color w:val="auto"/>
          <w:sz w:val="22"/>
          <w:szCs w:val="22"/>
        </w:rPr>
      </w:pPr>
      <w:r>
        <w:rPr>
          <w:rFonts w:hint="eastAsia" w:ascii="宋体" w:eastAsia="宋体"/>
          <w:b w:val="0"/>
          <w:color w:val="auto"/>
          <w:sz w:val="22"/>
          <w:szCs w:val="22"/>
        </w:rPr>
        <w:t>账号：                                         账号：</w:t>
      </w:r>
    </w:p>
    <w:p>
      <w:pPr>
        <w:spacing w:line="420" w:lineRule="atLeast"/>
        <w:ind w:firstLine="1199" w:firstLineChars="545"/>
        <w:rPr>
          <w:rFonts w:hint="eastAsia" w:ascii="宋体" w:eastAsia="宋体"/>
          <w:b w:val="0"/>
          <w:color w:val="auto"/>
          <w:sz w:val="22"/>
          <w:szCs w:val="22"/>
        </w:rPr>
      </w:pPr>
      <w:r>
        <w:rPr>
          <w:rFonts w:hint="eastAsia" w:ascii="宋体" w:eastAsia="宋体"/>
          <w:b w:val="0"/>
          <w:color w:val="auto"/>
          <w:sz w:val="22"/>
          <w:szCs w:val="22"/>
        </w:rPr>
        <w:t>签约日期：                                     签约地点：</w:t>
      </w:r>
    </w:p>
    <w:p>
      <w:pPr>
        <w:snapToGrid w:val="0"/>
        <w:spacing w:line="440" w:lineRule="atLeast"/>
        <w:ind w:firstLine="440" w:firstLineChars="200"/>
        <w:rPr>
          <w:rFonts w:hint="eastAsia" w:ascii="宋体" w:eastAsia="宋体"/>
          <w:b w:val="0"/>
          <w:color w:val="auto"/>
          <w:sz w:val="22"/>
        </w:rPr>
      </w:pPr>
    </w:p>
    <w:p>
      <w:pPr>
        <w:autoSpaceDE w:val="0"/>
        <w:autoSpaceDN w:val="0"/>
        <w:adjustRightInd w:val="0"/>
        <w:spacing w:line="360" w:lineRule="exact"/>
        <w:jc w:val="center"/>
        <w:rPr>
          <w:rFonts w:hint="eastAsia" w:ascii="宋体" w:eastAsia="宋体"/>
          <w:b w:val="0"/>
          <w:color w:val="auto"/>
          <w:sz w:val="22"/>
          <w:lang w:val="zh-CN"/>
        </w:rPr>
      </w:pPr>
    </w:p>
    <w:p>
      <w:pPr>
        <w:autoSpaceDE w:val="0"/>
        <w:autoSpaceDN w:val="0"/>
        <w:adjustRightInd w:val="0"/>
        <w:spacing w:line="360" w:lineRule="exact"/>
        <w:jc w:val="center"/>
        <w:rPr>
          <w:rFonts w:hint="eastAsia" w:ascii="宋体" w:eastAsia="宋体"/>
          <w:b w:val="0"/>
          <w:color w:val="auto"/>
          <w:sz w:val="28"/>
          <w:szCs w:val="28"/>
          <w:lang w:val="zh-CN"/>
        </w:rPr>
      </w:pPr>
    </w:p>
    <w:p>
      <w:pPr>
        <w:autoSpaceDE w:val="0"/>
        <w:autoSpaceDN w:val="0"/>
        <w:adjustRightInd w:val="0"/>
        <w:spacing w:line="360" w:lineRule="exact"/>
        <w:jc w:val="center"/>
        <w:rPr>
          <w:rFonts w:hint="eastAsia" w:ascii="宋体" w:eastAsia="宋体"/>
          <w:b w:val="0"/>
          <w:color w:val="auto"/>
          <w:sz w:val="36"/>
          <w:lang w:val="zh-CN"/>
        </w:rPr>
      </w:pPr>
    </w:p>
    <w:p>
      <w:pPr>
        <w:autoSpaceDE w:val="0"/>
        <w:autoSpaceDN w:val="0"/>
        <w:adjustRightInd w:val="0"/>
        <w:spacing w:line="360" w:lineRule="exact"/>
        <w:jc w:val="center"/>
        <w:rPr>
          <w:rFonts w:hint="eastAsia" w:ascii="宋体" w:eastAsia="宋体"/>
          <w:b w:val="0"/>
          <w:color w:val="auto"/>
          <w:sz w:val="36"/>
          <w:lang w:val="zh-CN"/>
        </w:rPr>
      </w:pPr>
    </w:p>
    <w:p>
      <w:pPr>
        <w:autoSpaceDE w:val="0"/>
        <w:autoSpaceDN w:val="0"/>
        <w:adjustRightInd w:val="0"/>
        <w:spacing w:line="360" w:lineRule="exact"/>
        <w:jc w:val="center"/>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pStyle w:val="30"/>
        <w:rPr>
          <w:rFonts w:hint="eastAsia" w:ascii="宋体" w:eastAsia="宋体"/>
          <w:b w:val="0"/>
          <w:color w:val="auto"/>
          <w:sz w:val="36"/>
          <w:lang w:val="zh-CN"/>
        </w:rPr>
      </w:pPr>
    </w:p>
    <w:p>
      <w:pPr>
        <w:autoSpaceDE w:val="0"/>
        <w:autoSpaceDN w:val="0"/>
        <w:adjustRightInd w:val="0"/>
        <w:spacing w:line="360" w:lineRule="exact"/>
        <w:jc w:val="center"/>
        <w:rPr>
          <w:rFonts w:hint="eastAsia" w:ascii="宋体" w:eastAsia="宋体"/>
          <w:b w:val="0"/>
          <w:color w:val="auto"/>
          <w:sz w:val="36"/>
          <w:lang w:val="zh-CN"/>
        </w:rPr>
      </w:pPr>
    </w:p>
    <w:p>
      <w:pPr>
        <w:pStyle w:val="2"/>
        <w:rPr>
          <w:rFonts w:hint="eastAsia" w:ascii="宋体" w:eastAsia="宋体"/>
          <w:b w:val="0"/>
          <w:color w:val="auto"/>
          <w:sz w:val="36"/>
          <w:lang w:val="zh-CN"/>
        </w:rPr>
      </w:pPr>
    </w:p>
    <w:p>
      <w:pPr>
        <w:pStyle w:val="3"/>
        <w:rPr>
          <w:rFonts w:hint="eastAsia" w:ascii="宋体" w:eastAsia="宋体"/>
          <w:b w:val="0"/>
          <w:color w:val="auto"/>
          <w:sz w:val="36"/>
          <w:lang w:val="zh-CN"/>
        </w:rPr>
      </w:pPr>
    </w:p>
    <w:p>
      <w:pPr>
        <w:pStyle w:val="3"/>
        <w:rPr>
          <w:rFonts w:hint="eastAsia" w:ascii="宋体" w:eastAsia="宋体"/>
          <w:b w:val="0"/>
          <w:color w:val="auto"/>
          <w:sz w:val="36"/>
          <w:lang w:val="zh-CN"/>
        </w:rPr>
      </w:pPr>
    </w:p>
    <w:p>
      <w:pPr>
        <w:autoSpaceDE w:val="0"/>
        <w:autoSpaceDN w:val="0"/>
        <w:adjustRightInd w:val="0"/>
        <w:spacing w:line="360" w:lineRule="exact"/>
        <w:jc w:val="center"/>
        <w:rPr>
          <w:rFonts w:ascii="宋体" w:eastAsia="宋体"/>
          <w:b w:val="0"/>
          <w:color w:val="auto"/>
          <w:sz w:val="36"/>
          <w:lang w:val="zh-CN"/>
        </w:rPr>
      </w:pPr>
    </w:p>
    <w:p>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hint="eastAsia" w:ascii="宋体" w:eastAsia="宋体"/>
          <w:color w:val="auto"/>
          <w:sz w:val="28"/>
          <w:szCs w:val="28"/>
        </w:rPr>
        <w:t>第六部分  附件—投标文件格式</w:t>
      </w:r>
      <w:bookmarkEnd w:id="173"/>
    </w:p>
    <w:p>
      <w:pPr>
        <w:autoSpaceDE w:val="0"/>
        <w:autoSpaceDN w:val="0"/>
        <w:adjustRightInd w:val="0"/>
        <w:spacing w:line="360" w:lineRule="exact"/>
        <w:jc w:val="center"/>
        <w:rPr>
          <w:rFonts w:ascii="宋体" w:eastAsia="宋体"/>
          <w:b w:val="0"/>
          <w:color w:val="auto"/>
          <w:sz w:val="36"/>
          <w:lang w:val="zh-CN"/>
        </w:rPr>
      </w:pPr>
    </w:p>
    <w:p>
      <w:pPr>
        <w:autoSpaceDE w:val="0"/>
        <w:autoSpaceDN w:val="0"/>
        <w:adjustRightInd w:val="0"/>
        <w:snapToGrid w:val="0"/>
        <w:spacing w:line="454" w:lineRule="atLeast"/>
        <w:jc w:val="center"/>
        <w:textAlignment w:val="bottom"/>
        <w:outlineLvl w:val="0"/>
        <w:rPr>
          <w:rFonts w:ascii="宋体" w:eastAsia="宋体"/>
          <w:color w:val="auto"/>
          <w:sz w:val="24"/>
          <w:szCs w:val="24"/>
        </w:rPr>
      </w:pPr>
      <w:bookmarkStart w:id="174" w:name="_Toc494407541"/>
      <w:r>
        <w:rPr>
          <w:rFonts w:hint="eastAsia" w:ascii="宋体" w:eastAsia="宋体"/>
          <w:color w:val="auto"/>
          <w:sz w:val="24"/>
          <w:szCs w:val="24"/>
        </w:rPr>
        <w:t>一、商务报价标部分格式</w:t>
      </w:r>
      <w:bookmarkEnd w:id="174"/>
    </w:p>
    <w:p>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175" w:name="_Toc494407542"/>
      <w:r>
        <w:rPr>
          <w:rFonts w:hint="eastAsia" w:ascii="宋体" w:eastAsia="宋体"/>
          <w:color w:val="auto"/>
          <w:sz w:val="24"/>
          <w:szCs w:val="24"/>
        </w:rPr>
        <w:t>附件一  开标一览表</w:t>
      </w:r>
      <w:bookmarkEnd w:id="175"/>
    </w:p>
    <w:p>
      <w:pPr>
        <w:autoSpaceDE w:val="0"/>
        <w:autoSpaceDN w:val="0"/>
        <w:adjustRightInd w:val="0"/>
        <w:spacing w:line="360" w:lineRule="atLeast"/>
        <w:jc w:val="center"/>
        <w:textAlignment w:val="baseline"/>
        <w:rPr>
          <w:rFonts w:ascii="宋体" w:eastAsia="宋体"/>
          <w:color w:val="auto"/>
          <w:sz w:val="28"/>
          <w:szCs w:val="28"/>
          <w:lang w:val="zh-CN"/>
        </w:rPr>
      </w:pPr>
      <w:r>
        <w:rPr>
          <w:rFonts w:hint="eastAsia" w:ascii="宋体" w:eastAsia="宋体"/>
          <w:color w:val="auto"/>
          <w:sz w:val="28"/>
          <w:szCs w:val="28"/>
          <w:lang w:val="zh-CN"/>
        </w:rPr>
        <w:t>开标一览表</w:t>
      </w:r>
    </w:p>
    <w:p>
      <w:pPr>
        <w:autoSpaceDE w:val="0"/>
        <w:autoSpaceDN w:val="0"/>
        <w:adjustRightInd w:val="0"/>
        <w:rPr>
          <w:rFonts w:ascii="宋体" w:eastAsia="宋体"/>
          <w:b w:val="0"/>
          <w:color w:val="auto"/>
          <w:sz w:val="22"/>
          <w:u w:val="single"/>
        </w:rPr>
      </w:pPr>
      <w:r>
        <w:rPr>
          <w:rFonts w:hint="eastAsia" w:ascii="宋体" w:eastAsia="宋体"/>
          <w:b w:val="0"/>
          <w:color w:val="auto"/>
          <w:sz w:val="22"/>
          <w:szCs w:val="22"/>
          <w:lang w:val="zh-CN"/>
        </w:rPr>
        <w:t>供应商名称：     招标编号：</w:t>
      </w:r>
      <w:r>
        <w:rPr>
          <w:rFonts w:hint="eastAsia" w:ascii="宋体" w:eastAsia="宋体"/>
          <w:b w:val="0"/>
          <w:color w:val="auto"/>
          <w:sz w:val="22"/>
        </w:rPr>
        <w:t>价格单位：</w:t>
      </w:r>
      <w:r>
        <w:rPr>
          <w:rFonts w:hint="eastAsia" w:ascii="宋体" w:eastAsia="宋体"/>
          <w:b w:val="0"/>
          <w:color w:val="auto"/>
          <w:sz w:val="22"/>
          <w:u w:val="single"/>
        </w:rPr>
        <w:t xml:space="preserve">万元   </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9"/>
        <w:gridCol w:w="3213"/>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900" w:type="pct"/>
            <w:vAlign w:val="center"/>
          </w:tcPr>
          <w:p>
            <w:pPr>
              <w:pStyle w:val="13"/>
              <w:jc w:val="center"/>
              <w:rPr>
                <w:rFonts w:hAnsi="宋体" w:eastAsia="宋体"/>
                <w:b w:val="0"/>
                <w:color w:val="auto"/>
                <w:sz w:val="22"/>
                <w:szCs w:val="22"/>
              </w:rPr>
            </w:pPr>
            <w:r>
              <w:rPr>
                <w:rFonts w:hint="eastAsia" w:hAnsi="宋体" w:eastAsia="宋体"/>
                <w:b w:val="0"/>
                <w:color w:val="auto"/>
                <w:sz w:val="22"/>
                <w:szCs w:val="22"/>
              </w:rPr>
              <w:t>项目名称</w:t>
            </w:r>
          </w:p>
        </w:tc>
        <w:tc>
          <w:tcPr>
            <w:tcW w:w="1668" w:type="pct"/>
            <w:vAlign w:val="center"/>
          </w:tcPr>
          <w:p>
            <w:pPr>
              <w:pStyle w:val="13"/>
              <w:jc w:val="center"/>
              <w:rPr>
                <w:rFonts w:hAnsi="宋体" w:eastAsia="宋体"/>
                <w:b w:val="0"/>
                <w:color w:val="auto"/>
                <w:sz w:val="22"/>
                <w:szCs w:val="22"/>
              </w:rPr>
            </w:pPr>
            <w:r>
              <w:rPr>
                <w:rFonts w:hint="eastAsia" w:hAnsi="宋体" w:eastAsia="宋体"/>
                <w:b w:val="0"/>
                <w:color w:val="auto"/>
                <w:sz w:val="22"/>
                <w:szCs w:val="22"/>
              </w:rPr>
              <w:t>投标价（万元人民币）</w:t>
            </w:r>
          </w:p>
        </w:tc>
        <w:tc>
          <w:tcPr>
            <w:tcW w:w="1431" w:type="pct"/>
            <w:vAlign w:val="center"/>
          </w:tcPr>
          <w:p>
            <w:pPr>
              <w:pStyle w:val="13"/>
              <w:jc w:val="center"/>
              <w:rPr>
                <w:rFonts w:hAnsi="宋体" w:eastAsia="宋体"/>
                <w:b w:val="0"/>
                <w:color w:val="auto"/>
                <w:sz w:val="22"/>
                <w:szCs w:val="22"/>
              </w:rPr>
            </w:pPr>
            <w:r>
              <w:rPr>
                <w:rFonts w:hint="eastAsia" w:hAnsi="宋体" w:eastAsia="宋体"/>
                <w:b w:val="0"/>
                <w:color w:val="auto"/>
                <w:sz w:val="22"/>
                <w:szCs w:val="22"/>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00" w:type="pct"/>
            <w:vAlign w:val="center"/>
          </w:tcPr>
          <w:p>
            <w:pPr>
              <w:pStyle w:val="13"/>
              <w:jc w:val="center"/>
              <w:rPr>
                <w:rFonts w:hint="eastAsia" w:hAnsi="宋体" w:eastAsia="宋体"/>
                <w:b w:val="0"/>
                <w:color w:val="auto"/>
                <w:sz w:val="22"/>
                <w:szCs w:val="22"/>
                <w:lang w:eastAsia="zh-CN"/>
              </w:rPr>
            </w:pPr>
            <w:r>
              <w:rPr>
                <w:rFonts w:hint="eastAsia" w:hAnsi="宋体" w:eastAsia="宋体"/>
                <w:b w:val="0"/>
                <w:color w:val="auto"/>
                <w:sz w:val="22"/>
                <w:szCs w:val="22"/>
                <w:lang w:eastAsia="zh-CN"/>
              </w:rPr>
              <w:t>浙江大学温州研究院办公家具采购项目</w:t>
            </w:r>
          </w:p>
        </w:tc>
        <w:tc>
          <w:tcPr>
            <w:tcW w:w="1668" w:type="pct"/>
            <w:vAlign w:val="center"/>
          </w:tcPr>
          <w:p>
            <w:pPr>
              <w:pStyle w:val="13"/>
              <w:rPr>
                <w:rFonts w:hAnsi="宋体" w:eastAsia="宋体"/>
                <w:b w:val="0"/>
                <w:color w:val="auto"/>
                <w:sz w:val="22"/>
                <w:szCs w:val="22"/>
              </w:rPr>
            </w:pPr>
            <w:r>
              <w:rPr>
                <w:rFonts w:hint="eastAsia" w:hAnsi="宋体" w:eastAsia="宋体"/>
                <w:b w:val="0"/>
                <w:color w:val="auto"/>
                <w:sz w:val="22"/>
                <w:szCs w:val="22"/>
              </w:rPr>
              <w:t>大写：</w:t>
            </w:r>
          </w:p>
          <w:p>
            <w:pPr>
              <w:pStyle w:val="13"/>
              <w:rPr>
                <w:rFonts w:hAnsi="宋体" w:eastAsia="宋体"/>
                <w:b w:val="0"/>
                <w:color w:val="auto"/>
                <w:sz w:val="22"/>
                <w:szCs w:val="22"/>
              </w:rPr>
            </w:pPr>
            <w:r>
              <w:rPr>
                <w:rFonts w:hint="eastAsia" w:hAnsi="宋体" w:eastAsia="宋体"/>
                <w:b w:val="0"/>
                <w:color w:val="auto"/>
                <w:sz w:val="22"/>
                <w:szCs w:val="22"/>
              </w:rPr>
              <w:t>小写：</w:t>
            </w:r>
          </w:p>
        </w:tc>
        <w:tc>
          <w:tcPr>
            <w:tcW w:w="1431" w:type="pct"/>
            <w:vAlign w:val="center"/>
          </w:tcPr>
          <w:p>
            <w:pPr>
              <w:pStyle w:val="13"/>
              <w:jc w:val="center"/>
              <w:rPr>
                <w:rFonts w:hAnsi="宋体" w:eastAsia="宋体"/>
                <w:b w:val="0"/>
                <w:color w:val="auto"/>
                <w:sz w:val="22"/>
                <w:szCs w:val="22"/>
              </w:rPr>
            </w:pPr>
            <w:r>
              <w:rPr>
                <w:rFonts w:hint="eastAsia" w:ascii="宋体" w:eastAsia="宋体"/>
                <w:b w:val="0"/>
                <w:color w:val="auto"/>
                <w:sz w:val="22"/>
                <w:lang w:val="en-US" w:eastAsia="zh-CN"/>
              </w:rPr>
              <w:t>95.2849</w:t>
            </w:r>
            <w:r>
              <w:rPr>
                <w:rFonts w:hint="eastAsia" w:hAnsi="宋体" w:eastAsia="宋体"/>
                <w:b w:val="0"/>
                <w:color w:val="auto"/>
                <w:sz w:val="22"/>
                <w:szCs w:val="22"/>
              </w:rPr>
              <w:t>万元人民币</w:t>
            </w:r>
          </w:p>
        </w:tc>
      </w:tr>
    </w:tbl>
    <w:p>
      <w:pPr>
        <w:pStyle w:val="13"/>
        <w:spacing w:line="440" w:lineRule="atLeast"/>
        <w:rPr>
          <w:rFonts w:hAnsi="宋体" w:eastAsia="宋体"/>
          <w:b w:val="0"/>
          <w:color w:val="auto"/>
          <w:sz w:val="22"/>
          <w:szCs w:val="22"/>
        </w:rPr>
      </w:pPr>
      <w:r>
        <w:rPr>
          <w:rFonts w:hint="eastAsia" w:hAnsi="宋体" w:eastAsia="宋体"/>
          <w:b w:val="0"/>
          <w:color w:val="auto"/>
          <w:sz w:val="22"/>
          <w:szCs w:val="22"/>
        </w:rPr>
        <w:t>★开标一览表中投标价为符合招标文件要求的货物总价（含税、运保、随机工具、随机附件等费用），同时包括货物技术服务费（含货物安装调试直至能够正常使用的费用）、材料费、税金、调试费、人工费、运杂费、装卸费、运输保险费、技术培训费、验收费、招标代理服务费等。</w:t>
      </w:r>
    </w:p>
    <w:p>
      <w:pPr>
        <w:pStyle w:val="13"/>
        <w:spacing w:line="440" w:lineRule="atLeast"/>
        <w:rPr>
          <w:rFonts w:hAnsi="宋体" w:eastAsia="宋体"/>
          <w:b w:val="0"/>
          <w:color w:val="auto"/>
          <w:sz w:val="22"/>
          <w:szCs w:val="22"/>
        </w:rPr>
      </w:pPr>
      <w:r>
        <w:rPr>
          <w:rFonts w:hint="eastAsia" w:hAnsi="宋体" w:eastAsia="宋体"/>
          <w:b w:val="0"/>
          <w:color w:val="auto"/>
          <w:sz w:val="22"/>
          <w:szCs w:val="22"/>
        </w:rPr>
        <w:t>★不提供此表格的将视为没有实质性响应招标文件。</w:t>
      </w:r>
    </w:p>
    <w:p>
      <w:pPr>
        <w:pStyle w:val="13"/>
        <w:spacing w:line="440" w:lineRule="atLeast"/>
        <w:rPr>
          <w:rFonts w:hAnsi="宋体" w:eastAsia="宋体"/>
          <w:b w:val="0"/>
          <w:color w:val="auto"/>
          <w:sz w:val="22"/>
        </w:rPr>
      </w:pPr>
    </w:p>
    <w:p>
      <w:pPr>
        <w:pStyle w:val="13"/>
        <w:spacing w:line="440" w:lineRule="atLeast"/>
        <w:rPr>
          <w:rFonts w:hAnsi="宋体" w:eastAsia="宋体"/>
          <w:b w:val="0"/>
          <w:color w:val="auto"/>
          <w:sz w:val="22"/>
        </w:rPr>
      </w:pPr>
    </w:p>
    <w:p>
      <w:pPr>
        <w:spacing w:line="360" w:lineRule="exact"/>
        <w:ind w:left="716" w:leftChars="321" w:hanging="42" w:hangingChars="20"/>
        <w:rPr>
          <w:rFonts w:ascii="宋体" w:eastAsia="宋体" w:cs="Arial"/>
          <w:b w:val="0"/>
          <w:color w:val="auto"/>
          <w:sz w:val="22"/>
          <w:szCs w:val="22"/>
        </w:rPr>
      </w:pPr>
      <w:r>
        <w:rPr>
          <w:rFonts w:hint="eastAsia" w:ascii="宋体" w:eastAsia="宋体"/>
          <w:b w:val="0"/>
          <w:bCs/>
          <w:color w:val="auto"/>
          <w:szCs w:val="21"/>
        </w:rPr>
        <w:t>投标供应商全称（</w:t>
      </w:r>
      <w:r>
        <w:rPr>
          <w:rFonts w:hint="eastAsia" w:eastAsia="宋体"/>
          <w:b w:val="0"/>
          <w:bCs/>
          <w:color w:val="auto"/>
          <w:szCs w:val="21"/>
        </w:rPr>
        <w:t>盖</w:t>
      </w:r>
      <w:r>
        <w:rPr>
          <w:rFonts w:hint="eastAsia" w:ascii="宋体" w:eastAsia="宋体"/>
          <w:b w:val="0"/>
          <w:bCs/>
          <w:color w:val="auto"/>
          <w:szCs w:val="21"/>
        </w:rPr>
        <w:t>章）</w:t>
      </w:r>
      <w:r>
        <w:rPr>
          <w:rFonts w:hint="eastAsia" w:ascii="宋体" w:eastAsia="宋体" w:cs="Arial"/>
          <w:b w:val="0"/>
          <w:color w:val="auto"/>
          <w:sz w:val="22"/>
          <w:szCs w:val="22"/>
        </w:rPr>
        <w:t>：</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法定代表人或授权代表（签字或盖章）：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日期：  年  月  日</w:t>
      </w:r>
    </w:p>
    <w:p>
      <w:pPr>
        <w:pStyle w:val="13"/>
        <w:spacing w:line="440" w:lineRule="atLeast"/>
        <w:rPr>
          <w:rFonts w:hAnsi="宋体" w:eastAsia="宋体"/>
          <w:b w:val="0"/>
          <w:color w:val="auto"/>
          <w:sz w:val="22"/>
          <w:szCs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widowControl/>
        <w:spacing w:line="450" w:lineRule="atLeast"/>
        <w:jc w:val="left"/>
        <w:rPr>
          <w:rFonts w:hAnsi="宋体" w:eastAsia="宋体"/>
          <w:b w:val="0"/>
          <w:color w:val="auto"/>
          <w:sz w:val="22"/>
        </w:rPr>
      </w:pPr>
    </w:p>
    <w:p>
      <w:pPr>
        <w:pStyle w:val="13"/>
        <w:spacing w:line="360" w:lineRule="exact"/>
        <w:rPr>
          <w:rFonts w:hAnsi="宋体" w:eastAsia="宋体"/>
          <w:b w:val="0"/>
          <w:color w:val="auto"/>
          <w:sz w:val="30"/>
        </w:rPr>
        <w:sectPr>
          <w:headerReference r:id="rId4" w:type="first"/>
          <w:footerReference r:id="rId6" w:type="first"/>
          <w:headerReference r:id="rId3" w:type="default"/>
          <w:footerReference r:id="rId5" w:type="default"/>
          <w:pgSz w:w="11906" w:h="16838"/>
          <w:pgMar w:top="1091" w:right="1247" w:bottom="1440" w:left="1247" w:header="851" w:footer="992" w:gutter="0"/>
          <w:cols w:space="720" w:num="1"/>
          <w:titlePg/>
          <w:docGrid w:linePitch="312" w:charSpace="0"/>
        </w:sectPr>
      </w:pPr>
    </w:p>
    <w:p>
      <w:pPr>
        <w:autoSpaceDE w:val="0"/>
        <w:autoSpaceDN w:val="0"/>
        <w:adjustRightInd w:val="0"/>
        <w:snapToGrid w:val="0"/>
        <w:spacing w:line="454" w:lineRule="atLeast"/>
        <w:jc w:val="left"/>
        <w:textAlignment w:val="bottom"/>
        <w:outlineLvl w:val="0"/>
        <w:rPr>
          <w:rFonts w:ascii="宋体" w:eastAsia="宋体"/>
          <w:color w:val="auto"/>
          <w:sz w:val="24"/>
          <w:szCs w:val="24"/>
          <w:lang w:val="zh-CN"/>
        </w:rPr>
      </w:pPr>
      <w:bookmarkStart w:id="176" w:name="_Toc494407543"/>
      <w:r>
        <w:rPr>
          <w:rFonts w:hint="eastAsia" w:ascii="宋体" w:eastAsia="宋体"/>
          <w:color w:val="auto"/>
          <w:sz w:val="24"/>
          <w:szCs w:val="24"/>
        </w:rPr>
        <w:t xml:space="preserve">附件二  </w:t>
      </w:r>
      <w:r>
        <w:rPr>
          <w:rFonts w:hint="eastAsia" w:ascii="宋体" w:eastAsia="宋体"/>
          <w:color w:val="auto"/>
          <w:sz w:val="24"/>
          <w:szCs w:val="24"/>
          <w:lang w:val="zh-CN"/>
        </w:rPr>
        <w:t>投标货物数量、价格表</w:t>
      </w:r>
      <w:bookmarkEnd w:id="176"/>
    </w:p>
    <w:p>
      <w:pPr>
        <w:autoSpaceDE w:val="0"/>
        <w:autoSpaceDN w:val="0"/>
        <w:adjustRightInd w:val="0"/>
        <w:spacing w:line="360" w:lineRule="atLeast"/>
        <w:jc w:val="center"/>
        <w:textAlignment w:val="baseline"/>
        <w:rPr>
          <w:rFonts w:ascii="宋体" w:eastAsia="宋体"/>
          <w:color w:val="auto"/>
          <w:sz w:val="28"/>
          <w:szCs w:val="28"/>
          <w:lang w:val="zh-CN"/>
        </w:rPr>
      </w:pPr>
      <w:r>
        <w:rPr>
          <w:rFonts w:hint="eastAsia" w:ascii="宋体" w:eastAsia="宋体"/>
          <w:color w:val="auto"/>
          <w:sz w:val="28"/>
          <w:szCs w:val="28"/>
          <w:lang w:val="zh-CN"/>
        </w:rPr>
        <w:t>投标货物数量、价格表</w:t>
      </w:r>
    </w:p>
    <w:p>
      <w:pPr>
        <w:spacing w:line="360" w:lineRule="exact"/>
        <w:jc w:val="right"/>
        <w:rPr>
          <w:rFonts w:ascii="宋体" w:eastAsia="宋体"/>
          <w:b w:val="0"/>
          <w:color w:val="auto"/>
          <w:sz w:val="22"/>
        </w:rPr>
      </w:pPr>
      <w:r>
        <w:rPr>
          <w:rFonts w:hint="eastAsia" w:ascii="宋体" w:eastAsia="宋体"/>
          <w:b w:val="0"/>
          <w:color w:val="auto"/>
          <w:sz w:val="22"/>
        </w:rPr>
        <w:t>（价格单位：元）</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08"/>
        <w:gridCol w:w="1484"/>
        <w:gridCol w:w="1573"/>
        <w:gridCol w:w="709"/>
        <w:gridCol w:w="1145"/>
        <w:gridCol w:w="1002"/>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25" w:type="dxa"/>
            <w:tcBorders>
              <w:top w:val="single" w:color="auto" w:sz="12" w:space="0"/>
              <w:left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项目</w:t>
            </w:r>
          </w:p>
        </w:tc>
        <w:tc>
          <w:tcPr>
            <w:tcW w:w="1608"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货物名称</w:t>
            </w:r>
          </w:p>
        </w:tc>
        <w:tc>
          <w:tcPr>
            <w:tcW w:w="1484"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品牌、型号规格、产地</w:t>
            </w:r>
          </w:p>
        </w:tc>
        <w:tc>
          <w:tcPr>
            <w:tcW w:w="1573"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制造厂商名称</w:t>
            </w:r>
          </w:p>
        </w:tc>
        <w:tc>
          <w:tcPr>
            <w:tcW w:w="709"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数量</w:t>
            </w:r>
          </w:p>
        </w:tc>
        <w:tc>
          <w:tcPr>
            <w:tcW w:w="1145"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出厂单价</w:t>
            </w:r>
          </w:p>
          <w:p>
            <w:pPr>
              <w:ind w:right="-11"/>
              <w:jc w:val="center"/>
              <w:rPr>
                <w:rFonts w:ascii="宋体" w:eastAsia="宋体" w:cs="Arial"/>
                <w:b w:val="0"/>
                <w:color w:val="auto"/>
              </w:rPr>
            </w:pPr>
            <w:r>
              <w:rPr>
                <w:rFonts w:hint="eastAsia" w:ascii="宋体" w:eastAsia="宋体" w:cs="Arial"/>
                <w:b w:val="0"/>
                <w:color w:val="auto"/>
              </w:rPr>
              <w:t>（含税）</w:t>
            </w:r>
          </w:p>
        </w:tc>
        <w:tc>
          <w:tcPr>
            <w:tcW w:w="1002" w:type="dxa"/>
            <w:tcBorders>
              <w:top w:val="single" w:color="auto" w:sz="12" w:space="0"/>
              <w:bottom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总价</w:t>
            </w:r>
          </w:p>
          <w:p>
            <w:pPr>
              <w:ind w:right="-11"/>
              <w:jc w:val="center"/>
              <w:rPr>
                <w:rFonts w:ascii="宋体" w:eastAsia="宋体" w:cs="Arial"/>
                <w:b w:val="0"/>
                <w:color w:val="auto"/>
              </w:rPr>
            </w:pPr>
            <w:r>
              <w:rPr>
                <w:rFonts w:hint="eastAsia" w:ascii="宋体" w:eastAsia="宋体" w:cs="Arial"/>
                <w:b w:val="0"/>
                <w:color w:val="auto"/>
              </w:rPr>
              <w:t>（含税）</w:t>
            </w:r>
          </w:p>
        </w:tc>
        <w:tc>
          <w:tcPr>
            <w:tcW w:w="1487" w:type="dxa"/>
            <w:tcBorders>
              <w:top w:val="single" w:color="auto" w:sz="12" w:space="0"/>
              <w:bottom w:val="single" w:color="auto" w:sz="12" w:space="0"/>
              <w:right w:val="single" w:color="auto" w:sz="12" w:space="0"/>
            </w:tcBorders>
            <w:vAlign w:val="center"/>
          </w:tcPr>
          <w:p>
            <w:pPr>
              <w:ind w:right="-11"/>
              <w:jc w:val="center"/>
              <w:rPr>
                <w:rFonts w:ascii="宋体" w:eastAsia="宋体" w:cs="Arial"/>
                <w:b w:val="0"/>
                <w:bCs/>
                <w:color w:val="auto"/>
              </w:rPr>
            </w:pPr>
            <w:r>
              <w:rPr>
                <w:rFonts w:hint="eastAsia" w:ascii="宋体" w:eastAsia="宋体" w:cs="Arial"/>
                <w:b w:val="0"/>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vAlign w:val="center"/>
          </w:tcPr>
          <w:p>
            <w:pPr>
              <w:rPr>
                <w:rFonts w:ascii="宋体" w:eastAsia="宋体" w:cs="Arial"/>
                <w:b w:val="0"/>
                <w:color w:val="auto"/>
              </w:rPr>
            </w:pPr>
          </w:p>
        </w:tc>
        <w:tc>
          <w:tcPr>
            <w:tcW w:w="1484" w:type="dxa"/>
            <w:vAlign w:val="center"/>
          </w:tcPr>
          <w:p>
            <w:pPr>
              <w:jc w:val="center"/>
              <w:rPr>
                <w:rFonts w:ascii="宋体" w:eastAsia="宋体" w:cs="Arial"/>
                <w:b w:val="0"/>
                <w:color w:val="auto"/>
              </w:rPr>
            </w:pPr>
          </w:p>
        </w:tc>
        <w:tc>
          <w:tcPr>
            <w:tcW w:w="1573" w:type="dxa"/>
            <w:vAlign w:val="center"/>
          </w:tcPr>
          <w:p>
            <w:pPr>
              <w:ind w:right="-11"/>
              <w:jc w:val="center"/>
              <w:rPr>
                <w:rFonts w:ascii="宋体" w:eastAsia="宋体" w:cs="Arial"/>
                <w:b w:val="0"/>
                <w:color w:val="auto"/>
              </w:rPr>
            </w:pPr>
          </w:p>
        </w:tc>
        <w:tc>
          <w:tcPr>
            <w:tcW w:w="709" w:type="dxa"/>
            <w:vAlign w:val="center"/>
          </w:tcPr>
          <w:p>
            <w:pPr>
              <w:jc w:val="center"/>
              <w:rPr>
                <w:rFonts w:ascii="宋体" w:eastAsia="宋体" w:cs="Arial"/>
                <w:b w:val="0"/>
                <w:color w:val="auto"/>
              </w:rPr>
            </w:pPr>
          </w:p>
        </w:tc>
        <w:tc>
          <w:tcPr>
            <w:tcW w:w="1145" w:type="dxa"/>
            <w:vAlign w:val="center"/>
          </w:tcPr>
          <w:p>
            <w:pPr>
              <w:ind w:right="-11"/>
              <w:jc w:val="center"/>
              <w:rPr>
                <w:rFonts w:ascii="宋体" w:eastAsia="宋体" w:cs="Arial"/>
                <w:b w:val="0"/>
                <w:color w:val="auto"/>
              </w:rPr>
            </w:pPr>
          </w:p>
        </w:tc>
        <w:tc>
          <w:tcPr>
            <w:tcW w:w="1002" w:type="dxa"/>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vAlign w:val="center"/>
          </w:tcPr>
          <w:p>
            <w:pPr>
              <w:rPr>
                <w:rFonts w:ascii="宋体" w:eastAsia="宋体" w:cs="Arial"/>
                <w:b w:val="0"/>
                <w:color w:val="auto"/>
              </w:rPr>
            </w:pPr>
          </w:p>
        </w:tc>
        <w:tc>
          <w:tcPr>
            <w:tcW w:w="1484" w:type="dxa"/>
            <w:vAlign w:val="center"/>
          </w:tcPr>
          <w:p>
            <w:pPr>
              <w:jc w:val="center"/>
              <w:rPr>
                <w:rFonts w:ascii="宋体" w:eastAsia="宋体" w:cs="Arial"/>
                <w:b w:val="0"/>
                <w:color w:val="auto"/>
              </w:rPr>
            </w:pPr>
          </w:p>
        </w:tc>
        <w:tc>
          <w:tcPr>
            <w:tcW w:w="1573" w:type="dxa"/>
            <w:vAlign w:val="center"/>
          </w:tcPr>
          <w:p>
            <w:pPr>
              <w:ind w:right="-11"/>
              <w:jc w:val="center"/>
              <w:rPr>
                <w:rFonts w:ascii="宋体" w:eastAsia="宋体" w:cs="Arial"/>
                <w:b w:val="0"/>
                <w:color w:val="auto"/>
              </w:rPr>
            </w:pPr>
          </w:p>
        </w:tc>
        <w:tc>
          <w:tcPr>
            <w:tcW w:w="709" w:type="dxa"/>
            <w:vAlign w:val="center"/>
          </w:tcPr>
          <w:p>
            <w:pPr>
              <w:jc w:val="center"/>
              <w:rPr>
                <w:rFonts w:ascii="宋体" w:eastAsia="宋体" w:cs="Arial"/>
                <w:b w:val="0"/>
                <w:color w:val="auto"/>
              </w:rPr>
            </w:pPr>
          </w:p>
        </w:tc>
        <w:tc>
          <w:tcPr>
            <w:tcW w:w="1145" w:type="dxa"/>
            <w:vAlign w:val="center"/>
          </w:tcPr>
          <w:p>
            <w:pPr>
              <w:ind w:right="-11"/>
              <w:jc w:val="center"/>
              <w:rPr>
                <w:rFonts w:ascii="宋体" w:eastAsia="宋体" w:cs="Arial"/>
                <w:b w:val="0"/>
                <w:color w:val="auto"/>
              </w:rPr>
            </w:pPr>
          </w:p>
        </w:tc>
        <w:tc>
          <w:tcPr>
            <w:tcW w:w="1002" w:type="dxa"/>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vAlign w:val="center"/>
          </w:tcPr>
          <w:p>
            <w:pPr>
              <w:rPr>
                <w:rFonts w:ascii="宋体" w:eastAsia="宋体" w:cs="Arial"/>
                <w:b w:val="0"/>
                <w:color w:val="auto"/>
              </w:rPr>
            </w:pPr>
          </w:p>
        </w:tc>
        <w:tc>
          <w:tcPr>
            <w:tcW w:w="1484" w:type="dxa"/>
            <w:vAlign w:val="center"/>
          </w:tcPr>
          <w:p>
            <w:pPr>
              <w:jc w:val="center"/>
              <w:rPr>
                <w:rFonts w:ascii="宋体" w:eastAsia="宋体" w:cs="Arial"/>
                <w:b w:val="0"/>
                <w:color w:val="auto"/>
              </w:rPr>
            </w:pPr>
          </w:p>
        </w:tc>
        <w:tc>
          <w:tcPr>
            <w:tcW w:w="1573" w:type="dxa"/>
            <w:vAlign w:val="center"/>
          </w:tcPr>
          <w:p>
            <w:pPr>
              <w:ind w:right="-11"/>
              <w:jc w:val="center"/>
              <w:rPr>
                <w:rFonts w:ascii="宋体" w:eastAsia="宋体" w:cs="Arial"/>
                <w:b w:val="0"/>
                <w:color w:val="auto"/>
              </w:rPr>
            </w:pPr>
          </w:p>
        </w:tc>
        <w:tc>
          <w:tcPr>
            <w:tcW w:w="709" w:type="dxa"/>
            <w:vAlign w:val="center"/>
          </w:tcPr>
          <w:p>
            <w:pPr>
              <w:jc w:val="center"/>
              <w:rPr>
                <w:rFonts w:ascii="宋体" w:eastAsia="宋体" w:cs="Arial"/>
                <w:b w:val="0"/>
                <w:color w:val="auto"/>
              </w:rPr>
            </w:pPr>
          </w:p>
        </w:tc>
        <w:tc>
          <w:tcPr>
            <w:tcW w:w="1145" w:type="dxa"/>
            <w:vAlign w:val="center"/>
          </w:tcPr>
          <w:p>
            <w:pPr>
              <w:ind w:right="-11"/>
              <w:jc w:val="center"/>
              <w:rPr>
                <w:rFonts w:ascii="宋体" w:eastAsia="宋体" w:cs="Arial"/>
                <w:b w:val="0"/>
                <w:color w:val="auto"/>
              </w:rPr>
            </w:pPr>
          </w:p>
        </w:tc>
        <w:tc>
          <w:tcPr>
            <w:tcW w:w="1002" w:type="dxa"/>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vAlign w:val="center"/>
          </w:tcPr>
          <w:p>
            <w:pPr>
              <w:rPr>
                <w:rFonts w:ascii="宋体" w:eastAsia="宋体" w:cs="Arial"/>
                <w:b w:val="0"/>
                <w:color w:val="auto"/>
              </w:rPr>
            </w:pPr>
          </w:p>
        </w:tc>
        <w:tc>
          <w:tcPr>
            <w:tcW w:w="1484" w:type="dxa"/>
            <w:vAlign w:val="center"/>
          </w:tcPr>
          <w:p>
            <w:pPr>
              <w:jc w:val="center"/>
              <w:rPr>
                <w:rFonts w:ascii="宋体" w:eastAsia="宋体" w:cs="Arial"/>
                <w:b w:val="0"/>
                <w:color w:val="auto"/>
              </w:rPr>
            </w:pPr>
          </w:p>
        </w:tc>
        <w:tc>
          <w:tcPr>
            <w:tcW w:w="1573" w:type="dxa"/>
            <w:vAlign w:val="center"/>
          </w:tcPr>
          <w:p>
            <w:pPr>
              <w:ind w:right="-11"/>
              <w:jc w:val="center"/>
              <w:rPr>
                <w:rFonts w:ascii="宋体" w:eastAsia="宋体" w:cs="Arial"/>
                <w:b w:val="0"/>
                <w:color w:val="auto"/>
              </w:rPr>
            </w:pPr>
          </w:p>
        </w:tc>
        <w:tc>
          <w:tcPr>
            <w:tcW w:w="709" w:type="dxa"/>
            <w:vAlign w:val="center"/>
          </w:tcPr>
          <w:p>
            <w:pPr>
              <w:rPr>
                <w:rFonts w:ascii="宋体" w:eastAsia="宋体" w:cs="Arial"/>
                <w:b w:val="0"/>
                <w:color w:val="auto"/>
              </w:rPr>
            </w:pPr>
          </w:p>
        </w:tc>
        <w:tc>
          <w:tcPr>
            <w:tcW w:w="1145" w:type="dxa"/>
            <w:vAlign w:val="center"/>
          </w:tcPr>
          <w:p>
            <w:pPr>
              <w:ind w:right="-11"/>
              <w:jc w:val="center"/>
              <w:rPr>
                <w:rFonts w:ascii="宋体" w:eastAsia="宋体" w:cs="Arial"/>
                <w:b w:val="0"/>
                <w:color w:val="auto"/>
              </w:rPr>
            </w:pPr>
          </w:p>
        </w:tc>
        <w:tc>
          <w:tcPr>
            <w:tcW w:w="1002" w:type="dxa"/>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vAlign w:val="center"/>
          </w:tcPr>
          <w:p>
            <w:pPr>
              <w:rPr>
                <w:rFonts w:ascii="宋体" w:eastAsia="宋体" w:cs="Arial"/>
                <w:b w:val="0"/>
                <w:color w:val="auto"/>
              </w:rPr>
            </w:pPr>
          </w:p>
        </w:tc>
        <w:tc>
          <w:tcPr>
            <w:tcW w:w="1484" w:type="dxa"/>
            <w:vAlign w:val="center"/>
          </w:tcPr>
          <w:p>
            <w:pPr>
              <w:jc w:val="center"/>
              <w:rPr>
                <w:rFonts w:ascii="宋体" w:eastAsia="宋体" w:cs="Arial"/>
                <w:b w:val="0"/>
                <w:color w:val="auto"/>
              </w:rPr>
            </w:pPr>
          </w:p>
        </w:tc>
        <w:tc>
          <w:tcPr>
            <w:tcW w:w="1573" w:type="dxa"/>
            <w:vAlign w:val="center"/>
          </w:tcPr>
          <w:p>
            <w:pPr>
              <w:ind w:right="-11"/>
              <w:jc w:val="center"/>
              <w:rPr>
                <w:rFonts w:ascii="宋体" w:eastAsia="宋体" w:cs="Arial"/>
                <w:b w:val="0"/>
                <w:color w:val="auto"/>
              </w:rPr>
            </w:pPr>
          </w:p>
        </w:tc>
        <w:tc>
          <w:tcPr>
            <w:tcW w:w="709" w:type="dxa"/>
            <w:vAlign w:val="center"/>
          </w:tcPr>
          <w:p>
            <w:pPr>
              <w:jc w:val="center"/>
              <w:rPr>
                <w:rFonts w:ascii="宋体" w:eastAsia="宋体" w:cs="Arial"/>
                <w:b w:val="0"/>
                <w:color w:val="auto"/>
              </w:rPr>
            </w:pPr>
          </w:p>
        </w:tc>
        <w:tc>
          <w:tcPr>
            <w:tcW w:w="1145" w:type="dxa"/>
            <w:vAlign w:val="center"/>
          </w:tcPr>
          <w:p>
            <w:pPr>
              <w:ind w:right="-11"/>
              <w:jc w:val="center"/>
              <w:rPr>
                <w:rFonts w:ascii="宋体" w:eastAsia="宋体" w:cs="Arial"/>
                <w:b w:val="0"/>
                <w:color w:val="auto"/>
              </w:rPr>
            </w:pPr>
          </w:p>
        </w:tc>
        <w:tc>
          <w:tcPr>
            <w:tcW w:w="1002" w:type="dxa"/>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vAlign w:val="center"/>
          </w:tcPr>
          <w:p>
            <w:pPr>
              <w:rPr>
                <w:rFonts w:ascii="宋体" w:eastAsia="宋体" w:cs="Arial"/>
                <w:b w:val="0"/>
                <w:color w:val="auto"/>
              </w:rPr>
            </w:pPr>
          </w:p>
        </w:tc>
        <w:tc>
          <w:tcPr>
            <w:tcW w:w="1484" w:type="dxa"/>
            <w:vAlign w:val="center"/>
          </w:tcPr>
          <w:p>
            <w:pPr>
              <w:jc w:val="center"/>
              <w:rPr>
                <w:rFonts w:ascii="宋体" w:eastAsia="宋体" w:cs="Arial"/>
                <w:b w:val="0"/>
                <w:color w:val="auto"/>
              </w:rPr>
            </w:pPr>
          </w:p>
        </w:tc>
        <w:tc>
          <w:tcPr>
            <w:tcW w:w="1573" w:type="dxa"/>
            <w:vAlign w:val="center"/>
          </w:tcPr>
          <w:p>
            <w:pPr>
              <w:ind w:right="-11"/>
              <w:jc w:val="center"/>
              <w:rPr>
                <w:rFonts w:ascii="宋体" w:eastAsia="宋体" w:cs="Arial"/>
                <w:b w:val="0"/>
                <w:color w:val="auto"/>
              </w:rPr>
            </w:pPr>
          </w:p>
        </w:tc>
        <w:tc>
          <w:tcPr>
            <w:tcW w:w="709" w:type="dxa"/>
            <w:vAlign w:val="center"/>
          </w:tcPr>
          <w:p>
            <w:pPr>
              <w:jc w:val="center"/>
              <w:rPr>
                <w:rFonts w:ascii="宋体" w:eastAsia="宋体" w:cs="Arial"/>
                <w:b w:val="0"/>
                <w:color w:val="auto"/>
              </w:rPr>
            </w:pPr>
          </w:p>
        </w:tc>
        <w:tc>
          <w:tcPr>
            <w:tcW w:w="1145" w:type="dxa"/>
            <w:vAlign w:val="center"/>
          </w:tcPr>
          <w:p>
            <w:pPr>
              <w:ind w:right="-11"/>
              <w:jc w:val="center"/>
              <w:rPr>
                <w:rFonts w:ascii="宋体" w:eastAsia="宋体" w:cs="Arial"/>
                <w:b w:val="0"/>
                <w:color w:val="auto"/>
              </w:rPr>
            </w:pPr>
          </w:p>
        </w:tc>
        <w:tc>
          <w:tcPr>
            <w:tcW w:w="1002" w:type="dxa"/>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vAlign w:val="center"/>
          </w:tcPr>
          <w:p>
            <w:pPr>
              <w:rPr>
                <w:rFonts w:ascii="宋体" w:eastAsia="宋体" w:cs="Arial"/>
                <w:b w:val="0"/>
                <w:color w:val="auto"/>
              </w:rPr>
            </w:pPr>
          </w:p>
        </w:tc>
        <w:tc>
          <w:tcPr>
            <w:tcW w:w="1484" w:type="dxa"/>
            <w:vAlign w:val="center"/>
          </w:tcPr>
          <w:p>
            <w:pPr>
              <w:jc w:val="center"/>
              <w:rPr>
                <w:rFonts w:ascii="宋体" w:eastAsia="宋体" w:cs="Arial"/>
                <w:b w:val="0"/>
                <w:color w:val="auto"/>
              </w:rPr>
            </w:pPr>
          </w:p>
        </w:tc>
        <w:tc>
          <w:tcPr>
            <w:tcW w:w="1573" w:type="dxa"/>
            <w:vAlign w:val="center"/>
          </w:tcPr>
          <w:p>
            <w:pPr>
              <w:ind w:right="-11"/>
              <w:jc w:val="center"/>
              <w:rPr>
                <w:rFonts w:ascii="宋体" w:eastAsia="宋体" w:cs="Arial"/>
                <w:b w:val="0"/>
                <w:color w:val="auto"/>
              </w:rPr>
            </w:pPr>
          </w:p>
        </w:tc>
        <w:tc>
          <w:tcPr>
            <w:tcW w:w="709" w:type="dxa"/>
            <w:vAlign w:val="center"/>
          </w:tcPr>
          <w:p>
            <w:pPr>
              <w:jc w:val="center"/>
              <w:rPr>
                <w:rFonts w:ascii="宋体" w:eastAsia="宋体" w:cs="Arial"/>
                <w:b w:val="0"/>
                <w:color w:val="auto"/>
              </w:rPr>
            </w:pPr>
          </w:p>
        </w:tc>
        <w:tc>
          <w:tcPr>
            <w:tcW w:w="1145" w:type="dxa"/>
            <w:vAlign w:val="center"/>
          </w:tcPr>
          <w:p>
            <w:pPr>
              <w:ind w:right="-11"/>
              <w:jc w:val="center"/>
              <w:rPr>
                <w:rFonts w:ascii="宋体" w:eastAsia="宋体" w:cs="Arial"/>
                <w:b w:val="0"/>
                <w:color w:val="auto"/>
              </w:rPr>
            </w:pPr>
          </w:p>
        </w:tc>
        <w:tc>
          <w:tcPr>
            <w:tcW w:w="1002" w:type="dxa"/>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vAlign w:val="center"/>
          </w:tcPr>
          <w:p>
            <w:pPr>
              <w:rPr>
                <w:rFonts w:ascii="宋体" w:eastAsia="宋体" w:cs="Arial"/>
                <w:b w:val="0"/>
                <w:color w:val="auto"/>
              </w:rPr>
            </w:pPr>
          </w:p>
        </w:tc>
        <w:tc>
          <w:tcPr>
            <w:tcW w:w="1484" w:type="dxa"/>
            <w:vAlign w:val="center"/>
          </w:tcPr>
          <w:p>
            <w:pPr>
              <w:jc w:val="center"/>
              <w:rPr>
                <w:rFonts w:ascii="宋体" w:eastAsia="宋体" w:cs="Arial"/>
                <w:b w:val="0"/>
                <w:color w:val="auto"/>
              </w:rPr>
            </w:pPr>
          </w:p>
        </w:tc>
        <w:tc>
          <w:tcPr>
            <w:tcW w:w="1573" w:type="dxa"/>
            <w:vAlign w:val="center"/>
          </w:tcPr>
          <w:p>
            <w:pPr>
              <w:ind w:right="-11"/>
              <w:jc w:val="center"/>
              <w:rPr>
                <w:rFonts w:ascii="宋体" w:eastAsia="宋体" w:cs="Arial"/>
                <w:b w:val="0"/>
                <w:color w:val="auto"/>
              </w:rPr>
            </w:pPr>
          </w:p>
        </w:tc>
        <w:tc>
          <w:tcPr>
            <w:tcW w:w="709" w:type="dxa"/>
            <w:vAlign w:val="center"/>
          </w:tcPr>
          <w:p>
            <w:pPr>
              <w:jc w:val="center"/>
              <w:rPr>
                <w:rFonts w:ascii="宋体" w:eastAsia="宋体" w:cs="Arial"/>
                <w:b w:val="0"/>
                <w:color w:val="auto"/>
              </w:rPr>
            </w:pPr>
          </w:p>
        </w:tc>
        <w:tc>
          <w:tcPr>
            <w:tcW w:w="1145" w:type="dxa"/>
            <w:vAlign w:val="center"/>
          </w:tcPr>
          <w:p>
            <w:pPr>
              <w:ind w:right="-11"/>
              <w:jc w:val="center"/>
              <w:rPr>
                <w:rFonts w:ascii="宋体" w:eastAsia="宋体" w:cs="Arial"/>
                <w:b w:val="0"/>
                <w:color w:val="auto"/>
              </w:rPr>
            </w:pPr>
          </w:p>
        </w:tc>
        <w:tc>
          <w:tcPr>
            <w:tcW w:w="1002" w:type="dxa"/>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5" w:type="dxa"/>
            <w:tcBorders>
              <w:left w:val="single" w:color="auto" w:sz="12" w:space="0"/>
            </w:tcBorders>
            <w:vAlign w:val="center"/>
          </w:tcPr>
          <w:p>
            <w:pPr>
              <w:ind w:right="-11"/>
              <w:jc w:val="center"/>
              <w:rPr>
                <w:rFonts w:ascii="宋体" w:eastAsia="宋体" w:cs="Arial"/>
                <w:b w:val="0"/>
                <w:color w:val="auto"/>
              </w:rPr>
            </w:pPr>
          </w:p>
        </w:tc>
        <w:tc>
          <w:tcPr>
            <w:tcW w:w="1608" w:type="dxa"/>
            <w:vAlign w:val="center"/>
          </w:tcPr>
          <w:p>
            <w:pPr>
              <w:rPr>
                <w:rFonts w:ascii="宋体" w:eastAsia="宋体" w:cs="Arial"/>
                <w:b w:val="0"/>
                <w:color w:val="auto"/>
              </w:rPr>
            </w:pPr>
          </w:p>
        </w:tc>
        <w:tc>
          <w:tcPr>
            <w:tcW w:w="1484" w:type="dxa"/>
            <w:vAlign w:val="center"/>
          </w:tcPr>
          <w:p>
            <w:pPr>
              <w:jc w:val="center"/>
              <w:rPr>
                <w:rFonts w:ascii="宋体" w:eastAsia="宋体" w:cs="Arial"/>
                <w:b w:val="0"/>
                <w:color w:val="auto"/>
              </w:rPr>
            </w:pPr>
          </w:p>
        </w:tc>
        <w:tc>
          <w:tcPr>
            <w:tcW w:w="1573" w:type="dxa"/>
            <w:vAlign w:val="center"/>
          </w:tcPr>
          <w:p>
            <w:pPr>
              <w:ind w:right="-11"/>
              <w:jc w:val="center"/>
              <w:rPr>
                <w:rFonts w:ascii="宋体" w:eastAsia="宋体" w:cs="Arial"/>
                <w:b w:val="0"/>
                <w:color w:val="auto"/>
              </w:rPr>
            </w:pPr>
          </w:p>
        </w:tc>
        <w:tc>
          <w:tcPr>
            <w:tcW w:w="709" w:type="dxa"/>
            <w:vAlign w:val="center"/>
          </w:tcPr>
          <w:p>
            <w:pPr>
              <w:jc w:val="center"/>
              <w:rPr>
                <w:rFonts w:ascii="宋体" w:eastAsia="宋体" w:cs="Arial"/>
                <w:b w:val="0"/>
                <w:color w:val="auto"/>
              </w:rPr>
            </w:pPr>
          </w:p>
        </w:tc>
        <w:tc>
          <w:tcPr>
            <w:tcW w:w="1145" w:type="dxa"/>
            <w:vAlign w:val="center"/>
          </w:tcPr>
          <w:p>
            <w:pPr>
              <w:ind w:right="-11"/>
              <w:jc w:val="center"/>
              <w:rPr>
                <w:rFonts w:ascii="宋体" w:eastAsia="宋体" w:cs="Arial"/>
                <w:b w:val="0"/>
                <w:color w:val="auto"/>
              </w:rPr>
            </w:pPr>
          </w:p>
        </w:tc>
        <w:tc>
          <w:tcPr>
            <w:tcW w:w="1002" w:type="dxa"/>
            <w:vAlign w:val="center"/>
          </w:tcPr>
          <w:p>
            <w:pPr>
              <w:ind w:right="-11"/>
              <w:jc w:val="center"/>
              <w:rPr>
                <w:rFonts w:ascii="宋体" w:eastAsia="宋体" w:cs="Arial"/>
                <w:b w:val="0"/>
                <w:color w:val="auto"/>
              </w:rPr>
            </w:pPr>
          </w:p>
        </w:tc>
        <w:tc>
          <w:tcPr>
            <w:tcW w:w="1487" w:type="dxa"/>
            <w:tcBorders>
              <w:right w:val="single" w:color="auto" w:sz="12" w:space="0"/>
            </w:tcBorders>
            <w:vAlign w:val="center"/>
          </w:tcPr>
          <w:p>
            <w:pPr>
              <w:ind w:right="-11"/>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left w:val="single" w:color="auto" w:sz="12" w:space="0"/>
              <w:bottom w:val="single" w:color="auto" w:sz="12" w:space="0"/>
            </w:tcBorders>
            <w:vAlign w:val="center"/>
          </w:tcPr>
          <w:p>
            <w:pPr>
              <w:ind w:right="-10"/>
              <w:jc w:val="center"/>
              <w:rPr>
                <w:rFonts w:ascii="宋体" w:eastAsia="宋体" w:cs="Arial"/>
                <w:b w:val="0"/>
                <w:bCs/>
                <w:color w:val="auto"/>
              </w:rPr>
            </w:pPr>
            <w:r>
              <w:rPr>
                <w:rFonts w:hint="eastAsia" w:ascii="宋体" w:eastAsia="宋体" w:cs="Arial"/>
                <w:b w:val="0"/>
                <w:bCs/>
                <w:color w:val="auto"/>
                <w:lang w:val="en-US" w:eastAsia="zh-CN"/>
              </w:rPr>
              <w:t>货物</w:t>
            </w:r>
            <w:r>
              <w:rPr>
                <w:rFonts w:hint="eastAsia" w:ascii="宋体" w:eastAsia="宋体" w:cs="Arial"/>
                <w:b w:val="0"/>
                <w:bCs/>
                <w:color w:val="auto"/>
              </w:rPr>
              <w:t>总价</w:t>
            </w:r>
          </w:p>
        </w:tc>
        <w:tc>
          <w:tcPr>
            <w:tcW w:w="5916" w:type="dxa"/>
            <w:gridSpan w:val="5"/>
            <w:tcBorders>
              <w:bottom w:val="single" w:color="auto" w:sz="12" w:space="0"/>
              <w:right w:val="single" w:color="auto" w:sz="12" w:space="0"/>
            </w:tcBorders>
            <w:vAlign w:val="center"/>
          </w:tcPr>
          <w:p>
            <w:pPr>
              <w:ind w:right="-10"/>
              <w:jc w:val="center"/>
              <w:rPr>
                <w:rFonts w:ascii="宋体" w:eastAsia="宋体" w:cs="Arial"/>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top w:val="single" w:color="auto" w:sz="12" w:space="0"/>
              <w:left w:val="single" w:color="auto" w:sz="12" w:space="0"/>
            </w:tcBorders>
            <w:vAlign w:val="center"/>
          </w:tcPr>
          <w:p>
            <w:pPr>
              <w:ind w:right="-11"/>
              <w:rPr>
                <w:rFonts w:ascii="宋体" w:eastAsia="宋体" w:cs="Arial"/>
                <w:b w:val="0"/>
                <w:color w:val="auto"/>
              </w:rPr>
            </w:pPr>
            <w:r>
              <w:rPr>
                <w:rFonts w:hint="eastAsia" w:ascii="宋体" w:eastAsia="宋体" w:cs="Arial"/>
                <w:b w:val="0"/>
                <w:color w:val="auto"/>
              </w:rPr>
              <w:t>运杂及保险费（含卸货）</w:t>
            </w:r>
          </w:p>
        </w:tc>
        <w:tc>
          <w:tcPr>
            <w:tcW w:w="5916" w:type="dxa"/>
            <w:gridSpan w:val="5"/>
            <w:tcBorders>
              <w:top w:val="single" w:color="auto" w:sz="12" w:space="0"/>
              <w:right w:val="single" w:color="auto" w:sz="12" w:space="0"/>
            </w:tcBorders>
          </w:tcPr>
          <w:p>
            <w:pPr>
              <w:spacing w:line="340" w:lineRule="exact"/>
              <w:rPr>
                <w:rFonts w:ascii="宋体" w:eastAsia="宋体"/>
                <w:b w:val="0"/>
                <w:bCs/>
                <w:color w:val="auto"/>
                <w:sz w:val="22"/>
              </w:rPr>
            </w:pPr>
            <w:r>
              <w:rPr>
                <w:rFonts w:hint="eastAsia" w:ascii="宋体" w:eastAsia="宋体"/>
                <w:b w:val="0"/>
                <w:bCs/>
                <w:color w:val="auto"/>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left w:val="single" w:color="auto" w:sz="12" w:space="0"/>
            </w:tcBorders>
            <w:vAlign w:val="center"/>
          </w:tcPr>
          <w:p>
            <w:pPr>
              <w:ind w:right="-11"/>
              <w:rPr>
                <w:rFonts w:ascii="宋体" w:eastAsia="宋体" w:cs="Arial"/>
                <w:b w:val="0"/>
                <w:color w:val="auto"/>
              </w:rPr>
            </w:pPr>
            <w:r>
              <w:rPr>
                <w:rFonts w:hint="eastAsia" w:ascii="宋体" w:eastAsia="宋体"/>
                <w:b w:val="0"/>
                <w:color w:val="auto"/>
              </w:rPr>
              <w:t>安装调试费（包括设备的测试、调试、验收等费用）</w:t>
            </w:r>
          </w:p>
        </w:tc>
        <w:tc>
          <w:tcPr>
            <w:tcW w:w="5916" w:type="dxa"/>
            <w:gridSpan w:val="5"/>
            <w:tcBorders>
              <w:right w:val="single" w:color="auto" w:sz="12" w:space="0"/>
            </w:tcBorders>
          </w:tcPr>
          <w:p>
            <w:pPr>
              <w:spacing w:line="340" w:lineRule="exact"/>
              <w:rPr>
                <w:rFonts w:ascii="宋体" w:eastAsia="宋体"/>
                <w:b w:val="0"/>
                <w:bCs/>
                <w:color w:val="auto"/>
                <w:sz w:val="22"/>
              </w:rPr>
            </w:pPr>
            <w:r>
              <w:rPr>
                <w:rFonts w:hint="eastAsia" w:ascii="宋体" w:eastAsia="宋体"/>
                <w:b w:val="0"/>
                <w:bCs/>
                <w:color w:val="auto"/>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717" w:type="dxa"/>
            <w:gridSpan w:val="3"/>
            <w:tcBorders>
              <w:left w:val="single" w:color="auto" w:sz="12" w:space="0"/>
            </w:tcBorders>
            <w:vAlign w:val="center"/>
          </w:tcPr>
          <w:p>
            <w:pPr>
              <w:ind w:right="-11"/>
              <w:rPr>
                <w:rFonts w:ascii="宋体" w:eastAsia="宋体" w:cs="Arial"/>
                <w:b w:val="0"/>
                <w:color w:val="auto"/>
              </w:rPr>
            </w:pPr>
            <w:r>
              <w:rPr>
                <w:rFonts w:hint="eastAsia" w:ascii="宋体" w:eastAsia="宋体" w:cs="Arial"/>
                <w:b w:val="0"/>
                <w:color w:val="auto"/>
              </w:rPr>
              <w:t>培训费、技术服务费、售后服务费等</w:t>
            </w:r>
          </w:p>
        </w:tc>
        <w:tc>
          <w:tcPr>
            <w:tcW w:w="5916" w:type="dxa"/>
            <w:gridSpan w:val="5"/>
            <w:tcBorders>
              <w:right w:val="single" w:color="auto" w:sz="12" w:space="0"/>
            </w:tcBorders>
          </w:tcPr>
          <w:p>
            <w:pPr>
              <w:rPr>
                <w:rFonts w:ascii="宋体" w:eastAsia="宋体"/>
                <w:b w:val="0"/>
                <w:color w:val="auto"/>
              </w:rPr>
            </w:pPr>
            <w:r>
              <w:rPr>
                <w:rFonts w:hint="eastAsia" w:ascii="宋体" w:eastAsia="宋体"/>
                <w:b w:val="0"/>
                <w:bCs/>
                <w:color w:val="auto"/>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left w:val="single" w:color="auto" w:sz="12" w:space="0"/>
            </w:tcBorders>
            <w:vAlign w:val="center"/>
          </w:tcPr>
          <w:p>
            <w:pPr>
              <w:ind w:right="-11"/>
              <w:rPr>
                <w:rFonts w:ascii="宋体" w:eastAsia="宋体" w:cs="Arial"/>
                <w:b w:val="0"/>
                <w:color w:val="auto"/>
              </w:rPr>
            </w:pPr>
            <w:r>
              <w:rPr>
                <w:rFonts w:hint="eastAsia" w:ascii="宋体" w:eastAsia="宋体" w:cs="Arial"/>
                <w:b w:val="0"/>
                <w:color w:val="auto"/>
              </w:rPr>
              <w:t>税金</w:t>
            </w:r>
          </w:p>
        </w:tc>
        <w:tc>
          <w:tcPr>
            <w:tcW w:w="5916" w:type="dxa"/>
            <w:gridSpan w:val="5"/>
            <w:tcBorders>
              <w:right w:val="single" w:color="auto" w:sz="12" w:space="0"/>
            </w:tcBorders>
          </w:tcPr>
          <w:p>
            <w:pPr>
              <w:rPr>
                <w:rFonts w:ascii="宋体" w:eastAsia="宋体"/>
                <w:b w:val="0"/>
                <w:color w:val="auto"/>
              </w:rPr>
            </w:pPr>
            <w:r>
              <w:rPr>
                <w:rFonts w:hint="eastAsia" w:ascii="宋体" w:eastAsia="宋体"/>
                <w:b w:val="0"/>
                <w:bCs/>
                <w:color w:val="auto"/>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left w:val="single" w:color="auto" w:sz="12" w:space="0"/>
            </w:tcBorders>
            <w:vAlign w:val="center"/>
          </w:tcPr>
          <w:p>
            <w:pPr>
              <w:ind w:right="-11"/>
              <w:rPr>
                <w:rFonts w:ascii="宋体" w:eastAsia="宋体" w:cs="Arial"/>
                <w:b w:val="0"/>
                <w:color w:val="auto"/>
              </w:rPr>
            </w:pPr>
            <w:r>
              <w:rPr>
                <w:rFonts w:hint="eastAsia" w:ascii="宋体" w:eastAsia="宋体" w:cs="Arial"/>
                <w:b w:val="0"/>
                <w:color w:val="auto"/>
              </w:rPr>
              <w:t>其他相关费用</w:t>
            </w:r>
          </w:p>
        </w:tc>
        <w:tc>
          <w:tcPr>
            <w:tcW w:w="5916" w:type="dxa"/>
            <w:gridSpan w:val="5"/>
            <w:tcBorders>
              <w:right w:val="single" w:color="auto" w:sz="12" w:space="0"/>
            </w:tcBorders>
          </w:tcPr>
          <w:p>
            <w:pPr>
              <w:rPr>
                <w:rFonts w:ascii="宋体" w:eastAsia="宋体"/>
                <w:b w:val="0"/>
                <w:color w:val="auto"/>
              </w:rPr>
            </w:pPr>
            <w:r>
              <w:rPr>
                <w:rFonts w:hint="eastAsia" w:ascii="宋体" w:eastAsia="宋体"/>
                <w:b w:val="0"/>
                <w:bCs/>
                <w:color w:val="auto"/>
                <w:sz w:val="22"/>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3717" w:type="dxa"/>
            <w:gridSpan w:val="3"/>
            <w:tcBorders>
              <w:left w:val="single" w:color="auto" w:sz="12" w:space="0"/>
              <w:bottom w:val="single" w:color="auto" w:sz="12" w:space="0"/>
            </w:tcBorders>
            <w:vAlign w:val="center"/>
          </w:tcPr>
          <w:p>
            <w:pPr>
              <w:ind w:right="-11"/>
              <w:rPr>
                <w:rFonts w:ascii="宋体" w:eastAsia="宋体" w:cs="Arial"/>
                <w:b w:val="0"/>
                <w:color w:val="auto"/>
              </w:rPr>
            </w:pPr>
            <w:r>
              <w:rPr>
                <w:rFonts w:hint="eastAsia" w:ascii="宋体" w:eastAsia="宋体" w:cs="Arial"/>
                <w:b w:val="0"/>
                <w:color w:val="auto"/>
              </w:rPr>
              <w:t>合计总价</w:t>
            </w:r>
          </w:p>
          <w:p>
            <w:pPr>
              <w:ind w:right="-11"/>
              <w:rPr>
                <w:rFonts w:ascii="宋体" w:eastAsia="宋体" w:cs="Arial"/>
                <w:b w:val="0"/>
                <w:color w:val="auto"/>
              </w:rPr>
            </w:pPr>
            <w:r>
              <w:rPr>
                <w:rFonts w:hint="eastAsia" w:ascii="宋体" w:eastAsia="宋体" w:cs="Arial"/>
                <w:b w:val="0"/>
                <w:color w:val="auto"/>
              </w:rPr>
              <w:t>（应与开标一览表中投标总价相一致）</w:t>
            </w:r>
          </w:p>
        </w:tc>
        <w:tc>
          <w:tcPr>
            <w:tcW w:w="5916" w:type="dxa"/>
            <w:gridSpan w:val="5"/>
            <w:tcBorders>
              <w:bottom w:val="single" w:color="auto" w:sz="12" w:space="0"/>
              <w:right w:val="single" w:color="auto" w:sz="12" w:space="0"/>
            </w:tcBorders>
          </w:tcPr>
          <w:p>
            <w:pPr>
              <w:spacing w:line="340" w:lineRule="exact"/>
              <w:rPr>
                <w:rFonts w:ascii="宋体" w:eastAsia="宋体"/>
                <w:b w:val="0"/>
                <w:bCs/>
                <w:color w:val="auto"/>
                <w:sz w:val="22"/>
              </w:rPr>
            </w:pPr>
          </w:p>
        </w:tc>
      </w:tr>
    </w:tbl>
    <w:p>
      <w:pPr>
        <w:rPr>
          <w:rFonts w:ascii="宋体" w:eastAsia="宋体" w:cs="Arial"/>
          <w:b w:val="0"/>
          <w:color w:val="auto"/>
          <w:szCs w:val="21"/>
        </w:rPr>
      </w:pPr>
      <w:r>
        <w:rPr>
          <w:rFonts w:hint="eastAsia" w:ascii="宋体" w:eastAsia="宋体" w:cs="Arial"/>
          <w:b w:val="0"/>
          <w:bCs/>
          <w:color w:val="auto"/>
          <w:szCs w:val="21"/>
        </w:rPr>
        <w:t>附注</w:t>
      </w:r>
      <w:r>
        <w:rPr>
          <w:rFonts w:ascii="宋体" w:eastAsia="宋体" w:cs="Arial"/>
          <w:b w:val="0"/>
          <w:bCs/>
          <w:color w:val="auto"/>
          <w:szCs w:val="21"/>
        </w:rPr>
        <w:t>：</w:t>
      </w:r>
      <w:r>
        <w:rPr>
          <w:rFonts w:ascii="宋体" w:eastAsia="宋体" w:cs="Arial"/>
          <w:b w:val="0"/>
          <w:color w:val="auto"/>
          <w:szCs w:val="21"/>
        </w:rPr>
        <w:t>1</w:t>
      </w:r>
      <w:r>
        <w:rPr>
          <w:rFonts w:hint="eastAsia" w:ascii="宋体" w:eastAsia="宋体" w:cs="Arial"/>
          <w:b w:val="0"/>
          <w:color w:val="auto"/>
          <w:szCs w:val="21"/>
        </w:rPr>
        <w:t xml:space="preserve">. </w:t>
      </w:r>
      <w:r>
        <w:rPr>
          <w:rFonts w:ascii="宋体" w:eastAsia="宋体" w:cs="Arial"/>
          <w:b w:val="0"/>
          <w:color w:val="auto"/>
          <w:szCs w:val="21"/>
        </w:rPr>
        <w:t>不提供详细分项报价表将视为没有实质性响应招标文件</w:t>
      </w:r>
      <w:r>
        <w:rPr>
          <w:rFonts w:hint="eastAsia" w:ascii="宋体" w:eastAsia="宋体" w:cs="Arial"/>
          <w:b w:val="0"/>
          <w:color w:val="auto"/>
          <w:szCs w:val="21"/>
        </w:rPr>
        <w:t>，货物名称按采购设备清单内容</w:t>
      </w:r>
      <w:r>
        <w:rPr>
          <w:rFonts w:ascii="宋体" w:eastAsia="宋体" w:cs="Arial"/>
          <w:b w:val="0"/>
          <w:color w:val="auto"/>
          <w:szCs w:val="21"/>
        </w:rPr>
        <w:t>。</w:t>
      </w:r>
    </w:p>
    <w:p>
      <w:pPr>
        <w:ind w:firstLine="630"/>
        <w:rPr>
          <w:rFonts w:ascii="宋体" w:eastAsia="宋体" w:cs="Arial"/>
          <w:b w:val="0"/>
          <w:color w:val="auto"/>
          <w:szCs w:val="21"/>
        </w:rPr>
      </w:pPr>
      <w:r>
        <w:rPr>
          <w:rFonts w:ascii="宋体" w:eastAsia="宋体" w:cs="Arial"/>
          <w:b w:val="0"/>
          <w:color w:val="auto"/>
          <w:szCs w:val="21"/>
        </w:rPr>
        <w:t>2</w:t>
      </w:r>
      <w:r>
        <w:rPr>
          <w:rFonts w:hint="eastAsia" w:ascii="宋体" w:eastAsia="宋体" w:cs="Arial"/>
          <w:b w:val="0"/>
          <w:color w:val="auto"/>
          <w:szCs w:val="21"/>
        </w:rPr>
        <w:t xml:space="preserve">. </w:t>
      </w:r>
      <w:r>
        <w:rPr>
          <w:rFonts w:ascii="宋体" w:eastAsia="宋体" w:cs="Arial"/>
          <w:b w:val="0"/>
          <w:color w:val="auto"/>
          <w:szCs w:val="21"/>
        </w:rPr>
        <w:t>此表的合</w:t>
      </w:r>
      <w:r>
        <w:rPr>
          <w:rFonts w:hint="eastAsia" w:ascii="宋体" w:eastAsia="宋体" w:cs="Arial"/>
          <w:b w:val="0"/>
          <w:color w:val="auto"/>
          <w:szCs w:val="21"/>
        </w:rPr>
        <w:t>计总</w:t>
      </w:r>
      <w:r>
        <w:rPr>
          <w:rFonts w:ascii="宋体" w:eastAsia="宋体" w:cs="Arial"/>
          <w:b w:val="0"/>
          <w:color w:val="auto"/>
          <w:szCs w:val="21"/>
        </w:rPr>
        <w:t>价应与附</w:t>
      </w:r>
      <w:r>
        <w:rPr>
          <w:rFonts w:hint="eastAsia" w:ascii="宋体" w:eastAsia="宋体" w:cs="Arial"/>
          <w:b w:val="0"/>
          <w:color w:val="auto"/>
          <w:szCs w:val="21"/>
        </w:rPr>
        <w:t>件一“开标一览表”投标总价相一</w:t>
      </w:r>
      <w:r>
        <w:rPr>
          <w:rFonts w:ascii="宋体" w:eastAsia="宋体" w:cs="Arial"/>
          <w:b w:val="0"/>
          <w:color w:val="auto"/>
          <w:szCs w:val="21"/>
        </w:rPr>
        <w:t>致。</w:t>
      </w:r>
    </w:p>
    <w:p>
      <w:pPr>
        <w:ind w:firstLine="630"/>
        <w:rPr>
          <w:rFonts w:ascii="宋体" w:eastAsia="宋体" w:cs="Arial"/>
          <w:b w:val="0"/>
          <w:color w:val="auto"/>
          <w:szCs w:val="21"/>
        </w:rPr>
      </w:pPr>
      <w:r>
        <w:rPr>
          <w:rFonts w:ascii="宋体" w:eastAsia="宋体" w:cs="Arial"/>
          <w:b w:val="0"/>
          <w:color w:val="auto"/>
          <w:szCs w:val="21"/>
        </w:rPr>
        <w:t>3</w:t>
      </w:r>
      <w:r>
        <w:rPr>
          <w:rFonts w:hint="eastAsia" w:ascii="宋体" w:eastAsia="宋体" w:cs="Arial"/>
          <w:b w:val="0"/>
          <w:color w:val="auto"/>
          <w:szCs w:val="21"/>
        </w:rPr>
        <w:t xml:space="preserve">. </w:t>
      </w:r>
      <w:r>
        <w:rPr>
          <w:rFonts w:ascii="宋体" w:eastAsia="宋体" w:cs="Arial"/>
          <w:b w:val="0"/>
          <w:color w:val="auto"/>
          <w:szCs w:val="21"/>
        </w:rPr>
        <w:t>如果免费请在该备注栏</w:t>
      </w:r>
      <w:r>
        <w:rPr>
          <w:rFonts w:hint="eastAsia" w:ascii="宋体" w:eastAsia="宋体" w:cs="Arial"/>
          <w:b w:val="0"/>
          <w:color w:val="auto"/>
          <w:szCs w:val="21"/>
        </w:rPr>
        <w:t>内注明“免”，如果含在产品价格中则填“含”，如无此项内容则填“无”，不留空白。</w:t>
      </w:r>
    </w:p>
    <w:p>
      <w:pPr>
        <w:ind w:firstLine="630"/>
        <w:rPr>
          <w:rFonts w:ascii="宋体" w:eastAsia="宋体" w:cs="Arial"/>
          <w:b w:val="0"/>
          <w:color w:val="auto"/>
          <w:szCs w:val="21"/>
        </w:rPr>
      </w:pPr>
      <w:r>
        <w:rPr>
          <w:rFonts w:ascii="宋体" w:eastAsia="宋体" w:cs="Arial"/>
          <w:b w:val="0"/>
          <w:color w:val="auto"/>
          <w:szCs w:val="21"/>
        </w:rPr>
        <w:t>4</w:t>
      </w:r>
      <w:r>
        <w:rPr>
          <w:rFonts w:hint="eastAsia" w:ascii="宋体" w:eastAsia="宋体" w:cs="Arial"/>
          <w:b w:val="0"/>
          <w:color w:val="auto"/>
          <w:szCs w:val="21"/>
        </w:rPr>
        <w:t>.  根据《中华人民共和国政府采购法实施条例 》第四十三条规定，在中标或者成交公告的内容中可能增加本表，请各供应商认真填写，确保报价数据的真实性、完整性和合理性。</w:t>
      </w:r>
    </w:p>
    <w:p>
      <w:pPr>
        <w:ind w:firstLine="630"/>
        <w:rPr>
          <w:rFonts w:ascii="宋体" w:eastAsia="宋体"/>
          <w:b w:val="0"/>
          <w:color w:val="auto"/>
          <w:sz w:val="22"/>
          <w:u w:val="single"/>
        </w:rPr>
      </w:pPr>
      <w:r>
        <w:rPr>
          <w:rFonts w:hint="eastAsia" w:ascii="宋体" w:eastAsia="宋体" w:cs="Arial"/>
          <w:b w:val="0"/>
          <w:color w:val="auto"/>
          <w:szCs w:val="21"/>
        </w:rPr>
        <w:t xml:space="preserve">5、表格可以延续。      </w:t>
      </w:r>
    </w:p>
    <w:p>
      <w:pPr>
        <w:spacing w:line="360" w:lineRule="exact"/>
        <w:ind w:left="716" w:leftChars="321" w:hanging="42" w:hangingChars="20"/>
        <w:rPr>
          <w:rFonts w:ascii="宋体" w:eastAsia="宋体" w:cs="Arial"/>
          <w:b w:val="0"/>
          <w:color w:val="auto"/>
          <w:sz w:val="22"/>
          <w:szCs w:val="22"/>
        </w:rPr>
      </w:pPr>
      <w:r>
        <w:rPr>
          <w:rFonts w:hint="eastAsia" w:ascii="宋体" w:eastAsia="宋体"/>
          <w:b w:val="0"/>
          <w:bCs/>
          <w:color w:val="auto"/>
          <w:szCs w:val="21"/>
        </w:rPr>
        <w:t>投标供应商全称（</w:t>
      </w:r>
      <w:r>
        <w:rPr>
          <w:rFonts w:hint="eastAsia" w:eastAsia="宋体"/>
          <w:b w:val="0"/>
          <w:bCs/>
          <w:color w:val="auto"/>
          <w:szCs w:val="21"/>
        </w:rPr>
        <w:t>盖</w:t>
      </w:r>
      <w:r>
        <w:rPr>
          <w:rFonts w:hint="eastAsia" w:ascii="宋体" w:eastAsia="宋体"/>
          <w:b w:val="0"/>
          <w:bCs/>
          <w:color w:val="auto"/>
          <w:szCs w:val="21"/>
        </w:rPr>
        <w:t>章）</w:t>
      </w:r>
      <w:r>
        <w:rPr>
          <w:rFonts w:hint="eastAsia" w:ascii="宋体" w:eastAsia="宋体" w:cs="Arial"/>
          <w:b w:val="0"/>
          <w:color w:val="auto"/>
          <w:sz w:val="22"/>
          <w:szCs w:val="22"/>
        </w:rPr>
        <w:t>：</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法定代表人或授权代表（签字或盖章）：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日期：  年  月  日</w:t>
      </w: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pStyle w:val="30"/>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177" w:name="_Toc494407544"/>
      <w:r>
        <w:rPr>
          <w:rFonts w:hint="eastAsia" w:ascii="宋体" w:eastAsia="宋体"/>
          <w:color w:val="auto"/>
          <w:sz w:val="24"/>
          <w:szCs w:val="24"/>
        </w:rPr>
        <w:t>附件三  随机备品备件、专用工具清单</w:t>
      </w:r>
      <w:bookmarkEnd w:id="177"/>
    </w:p>
    <w:p>
      <w:pPr>
        <w:spacing w:line="360" w:lineRule="exact"/>
        <w:jc w:val="left"/>
        <w:rPr>
          <w:rFonts w:ascii="宋体" w:eastAsia="宋体"/>
          <w:color w:val="auto"/>
          <w:sz w:val="22"/>
        </w:rPr>
      </w:pPr>
    </w:p>
    <w:p>
      <w:pPr>
        <w:pStyle w:val="13"/>
        <w:adjustRightInd w:val="0"/>
        <w:snapToGrid w:val="0"/>
        <w:spacing w:line="400" w:lineRule="exact"/>
        <w:jc w:val="center"/>
        <w:rPr>
          <w:rFonts w:hAnsi="宋体" w:eastAsia="宋体"/>
          <w:b w:val="0"/>
          <w:color w:val="auto"/>
          <w:sz w:val="28"/>
          <w:szCs w:val="28"/>
        </w:rPr>
      </w:pPr>
      <w:r>
        <w:rPr>
          <w:rFonts w:hint="eastAsia" w:hAnsi="宋体" w:eastAsia="宋体"/>
          <w:b w:val="0"/>
          <w:color w:val="auto"/>
          <w:sz w:val="28"/>
          <w:szCs w:val="28"/>
        </w:rPr>
        <w:t xml:space="preserve">随机备品备件、专用工具清单(如有) </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55"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序 号</w:t>
            </w:r>
          </w:p>
        </w:tc>
        <w:tc>
          <w:tcPr>
            <w:tcW w:w="1688"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名称</w:t>
            </w:r>
          </w:p>
        </w:tc>
        <w:tc>
          <w:tcPr>
            <w:tcW w:w="2110"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产地/规格/型号</w:t>
            </w:r>
          </w:p>
        </w:tc>
        <w:tc>
          <w:tcPr>
            <w:tcW w:w="1477"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数量</w:t>
            </w:r>
          </w:p>
        </w:tc>
        <w:tc>
          <w:tcPr>
            <w:tcW w:w="1230"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单价</w:t>
            </w:r>
          </w:p>
        </w:tc>
        <w:tc>
          <w:tcPr>
            <w:tcW w:w="1940"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bl>
    <w:p>
      <w:pPr>
        <w:pStyle w:val="13"/>
        <w:adjustRightInd w:val="0"/>
        <w:snapToGrid w:val="0"/>
        <w:spacing w:line="400" w:lineRule="exact"/>
        <w:rPr>
          <w:rFonts w:hAnsi="宋体" w:eastAsia="宋体"/>
          <w:b w:val="0"/>
          <w:color w:val="auto"/>
          <w:sz w:val="22"/>
        </w:rPr>
      </w:pPr>
    </w:p>
    <w:p>
      <w:pPr>
        <w:pStyle w:val="13"/>
        <w:adjustRightInd w:val="0"/>
        <w:snapToGrid w:val="0"/>
        <w:spacing w:line="400" w:lineRule="exact"/>
        <w:rPr>
          <w:rFonts w:hAnsi="宋体" w:eastAsia="宋体"/>
          <w:b w:val="0"/>
          <w:color w:val="auto"/>
          <w:sz w:val="22"/>
        </w:rPr>
      </w:pPr>
      <w:r>
        <w:rPr>
          <w:rFonts w:hint="eastAsia" w:hAnsi="宋体" w:eastAsia="宋体"/>
          <w:b w:val="0"/>
          <w:bCs/>
          <w:color w:val="auto"/>
          <w:szCs w:val="21"/>
        </w:rPr>
        <w:t>投标供应商全称（盖章）</w:t>
      </w:r>
      <w:r>
        <w:rPr>
          <w:rFonts w:hint="eastAsia" w:hAnsi="宋体" w:eastAsia="宋体"/>
          <w:b w:val="0"/>
          <w:color w:val="auto"/>
          <w:sz w:val="22"/>
        </w:rPr>
        <w:t>：</w:t>
      </w: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pStyle w:val="13"/>
        <w:adjustRightInd w:val="0"/>
        <w:snapToGrid w:val="0"/>
        <w:spacing w:line="400" w:lineRule="exact"/>
        <w:rPr>
          <w:rFonts w:hAnsi="宋体" w:eastAsia="宋体"/>
          <w:color w:val="auto"/>
          <w:sz w:val="24"/>
        </w:rPr>
      </w:pPr>
    </w:p>
    <w:p>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178" w:name="_Toc494407545"/>
      <w:r>
        <w:rPr>
          <w:rFonts w:hint="eastAsia" w:ascii="宋体" w:eastAsia="宋体"/>
          <w:color w:val="auto"/>
          <w:sz w:val="24"/>
          <w:szCs w:val="24"/>
        </w:rPr>
        <w:t>附件四  产品零件、易损件、备品备件报价表</w:t>
      </w:r>
      <w:bookmarkEnd w:id="178"/>
    </w:p>
    <w:p>
      <w:pPr>
        <w:spacing w:line="360" w:lineRule="exact"/>
        <w:jc w:val="center"/>
        <w:rPr>
          <w:rFonts w:ascii="宋体" w:eastAsia="宋体"/>
          <w:b w:val="0"/>
          <w:color w:val="auto"/>
          <w:sz w:val="28"/>
          <w:szCs w:val="28"/>
        </w:rPr>
      </w:pPr>
    </w:p>
    <w:p>
      <w:pPr>
        <w:spacing w:line="360" w:lineRule="exact"/>
        <w:jc w:val="center"/>
        <w:rPr>
          <w:rFonts w:ascii="宋体" w:eastAsia="宋体"/>
          <w:b w:val="0"/>
          <w:color w:val="auto"/>
          <w:sz w:val="28"/>
          <w:szCs w:val="28"/>
        </w:rPr>
      </w:pPr>
      <w:r>
        <w:rPr>
          <w:rFonts w:hint="eastAsia" w:ascii="宋体" w:eastAsia="宋体"/>
          <w:b w:val="0"/>
          <w:color w:val="auto"/>
          <w:sz w:val="28"/>
          <w:szCs w:val="28"/>
        </w:rPr>
        <w:t>产品零件、易损件、备品备件报价表</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55"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序 号</w:t>
            </w:r>
          </w:p>
        </w:tc>
        <w:tc>
          <w:tcPr>
            <w:tcW w:w="1688"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名称</w:t>
            </w:r>
          </w:p>
        </w:tc>
        <w:tc>
          <w:tcPr>
            <w:tcW w:w="2110"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产地/规格/型号</w:t>
            </w:r>
          </w:p>
        </w:tc>
        <w:tc>
          <w:tcPr>
            <w:tcW w:w="1477"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数量</w:t>
            </w:r>
          </w:p>
        </w:tc>
        <w:tc>
          <w:tcPr>
            <w:tcW w:w="1230"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单价</w:t>
            </w:r>
          </w:p>
        </w:tc>
        <w:tc>
          <w:tcPr>
            <w:tcW w:w="1940" w:type="dxa"/>
            <w:vAlign w:val="center"/>
          </w:tcPr>
          <w:p>
            <w:pPr>
              <w:pStyle w:val="13"/>
              <w:adjustRightInd w:val="0"/>
              <w:snapToGrid w:val="0"/>
              <w:spacing w:line="400" w:lineRule="exact"/>
              <w:jc w:val="center"/>
              <w:rPr>
                <w:rFonts w:hAnsi="宋体" w:eastAsia="宋体"/>
                <w:b w:val="0"/>
                <w:color w:val="auto"/>
                <w:sz w:val="22"/>
              </w:rPr>
            </w:pPr>
            <w:r>
              <w:rPr>
                <w:rFonts w:hint="eastAsia" w:hAnsi="宋体" w:eastAsia="宋体"/>
                <w:b w:val="0"/>
                <w:color w:val="auto"/>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pStyle w:val="13"/>
              <w:adjustRightInd w:val="0"/>
              <w:snapToGrid w:val="0"/>
              <w:spacing w:line="400" w:lineRule="exact"/>
              <w:jc w:val="center"/>
              <w:rPr>
                <w:rFonts w:hAnsi="宋体" w:eastAsia="宋体"/>
                <w:b w:val="0"/>
                <w:color w:val="auto"/>
                <w:sz w:val="22"/>
              </w:rPr>
            </w:pPr>
          </w:p>
        </w:tc>
        <w:tc>
          <w:tcPr>
            <w:tcW w:w="1688" w:type="dxa"/>
          </w:tcPr>
          <w:p>
            <w:pPr>
              <w:pStyle w:val="13"/>
              <w:adjustRightInd w:val="0"/>
              <w:snapToGrid w:val="0"/>
              <w:spacing w:line="400" w:lineRule="exact"/>
              <w:jc w:val="center"/>
              <w:rPr>
                <w:rFonts w:hAnsi="宋体" w:eastAsia="宋体"/>
                <w:b w:val="0"/>
                <w:color w:val="auto"/>
                <w:sz w:val="22"/>
              </w:rPr>
            </w:pPr>
          </w:p>
        </w:tc>
        <w:tc>
          <w:tcPr>
            <w:tcW w:w="2110" w:type="dxa"/>
          </w:tcPr>
          <w:p>
            <w:pPr>
              <w:pStyle w:val="13"/>
              <w:adjustRightInd w:val="0"/>
              <w:snapToGrid w:val="0"/>
              <w:spacing w:line="400" w:lineRule="exact"/>
              <w:jc w:val="center"/>
              <w:rPr>
                <w:rFonts w:hAnsi="宋体" w:eastAsia="宋体"/>
                <w:b w:val="0"/>
                <w:color w:val="auto"/>
                <w:sz w:val="22"/>
              </w:rPr>
            </w:pPr>
          </w:p>
        </w:tc>
        <w:tc>
          <w:tcPr>
            <w:tcW w:w="1477" w:type="dxa"/>
          </w:tcPr>
          <w:p>
            <w:pPr>
              <w:pStyle w:val="13"/>
              <w:adjustRightInd w:val="0"/>
              <w:snapToGrid w:val="0"/>
              <w:spacing w:line="400" w:lineRule="exact"/>
              <w:jc w:val="center"/>
              <w:rPr>
                <w:rFonts w:hAnsi="宋体" w:eastAsia="宋体"/>
                <w:b w:val="0"/>
                <w:color w:val="auto"/>
                <w:sz w:val="22"/>
              </w:rPr>
            </w:pPr>
          </w:p>
        </w:tc>
        <w:tc>
          <w:tcPr>
            <w:tcW w:w="1230" w:type="dxa"/>
          </w:tcPr>
          <w:p>
            <w:pPr>
              <w:pStyle w:val="13"/>
              <w:adjustRightInd w:val="0"/>
              <w:snapToGrid w:val="0"/>
              <w:spacing w:line="400" w:lineRule="exact"/>
              <w:jc w:val="center"/>
              <w:rPr>
                <w:rFonts w:hAnsi="宋体" w:eastAsia="宋体"/>
                <w:b w:val="0"/>
                <w:color w:val="auto"/>
                <w:sz w:val="22"/>
              </w:rPr>
            </w:pPr>
          </w:p>
        </w:tc>
        <w:tc>
          <w:tcPr>
            <w:tcW w:w="1940" w:type="dxa"/>
          </w:tcPr>
          <w:p>
            <w:pPr>
              <w:pStyle w:val="13"/>
              <w:adjustRightInd w:val="0"/>
              <w:snapToGrid w:val="0"/>
              <w:spacing w:line="400" w:lineRule="exact"/>
              <w:jc w:val="center"/>
              <w:rPr>
                <w:rFonts w:hAnsi="宋体" w:eastAsia="宋体"/>
                <w:b w:val="0"/>
                <w:color w:val="auto"/>
                <w:sz w:val="22"/>
              </w:rPr>
            </w:pPr>
          </w:p>
        </w:tc>
      </w:tr>
    </w:tbl>
    <w:p>
      <w:pPr>
        <w:pStyle w:val="13"/>
        <w:adjustRightInd w:val="0"/>
        <w:snapToGrid w:val="0"/>
        <w:spacing w:line="400" w:lineRule="exact"/>
        <w:rPr>
          <w:rFonts w:hAnsi="宋体" w:eastAsia="宋体"/>
          <w:b w:val="0"/>
          <w:color w:val="auto"/>
          <w:sz w:val="22"/>
        </w:rPr>
      </w:pPr>
    </w:p>
    <w:p>
      <w:pPr>
        <w:pStyle w:val="13"/>
        <w:adjustRightInd w:val="0"/>
        <w:snapToGrid w:val="0"/>
        <w:spacing w:line="400" w:lineRule="exact"/>
        <w:rPr>
          <w:rFonts w:hAnsi="宋体" w:eastAsia="宋体"/>
          <w:b w:val="0"/>
          <w:color w:val="auto"/>
          <w:sz w:val="22"/>
        </w:rPr>
      </w:pPr>
      <w:r>
        <w:rPr>
          <w:rFonts w:hint="eastAsia" w:hAnsi="宋体" w:eastAsia="宋体"/>
          <w:b w:val="0"/>
          <w:bCs/>
          <w:color w:val="auto"/>
          <w:szCs w:val="21"/>
        </w:rPr>
        <w:t>投标供应商全称（盖章）</w:t>
      </w:r>
      <w:r>
        <w:rPr>
          <w:rFonts w:hint="eastAsia" w:hAnsi="宋体" w:eastAsia="宋体"/>
          <w:b w:val="0"/>
          <w:color w:val="auto"/>
          <w:sz w:val="22"/>
        </w:rPr>
        <w:t>：</w:t>
      </w:r>
    </w:p>
    <w:p>
      <w:pPr>
        <w:pStyle w:val="13"/>
        <w:adjustRightInd w:val="0"/>
        <w:snapToGrid w:val="0"/>
        <w:spacing w:line="400" w:lineRule="exact"/>
        <w:rPr>
          <w:rFonts w:hAnsi="宋体" w:eastAsia="宋体"/>
          <w:color w:val="auto"/>
          <w:sz w:val="24"/>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autoSpaceDE w:val="0"/>
        <w:autoSpaceDN w:val="0"/>
        <w:adjustRightInd w:val="0"/>
        <w:snapToGrid w:val="0"/>
        <w:spacing w:line="454" w:lineRule="atLeast"/>
        <w:jc w:val="center"/>
        <w:textAlignment w:val="bottom"/>
        <w:outlineLvl w:val="0"/>
        <w:rPr>
          <w:rFonts w:ascii="宋体" w:eastAsia="宋体"/>
          <w:color w:val="auto"/>
          <w:sz w:val="24"/>
          <w:szCs w:val="24"/>
        </w:rPr>
      </w:pPr>
      <w:bookmarkStart w:id="179" w:name="_Toc494407546"/>
      <w:r>
        <w:rPr>
          <w:rFonts w:hint="eastAsia" w:ascii="宋体" w:eastAsia="宋体"/>
          <w:color w:val="auto"/>
          <w:sz w:val="24"/>
          <w:szCs w:val="24"/>
        </w:rPr>
        <w:t>二、资信标部分格式</w:t>
      </w:r>
      <w:bookmarkEnd w:id="179"/>
    </w:p>
    <w:p>
      <w:pPr>
        <w:spacing w:line="360" w:lineRule="exact"/>
        <w:jc w:val="left"/>
        <w:rPr>
          <w:rFonts w:ascii="宋体" w:eastAsia="宋体"/>
          <w:b w:val="0"/>
          <w:color w:val="auto"/>
          <w:sz w:val="30"/>
        </w:rPr>
      </w:pPr>
    </w:p>
    <w:p>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180" w:name="_Toc494407547"/>
      <w:r>
        <w:rPr>
          <w:rFonts w:hint="eastAsia" w:ascii="宋体" w:eastAsia="宋体"/>
          <w:color w:val="auto"/>
          <w:sz w:val="24"/>
          <w:szCs w:val="24"/>
        </w:rPr>
        <w:t>附件五 投标函</w:t>
      </w:r>
      <w:bookmarkEnd w:id="180"/>
    </w:p>
    <w:p>
      <w:pPr>
        <w:autoSpaceDE w:val="0"/>
        <w:autoSpaceDN w:val="0"/>
        <w:adjustRightInd w:val="0"/>
        <w:spacing w:line="360" w:lineRule="exact"/>
        <w:jc w:val="center"/>
        <w:rPr>
          <w:rFonts w:ascii="宋体" w:eastAsia="宋体"/>
          <w:color w:val="auto"/>
          <w:sz w:val="28"/>
          <w:szCs w:val="28"/>
          <w:lang w:val="zh-CN"/>
        </w:rPr>
      </w:pPr>
      <w:r>
        <w:rPr>
          <w:rFonts w:hint="eastAsia" w:ascii="宋体" w:eastAsia="宋体"/>
          <w:color w:val="auto"/>
          <w:sz w:val="28"/>
          <w:szCs w:val="28"/>
          <w:lang w:val="zh-CN"/>
        </w:rPr>
        <w:t>投  标  函</w:t>
      </w:r>
    </w:p>
    <w:p>
      <w:pPr>
        <w:autoSpaceDE w:val="0"/>
        <w:autoSpaceDN w:val="0"/>
        <w:adjustRightInd w:val="0"/>
        <w:spacing w:line="360" w:lineRule="exact"/>
        <w:rPr>
          <w:rFonts w:ascii="宋体" w:eastAsia="宋体"/>
          <w:b w:val="0"/>
          <w:color w:val="auto"/>
          <w:sz w:val="36"/>
          <w:lang w:val="zh-CN"/>
        </w:rPr>
      </w:pPr>
    </w:p>
    <w:p>
      <w:pPr>
        <w:pStyle w:val="13"/>
        <w:rPr>
          <w:rFonts w:hAnsi="宋体" w:eastAsia="宋体"/>
          <w:b w:val="0"/>
          <w:color w:val="auto"/>
          <w:sz w:val="22"/>
          <w:u w:val="single"/>
        </w:rPr>
      </w:pPr>
      <w:r>
        <w:rPr>
          <w:rFonts w:hint="eastAsia" w:hAnsi="宋体" w:eastAsia="宋体"/>
          <w:b w:val="0"/>
          <w:color w:val="auto"/>
          <w:sz w:val="22"/>
          <w:u w:val="single"/>
        </w:rPr>
        <w:t xml:space="preserve">               ：</w:t>
      </w:r>
    </w:p>
    <w:p>
      <w:pPr>
        <w:autoSpaceDE w:val="0"/>
        <w:autoSpaceDN w:val="0"/>
        <w:adjustRightInd w:val="0"/>
        <w:spacing w:line="440" w:lineRule="atLeast"/>
        <w:ind w:firstLine="539" w:firstLineChars="245"/>
        <w:rPr>
          <w:rFonts w:ascii="宋体" w:eastAsia="宋体"/>
          <w:b w:val="0"/>
          <w:color w:val="auto"/>
          <w:sz w:val="22"/>
          <w:lang w:val="zh-CN"/>
        </w:rPr>
      </w:pPr>
      <w:r>
        <w:rPr>
          <w:rFonts w:hint="eastAsia" w:ascii="宋体" w:eastAsia="宋体"/>
          <w:b w:val="0"/>
          <w:color w:val="auto"/>
          <w:sz w:val="22"/>
          <w:lang w:val="zh-CN"/>
        </w:rPr>
        <w:t xml:space="preserve">（供应商全称）授权 （授权代表名称）（职务、职称）为授权代表，参加贵方组织的（招标项目名称）（括号内填招标编号）招标的有关活动，并对项目（招标项目名称）进行投标。为此：    </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1、提供供应商须知规定的投标文件（</w:t>
      </w:r>
      <w:r>
        <w:rPr>
          <w:rFonts w:hint="eastAsia" w:ascii="宋体" w:eastAsia="宋体"/>
          <w:b w:val="0"/>
          <w:color w:val="auto"/>
          <w:sz w:val="22"/>
          <w:lang w:val="en-US" w:eastAsia="zh-CN"/>
        </w:rPr>
        <w:t>详见前附表要求</w:t>
      </w:r>
      <w:r>
        <w:rPr>
          <w:rFonts w:hint="eastAsia" w:ascii="宋体" w:eastAsia="宋体"/>
          <w:b w:val="0"/>
          <w:color w:val="auto"/>
          <w:sz w:val="22"/>
          <w:lang w:val="zh-CN"/>
        </w:rPr>
        <w:t>）：</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2、保证遵守招标文件中的有关规定和收费标准。</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3、保证忠实地执行采购人、</w:t>
      </w:r>
      <w:r>
        <w:rPr>
          <w:rFonts w:hint="eastAsia" w:ascii="宋体" w:eastAsia="宋体" w:cs="仿宋_GB2312"/>
          <w:b w:val="0"/>
          <w:color w:val="auto"/>
          <w:sz w:val="22"/>
          <w:szCs w:val="22"/>
          <w:lang w:val="zh-CN"/>
        </w:rPr>
        <w:t>中标</w:t>
      </w:r>
      <w:r>
        <w:rPr>
          <w:rFonts w:hint="eastAsia" w:ascii="宋体" w:eastAsia="宋体"/>
          <w:b w:val="0"/>
          <w:color w:val="auto"/>
          <w:sz w:val="22"/>
          <w:lang w:val="zh-CN"/>
        </w:rPr>
        <w:t>供应商双方所签的合同， 并承担合同规定的责任义务。</w:t>
      </w:r>
    </w:p>
    <w:p>
      <w:pPr>
        <w:pStyle w:val="13"/>
        <w:snapToGrid w:val="0"/>
        <w:spacing w:line="410" w:lineRule="atLeast"/>
        <w:ind w:firstLine="440" w:firstLineChars="200"/>
        <w:rPr>
          <w:rFonts w:hAnsi="宋体" w:eastAsia="宋体"/>
          <w:color w:val="auto"/>
          <w:sz w:val="22"/>
          <w:szCs w:val="22"/>
        </w:rPr>
      </w:pPr>
      <w:r>
        <w:rPr>
          <w:rFonts w:hint="eastAsia" w:hAnsi="宋体" w:eastAsia="宋体" w:cs="仿宋_GB2312"/>
          <w:b w:val="0"/>
          <w:color w:val="auto"/>
          <w:sz w:val="22"/>
          <w:szCs w:val="22"/>
          <w:lang w:val="zh-CN"/>
        </w:rPr>
        <w:t>4、</w:t>
      </w:r>
      <w:r>
        <w:rPr>
          <w:rFonts w:hint="eastAsia" w:hAnsi="宋体" w:eastAsia="宋体"/>
          <w:b w:val="0"/>
          <w:color w:val="auto"/>
          <w:sz w:val="22"/>
          <w:lang w:val="zh-CN"/>
        </w:rPr>
        <w:t>我方对完工期承诺如下：</w:t>
      </w:r>
      <w:r>
        <w:rPr>
          <w:rFonts w:hint="eastAsia" w:hAnsi="宋体" w:eastAsia="宋体"/>
          <w:color w:val="auto"/>
          <w:sz w:val="22"/>
        </w:rPr>
        <w:t>▲按招标文件规定期限交货并通过采购人验收，逾期采购人有权拒绝供货。</w:t>
      </w:r>
    </w:p>
    <w:p>
      <w:pPr>
        <w:autoSpaceDE w:val="0"/>
        <w:autoSpaceDN w:val="0"/>
        <w:adjustRightInd w:val="0"/>
        <w:spacing w:line="440" w:lineRule="atLeast"/>
        <w:ind w:firstLine="450"/>
        <w:rPr>
          <w:rFonts w:ascii="宋体" w:eastAsia="宋体"/>
          <w:b w:val="0"/>
          <w:color w:val="auto"/>
          <w:sz w:val="22"/>
          <w:lang w:val="zh-CN"/>
        </w:rPr>
      </w:pPr>
      <w:r>
        <w:rPr>
          <w:rFonts w:hint="eastAsia" w:ascii="宋体" w:eastAsia="宋体"/>
          <w:b w:val="0"/>
          <w:color w:val="auto"/>
          <w:sz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firstLine="442" w:firstLineChars="201"/>
        <w:rPr>
          <w:rFonts w:ascii="宋体" w:eastAsia="宋体"/>
          <w:b w:val="0"/>
          <w:color w:val="auto"/>
          <w:sz w:val="22"/>
        </w:rPr>
      </w:pPr>
      <w:r>
        <w:rPr>
          <w:rFonts w:hint="eastAsia" w:ascii="宋体" w:eastAsia="宋体"/>
          <w:b w:val="0"/>
          <w:color w:val="auto"/>
          <w:sz w:val="22"/>
        </w:rPr>
        <w:t>6、利益冲突：近三年内直至目前，我公司与本项目的采购人、招标代理机构没有任何的隶属关系。</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rPr>
        <w:t>7、我公司没有被各级、各地财政监管部门限制参加政府采购活动，且在限制期内。</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9、本投标自开标之日起90天内有效。</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10、与本投标有关的一切往来通讯请寄：</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地址：</w:t>
      </w:r>
    </w:p>
    <w:p>
      <w:pPr>
        <w:autoSpaceDE w:val="0"/>
        <w:autoSpaceDN w:val="0"/>
        <w:adjustRightInd w:val="0"/>
        <w:spacing w:line="440" w:lineRule="atLeast"/>
        <w:ind w:firstLine="442" w:firstLineChars="201"/>
        <w:rPr>
          <w:rFonts w:ascii="宋体" w:eastAsia="宋体"/>
          <w:b w:val="0"/>
          <w:color w:val="auto"/>
          <w:sz w:val="22"/>
          <w:lang w:val="zh-CN"/>
        </w:rPr>
      </w:pPr>
      <w:r>
        <w:rPr>
          <w:rFonts w:hint="eastAsia" w:ascii="宋体" w:eastAsia="宋体"/>
          <w:b w:val="0"/>
          <w:color w:val="auto"/>
          <w:sz w:val="22"/>
          <w:lang w:val="zh-CN"/>
        </w:rPr>
        <w:t>邮编：电话：传真：</w:t>
      </w:r>
    </w:p>
    <w:p>
      <w:pPr>
        <w:autoSpaceDE w:val="0"/>
        <w:autoSpaceDN w:val="0"/>
        <w:adjustRightInd w:val="0"/>
        <w:spacing w:line="440" w:lineRule="atLeast"/>
        <w:ind w:firstLine="442" w:firstLineChars="201"/>
        <w:rPr>
          <w:rFonts w:ascii="宋体" w:eastAsia="宋体"/>
          <w:b w:val="0"/>
          <w:color w:val="auto"/>
          <w:sz w:val="22"/>
          <w:lang w:val="zh-CN"/>
        </w:rPr>
      </w:pP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投标供应商全称（盖章）：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法定代表人或授权代表（签字或盖章）：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日期：  年  月  日</w:t>
      </w:r>
    </w:p>
    <w:p>
      <w:pPr>
        <w:autoSpaceDE w:val="0"/>
        <w:autoSpaceDN w:val="0"/>
        <w:adjustRightInd w:val="0"/>
        <w:spacing w:line="360" w:lineRule="exact"/>
        <w:jc w:val="left"/>
        <w:rPr>
          <w:rFonts w:ascii="宋体" w:eastAsia="宋体"/>
          <w:b w:val="0"/>
          <w:color w:val="auto"/>
          <w:sz w:val="32"/>
          <w:lang w:val="zh-CN"/>
        </w:rPr>
      </w:pPr>
    </w:p>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pStyle w:val="2"/>
      </w:pPr>
    </w:p>
    <w:p>
      <w:pPr>
        <w:spacing w:line="360" w:lineRule="exact"/>
        <w:jc w:val="left"/>
        <w:rPr>
          <w:rFonts w:ascii="宋体" w:eastAsia="宋体"/>
          <w:color w:val="auto"/>
          <w:sz w:val="22"/>
        </w:rPr>
      </w:pPr>
    </w:p>
    <w:p>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181" w:name="_Toc494407548"/>
      <w:r>
        <w:rPr>
          <w:rFonts w:hint="eastAsia" w:ascii="宋体" w:eastAsia="宋体"/>
          <w:color w:val="auto"/>
          <w:sz w:val="24"/>
          <w:szCs w:val="24"/>
        </w:rPr>
        <w:t>附件六  法定人代表授权书</w:t>
      </w:r>
      <w:bookmarkEnd w:id="181"/>
    </w:p>
    <w:p>
      <w:pPr>
        <w:tabs>
          <w:tab w:val="left" w:pos="1080"/>
        </w:tabs>
        <w:autoSpaceDE w:val="0"/>
        <w:autoSpaceDN w:val="0"/>
        <w:adjustRightInd w:val="0"/>
        <w:spacing w:line="360" w:lineRule="exact"/>
        <w:jc w:val="center"/>
        <w:rPr>
          <w:rFonts w:ascii="宋体" w:eastAsia="宋体"/>
          <w:color w:val="auto"/>
          <w:sz w:val="28"/>
          <w:szCs w:val="28"/>
          <w:lang w:val="zh-CN"/>
        </w:rPr>
      </w:pPr>
    </w:p>
    <w:p>
      <w:pPr>
        <w:tabs>
          <w:tab w:val="left" w:pos="1080"/>
        </w:tabs>
        <w:autoSpaceDE w:val="0"/>
        <w:autoSpaceDN w:val="0"/>
        <w:adjustRightInd w:val="0"/>
        <w:spacing w:line="360" w:lineRule="exact"/>
        <w:jc w:val="center"/>
        <w:rPr>
          <w:rFonts w:ascii="宋体" w:eastAsia="宋体"/>
          <w:color w:val="auto"/>
          <w:sz w:val="28"/>
          <w:szCs w:val="28"/>
          <w:lang w:val="zh-CN"/>
        </w:rPr>
      </w:pPr>
      <w:r>
        <w:rPr>
          <w:rFonts w:hint="eastAsia" w:ascii="宋体" w:eastAsia="宋体"/>
          <w:color w:val="auto"/>
          <w:sz w:val="28"/>
          <w:szCs w:val="28"/>
          <w:lang w:val="zh-CN"/>
        </w:rPr>
        <w:t>法定代表人授权书</w:t>
      </w:r>
    </w:p>
    <w:p>
      <w:pPr>
        <w:spacing w:line="360" w:lineRule="auto"/>
        <w:rPr>
          <w:rFonts w:ascii="宋体" w:eastAsia="宋体"/>
          <w:b w:val="0"/>
          <w:color w:val="auto"/>
          <w:sz w:val="22"/>
        </w:rPr>
      </w:pPr>
      <w:r>
        <w:rPr>
          <w:rFonts w:hint="eastAsia" w:ascii="宋体" w:eastAsia="宋体"/>
          <w:b w:val="0"/>
          <w:color w:val="auto"/>
          <w:sz w:val="22"/>
          <w:u w:val="single"/>
        </w:rPr>
        <w:t>（采购人名称）</w:t>
      </w:r>
      <w:r>
        <w:rPr>
          <w:rFonts w:hint="eastAsia" w:ascii="宋体" w:eastAsia="宋体"/>
          <w:b w:val="0"/>
          <w:color w:val="auto"/>
          <w:sz w:val="22"/>
          <w:lang w:val="zh-CN"/>
        </w:rPr>
        <w:t>：</w:t>
      </w:r>
    </w:p>
    <w:p>
      <w:pPr>
        <w:snapToGrid w:val="0"/>
        <w:spacing w:line="360" w:lineRule="auto"/>
        <w:ind w:firstLine="440" w:firstLineChars="200"/>
        <w:rPr>
          <w:rFonts w:ascii="宋体" w:eastAsia="宋体"/>
          <w:b w:val="0"/>
          <w:color w:val="auto"/>
          <w:sz w:val="22"/>
          <w:szCs w:val="22"/>
        </w:rPr>
      </w:pPr>
      <w:r>
        <w:rPr>
          <w:rFonts w:hint="eastAsia" w:ascii="宋体" w:eastAsia="宋体"/>
          <w:b w:val="0"/>
          <w:color w:val="auto"/>
          <w:sz w:val="22"/>
          <w:szCs w:val="22"/>
        </w:rPr>
        <w:t>本授权委托书声明：我</w:t>
      </w:r>
      <w:r>
        <w:rPr>
          <w:rFonts w:hint="eastAsia" w:ascii="宋体" w:eastAsia="宋体"/>
          <w:b w:val="0"/>
          <w:color w:val="auto"/>
          <w:sz w:val="22"/>
          <w:szCs w:val="22"/>
          <w:u w:val="single"/>
        </w:rPr>
        <w:t xml:space="preserve">   （法定代表人姓名）   </w:t>
      </w:r>
      <w:r>
        <w:rPr>
          <w:rFonts w:hint="eastAsia" w:ascii="宋体" w:eastAsia="宋体"/>
          <w:b w:val="0"/>
          <w:color w:val="auto"/>
          <w:sz w:val="22"/>
          <w:szCs w:val="22"/>
        </w:rPr>
        <w:t>系</w:t>
      </w:r>
      <w:r>
        <w:rPr>
          <w:rFonts w:hint="eastAsia" w:ascii="宋体" w:eastAsia="宋体"/>
          <w:b w:val="0"/>
          <w:color w:val="auto"/>
          <w:sz w:val="22"/>
          <w:szCs w:val="22"/>
          <w:u w:val="single"/>
        </w:rPr>
        <w:t xml:space="preserve">   （供 应 商 名 称）  </w:t>
      </w:r>
      <w:r>
        <w:rPr>
          <w:rFonts w:hint="eastAsia" w:ascii="宋体" w:eastAsia="宋体"/>
          <w:b w:val="0"/>
          <w:color w:val="auto"/>
          <w:sz w:val="22"/>
          <w:szCs w:val="22"/>
        </w:rPr>
        <w:t>的法定代表人，现授权委托</w:t>
      </w:r>
      <w:r>
        <w:rPr>
          <w:rFonts w:hint="eastAsia" w:ascii="宋体" w:eastAsia="宋体"/>
          <w:b w:val="0"/>
          <w:color w:val="auto"/>
          <w:sz w:val="22"/>
          <w:szCs w:val="22"/>
          <w:u w:val="single"/>
        </w:rPr>
        <w:t xml:space="preserve">  （单 位 名 称）   </w:t>
      </w:r>
      <w:r>
        <w:rPr>
          <w:rFonts w:hint="eastAsia" w:ascii="宋体" w:eastAsia="宋体"/>
          <w:b w:val="0"/>
          <w:color w:val="auto"/>
          <w:sz w:val="22"/>
          <w:szCs w:val="22"/>
        </w:rPr>
        <w:t>的</w:t>
      </w:r>
      <w:r>
        <w:rPr>
          <w:rFonts w:hint="eastAsia" w:ascii="宋体" w:eastAsia="宋体"/>
          <w:b w:val="0"/>
          <w:color w:val="auto"/>
          <w:sz w:val="22"/>
          <w:szCs w:val="22"/>
          <w:u w:val="single"/>
        </w:rPr>
        <w:t xml:space="preserve">  （授权代表姓名）  </w:t>
      </w:r>
      <w:r>
        <w:rPr>
          <w:rFonts w:hint="eastAsia" w:ascii="宋体" w:eastAsia="宋体"/>
          <w:b w:val="0"/>
          <w:color w:val="auto"/>
          <w:sz w:val="22"/>
          <w:szCs w:val="22"/>
        </w:rPr>
        <w:t>为我公司法定代表人授权代表，参加贵处组织的</w:t>
      </w:r>
      <w:r>
        <w:rPr>
          <w:rFonts w:hint="eastAsia" w:ascii="宋体" w:eastAsia="宋体"/>
          <w:b w:val="0"/>
          <w:color w:val="auto"/>
          <w:sz w:val="22"/>
          <w:szCs w:val="22"/>
          <w:u w:val="single"/>
        </w:rPr>
        <w:t xml:space="preserve">  （招标项目名称，括号中填写项目编号）  </w:t>
      </w:r>
      <w:r>
        <w:rPr>
          <w:rFonts w:hint="eastAsia" w:ascii="宋体" w:eastAsia="宋体"/>
          <w:b w:val="0"/>
          <w:color w:val="auto"/>
          <w:sz w:val="22"/>
          <w:szCs w:val="22"/>
        </w:rPr>
        <w:t>项目投标，全权处理本次招投标活动中的一切事宜，我承认授权代表全权代表我所签署的本项目的投标文件的内容。</w:t>
      </w:r>
    </w:p>
    <w:p>
      <w:pPr>
        <w:spacing w:line="360" w:lineRule="auto"/>
        <w:ind w:firstLine="440" w:firstLineChars="200"/>
        <w:rPr>
          <w:rFonts w:ascii="宋体" w:eastAsia="宋体"/>
          <w:b w:val="0"/>
          <w:color w:val="auto"/>
          <w:sz w:val="22"/>
          <w:szCs w:val="22"/>
        </w:rPr>
      </w:pPr>
    </w:p>
    <w:p>
      <w:pPr>
        <w:spacing w:line="360" w:lineRule="auto"/>
        <w:ind w:firstLine="440" w:firstLineChars="200"/>
        <w:rPr>
          <w:rFonts w:ascii="宋体" w:eastAsia="宋体"/>
          <w:b w:val="0"/>
          <w:color w:val="auto"/>
          <w:sz w:val="22"/>
        </w:rPr>
      </w:pPr>
      <w:r>
        <w:rPr>
          <w:rFonts w:hint="eastAsia" w:ascii="宋体" w:eastAsia="宋体"/>
          <w:b w:val="0"/>
          <w:color w:val="auto"/>
          <w:sz w:val="22"/>
          <w:szCs w:val="22"/>
        </w:rPr>
        <w:t>授权代表无转授权，特此授权。</w:t>
      </w:r>
    </w:p>
    <w:p>
      <w:pPr>
        <w:spacing w:line="360" w:lineRule="auto"/>
        <w:rPr>
          <w:rFonts w:ascii="宋体" w:eastAsia="宋体"/>
          <w:b w:val="0"/>
          <w:color w:val="auto"/>
          <w:sz w:val="22"/>
        </w:rPr>
      </w:pPr>
    </w:p>
    <w:p>
      <w:pPr>
        <w:spacing w:line="360" w:lineRule="auto"/>
        <w:ind w:firstLine="2952" w:firstLineChars="1342"/>
        <w:rPr>
          <w:rFonts w:ascii="宋体" w:eastAsia="宋体"/>
          <w:b w:val="0"/>
          <w:color w:val="auto"/>
          <w:sz w:val="22"/>
          <w:u w:val="single"/>
        </w:rPr>
      </w:pPr>
      <w:r>
        <w:rPr>
          <w:rFonts w:hint="eastAsia" w:ascii="宋体" w:eastAsia="宋体"/>
          <w:b w:val="0"/>
          <w:color w:val="auto"/>
          <w:sz w:val="22"/>
        </w:rPr>
        <w:t>授权代表：</w:t>
      </w:r>
      <w:r>
        <w:rPr>
          <w:rFonts w:hint="eastAsia" w:ascii="宋体" w:eastAsia="宋体"/>
          <w:b w:val="0"/>
          <w:color w:val="auto"/>
          <w:sz w:val="22"/>
          <w:u w:val="single"/>
        </w:rPr>
        <w:t xml:space="preserve">   （签字）  </w:t>
      </w:r>
      <w:r>
        <w:rPr>
          <w:rFonts w:hint="eastAsia" w:ascii="宋体" w:eastAsia="宋体"/>
          <w:b w:val="0"/>
          <w:color w:val="auto"/>
          <w:sz w:val="22"/>
        </w:rPr>
        <w:t xml:space="preserve"> 性别 ： 年龄：</w:t>
      </w:r>
    </w:p>
    <w:p>
      <w:pPr>
        <w:spacing w:line="360" w:lineRule="auto"/>
        <w:ind w:firstLine="2952" w:firstLineChars="1342"/>
        <w:rPr>
          <w:rFonts w:ascii="宋体" w:eastAsia="宋体"/>
          <w:b w:val="0"/>
          <w:color w:val="auto"/>
          <w:sz w:val="22"/>
          <w:u w:val="single"/>
        </w:rPr>
      </w:pPr>
      <w:r>
        <w:rPr>
          <w:rFonts w:hint="eastAsia" w:ascii="宋体" w:eastAsia="宋体"/>
          <w:b w:val="0"/>
          <w:color w:val="auto"/>
          <w:sz w:val="22"/>
        </w:rPr>
        <w:t>详细通讯地址： 邮政编码：</w:t>
      </w:r>
    </w:p>
    <w:p>
      <w:pPr>
        <w:spacing w:line="360" w:lineRule="auto"/>
        <w:ind w:firstLine="2952" w:firstLineChars="1342"/>
        <w:rPr>
          <w:rFonts w:ascii="宋体" w:eastAsia="宋体"/>
          <w:b w:val="0"/>
          <w:color w:val="auto"/>
          <w:sz w:val="22"/>
          <w:u w:val="single"/>
        </w:rPr>
      </w:pPr>
      <w:r>
        <w:rPr>
          <w:rFonts w:hint="eastAsia" w:ascii="宋体" w:eastAsia="宋体"/>
          <w:b w:val="0"/>
          <w:color w:val="auto"/>
          <w:sz w:val="22"/>
        </w:rPr>
        <w:t>电话： 传真：</w:t>
      </w:r>
    </w:p>
    <w:p>
      <w:pPr>
        <w:spacing w:line="360" w:lineRule="auto"/>
        <w:ind w:left="1" w:firstLine="422" w:firstLineChars="192"/>
        <w:rPr>
          <w:rFonts w:ascii="宋体" w:eastAsia="宋体"/>
          <w:b w:val="0"/>
          <w:color w:val="auto"/>
          <w:sz w:val="22"/>
        </w:rPr>
      </w:pPr>
      <w:r>
        <w:rPr>
          <w:rFonts w:hint="eastAsia" w:ascii="宋体" w:eastAsia="宋体"/>
          <w:b w:val="0"/>
          <w:color w:val="auto"/>
          <w:sz w:val="22"/>
        </w:rPr>
        <w:t xml:space="preserve">                       供应商：</w:t>
      </w:r>
      <w:r>
        <w:rPr>
          <w:rFonts w:hint="eastAsia" w:ascii="宋体" w:eastAsia="宋体"/>
          <w:b w:val="0"/>
          <w:color w:val="auto"/>
          <w:sz w:val="22"/>
          <w:u w:val="single"/>
        </w:rPr>
        <w:t xml:space="preserve">                                      （盖章）</w:t>
      </w:r>
    </w:p>
    <w:p>
      <w:pPr>
        <w:spacing w:line="360" w:lineRule="auto"/>
        <w:ind w:left="1" w:firstLine="422" w:firstLineChars="192"/>
        <w:rPr>
          <w:rFonts w:ascii="宋体" w:eastAsia="宋体"/>
          <w:b w:val="0"/>
          <w:color w:val="auto"/>
          <w:sz w:val="22"/>
        </w:rPr>
      </w:pPr>
      <w:r>
        <w:rPr>
          <w:rFonts w:hint="eastAsia" w:ascii="宋体" w:eastAsia="宋体"/>
          <w:b w:val="0"/>
          <w:color w:val="auto"/>
          <w:sz w:val="22"/>
        </w:rPr>
        <w:t xml:space="preserve">                       法定代表人：</w:t>
      </w:r>
      <w:r>
        <w:rPr>
          <w:rFonts w:hint="eastAsia" w:ascii="宋体" w:eastAsia="宋体"/>
          <w:b w:val="0"/>
          <w:color w:val="auto"/>
          <w:sz w:val="22"/>
          <w:u w:val="single"/>
        </w:rPr>
        <w:t xml:space="preserve">                            （签字或盖章）</w:t>
      </w:r>
    </w:p>
    <w:p>
      <w:pPr>
        <w:spacing w:line="400" w:lineRule="atLeast"/>
        <w:ind w:left="2699"/>
        <w:rPr>
          <w:rFonts w:ascii="宋体" w:eastAsia="宋体"/>
          <w:b w:val="0"/>
          <w:color w:val="auto"/>
          <w:sz w:val="22"/>
        </w:rPr>
      </w:pPr>
    </w:p>
    <w:p>
      <w:pPr>
        <w:spacing w:line="400" w:lineRule="atLeast"/>
        <w:ind w:right="440" w:firstLine="3300" w:firstLineChars="1500"/>
        <w:jc w:val="center"/>
        <w:rPr>
          <w:rFonts w:ascii="宋体" w:eastAsia="宋体"/>
          <w:b w:val="0"/>
          <w:color w:val="auto"/>
          <w:sz w:val="22"/>
        </w:rPr>
      </w:pPr>
      <w:r>
        <w:rPr>
          <w:rFonts w:hint="eastAsia" w:ascii="宋体" w:eastAsia="宋体"/>
          <w:b w:val="0"/>
          <w:color w:val="auto"/>
          <w:sz w:val="22"/>
        </w:rPr>
        <w:t xml:space="preserve">               授权委托日期：年 月日</w:t>
      </w:r>
    </w:p>
    <w:p>
      <w:pPr>
        <w:spacing w:line="360" w:lineRule="exact"/>
        <w:ind w:left="2699"/>
        <w:rPr>
          <w:rFonts w:ascii="宋体" w:eastAsia="宋体"/>
          <w:b w:val="0"/>
          <w:color w:val="auto"/>
          <w:sz w:val="22"/>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9351" w:type="dxa"/>
          </w:tcPr>
          <w:p>
            <w:pPr>
              <w:pStyle w:val="13"/>
              <w:adjustRightInd w:val="0"/>
              <w:snapToGrid w:val="0"/>
              <w:spacing w:line="360" w:lineRule="exact"/>
              <w:jc w:val="center"/>
              <w:rPr>
                <w:rFonts w:hAnsi="宋体" w:eastAsia="宋体"/>
                <w:b w:val="0"/>
                <w:color w:val="auto"/>
                <w:sz w:val="22"/>
                <w:szCs w:val="22"/>
              </w:rPr>
            </w:pPr>
          </w:p>
          <w:p>
            <w:pPr>
              <w:pStyle w:val="13"/>
              <w:adjustRightInd w:val="0"/>
              <w:snapToGrid w:val="0"/>
              <w:spacing w:line="360" w:lineRule="exact"/>
              <w:jc w:val="center"/>
              <w:rPr>
                <w:rFonts w:hAnsi="宋体" w:eastAsia="宋体"/>
                <w:b w:val="0"/>
                <w:color w:val="auto"/>
                <w:sz w:val="22"/>
                <w:szCs w:val="22"/>
              </w:rPr>
            </w:pPr>
            <w:r>
              <w:rPr>
                <w:rFonts w:hint="eastAsia" w:hAnsi="宋体" w:eastAsia="宋体"/>
                <w:b w:val="0"/>
                <w:color w:val="auto"/>
                <w:sz w:val="22"/>
                <w:szCs w:val="22"/>
              </w:rPr>
              <w:t>粘贴法人授权代表身份证复印影印件</w:t>
            </w:r>
          </w:p>
          <w:p>
            <w:pPr>
              <w:pStyle w:val="13"/>
              <w:adjustRightInd w:val="0"/>
              <w:snapToGrid w:val="0"/>
              <w:spacing w:line="360" w:lineRule="exact"/>
              <w:jc w:val="center"/>
              <w:rPr>
                <w:rFonts w:hAnsi="宋体" w:eastAsia="宋体"/>
                <w:b w:val="0"/>
                <w:color w:val="auto"/>
                <w:sz w:val="22"/>
                <w:szCs w:val="22"/>
              </w:rPr>
            </w:pPr>
          </w:p>
        </w:tc>
      </w:tr>
    </w:tbl>
    <w:p>
      <w:pPr>
        <w:pStyle w:val="13"/>
        <w:adjustRightInd w:val="0"/>
        <w:snapToGrid w:val="0"/>
        <w:spacing w:line="360" w:lineRule="exact"/>
        <w:jc w:val="center"/>
        <w:rPr>
          <w:rFonts w:hAnsi="宋体" w:eastAsia="宋体"/>
          <w:b w:val="0"/>
          <w:color w:val="auto"/>
          <w:sz w:val="22"/>
          <w:szCs w:val="22"/>
          <w:lang w:val="zh-CN"/>
        </w:rPr>
      </w:pPr>
    </w:p>
    <w:p>
      <w:pPr>
        <w:pStyle w:val="13"/>
        <w:adjustRightInd w:val="0"/>
        <w:snapToGrid w:val="0"/>
        <w:spacing w:line="360" w:lineRule="exact"/>
        <w:jc w:val="center"/>
        <w:rPr>
          <w:rFonts w:hAnsi="宋体" w:eastAsia="宋体"/>
          <w:b w:val="0"/>
          <w:color w:val="auto"/>
          <w:sz w:val="22"/>
          <w:szCs w:val="22"/>
          <w:lang w:val="zh-CN"/>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9365" w:type="dxa"/>
          </w:tcPr>
          <w:p>
            <w:pPr>
              <w:pStyle w:val="13"/>
              <w:adjustRightInd w:val="0"/>
              <w:snapToGrid w:val="0"/>
              <w:spacing w:line="360" w:lineRule="exact"/>
              <w:jc w:val="center"/>
              <w:rPr>
                <w:rFonts w:hAnsi="宋体" w:eastAsia="宋体"/>
                <w:b w:val="0"/>
                <w:color w:val="auto"/>
                <w:sz w:val="22"/>
                <w:szCs w:val="22"/>
              </w:rPr>
            </w:pPr>
          </w:p>
          <w:p>
            <w:pPr>
              <w:pStyle w:val="13"/>
              <w:adjustRightInd w:val="0"/>
              <w:snapToGrid w:val="0"/>
              <w:spacing w:line="360" w:lineRule="exact"/>
              <w:jc w:val="center"/>
              <w:rPr>
                <w:rFonts w:hAnsi="宋体" w:eastAsia="宋体"/>
                <w:b w:val="0"/>
                <w:color w:val="auto"/>
                <w:sz w:val="22"/>
                <w:szCs w:val="22"/>
              </w:rPr>
            </w:pPr>
            <w:r>
              <w:rPr>
                <w:rFonts w:hint="eastAsia" w:hAnsi="宋体" w:eastAsia="宋体"/>
                <w:b w:val="0"/>
                <w:color w:val="auto"/>
                <w:sz w:val="22"/>
                <w:szCs w:val="22"/>
              </w:rPr>
              <w:t>粘贴法人身份证复印影印件</w:t>
            </w:r>
          </w:p>
          <w:p>
            <w:pPr>
              <w:pStyle w:val="13"/>
              <w:adjustRightInd w:val="0"/>
              <w:snapToGrid w:val="0"/>
              <w:spacing w:line="360" w:lineRule="exact"/>
              <w:jc w:val="center"/>
              <w:rPr>
                <w:rFonts w:hAnsi="宋体" w:eastAsia="宋体"/>
                <w:b w:val="0"/>
                <w:color w:val="auto"/>
                <w:sz w:val="22"/>
                <w:szCs w:val="22"/>
              </w:rPr>
            </w:pPr>
          </w:p>
        </w:tc>
      </w:tr>
    </w:tbl>
    <w:p>
      <w:pPr>
        <w:spacing w:line="360" w:lineRule="exact"/>
        <w:jc w:val="left"/>
        <w:rPr>
          <w:rFonts w:ascii="宋体" w:eastAsia="宋体"/>
          <w:color w:val="auto"/>
          <w:sz w:val="22"/>
        </w:rPr>
      </w:pPr>
    </w:p>
    <w:p>
      <w:pPr>
        <w:spacing w:line="360" w:lineRule="exact"/>
        <w:jc w:val="left"/>
        <w:rPr>
          <w:rFonts w:ascii="宋体" w:eastAsia="宋体"/>
          <w:color w:val="auto"/>
          <w:sz w:val="22"/>
        </w:rPr>
      </w:pPr>
    </w:p>
    <w:p>
      <w:pPr>
        <w:autoSpaceDE w:val="0"/>
        <w:autoSpaceDN w:val="0"/>
        <w:spacing w:line="454" w:lineRule="atLeast"/>
        <w:jc w:val="left"/>
        <w:textAlignment w:val="bottom"/>
        <w:outlineLvl w:val="0"/>
        <w:rPr>
          <w:rFonts w:ascii="宋体" w:eastAsia="宋体"/>
          <w:color w:val="auto"/>
          <w:sz w:val="24"/>
          <w:szCs w:val="24"/>
          <w:lang w:val="zh-CN"/>
        </w:rPr>
      </w:pPr>
      <w:bookmarkStart w:id="182" w:name="_Toc494407549"/>
      <w:r>
        <w:rPr>
          <w:rFonts w:hint="eastAsia" w:ascii="宋体" w:eastAsia="宋体"/>
          <w:color w:val="auto"/>
          <w:sz w:val="24"/>
          <w:szCs w:val="24"/>
        </w:rPr>
        <w:t xml:space="preserve">附件七  </w:t>
      </w:r>
      <w:r>
        <w:rPr>
          <w:rFonts w:hint="eastAsia" w:ascii="宋体" w:eastAsia="宋体"/>
          <w:color w:val="auto"/>
          <w:sz w:val="24"/>
          <w:szCs w:val="24"/>
          <w:lang w:val="zh-CN"/>
        </w:rPr>
        <w:t>供应商参与政府采购活动投标资格声明函</w:t>
      </w:r>
      <w:bookmarkEnd w:id="182"/>
    </w:p>
    <w:p>
      <w:pPr>
        <w:pStyle w:val="13"/>
        <w:adjustRightInd w:val="0"/>
        <w:snapToGrid w:val="0"/>
        <w:spacing w:line="360" w:lineRule="exact"/>
        <w:jc w:val="center"/>
        <w:rPr>
          <w:rFonts w:hAnsi="宋体" w:eastAsia="宋体"/>
          <w:color w:val="auto"/>
          <w:sz w:val="28"/>
          <w:szCs w:val="28"/>
          <w:lang w:val="zh-CN"/>
        </w:rPr>
      </w:pPr>
    </w:p>
    <w:p>
      <w:pPr>
        <w:pStyle w:val="13"/>
        <w:adjustRightInd w:val="0"/>
        <w:snapToGrid w:val="0"/>
        <w:spacing w:line="360" w:lineRule="exact"/>
        <w:jc w:val="center"/>
        <w:rPr>
          <w:rFonts w:hAnsi="宋体" w:eastAsia="宋体"/>
          <w:color w:val="auto"/>
          <w:sz w:val="28"/>
          <w:szCs w:val="28"/>
          <w:lang w:val="zh-CN"/>
        </w:rPr>
      </w:pPr>
      <w:r>
        <w:rPr>
          <w:rFonts w:hint="eastAsia" w:hAnsi="宋体" w:eastAsia="宋体"/>
          <w:color w:val="auto"/>
          <w:sz w:val="28"/>
          <w:szCs w:val="28"/>
          <w:lang w:val="zh-CN"/>
        </w:rPr>
        <w:t>供应商参与政府采购活动投标资格声明函</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3"/>
              <w:adjustRightInd w:val="0"/>
              <w:snapToGrid w:val="0"/>
              <w:spacing w:line="400" w:lineRule="exact"/>
              <w:rPr>
                <w:rFonts w:hAnsi="宋体" w:eastAsia="宋体"/>
                <w:b w:val="0"/>
                <w:bCs/>
                <w:color w:val="auto"/>
                <w:sz w:val="22"/>
                <w:szCs w:val="22"/>
              </w:rPr>
            </w:pPr>
            <w:r>
              <w:rPr>
                <w:rFonts w:hint="eastAsia" w:hAnsi="宋体" w:eastAsia="宋体"/>
                <w:b w:val="0"/>
                <w:bCs/>
                <w:color w:val="auto"/>
                <w:sz w:val="22"/>
                <w:szCs w:val="22"/>
              </w:rPr>
              <w:t>项目名称</w:t>
            </w:r>
          </w:p>
        </w:tc>
        <w:tc>
          <w:tcPr>
            <w:tcW w:w="7992" w:type="dxa"/>
          </w:tcPr>
          <w:p>
            <w:pPr>
              <w:pStyle w:val="13"/>
              <w:adjustRightInd w:val="0"/>
              <w:snapToGrid w:val="0"/>
              <w:spacing w:line="400" w:lineRule="exact"/>
              <w:ind w:left="422" w:firstLine="331"/>
              <w:rPr>
                <w:rFonts w:hAnsi="宋体" w:eastAsia="宋体"/>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3"/>
              <w:adjustRightInd w:val="0"/>
              <w:snapToGrid w:val="0"/>
              <w:spacing w:line="400" w:lineRule="exact"/>
              <w:rPr>
                <w:rFonts w:hAnsi="宋体" w:eastAsia="宋体"/>
                <w:b w:val="0"/>
                <w:bCs/>
                <w:color w:val="auto"/>
                <w:sz w:val="22"/>
                <w:szCs w:val="22"/>
              </w:rPr>
            </w:pPr>
            <w:r>
              <w:rPr>
                <w:rFonts w:hint="eastAsia" w:hAnsi="宋体" w:eastAsia="宋体"/>
                <w:b w:val="0"/>
                <w:bCs/>
                <w:color w:val="auto"/>
                <w:sz w:val="22"/>
                <w:szCs w:val="22"/>
              </w:rPr>
              <w:t>项目采购编号</w:t>
            </w:r>
          </w:p>
        </w:tc>
        <w:tc>
          <w:tcPr>
            <w:tcW w:w="7992" w:type="dxa"/>
          </w:tcPr>
          <w:p>
            <w:pPr>
              <w:pStyle w:val="13"/>
              <w:adjustRightInd w:val="0"/>
              <w:snapToGrid w:val="0"/>
              <w:spacing w:line="400" w:lineRule="exact"/>
              <w:ind w:left="422" w:firstLine="361"/>
              <w:rPr>
                <w:rFonts w:hAnsi="宋体" w:eastAsia="宋体"/>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3"/>
              <w:adjustRightInd w:val="0"/>
              <w:snapToGrid w:val="0"/>
              <w:spacing w:line="400" w:lineRule="exact"/>
              <w:rPr>
                <w:rFonts w:hAnsi="宋体" w:eastAsia="宋体"/>
                <w:b w:val="0"/>
                <w:bCs/>
                <w:color w:val="auto"/>
                <w:sz w:val="22"/>
                <w:szCs w:val="22"/>
              </w:rPr>
            </w:pPr>
            <w:r>
              <w:rPr>
                <w:rFonts w:hint="eastAsia" w:hAnsi="宋体" w:eastAsia="宋体"/>
                <w:b w:val="0"/>
                <w:bCs/>
                <w:color w:val="auto"/>
                <w:sz w:val="22"/>
                <w:szCs w:val="22"/>
              </w:rPr>
              <w:t>时    间</w:t>
            </w:r>
          </w:p>
        </w:tc>
        <w:tc>
          <w:tcPr>
            <w:tcW w:w="7992" w:type="dxa"/>
          </w:tcPr>
          <w:p>
            <w:pPr>
              <w:pStyle w:val="13"/>
              <w:adjustRightInd w:val="0"/>
              <w:snapToGrid w:val="0"/>
              <w:spacing w:line="400" w:lineRule="exact"/>
              <w:rPr>
                <w:rFonts w:hAnsi="宋体" w:eastAsia="宋体"/>
                <w:b w:val="0"/>
                <w:bCs/>
                <w:color w:val="auto"/>
                <w:sz w:val="22"/>
                <w:szCs w:val="22"/>
              </w:rPr>
            </w:pPr>
            <w:r>
              <w:rPr>
                <w:rFonts w:hint="eastAsia" w:hAnsi="宋体" w:eastAsia="宋体"/>
                <w:b w:val="0"/>
                <w:bCs/>
                <w:color w:val="auto"/>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13"/>
              <w:adjustRightInd w:val="0"/>
              <w:snapToGrid w:val="0"/>
              <w:spacing w:line="400" w:lineRule="exact"/>
              <w:ind w:firstLine="450"/>
              <w:rPr>
                <w:rFonts w:hAnsi="宋体" w:eastAsia="宋体"/>
                <w:b w:val="0"/>
                <w:color w:val="auto"/>
                <w:sz w:val="20"/>
              </w:rPr>
            </w:pPr>
            <w:r>
              <w:rPr>
                <w:rFonts w:hint="eastAsia" w:hAnsi="宋体" w:eastAsia="宋体"/>
                <w:b w:val="0"/>
                <w:color w:val="auto"/>
                <w:sz w:val="20"/>
              </w:rPr>
              <w:t>1、根据政府采购法第二十二条规定，我单位满足以下条件，并已经在技术资信部分投标文件中提供了相应的证明材料：</w:t>
            </w:r>
          </w:p>
          <w:p>
            <w:pPr>
              <w:pStyle w:val="13"/>
              <w:adjustRightInd w:val="0"/>
              <w:snapToGrid w:val="0"/>
              <w:spacing w:line="400" w:lineRule="exact"/>
              <w:ind w:firstLine="450"/>
              <w:rPr>
                <w:rFonts w:hAnsi="宋体" w:eastAsia="宋体"/>
                <w:b w:val="0"/>
                <w:color w:val="auto"/>
                <w:sz w:val="20"/>
              </w:rPr>
            </w:pPr>
            <w:r>
              <w:rPr>
                <w:rFonts w:hint="eastAsia" w:hAnsi="宋体" w:eastAsia="宋体"/>
                <w:b w:val="0"/>
                <w:color w:val="auto"/>
                <w:sz w:val="20"/>
              </w:rPr>
              <w:t xml:space="preserve">（一）具有独立承担民事责任的能力； </w:t>
            </w:r>
            <w:r>
              <w:rPr>
                <w:rFonts w:hint="eastAsia" w:hAnsi="宋体" w:eastAsia="宋体"/>
                <w:b w:val="0"/>
                <w:color w:val="auto"/>
                <w:sz w:val="20"/>
              </w:rPr>
              <w:br w:type="textWrapping"/>
            </w:r>
            <w:r>
              <w:rPr>
                <w:rFonts w:hint="eastAsia" w:hAnsi="宋体" w:eastAsia="宋体"/>
                <w:b w:val="0"/>
                <w:color w:val="auto"/>
                <w:sz w:val="20"/>
              </w:rPr>
              <w:t xml:space="preserve">　　（二）具有良好的商业信誉和健全的财务会计制度； </w:t>
            </w:r>
            <w:r>
              <w:rPr>
                <w:rFonts w:hint="eastAsia" w:hAnsi="宋体" w:eastAsia="宋体"/>
                <w:b w:val="0"/>
                <w:color w:val="auto"/>
                <w:sz w:val="20"/>
              </w:rPr>
              <w:br w:type="textWrapping"/>
            </w:r>
            <w:r>
              <w:rPr>
                <w:rFonts w:hint="eastAsia" w:hAnsi="宋体" w:eastAsia="宋体"/>
                <w:b w:val="0"/>
                <w:color w:val="auto"/>
                <w:sz w:val="20"/>
              </w:rPr>
              <w:t xml:space="preserve">　　（三）具有履行合同所必需的设备和专业技术能力； </w:t>
            </w:r>
            <w:r>
              <w:rPr>
                <w:rFonts w:hint="eastAsia" w:hAnsi="宋体" w:eastAsia="宋体"/>
                <w:b w:val="0"/>
                <w:color w:val="auto"/>
                <w:sz w:val="20"/>
              </w:rPr>
              <w:br w:type="textWrapping"/>
            </w:r>
            <w:r>
              <w:rPr>
                <w:rFonts w:hint="eastAsia" w:hAnsi="宋体" w:eastAsia="宋体"/>
                <w:b w:val="0"/>
                <w:color w:val="auto"/>
                <w:sz w:val="20"/>
              </w:rPr>
              <w:t xml:space="preserve">　　（四）有依法缴纳税收和社会保障资金的良好记录； </w:t>
            </w:r>
            <w:r>
              <w:rPr>
                <w:rFonts w:hint="eastAsia" w:hAnsi="宋体" w:eastAsia="宋体"/>
                <w:b w:val="0"/>
                <w:color w:val="auto"/>
                <w:sz w:val="20"/>
              </w:rPr>
              <w:br w:type="textWrapping"/>
            </w:r>
            <w:r>
              <w:rPr>
                <w:rFonts w:hint="eastAsia" w:hAnsi="宋体" w:eastAsia="宋体"/>
                <w:b w:val="0"/>
                <w:color w:val="auto"/>
                <w:sz w:val="20"/>
              </w:rPr>
              <w:t xml:space="preserve">　　（五）参加政府采购活动前三年内，在经营活动中没有重大违法记录； </w:t>
            </w:r>
            <w:r>
              <w:rPr>
                <w:rFonts w:hint="eastAsia" w:hAnsi="宋体" w:eastAsia="宋体"/>
                <w:b w:val="0"/>
                <w:color w:val="auto"/>
                <w:sz w:val="20"/>
              </w:rPr>
              <w:br w:type="textWrapping"/>
            </w:r>
            <w:r>
              <w:rPr>
                <w:rFonts w:hint="eastAsia" w:hAnsi="宋体" w:eastAsia="宋体"/>
                <w:b w:val="0"/>
                <w:color w:val="auto"/>
                <w:sz w:val="20"/>
              </w:rPr>
              <w:t xml:space="preserve">　　（六）法律、行政法规规定的其他条件。 </w:t>
            </w:r>
          </w:p>
          <w:p>
            <w:pPr>
              <w:pStyle w:val="13"/>
              <w:adjustRightInd w:val="0"/>
              <w:snapToGrid w:val="0"/>
              <w:spacing w:line="400" w:lineRule="exact"/>
              <w:ind w:firstLine="450"/>
              <w:rPr>
                <w:rFonts w:hAnsi="宋体" w:eastAsia="宋体"/>
                <w:b w:val="0"/>
                <w:color w:val="auto"/>
                <w:sz w:val="20"/>
              </w:rPr>
            </w:pPr>
            <w:r>
              <w:rPr>
                <w:rFonts w:hAnsi="宋体" w:eastAsia="宋体"/>
                <w:b w:val="0"/>
                <w:color w:val="auto"/>
                <w:sz w:val="20"/>
              </w:rPr>
              <w:t>2</w:t>
            </w:r>
            <w:r>
              <w:rPr>
                <w:rFonts w:hint="eastAsia" w:hAnsi="宋体" w:eastAsia="宋体"/>
                <w:b w:val="0"/>
                <w:color w:val="auto"/>
                <w:sz w:val="20"/>
              </w:rPr>
              <w:t>、根据</w:t>
            </w:r>
            <w:r>
              <w:rPr>
                <w:rFonts w:hAnsi="宋体" w:eastAsia="宋体"/>
                <w:b w:val="0"/>
                <w:color w:val="auto"/>
                <w:sz w:val="20"/>
              </w:rPr>
              <w:t>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hAnsi="宋体" w:eastAsia="宋体"/>
                <w:b w:val="0"/>
                <w:color w:val="auto"/>
                <w:sz w:val="20"/>
              </w:rPr>
              <w:t>我单位不存在上述文件规定依法限制参与政府采购的情况，并提供“信用中国”、 “中国政府采购网”</w:t>
            </w:r>
            <w:r>
              <w:rPr>
                <w:rFonts w:hint="eastAsia" w:hAnsi="宋体" w:eastAsia="宋体"/>
                <w:color w:val="auto"/>
                <w:sz w:val="20"/>
              </w:rPr>
              <w:t>查询网页截图</w:t>
            </w:r>
            <w:r>
              <w:rPr>
                <w:rFonts w:hint="eastAsia" w:hAnsi="宋体" w:eastAsia="宋体"/>
                <w:b w:val="0"/>
                <w:color w:val="auto"/>
                <w:sz w:val="20"/>
              </w:rPr>
              <w:t>（公告发布之日至投标截止时间）。</w:t>
            </w:r>
          </w:p>
          <w:p>
            <w:pPr>
              <w:pStyle w:val="13"/>
              <w:adjustRightInd w:val="0"/>
              <w:snapToGrid w:val="0"/>
              <w:spacing w:line="400" w:lineRule="exact"/>
              <w:ind w:firstLine="450"/>
              <w:rPr>
                <w:rFonts w:hAnsi="宋体" w:eastAsia="宋体"/>
                <w:bCs/>
                <w:color w:val="auto"/>
                <w:sz w:val="20"/>
              </w:rPr>
            </w:pPr>
            <w:r>
              <w:rPr>
                <w:rFonts w:hint="eastAsia" w:hAnsi="宋体" w:eastAsia="宋体"/>
                <w:color w:val="auto"/>
                <w:sz w:val="20"/>
              </w:rPr>
              <w:t>3、我单位没有</w:t>
            </w:r>
            <w:r>
              <w:rPr>
                <w:rFonts w:hAnsi="宋体" w:eastAsia="宋体"/>
                <w:color w:val="auto"/>
                <w:sz w:val="20"/>
              </w:rPr>
              <w:t>被</w:t>
            </w:r>
            <w:r>
              <w:rPr>
                <w:rFonts w:hint="eastAsia" w:hAnsi="宋体" w:eastAsia="宋体"/>
                <w:color w:val="auto"/>
                <w:sz w:val="20"/>
              </w:rPr>
              <w:t>各地、</w:t>
            </w:r>
            <w:r>
              <w:rPr>
                <w:rFonts w:hAnsi="宋体" w:eastAsia="宋体"/>
                <w:color w:val="auto"/>
                <w:sz w:val="20"/>
              </w:rPr>
              <w:t>各级财政部门</w:t>
            </w:r>
            <w:r>
              <w:rPr>
                <w:rFonts w:hint="eastAsia" w:hAnsi="宋体" w:eastAsia="宋体"/>
                <w:color w:val="auto"/>
                <w:sz w:val="20"/>
              </w:rPr>
              <w:t>限制</w:t>
            </w:r>
            <w:r>
              <w:rPr>
                <w:rFonts w:hAnsi="宋体" w:eastAsia="宋体"/>
                <w:color w:val="auto"/>
                <w:sz w:val="20"/>
              </w:rPr>
              <w:t>参加政府采购</w:t>
            </w:r>
            <w:r>
              <w:rPr>
                <w:rFonts w:hint="eastAsia" w:hAnsi="宋体" w:eastAsia="宋体"/>
                <w:color w:val="auto"/>
                <w:sz w:val="20"/>
              </w:rPr>
              <w:t>活动，且在限制期内：</w:t>
            </w:r>
          </w:p>
          <w:p>
            <w:pPr>
              <w:tabs>
                <w:tab w:val="center" w:pos="4483"/>
              </w:tabs>
              <w:adjustRightInd w:val="0"/>
              <w:spacing w:line="360" w:lineRule="auto"/>
              <w:ind w:firstLine="400"/>
              <w:rPr>
                <w:rFonts w:ascii="宋体" w:eastAsia="宋体"/>
                <w:color w:val="auto"/>
                <w:sz w:val="20"/>
              </w:rPr>
            </w:pPr>
            <w:r>
              <w:rPr>
                <w:rFonts w:ascii="宋体" w:eastAsia="宋体"/>
                <w:bCs/>
                <w:color w:val="auto"/>
                <w:sz w:val="20"/>
              </w:rPr>
              <w:t>4</w:t>
            </w:r>
            <w:r>
              <w:rPr>
                <w:rFonts w:hint="eastAsia" w:ascii="宋体" w:eastAsia="宋体"/>
                <w:bCs/>
                <w:color w:val="auto"/>
                <w:sz w:val="20"/>
              </w:rPr>
              <w:t>、我单位</w:t>
            </w:r>
            <w:r>
              <w:rPr>
                <w:rFonts w:hint="eastAsia" w:ascii="宋体" w:eastAsia="宋体"/>
                <w:color w:val="auto"/>
                <w:sz w:val="20"/>
              </w:rPr>
              <w:t>参与本项目政府采购活动3年内其它重大违法记录（重大违法记录，是指供应商因违法经营受到刑事处罚或者责令停产停业、吊销许可证或者执照、较大数额罚款等行政处罚）情况声明：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ascii="宋体" w:eastAsia="宋体"/>
                <w:color w:val="auto"/>
                <w:sz w:val="20"/>
                <w:u w:val="single"/>
              </w:rPr>
            </w:pPr>
          </w:p>
          <w:p>
            <w:pPr>
              <w:tabs>
                <w:tab w:val="center" w:pos="4483"/>
              </w:tabs>
              <w:adjustRightInd w:val="0"/>
              <w:spacing w:line="360" w:lineRule="auto"/>
              <w:ind w:firstLine="400"/>
              <w:rPr>
                <w:rFonts w:ascii="宋体" w:eastAsia="宋体"/>
                <w:b w:val="0"/>
                <w:color w:val="auto"/>
                <w:sz w:val="20"/>
              </w:rPr>
            </w:pPr>
            <w:r>
              <w:rPr>
                <w:rFonts w:ascii="宋体" w:eastAsia="宋体"/>
                <w:b w:val="0"/>
                <w:color w:val="auto"/>
                <w:sz w:val="20"/>
                <w:u w:val="single"/>
              </w:rPr>
              <w:t>5</w:t>
            </w:r>
            <w:r>
              <w:rPr>
                <w:rFonts w:hint="eastAsia" w:ascii="宋体" w:eastAsia="宋体"/>
                <w:b w:val="0"/>
                <w:color w:val="auto"/>
                <w:sz w:val="20"/>
                <w:u w:val="single"/>
              </w:rPr>
              <w:t>、我单位符合本项目特定资格条件：                         的要求，并在</w:t>
            </w:r>
            <w:r>
              <w:rPr>
                <w:rFonts w:hint="eastAsia" w:ascii="宋体" w:eastAsia="宋体"/>
                <w:b w:val="0"/>
                <w:color w:val="auto"/>
                <w:sz w:val="20"/>
              </w:rPr>
              <w:t>技术资信部分投标文件中提供了相应的证明材料</w:t>
            </w:r>
            <w:r>
              <w:rPr>
                <w:rFonts w:hint="eastAsia" w:ascii="宋体" w:eastAsia="宋体"/>
                <w:b w:val="0"/>
                <w:color w:val="auto"/>
                <w:sz w:val="20"/>
                <w:u w:val="single"/>
              </w:rPr>
              <w:t>（招标文件没有要求特定资格条件的，本条款空格处可以空白）</w:t>
            </w:r>
          </w:p>
          <w:p>
            <w:pPr>
              <w:tabs>
                <w:tab w:val="center" w:pos="4483"/>
              </w:tabs>
              <w:adjustRightInd w:val="0"/>
              <w:spacing w:line="360" w:lineRule="auto"/>
              <w:ind w:firstLine="402" w:firstLineChars="200"/>
              <w:rPr>
                <w:rFonts w:ascii="宋体" w:eastAsia="宋体"/>
                <w:bCs/>
                <w:color w:val="auto"/>
                <w:sz w:val="20"/>
              </w:rPr>
            </w:pPr>
            <w:r>
              <w:rPr>
                <w:rFonts w:hint="eastAsia" w:ascii="宋体" w:eastAsia="宋体"/>
                <w:bCs/>
                <w:color w:val="auto"/>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13"/>
              <w:adjustRightInd w:val="0"/>
              <w:snapToGrid w:val="0"/>
              <w:spacing w:line="400" w:lineRule="exact"/>
              <w:ind w:left="422" w:firstLine="316"/>
              <w:rPr>
                <w:rFonts w:hAnsi="宋体" w:eastAsia="宋体"/>
                <w:bCs/>
                <w:color w:val="auto"/>
                <w:sz w:val="22"/>
                <w:szCs w:val="22"/>
              </w:rPr>
            </w:pPr>
            <w:r>
              <w:rPr>
                <w:rFonts w:hint="eastAsia" w:hAnsi="宋体" w:eastAsia="宋体"/>
                <w:bCs/>
                <w:color w:val="auto"/>
                <w:szCs w:val="21"/>
              </w:rPr>
              <w:t>投标供应商全称（盖章）：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13"/>
              <w:adjustRightInd w:val="0"/>
              <w:snapToGrid w:val="0"/>
              <w:spacing w:line="400" w:lineRule="exact"/>
              <w:ind w:left="422" w:firstLine="316"/>
              <w:rPr>
                <w:rFonts w:hAnsi="宋体" w:eastAsia="宋体"/>
                <w:bCs/>
                <w:color w:val="auto"/>
                <w:sz w:val="22"/>
                <w:szCs w:val="22"/>
              </w:rPr>
            </w:pPr>
            <w:r>
              <w:rPr>
                <w:rFonts w:hint="eastAsia" w:hAnsi="宋体" w:eastAsia="宋体"/>
                <w:bCs/>
                <w:color w:val="auto"/>
                <w:szCs w:val="21"/>
              </w:rPr>
              <w:t>法定代表人（盖章）</w:t>
            </w:r>
            <w:r>
              <w:rPr>
                <w:rFonts w:hint="eastAsia" w:hAnsi="宋体" w:eastAsia="宋体"/>
                <w:bCs/>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13"/>
              <w:adjustRightInd w:val="0"/>
              <w:snapToGrid w:val="0"/>
              <w:spacing w:line="400" w:lineRule="exact"/>
              <w:ind w:left="422" w:firstLine="331"/>
              <w:rPr>
                <w:rFonts w:hAnsi="宋体" w:eastAsia="宋体"/>
                <w:bCs/>
                <w:color w:val="auto"/>
                <w:sz w:val="22"/>
                <w:szCs w:val="22"/>
              </w:rPr>
            </w:pPr>
            <w:r>
              <w:rPr>
                <w:rFonts w:hint="eastAsia" w:hAnsi="宋体" w:eastAsia="宋体"/>
                <w:bCs/>
                <w:color w:val="auto"/>
                <w:sz w:val="22"/>
                <w:szCs w:val="22"/>
              </w:rPr>
              <w:t>签署日期：</w:t>
            </w:r>
          </w:p>
        </w:tc>
      </w:tr>
    </w:tbl>
    <w:p>
      <w:pPr>
        <w:spacing w:line="360" w:lineRule="exact"/>
        <w:jc w:val="left"/>
        <w:rPr>
          <w:rFonts w:ascii="宋体" w:eastAsia="宋体"/>
          <w:bCs/>
          <w:color w:val="auto"/>
          <w:sz w:val="22"/>
          <w:szCs w:val="22"/>
          <w:u w:val="single"/>
        </w:rPr>
      </w:pPr>
      <w:r>
        <w:rPr>
          <w:rFonts w:hint="eastAsia" w:ascii="宋体" w:eastAsia="宋体"/>
          <w:bCs/>
          <w:color w:val="auto"/>
          <w:sz w:val="22"/>
          <w:szCs w:val="22"/>
          <w:u w:val="single"/>
        </w:rPr>
        <w:t>备注：▲投标供应商必须提供本声明，不提供按无效投标处理。</w:t>
      </w:r>
    </w:p>
    <w:p>
      <w:pPr>
        <w:autoSpaceDE w:val="0"/>
        <w:autoSpaceDN w:val="0"/>
        <w:spacing w:line="454" w:lineRule="atLeast"/>
        <w:jc w:val="left"/>
        <w:textAlignment w:val="bottom"/>
        <w:outlineLvl w:val="0"/>
        <w:rPr>
          <w:rFonts w:ascii="宋体" w:eastAsia="宋体"/>
          <w:color w:val="auto"/>
          <w:sz w:val="24"/>
          <w:szCs w:val="24"/>
        </w:rPr>
      </w:pPr>
      <w:bookmarkStart w:id="183" w:name="_Toc494407550"/>
    </w:p>
    <w:p>
      <w:pPr>
        <w:autoSpaceDE w:val="0"/>
        <w:autoSpaceDN w:val="0"/>
        <w:spacing w:line="454" w:lineRule="atLeast"/>
        <w:jc w:val="left"/>
        <w:textAlignment w:val="bottom"/>
        <w:outlineLvl w:val="0"/>
        <w:rPr>
          <w:rFonts w:ascii="宋体" w:eastAsia="宋体"/>
          <w:color w:val="auto"/>
          <w:sz w:val="24"/>
          <w:szCs w:val="24"/>
        </w:rPr>
      </w:pPr>
      <w:r>
        <w:rPr>
          <w:rFonts w:hint="eastAsia" w:ascii="宋体" w:eastAsia="宋体"/>
          <w:color w:val="auto"/>
          <w:sz w:val="24"/>
          <w:szCs w:val="24"/>
        </w:rPr>
        <w:t>附件八  法定代表人诚信投标承诺书</w:t>
      </w:r>
      <w:bookmarkEnd w:id="183"/>
    </w:p>
    <w:p>
      <w:pPr>
        <w:jc w:val="center"/>
        <w:rPr>
          <w:rFonts w:ascii="宋体" w:eastAsia="宋体"/>
          <w:color w:val="auto"/>
          <w:sz w:val="28"/>
          <w:szCs w:val="28"/>
        </w:rPr>
      </w:pPr>
    </w:p>
    <w:p>
      <w:pPr>
        <w:jc w:val="center"/>
        <w:rPr>
          <w:rFonts w:ascii="宋体" w:eastAsia="宋体"/>
          <w:color w:val="auto"/>
          <w:sz w:val="28"/>
          <w:szCs w:val="28"/>
        </w:rPr>
      </w:pPr>
      <w:r>
        <w:rPr>
          <w:rFonts w:hint="eastAsia" w:ascii="宋体" w:eastAsia="宋体"/>
          <w:color w:val="auto"/>
          <w:sz w:val="28"/>
          <w:szCs w:val="28"/>
        </w:rPr>
        <w:t>法定代表人诚信投标承诺书</w:t>
      </w:r>
    </w:p>
    <w:p>
      <w:pPr>
        <w:spacing w:line="360" w:lineRule="auto"/>
        <w:jc w:val="left"/>
        <w:rPr>
          <w:rFonts w:ascii="宋体" w:eastAsia="宋体"/>
          <w:b w:val="0"/>
          <w:color w:val="auto"/>
          <w:sz w:val="24"/>
          <w:szCs w:val="24"/>
        </w:rPr>
      </w:pPr>
    </w:p>
    <w:p>
      <w:pPr>
        <w:spacing w:line="460" w:lineRule="atLeast"/>
        <w:jc w:val="left"/>
        <w:rPr>
          <w:rFonts w:ascii="宋体" w:eastAsia="宋体"/>
          <w:color w:val="auto"/>
          <w:sz w:val="22"/>
          <w:szCs w:val="22"/>
        </w:rPr>
      </w:pPr>
      <w:r>
        <w:rPr>
          <w:rFonts w:hint="eastAsia" w:ascii="宋体" w:eastAsia="宋体"/>
          <w:color w:val="auto"/>
          <w:sz w:val="22"/>
          <w:szCs w:val="22"/>
        </w:rPr>
        <w:t>本人以企业法定代表人的身份郑重承诺：</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将遵循公开、公平、公正和诚信信用的原则参加</w:t>
      </w:r>
      <w:r>
        <w:rPr>
          <w:rFonts w:hint="eastAsia" w:ascii="宋体" w:eastAsia="宋体" w:cs="楷体_GB2312"/>
          <w:b w:val="0"/>
          <w:color w:val="auto"/>
          <w:sz w:val="22"/>
          <w:szCs w:val="22"/>
          <w:u w:val="single"/>
        </w:rPr>
        <w:t xml:space="preserve">              项目（招标编号：   ）</w:t>
      </w:r>
      <w:r>
        <w:rPr>
          <w:rFonts w:hint="eastAsia" w:ascii="宋体" w:eastAsia="宋体"/>
          <w:b w:val="0"/>
          <w:color w:val="auto"/>
          <w:sz w:val="22"/>
          <w:szCs w:val="22"/>
        </w:rPr>
        <w:t>的投标；</w:t>
      </w:r>
    </w:p>
    <w:p>
      <w:pPr>
        <w:spacing w:line="460" w:lineRule="atLeast"/>
        <w:ind w:firstLine="440" w:firstLineChars="200"/>
        <w:jc w:val="left"/>
        <w:rPr>
          <w:rFonts w:ascii="宋体" w:eastAsia="宋体"/>
          <w:b w:val="0"/>
          <w:color w:val="auto"/>
          <w:sz w:val="22"/>
          <w:szCs w:val="22"/>
          <w:u w:val="single"/>
        </w:rPr>
      </w:pPr>
      <w:r>
        <w:rPr>
          <w:rFonts w:hint="eastAsia" w:ascii="宋体" w:eastAsia="宋体"/>
          <w:b w:val="0"/>
          <w:color w:val="auto"/>
          <w:sz w:val="22"/>
          <w:szCs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二、投标文件所提供的一切材料都是真实、有效、合法的。</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四、不与采购人或招标代理机构串通投标，不损害国家利益，社会公共利益或其他人的合法权益。</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五、不向采购人或者评标委员会成员行贿以牟取中标。</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六、不以其他人名义投标或者以其他方式弄虚作假，骗取中标。</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七、不在开标后进行虚假恶意投诉。</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八、我单位没有被政府机关</w:t>
      </w:r>
      <w:r>
        <w:rPr>
          <w:rFonts w:ascii="宋体" w:eastAsia="宋体"/>
          <w:b w:val="0"/>
          <w:color w:val="auto"/>
          <w:sz w:val="22"/>
          <w:szCs w:val="22"/>
        </w:rPr>
        <w:t>列入失信被执行人</w:t>
      </w:r>
      <w:r>
        <w:rPr>
          <w:rFonts w:hint="eastAsia" w:ascii="宋体" w:eastAsia="宋体"/>
          <w:b w:val="0"/>
          <w:color w:val="auto"/>
          <w:sz w:val="22"/>
          <w:szCs w:val="22"/>
        </w:rPr>
        <w:t>名单</w:t>
      </w:r>
      <w:r>
        <w:rPr>
          <w:rFonts w:ascii="宋体" w:eastAsia="宋体"/>
          <w:b w:val="0"/>
          <w:color w:val="auto"/>
          <w:sz w:val="22"/>
          <w:szCs w:val="22"/>
        </w:rPr>
        <w:t>、重大税收违法案件当事人名单、政府采购严重违法失信行为记录名单及其他不符合《中华人民共和国政府采购法》第二十二条规定条件</w:t>
      </w:r>
      <w:r>
        <w:rPr>
          <w:rFonts w:hint="eastAsia" w:ascii="宋体" w:eastAsia="宋体"/>
          <w:b w:val="0"/>
          <w:color w:val="auto"/>
          <w:sz w:val="22"/>
          <w:szCs w:val="22"/>
        </w:rPr>
        <w:t>的情形：</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九、没有</w:t>
      </w:r>
      <w:r>
        <w:rPr>
          <w:rFonts w:ascii="宋体" w:eastAsia="宋体"/>
          <w:b w:val="0"/>
          <w:color w:val="auto"/>
          <w:sz w:val="22"/>
          <w:szCs w:val="22"/>
        </w:rPr>
        <w:t>被</w:t>
      </w:r>
      <w:r>
        <w:rPr>
          <w:rFonts w:hint="eastAsia" w:ascii="宋体" w:eastAsia="宋体"/>
          <w:b w:val="0"/>
          <w:color w:val="auto"/>
          <w:sz w:val="22"/>
          <w:szCs w:val="22"/>
        </w:rPr>
        <w:t>各地、</w:t>
      </w:r>
      <w:r>
        <w:rPr>
          <w:rFonts w:ascii="宋体" w:eastAsia="宋体"/>
          <w:b w:val="0"/>
          <w:color w:val="auto"/>
          <w:sz w:val="22"/>
          <w:szCs w:val="22"/>
        </w:rPr>
        <w:t>各级财政部门禁止参加政府采购</w:t>
      </w:r>
      <w:r>
        <w:rPr>
          <w:rFonts w:hint="eastAsia" w:ascii="宋体" w:eastAsia="宋体"/>
          <w:b w:val="0"/>
          <w:color w:val="auto"/>
          <w:sz w:val="22"/>
          <w:szCs w:val="22"/>
        </w:rPr>
        <w:t xml:space="preserve">活动，且在限制期限内：    </w:t>
      </w:r>
    </w:p>
    <w:p>
      <w:pPr>
        <w:spacing w:line="460" w:lineRule="atLeast"/>
        <w:ind w:firstLine="440" w:firstLineChars="200"/>
        <w:jc w:val="left"/>
        <w:rPr>
          <w:rFonts w:ascii="宋体" w:eastAsia="宋体"/>
          <w:b w:val="0"/>
          <w:color w:val="auto"/>
          <w:sz w:val="22"/>
          <w:szCs w:val="22"/>
        </w:rPr>
      </w:pPr>
      <w:r>
        <w:rPr>
          <w:rFonts w:hint="eastAsia" w:ascii="宋体" w:eastAsia="宋体"/>
          <w:b w:val="0"/>
          <w:color w:val="auto"/>
          <w:sz w:val="22"/>
          <w:szCs w:val="22"/>
        </w:rPr>
        <w:t>十、参与本项目政府采购活动3年内没有重大违法记录情况。</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ascii="宋体" w:eastAsia="宋体"/>
          <w:b w:val="0"/>
          <w:color w:val="auto"/>
          <w:sz w:val="22"/>
          <w:szCs w:val="22"/>
        </w:rPr>
      </w:pPr>
      <w:r>
        <w:rPr>
          <w:rFonts w:hint="eastAsia" w:ascii="宋体" w:eastAsia="宋体"/>
          <w:b w:val="0"/>
          <w:color w:val="auto"/>
          <w:sz w:val="22"/>
          <w:szCs w:val="22"/>
        </w:rPr>
        <w:t>法定代表人（签章）：</w:t>
      </w:r>
    </w:p>
    <w:p>
      <w:pPr>
        <w:spacing w:line="460" w:lineRule="atLeast"/>
        <w:ind w:right="1120" w:firstLine="2970" w:firstLineChars="1350"/>
        <w:rPr>
          <w:rFonts w:ascii="宋体" w:eastAsia="宋体" w:cs="Arial"/>
          <w:b w:val="0"/>
          <w:color w:val="auto"/>
          <w:sz w:val="22"/>
          <w:szCs w:val="22"/>
        </w:rPr>
      </w:pPr>
      <w:r>
        <w:rPr>
          <w:rFonts w:hint="eastAsia" w:ascii="宋体" w:eastAsia="宋体" w:cs="Arial"/>
          <w:b w:val="0"/>
          <w:color w:val="auto"/>
          <w:sz w:val="22"/>
          <w:szCs w:val="22"/>
        </w:rPr>
        <w:t>投标供应商全称（盖章）：</w:t>
      </w:r>
    </w:p>
    <w:p>
      <w:pPr>
        <w:spacing w:line="460" w:lineRule="atLeast"/>
        <w:ind w:right="1120" w:firstLine="2970" w:firstLineChars="1350"/>
        <w:rPr>
          <w:rFonts w:ascii="宋体" w:eastAsia="宋体"/>
          <w:b w:val="0"/>
          <w:color w:val="auto"/>
          <w:sz w:val="22"/>
          <w:szCs w:val="22"/>
        </w:rPr>
      </w:pPr>
      <w:r>
        <w:rPr>
          <w:rFonts w:hint="eastAsia" w:ascii="宋体" w:eastAsia="宋体"/>
          <w:b w:val="0"/>
          <w:color w:val="auto"/>
          <w:sz w:val="22"/>
          <w:szCs w:val="22"/>
        </w:rPr>
        <w:t>承诺书签署日期：         年  月  日</w:t>
      </w:r>
    </w:p>
    <w:p>
      <w:pPr>
        <w:spacing w:line="360" w:lineRule="exact"/>
        <w:jc w:val="left"/>
        <w:rPr>
          <w:rFonts w:ascii="宋体" w:eastAsia="宋体"/>
          <w:b w:val="0"/>
          <w:color w:val="auto"/>
          <w:sz w:val="30"/>
        </w:rPr>
      </w:pPr>
      <w:r>
        <w:rPr>
          <w:rFonts w:hint="eastAsia" w:ascii="宋体" w:eastAsia="宋体"/>
          <w:bCs/>
          <w:color w:val="auto"/>
          <w:sz w:val="22"/>
          <w:szCs w:val="22"/>
          <w:u w:val="single"/>
        </w:rPr>
        <w:t>备注：▲投标供应商必须提供本承诺书，不提供按无效投标处理。</w:t>
      </w:r>
    </w:p>
    <w:p>
      <w:pPr>
        <w:pStyle w:val="13"/>
        <w:spacing w:line="360" w:lineRule="exact"/>
        <w:jc w:val="center"/>
        <w:rPr>
          <w:rFonts w:hAnsi="宋体" w:eastAsia="宋体"/>
          <w:b w:val="0"/>
          <w:color w:val="auto"/>
          <w:sz w:val="32"/>
        </w:rPr>
      </w:pPr>
    </w:p>
    <w:p>
      <w:pPr>
        <w:pStyle w:val="13"/>
        <w:spacing w:line="360" w:lineRule="exact"/>
        <w:jc w:val="center"/>
        <w:rPr>
          <w:rFonts w:hAnsi="宋体" w:eastAsia="宋体"/>
          <w:b w:val="0"/>
          <w:color w:val="auto"/>
          <w:sz w:val="32"/>
        </w:rPr>
      </w:pPr>
    </w:p>
    <w:p>
      <w:pPr>
        <w:autoSpaceDE w:val="0"/>
        <w:autoSpaceDN w:val="0"/>
        <w:spacing w:line="454" w:lineRule="atLeast"/>
        <w:jc w:val="left"/>
        <w:textAlignment w:val="bottom"/>
        <w:outlineLvl w:val="0"/>
        <w:rPr>
          <w:rFonts w:ascii="宋体" w:eastAsia="宋体"/>
          <w:color w:val="auto"/>
          <w:sz w:val="24"/>
          <w:szCs w:val="24"/>
        </w:rPr>
      </w:pPr>
      <w:bookmarkStart w:id="184" w:name="_Toc494407551"/>
      <w:r>
        <w:rPr>
          <w:rFonts w:hint="eastAsia" w:ascii="宋体" w:eastAsia="宋体"/>
          <w:color w:val="auto"/>
          <w:sz w:val="24"/>
          <w:szCs w:val="24"/>
        </w:rPr>
        <w:t>附件九 业绩清单</w:t>
      </w:r>
      <w:bookmarkEnd w:id="184"/>
    </w:p>
    <w:p>
      <w:pPr>
        <w:spacing w:line="460" w:lineRule="exact"/>
        <w:jc w:val="center"/>
        <w:rPr>
          <w:rFonts w:ascii="宋体" w:eastAsia="宋体"/>
          <w:b w:val="0"/>
          <w:color w:val="auto"/>
          <w:sz w:val="32"/>
        </w:rPr>
      </w:pPr>
      <w:r>
        <w:rPr>
          <w:rFonts w:hint="eastAsia" w:ascii="宋体" w:eastAsia="宋体"/>
          <w:b w:val="0"/>
          <w:color w:val="auto"/>
          <w:sz w:val="32"/>
        </w:rPr>
        <w:t>供应商</w:t>
      </w:r>
      <w:r>
        <w:rPr>
          <w:rFonts w:ascii="宋体" w:eastAsia="宋体"/>
          <w:b w:val="0"/>
          <w:color w:val="auto"/>
          <w:sz w:val="32"/>
        </w:rPr>
        <w:t>201</w:t>
      </w:r>
      <w:r>
        <w:rPr>
          <w:rFonts w:hint="eastAsia" w:ascii="宋体" w:eastAsia="宋体"/>
          <w:b w:val="0"/>
          <w:color w:val="auto"/>
          <w:sz w:val="32"/>
          <w:lang w:val="en-US" w:eastAsia="zh-CN"/>
        </w:rPr>
        <w:t>7</w:t>
      </w:r>
      <w:r>
        <w:rPr>
          <w:rFonts w:hint="eastAsia" w:ascii="宋体" w:eastAsia="宋体"/>
          <w:b w:val="0"/>
          <w:color w:val="auto"/>
          <w:sz w:val="32"/>
        </w:rPr>
        <w:t>年</w:t>
      </w:r>
      <w:r>
        <w:rPr>
          <w:rFonts w:hint="eastAsia" w:ascii="宋体" w:eastAsia="宋体"/>
          <w:b w:val="0"/>
          <w:color w:val="auto"/>
          <w:sz w:val="32"/>
          <w:lang w:val="en-US" w:eastAsia="zh-CN"/>
        </w:rPr>
        <w:t>1月1日</w:t>
      </w:r>
      <w:r>
        <w:rPr>
          <w:rFonts w:hint="eastAsia" w:ascii="宋体" w:eastAsia="宋体"/>
          <w:b w:val="0"/>
          <w:color w:val="auto"/>
          <w:sz w:val="32"/>
        </w:rPr>
        <w:t>至今同类项目业绩一览表</w:t>
      </w:r>
    </w:p>
    <w:p>
      <w:pPr>
        <w:pStyle w:val="13"/>
        <w:spacing w:line="360" w:lineRule="exact"/>
        <w:rPr>
          <w:rFonts w:hAnsi="宋体" w:eastAsia="宋体"/>
          <w:b w:val="0"/>
          <w:color w:val="auto"/>
          <w:sz w:val="22"/>
          <w:szCs w:val="22"/>
        </w:rPr>
      </w:pPr>
    </w:p>
    <w:tbl>
      <w:tblPr>
        <w:tblStyle w:val="22"/>
        <w:tblW w:w="0" w:type="auto"/>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153"/>
        <w:gridCol w:w="1154"/>
        <w:gridCol w:w="1154"/>
        <w:gridCol w:w="1154"/>
        <w:gridCol w:w="1154"/>
        <w:gridCol w:w="1154"/>
        <w:gridCol w:w="1154"/>
        <w:gridCol w:w="7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56" w:type="dxa"/>
          </w:tcPr>
          <w:p>
            <w:pPr>
              <w:tabs>
                <w:tab w:val="left" w:pos="4140"/>
              </w:tabs>
              <w:adjustRightInd w:val="0"/>
              <w:snapToGrid w:val="0"/>
              <w:spacing w:line="320" w:lineRule="atLeast"/>
              <w:jc w:val="center"/>
              <w:rPr>
                <w:rFonts w:ascii="宋体" w:eastAsia="宋体"/>
                <w:b w:val="0"/>
                <w:caps/>
                <w:color w:val="auto"/>
                <w:spacing w:val="20"/>
                <w:sz w:val="22"/>
                <w:szCs w:val="22"/>
              </w:rPr>
            </w:pPr>
            <w:r>
              <w:rPr>
                <w:rFonts w:hint="eastAsia" w:ascii="宋体" w:eastAsia="宋体"/>
                <w:b w:val="0"/>
                <w:caps/>
                <w:color w:val="auto"/>
                <w:spacing w:val="20"/>
                <w:sz w:val="22"/>
                <w:szCs w:val="22"/>
              </w:rPr>
              <w:t>序号</w:t>
            </w:r>
          </w:p>
        </w:tc>
        <w:tc>
          <w:tcPr>
            <w:tcW w:w="1153" w:type="dxa"/>
          </w:tcPr>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采购</w:t>
            </w:r>
          </w:p>
          <w:p>
            <w:pPr>
              <w:tabs>
                <w:tab w:val="left" w:pos="4140"/>
              </w:tabs>
              <w:adjustRightInd w:val="0"/>
              <w:snapToGrid w:val="0"/>
              <w:spacing w:line="320" w:lineRule="atLeast"/>
              <w:jc w:val="center"/>
              <w:rPr>
                <w:rFonts w:ascii="宋体" w:eastAsia="宋体"/>
                <w:b w:val="0"/>
                <w:caps/>
                <w:color w:val="auto"/>
                <w:spacing w:val="20"/>
                <w:sz w:val="22"/>
                <w:szCs w:val="22"/>
              </w:rPr>
            </w:pPr>
            <w:r>
              <w:rPr>
                <w:rFonts w:hint="eastAsia" w:ascii="宋体" w:eastAsia="宋体"/>
                <w:b w:val="0"/>
                <w:color w:val="auto"/>
                <w:spacing w:val="20"/>
                <w:sz w:val="22"/>
                <w:szCs w:val="22"/>
              </w:rPr>
              <w:t>单位</w:t>
            </w:r>
          </w:p>
        </w:tc>
        <w:tc>
          <w:tcPr>
            <w:tcW w:w="1154" w:type="dxa"/>
          </w:tcPr>
          <w:p>
            <w:pPr>
              <w:tabs>
                <w:tab w:val="left" w:pos="4140"/>
              </w:tabs>
              <w:adjustRightInd w:val="0"/>
              <w:snapToGrid w:val="0"/>
              <w:spacing w:line="320" w:lineRule="atLeast"/>
              <w:jc w:val="center"/>
              <w:rPr>
                <w:rFonts w:ascii="宋体" w:eastAsia="宋体"/>
                <w:b w:val="0"/>
                <w:caps/>
                <w:color w:val="auto"/>
                <w:spacing w:val="20"/>
                <w:sz w:val="22"/>
                <w:szCs w:val="22"/>
              </w:rPr>
            </w:pPr>
            <w:r>
              <w:rPr>
                <w:rFonts w:hint="eastAsia" w:ascii="宋体" w:eastAsia="宋体"/>
                <w:b w:val="0"/>
                <w:caps/>
                <w:color w:val="auto"/>
                <w:spacing w:val="20"/>
                <w:sz w:val="22"/>
                <w:szCs w:val="22"/>
              </w:rPr>
              <w:t>项目</w:t>
            </w:r>
          </w:p>
          <w:p>
            <w:pPr>
              <w:tabs>
                <w:tab w:val="left" w:pos="4140"/>
              </w:tabs>
              <w:adjustRightInd w:val="0"/>
              <w:snapToGrid w:val="0"/>
              <w:spacing w:line="320" w:lineRule="atLeast"/>
              <w:jc w:val="center"/>
              <w:rPr>
                <w:rFonts w:ascii="宋体" w:eastAsia="宋体"/>
                <w:b w:val="0"/>
                <w:caps/>
                <w:color w:val="auto"/>
                <w:spacing w:val="20"/>
                <w:sz w:val="22"/>
                <w:szCs w:val="22"/>
              </w:rPr>
            </w:pPr>
            <w:r>
              <w:rPr>
                <w:rFonts w:hint="eastAsia" w:ascii="宋体" w:eastAsia="宋体"/>
                <w:b w:val="0"/>
                <w:caps/>
                <w:color w:val="auto"/>
                <w:spacing w:val="20"/>
                <w:sz w:val="22"/>
                <w:szCs w:val="22"/>
              </w:rPr>
              <w:t>名称</w:t>
            </w:r>
          </w:p>
        </w:tc>
        <w:tc>
          <w:tcPr>
            <w:tcW w:w="1154" w:type="dxa"/>
          </w:tcPr>
          <w:p>
            <w:pPr>
              <w:tabs>
                <w:tab w:val="left" w:pos="4140"/>
              </w:tabs>
              <w:adjustRightInd w:val="0"/>
              <w:snapToGrid w:val="0"/>
              <w:spacing w:line="320" w:lineRule="atLeast"/>
              <w:jc w:val="center"/>
              <w:rPr>
                <w:rFonts w:ascii="宋体" w:eastAsia="宋体"/>
                <w:b w:val="0"/>
                <w:caps/>
                <w:color w:val="auto"/>
                <w:spacing w:val="20"/>
                <w:sz w:val="22"/>
                <w:szCs w:val="22"/>
              </w:rPr>
            </w:pPr>
            <w:r>
              <w:rPr>
                <w:rFonts w:hint="eastAsia" w:ascii="宋体" w:eastAsia="宋体"/>
                <w:b w:val="0"/>
                <w:caps/>
                <w:color w:val="auto"/>
                <w:spacing w:val="20"/>
                <w:sz w:val="22"/>
                <w:szCs w:val="22"/>
              </w:rPr>
              <w:t>数量</w:t>
            </w:r>
          </w:p>
        </w:tc>
        <w:tc>
          <w:tcPr>
            <w:tcW w:w="1154" w:type="dxa"/>
          </w:tcPr>
          <w:p>
            <w:pPr>
              <w:tabs>
                <w:tab w:val="left" w:pos="4140"/>
              </w:tabs>
              <w:adjustRightInd w:val="0"/>
              <w:snapToGrid w:val="0"/>
              <w:spacing w:line="320" w:lineRule="atLeast"/>
              <w:jc w:val="center"/>
              <w:rPr>
                <w:rFonts w:ascii="宋体" w:eastAsia="宋体"/>
                <w:b w:val="0"/>
                <w:caps/>
                <w:color w:val="auto"/>
                <w:spacing w:val="20"/>
                <w:sz w:val="22"/>
                <w:szCs w:val="22"/>
              </w:rPr>
            </w:pPr>
            <w:r>
              <w:rPr>
                <w:rFonts w:hint="eastAsia" w:ascii="宋体" w:eastAsia="宋体"/>
                <w:b w:val="0"/>
                <w:caps/>
                <w:color w:val="auto"/>
                <w:spacing w:val="20"/>
                <w:sz w:val="22"/>
                <w:szCs w:val="22"/>
              </w:rPr>
              <w:t>合同</w:t>
            </w:r>
          </w:p>
          <w:p>
            <w:pPr>
              <w:tabs>
                <w:tab w:val="left" w:pos="4140"/>
              </w:tabs>
              <w:adjustRightInd w:val="0"/>
              <w:snapToGrid w:val="0"/>
              <w:spacing w:line="320" w:lineRule="atLeast"/>
              <w:jc w:val="center"/>
              <w:rPr>
                <w:rFonts w:ascii="宋体" w:eastAsia="宋体"/>
                <w:b w:val="0"/>
                <w:caps/>
                <w:color w:val="auto"/>
                <w:spacing w:val="20"/>
                <w:sz w:val="22"/>
                <w:szCs w:val="22"/>
              </w:rPr>
            </w:pPr>
            <w:r>
              <w:rPr>
                <w:rFonts w:hint="eastAsia" w:ascii="宋体" w:eastAsia="宋体"/>
                <w:b w:val="0"/>
                <w:caps/>
                <w:color w:val="auto"/>
                <w:spacing w:val="20"/>
                <w:sz w:val="22"/>
                <w:szCs w:val="22"/>
              </w:rPr>
              <w:t>金额</w:t>
            </w:r>
          </w:p>
        </w:tc>
        <w:tc>
          <w:tcPr>
            <w:tcW w:w="1154" w:type="dxa"/>
          </w:tcPr>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签约</w:t>
            </w:r>
          </w:p>
          <w:p>
            <w:pPr>
              <w:tabs>
                <w:tab w:val="left" w:pos="4140"/>
              </w:tabs>
              <w:adjustRightInd w:val="0"/>
              <w:snapToGrid w:val="0"/>
              <w:spacing w:line="320" w:lineRule="atLeast"/>
              <w:jc w:val="center"/>
              <w:rPr>
                <w:rFonts w:ascii="宋体" w:eastAsia="宋体"/>
                <w:b w:val="0"/>
                <w:caps/>
                <w:color w:val="auto"/>
                <w:spacing w:val="20"/>
                <w:sz w:val="22"/>
                <w:szCs w:val="22"/>
              </w:rPr>
            </w:pPr>
            <w:r>
              <w:rPr>
                <w:rFonts w:hint="eastAsia" w:ascii="宋体" w:eastAsia="宋体"/>
                <w:b w:val="0"/>
                <w:color w:val="auto"/>
                <w:spacing w:val="20"/>
                <w:sz w:val="22"/>
                <w:szCs w:val="22"/>
              </w:rPr>
              <w:t>日期</w:t>
            </w:r>
          </w:p>
        </w:tc>
        <w:tc>
          <w:tcPr>
            <w:tcW w:w="1154" w:type="dxa"/>
          </w:tcPr>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联系人</w:t>
            </w:r>
          </w:p>
        </w:tc>
        <w:tc>
          <w:tcPr>
            <w:tcW w:w="1154" w:type="dxa"/>
          </w:tcPr>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联系</w:t>
            </w:r>
          </w:p>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电话</w:t>
            </w:r>
          </w:p>
        </w:tc>
        <w:tc>
          <w:tcPr>
            <w:tcW w:w="770" w:type="dxa"/>
          </w:tcPr>
          <w:p>
            <w:pPr>
              <w:tabs>
                <w:tab w:val="left" w:pos="4140"/>
              </w:tabs>
              <w:adjustRightInd w:val="0"/>
              <w:snapToGrid w:val="0"/>
              <w:spacing w:line="32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pPr>
              <w:tabs>
                <w:tab w:val="left" w:pos="4140"/>
              </w:tabs>
              <w:adjustRightInd w:val="0"/>
              <w:snapToGrid w:val="0"/>
              <w:spacing w:line="320" w:lineRule="atLeast"/>
              <w:rPr>
                <w:rFonts w:ascii="宋体" w:eastAsia="宋体"/>
                <w:b w:val="0"/>
                <w:color w:val="auto"/>
                <w:spacing w:val="20"/>
                <w:sz w:val="22"/>
                <w:szCs w:val="22"/>
              </w:rPr>
            </w:pPr>
          </w:p>
        </w:tc>
      </w:tr>
    </w:tbl>
    <w:p>
      <w:pPr>
        <w:pStyle w:val="13"/>
        <w:spacing w:line="360" w:lineRule="exact"/>
        <w:rPr>
          <w:rFonts w:hAnsi="宋体" w:eastAsia="宋体"/>
          <w:b w:val="0"/>
          <w:color w:val="auto"/>
          <w:sz w:val="32"/>
        </w:rPr>
      </w:pPr>
      <w:r>
        <w:rPr>
          <w:rFonts w:hint="eastAsia" w:hAnsi="宋体" w:eastAsia="宋体"/>
          <w:b w:val="0"/>
          <w:color w:val="auto"/>
          <w:sz w:val="22"/>
          <w:szCs w:val="22"/>
        </w:rPr>
        <w:t>本表后附加盖有效公章的合同复印件或中标通知书。</w:t>
      </w:r>
    </w:p>
    <w:p>
      <w:pPr>
        <w:rPr>
          <w:rFonts w:ascii="宋体" w:eastAsia="宋体"/>
          <w:b w:val="0"/>
          <w:color w:val="auto"/>
          <w:spacing w:val="20"/>
          <w:sz w:val="22"/>
          <w:szCs w:val="22"/>
        </w:rPr>
      </w:pPr>
    </w:p>
    <w:p>
      <w:pPr>
        <w:rPr>
          <w:rFonts w:ascii="宋体" w:eastAsia="宋体"/>
          <w:b w:val="0"/>
          <w:color w:val="auto"/>
          <w:sz w:val="36"/>
          <w:szCs w:val="36"/>
        </w:rPr>
      </w:pPr>
      <w:r>
        <w:rPr>
          <w:rFonts w:hint="eastAsia" w:ascii="宋体" w:eastAsia="宋体" w:cs="Arial"/>
          <w:b w:val="0"/>
          <w:color w:val="auto"/>
          <w:sz w:val="22"/>
          <w:szCs w:val="22"/>
        </w:rPr>
        <w:t>投标供应商全称（盖章）</w:t>
      </w:r>
      <w:r>
        <w:rPr>
          <w:rFonts w:hint="eastAsia" w:ascii="宋体" w:eastAsia="宋体"/>
          <w:b w:val="0"/>
          <w:color w:val="auto"/>
          <w:spacing w:val="20"/>
          <w:sz w:val="22"/>
          <w:szCs w:val="22"/>
        </w:rPr>
        <w:t>：</w:t>
      </w:r>
    </w:p>
    <w:p>
      <w:pPr>
        <w:pStyle w:val="13"/>
        <w:spacing w:line="360" w:lineRule="exact"/>
        <w:rPr>
          <w:rFonts w:hAnsi="宋体" w:eastAsia="宋体"/>
          <w:b w:val="0"/>
          <w:color w:val="auto"/>
          <w:sz w:val="36"/>
          <w:szCs w:val="36"/>
        </w:rPr>
      </w:pPr>
    </w:p>
    <w:p>
      <w:pPr>
        <w:pStyle w:val="13"/>
        <w:spacing w:line="360" w:lineRule="exact"/>
        <w:rPr>
          <w:rFonts w:hAnsi="宋体" w:eastAsia="宋体"/>
          <w:b w:val="0"/>
          <w:color w:val="auto"/>
          <w:sz w:val="36"/>
          <w:szCs w:val="36"/>
        </w:rPr>
      </w:pPr>
    </w:p>
    <w:p>
      <w:pPr>
        <w:spacing w:line="360" w:lineRule="exact"/>
        <w:jc w:val="left"/>
        <w:rPr>
          <w:rFonts w:ascii="宋体" w:eastAsia="宋体"/>
          <w:b w:val="0"/>
          <w:color w:val="auto"/>
          <w:sz w:val="30"/>
        </w:rPr>
      </w:pPr>
    </w:p>
    <w:p>
      <w:pPr>
        <w:spacing w:line="360" w:lineRule="exact"/>
        <w:jc w:val="left"/>
        <w:rPr>
          <w:rFonts w:ascii="宋体" w:eastAsia="宋体"/>
          <w:b w:val="0"/>
          <w:color w:val="auto"/>
          <w:sz w:val="30"/>
        </w:rPr>
      </w:pPr>
    </w:p>
    <w:p>
      <w:pPr>
        <w:spacing w:line="360" w:lineRule="exact"/>
        <w:jc w:val="left"/>
        <w:rPr>
          <w:rFonts w:ascii="宋体" w:eastAsia="宋体"/>
          <w:b w:val="0"/>
          <w:color w:val="auto"/>
          <w:sz w:val="30"/>
        </w:rPr>
      </w:pPr>
    </w:p>
    <w:p>
      <w:pPr>
        <w:autoSpaceDE w:val="0"/>
        <w:autoSpaceDN w:val="0"/>
        <w:adjustRightInd w:val="0"/>
        <w:snapToGrid w:val="0"/>
        <w:spacing w:line="454" w:lineRule="atLeast"/>
        <w:jc w:val="center"/>
        <w:textAlignment w:val="bottom"/>
        <w:outlineLvl w:val="0"/>
        <w:rPr>
          <w:rFonts w:ascii="宋体" w:eastAsia="宋体"/>
          <w:color w:val="auto"/>
          <w:sz w:val="24"/>
          <w:szCs w:val="24"/>
        </w:rPr>
      </w:pPr>
      <w:bookmarkStart w:id="185" w:name="_Toc494407552"/>
      <w:r>
        <w:rPr>
          <w:rFonts w:hint="eastAsia" w:ascii="宋体" w:eastAsia="宋体"/>
          <w:color w:val="auto"/>
          <w:sz w:val="24"/>
          <w:szCs w:val="24"/>
        </w:rPr>
        <w:t>三、技术标部分格式</w:t>
      </w:r>
      <w:bookmarkEnd w:id="185"/>
    </w:p>
    <w:p>
      <w:pPr>
        <w:autoSpaceDE w:val="0"/>
        <w:autoSpaceDN w:val="0"/>
        <w:spacing w:line="454" w:lineRule="atLeast"/>
        <w:jc w:val="left"/>
        <w:textAlignment w:val="bottom"/>
        <w:outlineLvl w:val="0"/>
        <w:rPr>
          <w:rFonts w:ascii="宋体" w:eastAsia="宋体"/>
          <w:color w:val="auto"/>
          <w:sz w:val="24"/>
          <w:szCs w:val="24"/>
        </w:rPr>
      </w:pPr>
      <w:bookmarkStart w:id="186" w:name="_Toc494407553"/>
      <w:r>
        <w:rPr>
          <w:rFonts w:hint="eastAsia" w:ascii="宋体" w:eastAsia="宋体"/>
          <w:color w:val="auto"/>
          <w:sz w:val="24"/>
          <w:szCs w:val="24"/>
        </w:rPr>
        <w:t>附件十  商务、技术偏离表</w:t>
      </w:r>
      <w:bookmarkEnd w:id="186"/>
    </w:p>
    <w:p>
      <w:pPr>
        <w:autoSpaceDE w:val="0"/>
        <w:autoSpaceDN w:val="0"/>
        <w:adjustRightInd w:val="0"/>
        <w:spacing w:line="360" w:lineRule="exact"/>
        <w:jc w:val="center"/>
        <w:rPr>
          <w:rFonts w:ascii="宋体" w:eastAsia="宋体"/>
          <w:color w:val="auto"/>
          <w:sz w:val="28"/>
          <w:szCs w:val="28"/>
          <w:lang w:val="zh-CN"/>
        </w:rPr>
      </w:pPr>
      <w:r>
        <w:rPr>
          <w:rFonts w:hint="eastAsia" w:ascii="宋体" w:eastAsia="宋体"/>
          <w:b w:val="0"/>
          <w:color w:val="auto"/>
          <w:sz w:val="28"/>
          <w:szCs w:val="28"/>
          <w:lang w:val="zh-CN"/>
        </w:rPr>
        <w:t>（一）</w:t>
      </w:r>
      <w:r>
        <w:rPr>
          <w:rFonts w:hint="eastAsia" w:ascii="宋体" w:eastAsia="宋体"/>
          <w:color w:val="auto"/>
          <w:sz w:val="28"/>
          <w:szCs w:val="28"/>
          <w:lang w:val="zh-CN"/>
        </w:rPr>
        <w:t>商务偏离表</w:t>
      </w:r>
    </w:p>
    <w:p>
      <w:pPr>
        <w:autoSpaceDE w:val="0"/>
        <w:autoSpaceDN w:val="0"/>
        <w:adjustRightInd w:val="0"/>
        <w:spacing w:line="360" w:lineRule="exact"/>
        <w:jc w:val="center"/>
        <w:rPr>
          <w:rFonts w:ascii="宋体" w:eastAsia="宋体"/>
          <w:color w:val="auto"/>
          <w:sz w:val="28"/>
          <w:szCs w:val="28"/>
          <w:lang w:val="zh-CN"/>
        </w:rPr>
      </w:pPr>
    </w:p>
    <w:tbl>
      <w:tblPr>
        <w:tblStyle w:val="22"/>
        <w:tblW w:w="0" w:type="auto"/>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trHeight w:val="936" w:hRule="atLeast"/>
        </w:trPr>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序 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招标文件规范要求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投标文件</w:t>
            </w:r>
          </w:p>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对应规范</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4"/>
                <w:lang w:val="zh-CN"/>
              </w:rPr>
            </w:pPr>
            <w:r>
              <w:rPr>
                <w:rFonts w:hint="eastAsia" w:ascii="宋体" w:eastAsia="宋体"/>
                <w:b w:val="0"/>
                <w:color w:val="auto"/>
                <w:sz w:val="24"/>
                <w:lang w:val="zh-CN"/>
              </w:rPr>
              <w:t>备 注</w:t>
            </w: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4"/>
                <w:lang w:val="zh-CN"/>
              </w:rPr>
            </w:pPr>
          </w:p>
        </w:tc>
      </w:tr>
    </w:tbl>
    <w:p>
      <w:pPr>
        <w:autoSpaceDE w:val="0"/>
        <w:autoSpaceDN w:val="0"/>
        <w:adjustRightInd w:val="0"/>
        <w:spacing w:line="360" w:lineRule="exact"/>
        <w:rPr>
          <w:rFonts w:ascii="宋体" w:eastAsia="宋体"/>
          <w:b w:val="0"/>
          <w:color w:val="auto"/>
          <w:sz w:val="24"/>
          <w:lang w:val="zh-CN"/>
        </w:rPr>
      </w:pPr>
      <w:r>
        <w:rPr>
          <w:rFonts w:hint="eastAsia" w:ascii="宋体" w:eastAsia="宋体"/>
          <w:b w:val="0"/>
          <w:bCs/>
          <w:color w:val="auto"/>
          <w:szCs w:val="21"/>
        </w:rPr>
        <w:t>投标供应商全称（</w:t>
      </w:r>
      <w:r>
        <w:rPr>
          <w:rFonts w:hint="eastAsia" w:eastAsia="宋体"/>
          <w:b w:val="0"/>
          <w:bCs/>
          <w:color w:val="auto"/>
          <w:szCs w:val="21"/>
        </w:rPr>
        <w:t>盖</w:t>
      </w:r>
      <w:r>
        <w:rPr>
          <w:rFonts w:hint="eastAsia" w:ascii="宋体" w:eastAsia="宋体"/>
          <w:b w:val="0"/>
          <w:bCs/>
          <w:color w:val="auto"/>
          <w:szCs w:val="21"/>
        </w:rPr>
        <w:t>章）</w:t>
      </w:r>
      <w:r>
        <w:rPr>
          <w:rFonts w:hint="eastAsia" w:ascii="宋体" w:eastAsia="宋体"/>
          <w:b w:val="0"/>
          <w:color w:val="auto"/>
          <w:sz w:val="24"/>
          <w:lang w:val="zh-CN"/>
        </w:rPr>
        <w:t>：</w:t>
      </w:r>
    </w:p>
    <w:p>
      <w:pPr>
        <w:autoSpaceDE w:val="0"/>
        <w:autoSpaceDN w:val="0"/>
        <w:adjustRightInd w:val="0"/>
        <w:spacing w:line="360" w:lineRule="exact"/>
        <w:rPr>
          <w:rFonts w:ascii="宋体" w:eastAsia="宋体"/>
          <w:b w:val="0"/>
          <w:color w:val="auto"/>
          <w:sz w:val="32"/>
          <w:lang w:val="zh-CN"/>
        </w:rPr>
      </w:pPr>
    </w:p>
    <w:p>
      <w:pPr>
        <w:autoSpaceDE w:val="0"/>
        <w:autoSpaceDN w:val="0"/>
        <w:adjustRightInd w:val="0"/>
        <w:spacing w:line="360" w:lineRule="exact"/>
        <w:rPr>
          <w:rFonts w:ascii="宋体" w:eastAsia="宋体"/>
          <w:b w:val="0"/>
          <w:color w:val="auto"/>
          <w:sz w:val="32"/>
          <w:lang w:val="zh-CN"/>
        </w:rPr>
      </w:pPr>
    </w:p>
    <w:p>
      <w:pPr>
        <w:autoSpaceDE w:val="0"/>
        <w:autoSpaceDN w:val="0"/>
        <w:adjustRightInd w:val="0"/>
        <w:spacing w:line="360" w:lineRule="exact"/>
        <w:jc w:val="center"/>
        <w:rPr>
          <w:rFonts w:ascii="宋体" w:eastAsia="宋体"/>
          <w:b w:val="0"/>
          <w:color w:val="auto"/>
          <w:sz w:val="28"/>
          <w:szCs w:val="28"/>
          <w:lang w:val="zh-CN"/>
        </w:rPr>
      </w:pPr>
      <w:r>
        <w:rPr>
          <w:rFonts w:hint="eastAsia" w:ascii="宋体" w:eastAsia="宋体"/>
          <w:b w:val="0"/>
          <w:color w:val="auto"/>
          <w:sz w:val="28"/>
          <w:szCs w:val="28"/>
          <w:lang w:val="zh-CN"/>
        </w:rPr>
        <w:t>（二）技术偏离表</w:t>
      </w:r>
    </w:p>
    <w:p>
      <w:pPr>
        <w:autoSpaceDE w:val="0"/>
        <w:autoSpaceDN w:val="0"/>
        <w:adjustRightInd w:val="0"/>
        <w:spacing w:line="360" w:lineRule="exact"/>
        <w:jc w:val="center"/>
        <w:rPr>
          <w:rFonts w:ascii="宋体" w:eastAsia="宋体"/>
          <w:color w:val="auto"/>
          <w:sz w:val="32"/>
          <w:lang w:val="zh-CN"/>
        </w:rPr>
      </w:pPr>
    </w:p>
    <w:tbl>
      <w:tblPr>
        <w:tblStyle w:val="22"/>
        <w:tblW w:w="0" w:type="auto"/>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trHeight w:val="918" w:hRule="atLeast"/>
        </w:trPr>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序 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招标文件规范要求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投标文件</w:t>
            </w:r>
          </w:p>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对应规范</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宋体" w:eastAsia="宋体"/>
                <w:b w:val="0"/>
                <w:color w:val="auto"/>
                <w:sz w:val="22"/>
                <w:lang w:val="zh-CN"/>
              </w:rPr>
            </w:pPr>
            <w:r>
              <w:rPr>
                <w:rFonts w:hint="eastAsia" w:ascii="宋体" w:eastAsia="宋体"/>
                <w:b w:val="0"/>
                <w:color w:val="auto"/>
                <w:sz w:val="22"/>
                <w:lang w:val="zh-CN"/>
              </w:rPr>
              <w:t>备 注</w:t>
            </w: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eastAsia="宋体"/>
                <w:b w:val="0"/>
                <w:color w:val="auto"/>
                <w:sz w:val="22"/>
                <w:lang w:val="zh-CN"/>
              </w:rPr>
            </w:pPr>
          </w:p>
        </w:tc>
      </w:tr>
    </w:tbl>
    <w:p>
      <w:pPr>
        <w:spacing w:line="360" w:lineRule="exact"/>
        <w:rPr>
          <w:rFonts w:ascii="宋体" w:eastAsia="宋体"/>
          <w:b w:val="0"/>
          <w:color w:val="auto"/>
          <w:spacing w:val="20"/>
          <w:sz w:val="22"/>
        </w:rPr>
      </w:pPr>
      <w:r>
        <w:rPr>
          <w:rFonts w:hint="eastAsia" w:ascii="宋体" w:eastAsia="宋体" w:cs="Arial"/>
          <w:b w:val="0"/>
          <w:color w:val="auto"/>
          <w:sz w:val="22"/>
          <w:szCs w:val="22"/>
        </w:rPr>
        <w:t>投标供应商全称（盖章）</w:t>
      </w:r>
      <w:r>
        <w:rPr>
          <w:rFonts w:hint="eastAsia" w:ascii="宋体" w:eastAsia="宋体"/>
          <w:b w:val="0"/>
          <w:color w:val="auto"/>
          <w:sz w:val="22"/>
          <w:lang w:val="zh-CN"/>
        </w:rPr>
        <w:t>：</w:t>
      </w:r>
    </w:p>
    <w:p>
      <w:pPr>
        <w:rPr>
          <w:rFonts w:ascii="宋体" w:eastAsia="宋体"/>
          <w:color w:val="auto"/>
        </w:rPr>
      </w:pPr>
      <w:r>
        <w:rPr>
          <w:rFonts w:hint="eastAsia" w:ascii="宋体" w:eastAsia="宋体"/>
          <w:color w:val="auto"/>
        </w:rPr>
        <w:t>备注：表格可以延续</w:t>
      </w:r>
    </w:p>
    <w:p>
      <w:pPr>
        <w:pStyle w:val="13"/>
        <w:spacing w:line="360" w:lineRule="exact"/>
        <w:rPr>
          <w:rFonts w:hAnsi="宋体" w:eastAsia="宋体"/>
          <w:b w:val="0"/>
          <w:color w:val="auto"/>
          <w:sz w:val="22"/>
        </w:rPr>
        <w:sectPr>
          <w:headerReference r:id="rId7" w:type="first"/>
          <w:footerReference r:id="rId8" w:type="first"/>
          <w:type w:val="continuous"/>
          <w:pgSz w:w="11906" w:h="16838"/>
          <w:pgMar w:top="1440" w:right="1247" w:bottom="1440" w:left="1247" w:header="851" w:footer="992" w:gutter="0"/>
          <w:cols w:space="720" w:num="1"/>
          <w:titlePg/>
          <w:docGrid w:linePitch="312" w:charSpace="0"/>
        </w:sectPr>
      </w:pPr>
    </w:p>
    <w:p>
      <w:pPr>
        <w:autoSpaceDE w:val="0"/>
        <w:autoSpaceDN w:val="0"/>
        <w:spacing w:line="454" w:lineRule="atLeast"/>
        <w:jc w:val="left"/>
        <w:textAlignment w:val="bottom"/>
        <w:outlineLvl w:val="0"/>
        <w:rPr>
          <w:rFonts w:ascii="宋体" w:eastAsia="宋体"/>
          <w:color w:val="auto"/>
          <w:sz w:val="24"/>
          <w:szCs w:val="24"/>
        </w:rPr>
        <w:sectPr>
          <w:footerReference r:id="rId9" w:type="default"/>
          <w:type w:val="continuous"/>
          <w:pgSz w:w="11906" w:h="16838"/>
          <w:pgMar w:top="1440" w:right="1247" w:bottom="1440" w:left="1247" w:header="851" w:footer="992" w:gutter="0"/>
          <w:cols w:space="720" w:num="1"/>
          <w:docGrid w:linePitch="312" w:charSpace="0"/>
        </w:sectPr>
      </w:pPr>
      <w:bookmarkStart w:id="187" w:name="_Toc494407554"/>
    </w:p>
    <w:p>
      <w:pPr>
        <w:autoSpaceDE w:val="0"/>
        <w:autoSpaceDN w:val="0"/>
        <w:spacing w:line="454" w:lineRule="atLeast"/>
        <w:jc w:val="left"/>
        <w:textAlignment w:val="bottom"/>
        <w:outlineLvl w:val="0"/>
        <w:rPr>
          <w:rFonts w:ascii="宋体" w:eastAsia="宋体"/>
          <w:color w:val="auto"/>
          <w:sz w:val="24"/>
          <w:szCs w:val="24"/>
        </w:rPr>
      </w:pPr>
      <w:r>
        <w:rPr>
          <w:rFonts w:hint="eastAsia" w:ascii="宋体" w:eastAsia="宋体"/>
          <w:color w:val="auto"/>
          <w:sz w:val="24"/>
          <w:szCs w:val="24"/>
        </w:rPr>
        <w:t>附件十一  投标产品配置清单</w:t>
      </w:r>
      <w:bookmarkEnd w:id="187"/>
    </w:p>
    <w:p>
      <w:pPr>
        <w:spacing w:line="360" w:lineRule="exact"/>
        <w:jc w:val="center"/>
        <w:rPr>
          <w:rFonts w:ascii="宋体" w:eastAsia="宋体"/>
          <w:color w:val="auto"/>
          <w:sz w:val="28"/>
          <w:szCs w:val="28"/>
          <w:lang w:val="zh-CN"/>
        </w:rPr>
      </w:pPr>
      <w:r>
        <w:rPr>
          <w:rFonts w:hint="eastAsia" w:ascii="宋体" w:eastAsia="宋体"/>
          <w:color w:val="auto"/>
          <w:sz w:val="28"/>
          <w:szCs w:val="28"/>
          <w:lang w:val="zh-CN"/>
        </w:rPr>
        <w:t>投标产品配置清单</w:t>
      </w:r>
    </w:p>
    <w:p>
      <w:pPr>
        <w:spacing w:line="360" w:lineRule="exact"/>
        <w:jc w:val="center"/>
        <w:rPr>
          <w:rFonts w:ascii="宋体" w:eastAsia="宋体"/>
          <w:color w:val="auto"/>
          <w:sz w:val="36"/>
          <w:lang w:val="zh-CN"/>
        </w:rPr>
      </w:pPr>
    </w:p>
    <w:p>
      <w:pPr>
        <w:spacing w:line="360" w:lineRule="exact"/>
        <w:rPr>
          <w:rFonts w:ascii="宋体" w:eastAsia="宋体"/>
          <w:b w:val="0"/>
          <w:color w:val="auto"/>
          <w:spacing w:val="20"/>
          <w:sz w:val="22"/>
        </w:rPr>
      </w:pPr>
      <w:r>
        <w:rPr>
          <w:rFonts w:hint="eastAsia" w:ascii="宋体" w:eastAsia="宋体"/>
          <w:b w:val="0"/>
          <w:color w:val="auto"/>
          <w:spacing w:val="20"/>
          <w:sz w:val="22"/>
        </w:rPr>
        <w:t>供应商名称：</w:t>
      </w:r>
    </w:p>
    <w:p>
      <w:pPr>
        <w:spacing w:line="360" w:lineRule="exact"/>
        <w:rPr>
          <w:rFonts w:ascii="宋体" w:eastAsia="宋体"/>
          <w:b w:val="0"/>
          <w:color w:val="auto"/>
          <w:spacing w:val="20"/>
          <w:sz w:val="22"/>
        </w:rPr>
      </w:pPr>
      <w:r>
        <w:rPr>
          <w:rFonts w:hint="eastAsia" w:ascii="宋体" w:eastAsia="宋体"/>
          <w:b w:val="0"/>
          <w:color w:val="auto"/>
          <w:spacing w:val="20"/>
          <w:sz w:val="22"/>
        </w:rPr>
        <w:t>招标编号：</w:t>
      </w:r>
    </w:p>
    <w:p>
      <w:pPr>
        <w:spacing w:line="360" w:lineRule="exact"/>
        <w:rPr>
          <w:rFonts w:ascii="宋体" w:eastAsia="宋体"/>
          <w:b w:val="0"/>
          <w:color w:val="auto"/>
          <w:spacing w:val="20"/>
          <w:sz w:val="22"/>
        </w:rPr>
      </w:pPr>
      <w:r>
        <w:rPr>
          <w:rFonts w:hint="eastAsia" w:ascii="宋体" w:eastAsia="宋体"/>
          <w:b w:val="0"/>
          <w:color w:val="auto"/>
          <w:spacing w:val="20"/>
          <w:sz w:val="22"/>
        </w:rPr>
        <w:t>投标项目名称：</w:t>
      </w:r>
    </w:p>
    <w:tbl>
      <w:tblPr>
        <w:tblStyle w:val="22"/>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2"/>
        <w:gridCol w:w="2156"/>
        <w:gridCol w:w="1387"/>
        <w:gridCol w:w="2704"/>
        <w:gridCol w:w="1134"/>
        <w:gridCol w:w="11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序号</w:t>
            </w: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货物名称</w:t>
            </w: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品牌产地</w:t>
            </w: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主要规格</w:t>
            </w: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数量</w:t>
            </w: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r>
              <w:rPr>
                <w:rFonts w:hint="eastAsia" w:ascii="宋体" w:eastAsia="宋体"/>
                <w:b w:val="0"/>
                <w:color w:val="auto"/>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ascii="宋体" w:eastAsia="宋体"/>
                <w:b w:val="0"/>
                <w:color w:val="auto"/>
                <w:spacing w:val="20"/>
                <w:sz w:val="22"/>
                <w:szCs w:val="22"/>
              </w:rPr>
            </w:pPr>
          </w:p>
        </w:tc>
      </w:tr>
    </w:tbl>
    <w:p>
      <w:pPr>
        <w:spacing w:line="360" w:lineRule="exact"/>
        <w:rPr>
          <w:rFonts w:ascii="宋体" w:eastAsia="宋体"/>
          <w:b w:val="0"/>
          <w:color w:val="auto"/>
          <w:spacing w:val="20"/>
          <w:sz w:val="22"/>
        </w:rPr>
      </w:pPr>
    </w:p>
    <w:p>
      <w:pPr>
        <w:spacing w:line="360" w:lineRule="exact"/>
        <w:rPr>
          <w:rFonts w:ascii="宋体" w:eastAsia="宋体"/>
          <w:b w:val="0"/>
          <w:color w:val="auto"/>
          <w:spacing w:val="20"/>
          <w:sz w:val="22"/>
        </w:rPr>
      </w:pPr>
      <w:r>
        <w:rPr>
          <w:rFonts w:hint="eastAsia" w:ascii="宋体" w:eastAsia="宋体" w:cs="Arial"/>
          <w:b w:val="0"/>
          <w:color w:val="auto"/>
          <w:sz w:val="22"/>
          <w:szCs w:val="22"/>
        </w:rPr>
        <w:t>投标供应商全称（盖章）</w:t>
      </w:r>
      <w:r>
        <w:rPr>
          <w:rFonts w:hint="eastAsia" w:ascii="宋体" w:eastAsia="宋体"/>
          <w:b w:val="0"/>
          <w:color w:val="auto"/>
          <w:spacing w:val="20"/>
          <w:sz w:val="22"/>
        </w:rPr>
        <w:t>：</w:t>
      </w:r>
    </w:p>
    <w:p>
      <w:pPr>
        <w:spacing w:line="360" w:lineRule="exact"/>
        <w:rPr>
          <w:rFonts w:ascii="宋体" w:eastAsia="宋体"/>
          <w:b w:val="0"/>
          <w:color w:val="auto"/>
          <w:spacing w:val="20"/>
          <w:sz w:val="22"/>
        </w:rPr>
      </w:pPr>
    </w:p>
    <w:p>
      <w:pPr>
        <w:numPr>
          <w:ilvl w:val="0"/>
          <w:numId w:val="17"/>
        </w:numPr>
        <w:spacing w:line="360" w:lineRule="auto"/>
        <w:rPr>
          <w:rFonts w:ascii="宋体" w:eastAsia="宋体"/>
          <w:b w:val="0"/>
          <w:color w:val="auto"/>
          <w:spacing w:val="20"/>
          <w:sz w:val="22"/>
        </w:rPr>
      </w:pPr>
      <w:r>
        <w:rPr>
          <w:rFonts w:hint="eastAsia" w:ascii="宋体" w:eastAsia="宋体"/>
          <w:b w:val="0"/>
          <w:color w:val="auto"/>
          <w:spacing w:val="20"/>
          <w:sz w:val="22"/>
        </w:rPr>
        <w:t>注：1、放置技术资信标中。本表相当于不带价格的明细报价表。</w:t>
      </w:r>
    </w:p>
    <w:p>
      <w:pPr>
        <w:spacing w:line="360" w:lineRule="auto"/>
        <w:ind w:firstLine="910" w:firstLineChars="350"/>
        <w:rPr>
          <w:rFonts w:ascii="宋体" w:eastAsia="宋体"/>
          <w:b w:val="0"/>
          <w:color w:val="auto"/>
          <w:spacing w:val="20"/>
          <w:sz w:val="22"/>
        </w:rPr>
      </w:pPr>
      <w:r>
        <w:rPr>
          <w:rFonts w:hint="eastAsia" w:ascii="宋体" w:eastAsia="宋体"/>
          <w:b w:val="0"/>
          <w:color w:val="auto"/>
          <w:spacing w:val="20"/>
          <w:sz w:val="22"/>
        </w:rPr>
        <w:t>2、所投产品详细配置、技术应另页描述。</w:t>
      </w: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pPr>
    </w:p>
    <w:p>
      <w:pPr>
        <w:spacing w:line="360" w:lineRule="auto"/>
        <w:ind w:firstLine="910" w:firstLineChars="350"/>
        <w:rPr>
          <w:rFonts w:ascii="宋体" w:eastAsia="宋体"/>
          <w:b w:val="0"/>
          <w:color w:val="auto"/>
          <w:spacing w:val="20"/>
          <w:sz w:val="22"/>
        </w:rPr>
        <w:sectPr>
          <w:type w:val="continuous"/>
          <w:pgSz w:w="11906" w:h="16838"/>
          <w:pgMar w:top="1440" w:right="1247" w:bottom="1440" w:left="1247" w:header="851" w:footer="992" w:gutter="0"/>
          <w:cols w:space="720" w:num="1"/>
          <w:docGrid w:linePitch="312" w:charSpace="0"/>
        </w:sectPr>
      </w:pPr>
    </w:p>
    <w:p>
      <w:pPr>
        <w:autoSpaceDE w:val="0"/>
        <w:autoSpaceDN w:val="0"/>
        <w:spacing w:line="454" w:lineRule="atLeast"/>
        <w:jc w:val="left"/>
        <w:textAlignment w:val="bottom"/>
        <w:outlineLvl w:val="0"/>
        <w:rPr>
          <w:rFonts w:ascii="宋体" w:eastAsia="宋体"/>
          <w:b w:val="0"/>
          <w:color w:val="auto"/>
          <w:sz w:val="32"/>
          <w:lang w:val="zh-CN"/>
        </w:rPr>
      </w:pPr>
      <w:bookmarkStart w:id="188" w:name="_Toc494407555"/>
      <w:r>
        <w:rPr>
          <w:rFonts w:hint="eastAsia" w:ascii="宋体" w:eastAsia="宋体"/>
          <w:color w:val="auto"/>
          <w:sz w:val="24"/>
          <w:szCs w:val="24"/>
        </w:rPr>
        <w:t>附件十二节能环保产品声明函</w:t>
      </w:r>
    </w:p>
    <w:p>
      <w:pPr>
        <w:spacing w:line="360" w:lineRule="auto"/>
        <w:jc w:val="center"/>
        <w:rPr>
          <w:rFonts w:ascii="宋体" w:eastAsia="宋体"/>
          <w:b w:val="0"/>
          <w:color w:val="auto"/>
          <w:sz w:val="28"/>
          <w:szCs w:val="28"/>
        </w:rPr>
      </w:pPr>
    </w:p>
    <w:p>
      <w:pPr>
        <w:spacing w:line="360" w:lineRule="auto"/>
        <w:jc w:val="center"/>
        <w:rPr>
          <w:rFonts w:ascii="宋体" w:eastAsia="宋体"/>
          <w:b w:val="0"/>
          <w:color w:val="auto"/>
          <w:sz w:val="28"/>
          <w:szCs w:val="28"/>
        </w:rPr>
      </w:pPr>
      <w:r>
        <w:rPr>
          <w:rFonts w:hint="eastAsia" w:ascii="宋体" w:eastAsia="宋体"/>
          <w:b w:val="0"/>
          <w:color w:val="auto"/>
          <w:sz w:val="28"/>
          <w:szCs w:val="28"/>
        </w:rPr>
        <w:t>节能环保产品声明函</w:t>
      </w:r>
    </w:p>
    <w:p>
      <w:pPr>
        <w:autoSpaceDE w:val="0"/>
        <w:autoSpaceDN w:val="0"/>
        <w:adjustRightInd w:val="0"/>
        <w:spacing w:line="460" w:lineRule="atLeast"/>
        <w:jc w:val="center"/>
        <w:rPr>
          <w:rFonts w:ascii="宋体" w:eastAsia="宋体"/>
          <w:b w:val="0"/>
          <w:color w:val="auto"/>
          <w:sz w:val="36"/>
          <w:lang w:val="zh-CN"/>
        </w:rPr>
      </w:pPr>
      <w:r>
        <w:rPr>
          <w:rFonts w:hint="eastAsia" w:ascii="宋体" w:eastAsia="宋体"/>
          <w:b w:val="0"/>
          <w:color w:val="auto"/>
          <w:sz w:val="22"/>
          <w:szCs w:val="22"/>
        </w:rPr>
        <w:t>(如有则提供)</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w:t>
      </w:r>
      <w:r>
        <w:rPr>
          <w:rFonts w:ascii="宋体" w:eastAsia="宋体"/>
          <w:b w:val="0"/>
          <w:color w:val="auto"/>
          <w:sz w:val="22"/>
          <w:szCs w:val="22"/>
        </w:rPr>
        <w:t>2019〕9号）</w:t>
      </w:r>
      <w:r>
        <w:rPr>
          <w:rFonts w:hint="eastAsia" w:ascii="宋体" w:eastAsia="宋体"/>
          <w:b w:val="0"/>
          <w:color w:val="auto"/>
          <w:sz w:val="22"/>
          <w:szCs w:val="22"/>
        </w:rPr>
        <w:t>、《关于印发节能产品政府采购品目清单的通知》（财库〔</w:t>
      </w:r>
      <w:r>
        <w:rPr>
          <w:rFonts w:ascii="宋体" w:eastAsia="宋体"/>
          <w:b w:val="0"/>
          <w:color w:val="auto"/>
          <w:sz w:val="22"/>
          <w:szCs w:val="22"/>
        </w:rPr>
        <w:t>2019〕19号）</w:t>
      </w:r>
      <w:r>
        <w:rPr>
          <w:rFonts w:hint="eastAsia" w:ascii="宋体" w:eastAsia="宋体"/>
          <w:b w:val="0"/>
          <w:color w:val="auto"/>
          <w:sz w:val="22"/>
          <w:szCs w:val="22"/>
        </w:rPr>
        <w:t>、《关于印发环境标志产品政府采购品目清单的通知》（财库〔</w:t>
      </w:r>
      <w:r>
        <w:rPr>
          <w:rFonts w:ascii="宋体" w:eastAsia="宋体"/>
          <w:b w:val="0"/>
          <w:color w:val="auto"/>
          <w:sz w:val="22"/>
          <w:szCs w:val="22"/>
        </w:rPr>
        <w:t>2019〕18号）</w:t>
      </w:r>
      <w:r>
        <w:rPr>
          <w:rFonts w:hint="eastAsia" w:ascii="宋体" w:eastAsia="宋体"/>
          <w:b w:val="0"/>
          <w:color w:val="auto"/>
          <w:sz w:val="22"/>
          <w:szCs w:val="22"/>
        </w:rPr>
        <w:t>的规定，本公司声明如下：</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1.本公司参加</w:t>
      </w:r>
      <w:r>
        <w:rPr>
          <w:rFonts w:hint="eastAsia" w:ascii="宋体" w:eastAsia="宋体"/>
          <w:b w:val="0"/>
          <w:color w:val="auto"/>
          <w:sz w:val="22"/>
          <w:szCs w:val="22"/>
          <w:u w:val="single"/>
        </w:rPr>
        <w:t>（招标项目名称，招标编号）</w:t>
      </w:r>
      <w:r>
        <w:rPr>
          <w:rFonts w:hint="eastAsia" w:ascii="宋体" w:eastAsia="宋体"/>
          <w:b w:val="0"/>
          <w:color w:val="auto"/>
          <w:sz w:val="22"/>
          <w:szCs w:val="22"/>
        </w:rPr>
        <w:t>的采购活动提供的产品已列入《节能产品政府采购品目清单》。</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2.本公司参加</w:t>
      </w:r>
      <w:r>
        <w:rPr>
          <w:rFonts w:hint="eastAsia" w:ascii="宋体" w:eastAsia="宋体"/>
          <w:b w:val="0"/>
          <w:color w:val="auto"/>
          <w:sz w:val="22"/>
          <w:szCs w:val="22"/>
          <w:u w:val="single"/>
        </w:rPr>
        <w:t>（招标项目名称，招标编号）</w:t>
      </w:r>
      <w:r>
        <w:rPr>
          <w:rFonts w:hint="eastAsia" w:ascii="宋体" w:eastAsia="宋体"/>
          <w:b w:val="0"/>
          <w:color w:val="auto"/>
          <w:sz w:val="22"/>
          <w:szCs w:val="22"/>
        </w:rPr>
        <w:t>的采购活动提供的产品已列入《环境标志产品政府采购品目清单》。</w:t>
      </w:r>
    </w:p>
    <w:p>
      <w:pPr>
        <w:spacing w:line="460" w:lineRule="atLeast"/>
        <w:ind w:firstLine="440" w:firstLineChars="200"/>
        <w:rPr>
          <w:rFonts w:ascii="宋体" w:eastAsia="宋体"/>
          <w:b w:val="0"/>
          <w:color w:val="auto"/>
          <w:sz w:val="22"/>
          <w:szCs w:val="22"/>
        </w:rPr>
      </w:pPr>
      <w:r>
        <w:rPr>
          <w:rFonts w:hint="eastAsia" w:ascii="宋体" w:eastAsia="宋体"/>
          <w:b w:val="0"/>
          <w:color w:val="auto"/>
          <w:sz w:val="22"/>
          <w:szCs w:val="22"/>
        </w:rPr>
        <w:t>本公司对上述声明的真实性负责。如有虚假，将依法承担相应法律责任。</w:t>
      </w:r>
    </w:p>
    <w:p>
      <w:pPr>
        <w:spacing w:line="460" w:lineRule="atLeast"/>
        <w:rPr>
          <w:rFonts w:ascii="宋体" w:eastAsia="宋体"/>
          <w:b w:val="0"/>
          <w:color w:val="auto"/>
          <w:sz w:val="22"/>
          <w:szCs w:val="22"/>
        </w:rPr>
      </w:pPr>
    </w:p>
    <w:p>
      <w:pPr>
        <w:autoSpaceDE w:val="0"/>
        <w:autoSpaceDN w:val="0"/>
        <w:adjustRightInd w:val="0"/>
        <w:spacing w:line="460" w:lineRule="atLeast"/>
        <w:rPr>
          <w:rFonts w:ascii="宋体" w:eastAsia="宋体" w:cs="Arial"/>
          <w:b w:val="0"/>
          <w:color w:val="auto"/>
          <w:sz w:val="22"/>
          <w:lang w:val="zh-CN"/>
        </w:rPr>
      </w:pPr>
      <w:r>
        <w:rPr>
          <w:rFonts w:hint="eastAsia" w:ascii="宋体" w:eastAsia="宋体" w:cs="Arial"/>
          <w:b w:val="0"/>
          <w:color w:val="auto"/>
          <w:sz w:val="22"/>
          <w:szCs w:val="22"/>
        </w:rPr>
        <w:t>投标供应商全称（盖章）</w:t>
      </w:r>
      <w:r>
        <w:rPr>
          <w:rFonts w:hint="eastAsia" w:ascii="宋体" w:eastAsia="宋体" w:cs="Arial"/>
          <w:b w:val="0"/>
          <w:color w:val="auto"/>
          <w:sz w:val="22"/>
          <w:lang w:val="zh-CN"/>
        </w:rPr>
        <w:t xml:space="preserve">：        </w:t>
      </w:r>
    </w:p>
    <w:p>
      <w:pPr>
        <w:spacing w:line="460" w:lineRule="atLeast"/>
        <w:rPr>
          <w:rFonts w:ascii="宋体" w:eastAsia="宋体"/>
          <w:b w:val="0"/>
          <w:color w:val="auto"/>
          <w:sz w:val="28"/>
          <w:szCs w:val="28"/>
        </w:rPr>
      </w:pPr>
      <w:r>
        <w:rPr>
          <w:rFonts w:hint="eastAsia" w:ascii="宋体" w:eastAsia="宋体"/>
          <w:b w:val="0"/>
          <w:color w:val="auto"/>
          <w:sz w:val="22"/>
          <w:szCs w:val="22"/>
        </w:rPr>
        <w:t xml:space="preserve">日 期：                  </w:t>
      </w:r>
    </w:p>
    <w:p>
      <w:pPr>
        <w:autoSpaceDE w:val="0"/>
        <w:autoSpaceDN w:val="0"/>
        <w:spacing w:line="454" w:lineRule="atLeast"/>
        <w:jc w:val="left"/>
        <w:textAlignment w:val="bottom"/>
        <w:outlineLvl w:val="0"/>
        <w:rPr>
          <w:rFonts w:ascii="宋体" w:eastAsia="宋体"/>
          <w:b w:val="0"/>
          <w:color w:val="auto"/>
          <w:sz w:val="32"/>
        </w:rPr>
      </w:pPr>
      <w:r>
        <w:rPr>
          <w:rFonts w:ascii="宋体" w:eastAsia="宋体"/>
          <w:b w:val="0"/>
          <w:color w:val="auto"/>
          <w:sz w:val="28"/>
          <w:szCs w:val="28"/>
        </w:rPr>
        <w:br w:type="page"/>
      </w:r>
      <w:bookmarkEnd w:id="188"/>
      <w:bookmarkStart w:id="189" w:name="_Toc494407556"/>
      <w:r>
        <w:rPr>
          <w:rFonts w:hint="eastAsia" w:ascii="宋体" w:eastAsia="宋体"/>
          <w:color w:val="auto"/>
          <w:sz w:val="24"/>
          <w:szCs w:val="24"/>
        </w:rPr>
        <w:t xml:space="preserve">附件十三  </w:t>
      </w:r>
      <w:bookmarkEnd w:id="189"/>
      <w:r>
        <w:rPr>
          <w:rFonts w:hint="eastAsia" w:ascii="宋体" w:eastAsia="宋体"/>
          <w:color w:val="auto"/>
          <w:sz w:val="24"/>
          <w:szCs w:val="24"/>
        </w:rPr>
        <w:t>节能（环保）产品清单</w:t>
      </w:r>
    </w:p>
    <w:p>
      <w:pPr>
        <w:spacing w:line="240" w:lineRule="atLeast"/>
        <w:jc w:val="center"/>
        <w:rPr>
          <w:rFonts w:ascii="宋体" w:eastAsia="宋体"/>
          <w:b w:val="0"/>
          <w:color w:val="auto"/>
          <w:sz w:val="32"/>
          <w:szCs w:val="32"/>
        </w:rPr>
      </w:pPr>
      <w:r>
        <w:rPr>
          <w:rFonts w:hint="eastAsia" w:ascii="宋体" w:eastAsia="宋体"/>
          <w:b w:val="0"/>
          <w:color w:val="auto"/>
          <w:sz w:val="32"/>
          <w:szCs w:val="32"/>
        </w:rPr>
        <w:t>节能（环保）产品清单</w:t>
      </w:r>
    </w:p>
    <w:p>
      <w:pPr>
        <w:ind w:firstLine="990" w:firstLineChars="450"/>
        <w:jc w:val="center"/>
        <w:rPr>
          <w:rFonts w:ascii="宋体" w:eastAsia="宋体"/>
          <w:b w:val="0"/>
          <w:color w:val="auto"/>
          <w:sz w:val="36"/>
          <w:lang w:val="zh-CN"/>
        </w:rPr>
      </w:pPr>
      <w:r>
        <w:rPr>
          <w:rFonts w:hint="eastAsia" w:ascii="宋体" w:eastAsia="宋体"/>
          <w:b w:val="0"/>
          <w:color w:val="auto"/>
          <w:sz w:val="22"/>
          <w:szCs w:val="22"/>
        </w:rPr>
        <w:t>(如有则提供)</w:t>
      </w:r>
    </w:p>
    <w:p>
      <w:pPr>
        <w:rPr>
          <w:rFonts w:ascii="宋体" w:eastAsia="宋体"/>
          <w:b w:val="0"/>
          <w:color w:val="auto"/>
          <w:sz w:val="22"/>
          <w:szCs w:val="22"/>
        </w:rPr>
      </w:pPr>
      <w:r>
        <w:rPr>
          <w:rFonts w:hint="eastAsia" w:ascii="宋体" w:eastAsia="宋体"/>
          <w:b w:val="0"/>
          <w:color w:val="auto"/>
          <w:sz w:val="22"/>
          <w:szCs w:val="22"/>
        </w:rPr>
        <w:t>（1）投标产品中已列入《节能产品政府采购品目清单》明细</w:t>
      </w:r>
    </w:p>
    <w:tbl>
      <w:tblPr>
        <w:tblStyle w:val="22"/>
        <w:tblW w:w="95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制造商</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品牌</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产品名称、</w:t>
            </w:r>
          </w:p>
          <w:p>
            <w:pPr>
              <w:spacing w:line="460" w:lineRule="exact"/>
              <w:jc w:val="center"/>
              <w:rPr>
                <w:rFonts w:ascii="宋体" w:eastAsia="宋体"/>
                <w:b w:val="0"/>
                <w:color w:val="auto"/>
                <w:sz w:val="22"/>
              </w:rPr>
            </w:pPr>
            <w:r>
              <w:rPr>
                <w:rFonts w:hint="eastAsia" w:ascii="宋体" w:eastAsia="宋体"/>
                <w:b w:val="0"/>
                <w:color w:val="auto"/>
                <w:sz w:val="22"/>
              </w:rPr>
              <w:t>规格型号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节字标志认证证书号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依据的标准</w:t>
            </w:r>
          </w:p>
        </w:tc>
        <w:tc>
          <w:tcPr>
            <w:tcW w:w="19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ascii="宋体" w:eastAsia="宋体"/>
                <w:b w:val="0"/>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bl>
    <w:p>
      <w:pPr>
        <w:spacing w:line="460" w:lineRule="exact"/>
        <w:rPr>
          <w:rFonts w:ascii="宋体" w:eastAsia="宋体"/>
          <w:b w:val="0"/>
          <w:color w:val="auto"/>
          <w:sz w:val="22"/>
          <w:szCs w:val="22"/>
        </w:rPr>
      </w:pPr>
      <w:r>
        <w:rPr>
          <w:rFonts w:hint="eastAsia" w:ascii="宋体" w:eastAsia="宋体"/>
          <w:b w:val="0"/>
          <w:color w:val="auto"/>
          <w:sz w:val="22"/>
          <w:szCs w:val="22"/>
        </w:rPr>
        <w:t>（2）投标产品中已列入《环境标志产品政府采购品目清单》明细</w:t>
      </w:r>
    </w:p>
    <w:tbl>
      <w:tblPr>
        <w:tblStyle w:val="22"/>
        <w:tblW w:w="96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制造商</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品牌</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产品名称、</w:t>
            </w:r>
          </w:p>
          <w:p>
            <w:pPr>
              <w:spacing w:line="460" w:lineRule="exact"/>
              <w:jc w:val="center"/>
              <w:rPr>
                <w:rFonts w:ascii="宋体" w:eastAsia="宋体"/>
                <w:b w:val="0"/>
                <w:color w:val="auto"/>
                <w:sz w:val="22"/>
              </w:rPr>
            </w:pPr>
            <w:r>
              <w:rPr>
                <w:rFonts w:hint="eastAsia" w:ascii="宋体" w:eastAsia="宋体"/>
                <w:b w:val="0"/>
                <w:color w:val="auto"/>
                <w:sz w:val="22"/>
              </w:rPr>
              <w:t>规格型号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中国环境标志认证证书编号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hint="eastAsia" w:ascii="宋体" w:eastAsia="宋体"/>
                <w:b w:val="0"/>
                <w:color w:val="auto"/>
                <w:sz w:val="22"/>
              </w:rPr>
              <w:t>依据的标准</w:t>
            </w:r>
          </w:p>
        </w:tc>
        <w:tc>
          <w:tcPr>
            <w:tcW w:w="19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eastAsia="宋体"/>
                <w:b w:val="0"/>
                <w:color w:val="auto"/>
                <w:sz w:val="22"/>
              </w:rPr>
            </w:pPr>
            <w:r>
              <w:rPr>
                <w:rFonts w:ascii="宋体" w:eastAsia="宋体"/>
                <w:b w:val="0"/>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eastAsia="宋体"/>
                <w:b w:val="0"/>
                <w:color w:val="auto"/>
                <w:sz w:val="22"/>
              </w:rPr>
            </w:pPr>
          </w:p>
        </w:tc>
      </w:tr>
    </w:tbl>
    <w:p>
      <w:pPr>
        <w:spacing w:line="460" w:lineRule="exact"/>
        <w:rPr>
          <w:rFonts w:ascii="宋体" w:eastAsia="宋体"/>
          <w:color w:val="auto"/>
          <w:sz w:val="22"/>
          <w:szCs w:val="22"/>
        </w:rPr>
      </w:pPr>
      <w:r>
        <w:rPr>
          <w:rFonts w:hint="eastAsia" w:ascii="宋体" w:eastAsia="宋体"/>
          <w:color w:val="auto"/>
          <w:sz w:val="22"/>
          <w:szCs w:val="22"/>
        </w:rPr>
        <w:t>说明：1、表后附所投相关产品对应的认证证书复印件；其中本次采购的产品属于政府强制采购节能产品范围的，投标供应商必须选用符合要求的产品，否则按无效投标处理，具体品目见《关于印发节能产品政府采购品目清单的通知》（财库〔</w:t>
      </w:r>
      <w:r>
        <w:rPr>
          <w:rFonts w:ascii="宋体" w:eastAsia="宋体"/>
          <w:color w:val="auto"/>
          <w:sz w:val="22"/>
          <w:szCs w:val="22"/>
        </w:rPr>
        <w:t>2019〕19号）</w:t>
      </w:r>
      <w:r>
        <w:rPr>
          <w:rFonts w:hint="eastAsia" w:ascii="宋体" w:eastAsia="宋体" w:cs="Arial"/>
          <w:color w:val="auto"/>
          <w:sz w:val="22"/>
          <w:szCs w:val="22"/>
        </w:rPr>
        <w:t>。</w:t>
      </w:r>
      <w:r>
        <w:rPr>
          <w:rFonts w:hint="eastAsia" w:ascii="宋体" w:eastAsia="宋体" w:cs="Arial"/>
          <w:color w:val="auto"/>
          <w:sz w:val="22"/>
        </w:rPr>
        <w:t>投标文件中必须提供</w:t>
      </w:r>
      <w:r>
        <w:rPr>
          <w:rFonts w:ascii="宋体" w:eastAsia="宋体"/>
          <w:color w:val="auto"/>
          <w:sz w:val="22"/>
          <w:szCs w:val="22"/>
        </w:rPr>
        <w:t>属于政府强制采购的节能产品</w:t>
      </w:r>
      <w:r>
        <w:rPr>
          <w:rFonts w:hint="eastAsia" w:ascii="宋体" w:eastAsia="宋体" w:cs="Arial"/>
          <w:color w:val="auto"/>
          <w:sz w:val="22"/>
        </w:rPr>
        <w:t>的认证证书复印件，否则按无效投标处理。</w:t>
      </w:r>
    </w:p>
    <w:p>
      <w:pPr>
        <w:spacing w:line="460" w:lineRule="exact"/>
        <w:rPr>
          <w:rFonts w:ascii="宋体" w:eastAsia="宋体"/>
          <w:color w:val="auto"/>
          <w:sz w:val="22"/>
          <w:szCs w:val="22"/>
        </w:rPr>
      </w:pPr>
      <w:r>
        <w:rPr>
          <w:rFonts w:hint="eastAsia" w:ascii="宋体" w:eastAsia="宋体"/>
          <w:color w:val="auto"/>
          <w:sz w:val="22"/>
          <w:szCs w:val="22"/>
        </w:rPr>
        <w:t>2、表格可以延续。</w:t>
      </w:r>
    </w:p>
    <w:p>
      <w:pPr>
        <w:spacing w:line="440" w:lineRule="atLeast"/>
        <w:rPr>
          <w:rFonts w:ascii="宋体" w:eastAsia="宋体"/>
          <w:b w:val="0"/>
          <w:color w:val="auto"/>
          <w:sz w:val="22"/>
          <w:szCs w:val="22"/>
        </w:rPr>
      </w:pPr>
      <w:r>
        <w:rPr>
          <w:rFonts w:hint="eastAsia" w:ascii="宋体" w:eastAsia="宋体" w:cs="Arial"/>
          <w:b w:val="0"/>
          <w:color w:val="auto"/>
          <w:sz w:val="22"/>
          <w:szCs w:val="22"/>
        </w:rPr>
        <w:t>投标供应商全称（盖章）</w:t>
      </w:r>
      <w:r>
        <w:rPr>
          <w:rFonts w:hint="eastAsia" w:ascii="宋体" w:eastAsia="宋体"/>
          <w:b w:val="0"/>
          <w:color w:val="auto"/>
          <w:sz w:val="22"/>
          <w:szCs w:val="22"/>
        </w:rPr>
        <w:t xml:space="preserve">：        </w:t>
      </w:r>
    </w:p>
    <w:p>
      <w:pPr>
        <w:rPr>
          <w:rFonts w:ascii="宋体" w:eastAsia="宋体"/>
          <w:b w:val="0"/>
          <w:color w:val="auto"/>
          <w:sz w:val="22"/>
          <w:szCs w:val="22"/>
        </w:rPr>
      </w:pPr>
      <w:r>
        <w:rPr>
          <w:rFonts w:hint="eastAsia" w:ascii="宋体" w:eastAsia="宋体"/>
          <w:b w:val="0"/>
          <w:color w:val="auto"/>
          <w:sz w:val="22"/>
          <w:szCs w:val="22"/>
        </w:rPr>
        <w:t xml:space="preserve">日 期：          </w:t>
      </w:r>
    </w:p>
    <w:p>
      <w:pPr>
        <w:autoSpaceDE w:val="0"/>
        <w:autoSpaceDN w:val="0"/>
        <w:spacing w:line="454" w:lineRule="atLeast"/>
        <w:jc w:val="left"/>
        <w:textAlignment w:val="bottom"/>
        <w:outlineLvl w:val="0"/>
        <w:rPr>
          <w:rFonts w:ascii="宋体" w:eastAsia="宋体"/>
          <w:b w:val="0"/>
          <w:color w:val="auto"/>
          <w:sz w:val="22"/>
          <w:szCs w:val="22"/>
        </w:rPr>
      </w:pPr>
    </w:p>
    <w:p>
      <w:pPr>
        <w:autoSpaceDE w:val="0"/>
        <w:autoSpaceDN w:val="0"/>
        <w:spacing w:line="454" w:lineRule="atLeast"/>
        <w:jc w:val="left"/>
        <w:textAlignment w:val="bottom"/>
        <w:outlineLvl w:val="0"/>
        <w:rPr>
          <w:rFonts w:ascii="宋体" w:eastAsia="宋体"/>
          <w:b w:val="0"/>
          <w:color w:val="auto"/>
          <w:sz w:val="22"/>
          <w:szCs w:val="22"/>
        </w:rPr>
      </w:pPr>
    </w:p>
    <w:p>
      <w:pPr>
        <w:autoSpaceDE w:val="0"/>
        <w:autoSpaceDN w:val="0"/>
        <w:spacing w:line="454" w:lineRule="atLeast"/>
        <w:jc w:val="left"/>
        <w:textAlignment w:val="bottom"/>
        <w:outlineLvl w:val="0"/>
        <w:rPr>
          <w:rFonts w:ascii="宋体" w:eastAsia="宋体"/>
          <w:bCs/>
          <w:color w:val="auto"/>
          <w:sz w:val="24"/>
          <w:szCs w:val="24"/>
        </w:rPr>
      </w:pPr>
      <w:bookmarkStart w:id="190" w:name="_Toc494407557"/>
      <w:r>
        <w:rPr>
          <w:rFonts w:hint="eastAsia" w:ascii="宋体" w:eastAsia="宋体"/>
          <w:color w:val="auto"/>
          <w:sz w:val="24"/>
          <w:szCs w:val="24"/>
        </w:rPr>
        <w:t xml:space="preserve">附件十四  </w:t>
      </w:r>
      <w:r>
        <w:rPr>
          <w:rFonts w:hint="eastAsia" w:ascii="宋体" w:eastAsia="宋体"/>
          <w:bCs/>
          <w:color w:val="auto"/>
          <w:sz w:val="24"/>
          <w:szCs w:val="24"/>
        </w:rPr>
        <w:t>供应商项目服务人员</w:t>
      </w:r>
      <w:bookmarkEnd w:id="190"/>
    </w:p>
    <w:p>
      <w:pPr>
        <w:spacing w:beforeLines="100" w:afterLines="50"/>
        <w:jc w:val="center"/>
        <w:rPr>
          <w:rFonts w:ascii="宋体" w:eastAsia="宋体"/>
          <w:bCs/>
          <w:color w:val="auto"/>
          <w:sz w:val="32"/>
          <w:szCs w:val="32"/>
        </w:rPr>
      </w:pPr>
      <w:r>
        <w:rPr>
          <w:rFonts w:hint="eastAsia" w:ascii="宋体" w:eastAsia="宋体"/>
          <w:bCs/>
          <w:color w:val="auto"/>
          <w:sz w:val="32"/>
          <w:szCs w:val="32"/>
        </w:rPr>
        <w:t>供应商项目服务人员汇总表</w:t>
      </w:r>
    </w:p>
    <w:p>
      <w:pPr>
        <w:spacing w:line="360" w:lineRule="auto"/>
        <w:rPr>
          <w:rFonts w:ascii="宋体" w:eastAsia="宋体"/>
          <w:b w:val="0"/>
          <w:bCs/>
          <w:color w:val="auto"/>
          <w:sz w:val="22"/>
          <w:szCs w:val="22"/>
        </w:rPr>
      </w:pPr>
      <w:r>
        <w:rPr>
          <w:rFonts w:hint="eastAsia" w:ascii="宋体" w:eastAsia="宋体"/>
          <w:b w:val="0"/>
          <w:color w:val="auto"/>
          <w:sz w:val="22"/>
          <w:szCs w:val="22"/>
        </w:rPr>
        <w:t>招标项目名称：                                 招标编号：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姓名</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本项目主要工作</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年龄</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性别</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专业</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专业</w:t>
            </w:r>
          </w:p>
          <w:p>
            <w:pPr>
              <w:jc w:val="center"/>
              <w:rPr>
                <w:rFonts w:ascii="宋体" w:eastAsia="宋体"/>
                <w:b w:val="0"/>
                <w:bCs/>
                <w:color w:val="auto"/>
                <w:sz w:val="22"/>
                <w:szCs w:val="22"/>
              </w:rPr>
            </w:pPr>
            <w:r>
              <w:rPr>
                <w:rFonts w:hint="eastAsia" w:ascii="宋体" w:eastAsia="宋体"/>
                <w:b w:val="0"/>
                <w:bCs/>
                <w:color w:val="auto"/>
                <w:sz w:val="22"/>
                <w:szCs w:val="22"/>
              </w:rPr>
              <w:t>年限</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职务</w:t>
            </w:r>
          </w:p>
          <w:p>
            <w:pPr>
              <w:jc w:val="center"/>
              <w:rPr>
                <w:rFonts w:ascii="宋体" w:eastAsia="宋体"/>
                <w:b w:val="0"/>
                <w:bCs/>
                <w:color w:val="auto"/>
                <w:sz w:val="22"/>
                <w:szCs w:val="22"/>
              </w:rPr>
            </w:pPr>
            <w:r>
              <w:rPr>
                <w:rFonts w:hint="eastAsia" w:ascii="宋体" w:eastAsia="宋体"/>
                <w:b w:val="0"/>
                <w:bCs/>
                <w:color w:val="auto"/>
                <w:sz w:val="22"/>
                <w:szCs w:val="22"/>
              </w:rPr>
              <w:t>和职称</w:t>
            </w:r>
            <w:r>
              <w:rPr>
                <w:rFonts w:ascii="宋体" w:eastAsia="宋体"/>
                <w:b w:val="0"/>
                <w:bCs/>
                <w:color w:val="auto"/>
                <w:sz w:val="22"/>
                <w:szCs w:val="22"/>
              </w:rPr>
              <w:t>/</w:t>
            </w:r>
            <w:r>
              <w:rPr>
                <w:rFonts w:hint="eastAsia" w:ascii="宋体" w:eastAsia="宋体"/>
                <w:b w:val="0"/>
                <w:bCs/>
                <w:color w:val="auto"/>
                <w:sz w:val="22"/>
                <w:szCs w:val="22"/>
              </w:rPr>
              <w:t>认证</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b w:val="0"/>
                <w:bCs/>
                <w:color w:val="auto"/>
                <w:sz w:val="22"/>
                <w:szCs w:val="22"/>
              </w:rPr>
            </w:pPr>
            <w:r>
              <w:rPr>
                <w:rFonts w:hint="eastAsia" w:ascii="宋体" w:eastAsia="宋体"/>
                <w:b w:val="0"/>
                <w:bCs/>
                <w:color w:val="auto"/>
                <w:sz w:val="22"/>
                <w:szCs w:val="22"/>
              </w:rPr>
              <w:t>到现场服务</w:t>
            </w:r>
          </w:p>
          <w:p>
            <w:pPr>
              <w:jc w:val="center"/>
              <w:rPr>
                <w:rFonts w:ascii="宋体" w:eastAsia="宋体"/>
                <w:b w:val="0"/>
                <w:bCs/>
                <w:color w:val="auto"/>
                <w:sz w:val="22"/>
                <w:szCs w:val="22"/>
              </w:rPr>
            </w:pPr>
            <w:r>
              <w:rPr>
                <w:rFonts w:hint="eastAsia" w:ascii="宋体" w:eastAsia="宋体"/>
                <w:b w:val="0"/>
                <w:bCs/>
                <w:color w:val="auto"/>
                <w:sz w:val="22"/>
                <w:szCs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ind w:left="5250"/>
              <w:rPr>
                <w:rFonts w:ascii="宋体" w:eastAsia="宋体"/>
                <w:b w:val="0"/>
                <w:color w:val="auto"/>
                <w:spacing w:val="12"/>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ind w:left="5250"/>
              <w:rPr>
                <w:rFonts w:ascii="宋体" w:eastAsia="宋体"/>
                <w:b w:val="0"/>
                <w:color w:val="auto"/>
                <w:spacing w:val="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宋体"/>
                <w:b w:val="0"/>
                <w:color w:val="auto"/>
                <w:sz w:val="22"/>
                <w:szCs w:val="22"/>
              </w:rPr>
            </w:pPr>
          </w:p>
        </w:tc>
      </w:tr>
    </w:tbl>
    <w:p>
      <w:pPr>
        <w:spacing w:line="360" w:lineRule="exact"/>
        <w:ind w:left="968" w:hanging="968" w:hangingChars="440"/>
        <w:rPr>
          <w:rFonts w:ascii="宋体" w:eastAsia="宋体" w:cs="Arial"/>
          <w:b w:val="0"/>
          <w:color w:val="auto"/>
          <w:sz w:val="22"/>
          <w:szCs w:val="22"/>
        </w:rPr>
      </w:pPr>
      <w:r>
        <w:rPr>
          <w:rFonts w:hint="eastAsia" w:ascii="宋体" w:eastAsia="宋体" w:cs="Arial"/>
          <w:b w:val="0"/>
          <w:color w:val="auto"/>
          <w:sz w:val="22"/>
          <w:szCs w:val="22"/>
        </w:rPr>
        <w:t>附注：1. 项目负责人、技术负责、施工、设备材料、以及各主要专业工种负责人均应列入；</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2. 列入本表人员如要更换，需经采购人同意，擅自更换或不到位属违约行为；</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3. 职称证书、执业资格证书、职业水平证书等人员证件复印件附后。</w:t>
      </w:r>
    </w:p>
    <w:p>
      <w:pPr>
        <w:spacing w:line="360" w:lineRule="exact"/>
        <w:ind w:left="718" w:leftChars="321" w:hanging="44" w:hangingChars="20"/>
        <w:rPr>
          <w:rFonts w:ascii="宋体" w:eastAsia="宋体" w:cs="Arial"/>
          <w:b w:val="0"/>
          <w:color w:val="auto"/>
          <w:sz w:val="22"/>
          <w:szCs w:val="22"/>
        </w:rPr>
      </w:pPr>
      <w:r>
        <w:rPr>
          <w:rFonts w:ascii="宋体" w:eastAsia="宋体" w:cs="Arial"/>
          <w:b w:val="0"/>
          <w:color w:val="auto"/>
          <w:sz w:val="22"/>
          <w:szCs w:val="22"/>
        </w:rPr>
        <w:t xml:space="preserve">4. </w:t>
      </w:r>
      <w:r>
        <w:rPr>
          <w:rFonts w:hint="eastAsia" w:ascii="宋体" w:eastAsia="宋体" w:cs="Arial"/>
          <w:b w:val="0"/>
          <w:color w:val="auto"/>
          <w:sz w:val="22"/>
          <w:szCs w:val="22"/>
        </w:rPr>
        <w:t>以上人员社保缴纳证明在技术资信标中提供。</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5、表格可以延续。</w:t>
      </w:r>
    </w:p>
    <w:p>
      <w:pPr>
        <w:spacing w:line="360" w:lineRule="exact"/>
        <w:ind w:left="718" w:leftChars="321" w:hanging="44" w:hangingChars="20"/>
        <w:rPr>
          <w:rFonts w:ascii="宋体" w:eastAsia="宋体" w:cs="Arial"/>
          <w:b w:val="0"/>
          <w:color w:val="auto"/>
          <w:sz w:val="22"/>
          <w:szCs w:val="22"/>
        </w:rPr>
      </w:pP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投标供应商全称（盖章）：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法定代表人（盖章）：</w:t>
      </w:r>
    </w:p>
    <w:p>
      <w:pPr>
        <w:spacing w:line="360" w:lineRule="exact"/>
        <w:ind w:left="718" w:leftChars="321" w:hanging="44" w:hangingChars="20"/>
        <w:rPr>
          <w:rFonts w:ascii="宋体" w:eastAsia="宋体" w:cs="Arial"/>
          <w:b w:val="0"/>
          <w:color w:val="auto"/>
          <w:sz w:val="22"/>
          <w:szCs w:val="22"/>
        </w:rPr>
      </w:pPr>
      <w:r>
        <w:rPr>
          <w:rFonts w:hint="eastAsia" w:ascii="宋体" w:eastAsia="宋体" w:cs="Arial"/>
          <w:b w:val="0"/>
          <w:color w:val="auto"/>
          <w:sz w:val="22"/>
          <w:szCs w:val="22"/>
        </w:rPr>
        <w:t>日期：  年  月  日</w:t>
      </w:r>
    </w:p>
    <w:p>
      <w:pPr>
        <w:spacing w:line="360" w:lineRule="exact"/>
        <w:ind w:left="718" w:leftChars="321" w:hanging="44" w:hangingChars="20"/>
        <w:rPr>
          <w:rFonts w:ascii="宋体" w:eastAsia="宋体" w:cs="Arial"/>
          <w:b w:val="0"/>
          <w:color w:val="auto"/>
          <w:sz w:val="22"/>
          <w:szCs w:val="22"/>
        </w:rPr>
      </w:pPr>
    </w:p>
    <w:p>
      <w:pPr>
        <w:spacing w:line="360" w:lineRule="exact"/>
        <w:ind w:left="718" w:leftChars="321" w:hanging="44" w:hangingChars="20"/>
        <w:rPr>
          <w:rFonts w:ascii="宋体" w:eastAsia="宋体" w:cs="Arial"/>
          <w:b w:val="0"/>
          <w:color w:val="auto"/>
          <w:sz w:val="22"/>
          <w:szCs w:val="22"/>
        </w:rPr>
      </w:pPr>
    </w:p>
    <w:p>
      <w:pPr>
        <w:pStyle w:val="5"/>
        <w:rPr>
          <w:rFonts w:hint="eastAsia" w:ascii="宋体" w:eastAsia="宋体" w:cs="Arial"/>
          <w:b w:val="0"/>
          <w:color w:val="auto"/>
          <w:sz w:val="22"/>
          <w:szCs w:val="22"/>
          <w:lang w:val="en-US" w:eastAsia="zh-CN"/>
        </w:rPr>
      </w:pPr>
      <w:r>
        <w:rPr>
          <w:rFonts w:hint="eastAsia" w:ascii="宋体" w:eastAsia="宋体" w:cs="Arial"/>
          <w:b w:val="0"/>
          <w:color w:val="auto"/>
          <w:sz w:val="22"/>
          <w:szCs w:val="22"/>
          <w:lang w:val="en-US" w:eastAsia="zh-CN"/>
        </w:rPr>
        <w:t>附件十五</w:t>
      </w:r>
    </w:p>
    <w:p>
      <w:pPr>
        <w:rPr>
          <w:rFonts w:hint="default" w:ascii="宋体" w:eastAsia="宋体" w:cs="Arial"/>
          <w:b w:val="0"/>
          <w:color w:val="auto"/>
          <w:sz w:val="28"/>
          <w:szCs w:val="28"/>
          <w:lang w:val="en-US" w:eastAsia="zh-CN"/>
        </w:rPr>
      </w:pPr>
      <w:r>
        <w:rPr>
          <w:rFonts w:hint="eastAsia" w:ascii="宋体" w:eastAsia="宋体" w:cs="Arial"/>
          <w:b w:val="0"/>
          <w:color w:val="auto"/>
          <w:sz w:val="22"/>
          <w:szCs w:val="22"/>
          <w:lang w:val="en-US" w:eastAsia="zh-CN"/>
        </w:rPr>
        <w:t xml:space="preserve">                </w:t>
      </w:r>
      <w:r>
        <w:rPr>
          <w:rFonts w:hint="eastAsia" w:ascii="宋体" w:eastAsia="宋体" w:cs="Arial"/>
          <w:b w:val="0"/>
          <w:color w:val="auto"/>
          <w:sz w:val="36"/>
          <w:szCs w:val="36"/>
          <w:lang w:val="en-US" w:eastAsia="zh-CN"/>
        </w:rPr>
        <w:t xml:space="preserve">          实 物 样 品 提 供</w:t>
      </w:r>
    </w:p>
    <w:tbl>
      <w:tblPr>
        <w:tblStyle w:val="22"/>
        <w:tblW w:w="10813" w:type="dxa"/>
        <w:tblInd w:w="-1010" w:type="dxa"/>
        <w:shd w:val="clear" w:color="auto" w:fill="auto"/>
        <w:tblLayout w:type="fixed"/>
        <w:tblCellMar>
          <w:top w:w="0" w:type="dxa"/>
          <w:left w:w="0" w:type="dxa"/>
          <w:bottom w:w="0" w:type="dxa"/>
          <w:right w:w="0" w:type="dxa"/>
        </w:tblCellMar>
      </w:tblPr>
      <w:tblGrid>
        <w:gridCol w:w="1221"/>
        <w:gridCol w:w="2741"/>
        <w:gridCol w:w="1332"/>
        <w:gridCol w:w="3342"/>
        <w:gridCol w:w="1421"/>
        <w:gridCol w:w="756"/>
      </w:tblGrid>
      <w:tr>
        <w:tblPrEx>
          <w:shd w:val="clear" w:color="auto" w:fill="auto"/>
          <w:tblCellMar>
            <w:top w:w="0" w:type="dxa"/>
            <w:left w:w="0" w:type="dxa"/>
            <w:bottom w:w="0" w:type="dxa"/>
            <w:right w:w="0" w:type="dxa"/>
          </w:tblCellMar>
        </w:tblPrEx>
        <w:trPr>
          <w:trHeight w:val="661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办公桌</w:t>
            </w:r>
          </w:p>
        </w:tc>
        <w:tc>
          <w:tcPr>
            <w:tcW w:w="2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327025</wp:posOffset>
                  </wp:positionH>
                  <wp:positionV relativeFrom="paragraph">
                    <wp:posOffset>941070</wp:posOffset>
                  </wp:positionV>
                  <wp:extent cx="1292225" cy="1310005"/>
                  <wp:effectExtent l="0" t="0" r="3175" b="635"/>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22"/>
                          <a:stretch>
                            <a:fillRect/>
                          </a:stretch>
                        </pic:blipFill>
                        <pic:spPr>
                          <a:xfrm>
                            <a:off x="0" y="0"/>
                            <a:ext cx="1292225" cy="1310005"/>
                          </a:xfrm>
                          <a:prstGeom prst="rect">
                            <a:avLst/>
                          </a:prstGeom>
                          <a:noFill/>
                          <a:ln>
                            <a:noFill/>
                          </a:ln>
                        </pic:spPr>
                      </pic:pic>
                    </a:graphicData>
                  </a:graphic>
                </wp:anchor>
              </w:drawing>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1600*700*750</w:t>
            </w:r>
          </w:p>
        </w:tc>
        <w:tc>
          <w:tcPr>
            <w:tcW w:w="3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7"/>
              </w:numPr>
              <w:suppressLineNumbers w:val="0"/>
              <w:jc w:val="left"/>
              <w:textAlignment w:val="center"/>
              <w:rPr>
                <w:rFonts w:hint="eastAsia" w:ascii="宋体" w:eastAsia="宋体" w:cs="宋体"/>
                <w:b w:val="0"/>
                <w:bCs/>
                <w:i w:val="0"/>
                <w:color w:val="000000"/>
                <w:kern w:val="0"/>
                <w:sz w:val="18"/>
                <w:szCs w:val="18"/>
                <w:highlight w:val="none"/>
                <w:u w:val="none"/>
                <w:lang w:val="en-US" w:eastAsia="zh-CN" w:bidi="ar"/>
              </w:rPr>
            </w:pPr>
            <w:r>
              <w:rPr>
                <w:rFonts w:ascii="宋体" w:hAnsi="宋体" w:eastAsia="宋体" w:cs="宋体"/>
                <w:b w:val="0"/>
                <w:bCs/>
                <w:i w:val="0"/>
                <w:color w:val="000000"/>
                <w:kern w:val="0"/>
                <w:sz w:val="18"/>
                <w:szCs w:val="18"/>
                <w:highlight w:val="none"/>
                <w:u w:val="none"/>
                <w:lang w:val="en-US" w:eastAsia="zh-CN" w:bidi="ar"/>
              </w:rPr>
              <w:t>面材：三聚氰胺装饰纸，甲醛耐刮、耐磨、耐腐蚀、耐高温、不怕烟头烫、表面透明度好，耐污性强，耐光色牢度≥4级表面耐划痕≥1.5N。</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2、基材：甲醛释放量0.6mg/m³，优于E0级≤0.124mg/m³。；含水率6.9%；密度0.75g/cm³；吸水厚度膨胀率平均1.9%，最大2.1%；内结合强度平均0.40Mpa，最小0.36Mpa；静曲强度平均13.8Mpa，最小12.3Mpa；弹性模量2900Mpa；握螺钉力板面平均1120Mpa，最小990Mpa，板边平均740Mpa，最小630Mpa；表面结合强度平均0.88Mpa，最小0.85Mpa</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3.封边：无缝封边，具有良好的耐气候性能，不易受环境、温度变化而产生收缩、膨胀的问题，保证板材封边质量，延长产品使用寿命</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4.五金配件：</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铰链：阻尼铰链，耐久性10万次开合</w:t>
            </w:r>
            <w:r>
              <w:rPr>
                <w:rFonts w:hint="eastAsia" w:ascii="宋体" w:eastAsia="宋体" w:cs="宋体"/>
                <w:b w:val="0"/>
                <w:bCs/>
                <w:i w:val="0"/>
                <w:color w:val="000000"/>
                <w:kern w:val="0"/>
                <w:sz w:val="18"/>
                <w:szCs w:val="18"/>
                <w:highlight w:val="none"/>
                <w:u w:val="none"/>
                <w:lang w:val="en-US" w:eastAsia="zh-CN" w:bidi="ar"/>
              </w:rPr>
              <w:t>。</w:t>
            </w:r>
          </w:p>
          <w:p>
            <w:pPr>
              <w:keepNext w:val="0"/>
              <w:keepLines w:val="0"/>
              <w:widowControl/>
              <w:numPr>
                <w:ilvl w:val="0"/>
                <w:numId w:val="7"/>
              </w:numPr>
              <w:suppressLineNumbers w:val="0"/>
              <w:jc w:val="left"/>
              <w:textAlignment w:val="center"/>
              <w:rPr>
                <w:rFonts w:ascii="宋体" w:hAnsi="宋体" w:eastAsia="宋体" w:cs="宋体"/>
                <w:b w:val="0"/>
                <w:bCs/>
                <w:i w:val="0"/>
                <w:color w:val="000000"/>
                <w:sz w:val="18"/>
                <w:szCs w:val="18"/>
                <w:highlight w:val="none"/>
                <w:u w:val="none"/>
              </w:rPr>
            </w:pPr>
            <w:r>
              <w:rPr>
                <w:rFonts w:ascii="宋体" w:hAnsi="宋体" w:eastAsia="宋体" w:cs="宋体"/>
                <w:b w:val="0"/>
                <w:bCs/>
                <w:i w:val="0"/>
                <w:color w:val="000000"/>
                <w:kern w:val="0"/>
                <w:sz w:val="18"/>
                <w:szCs w:val="18"/>
                <w:highlight w:val="none"/>
                <w:u w:val="none"/>
                <w:lang w:val="en-US" w:eastAsia="zh-CN" w:bidi="ar"/>
              </w:rPr>
              <w:t>锁具：使用寿命不少于20000次；</w:t>
            </w:r>
          </w:p>
          <w:p>
            <w:pPr>
              <w:keepNext w:val="0"/>
              <w:keepLines w:val="0"/>
              <w:widowControl/>
              <w:numPr>
                <w:ilvl w:val="0"/>
                <w:numId w:val="7"/>
              </w:numPr>
              <w:suppressLineNumbers w:val="0"/>
              <w:jc w:val="left"/>
              <w:textAlignment w:val="center"/>
              <w:rPr>
                <w:rFonts w:ascii="宋体" w:hAnsi="宋体" w:eastAsia="宋体" w:cs="宋体"/>
                <w:b w:val="0"/>
                <w:bCs/>
                <w:i w:val="0"/>
                <w:color w:val="000000"/>
                <w:sz w:val="18"/>
                <w:szCs w:val="18"/>
                <w:u w:val="none"/>
              </w:rPr>
            </w:pPr>
            <w:r>
              <w:rPr>
                <w:rFonts w:ascii="宋体" w:hAnsi="宋体" w:eastAsia="宋体" w:cs="宋体"/>
                <w:b w:val="0"/>
                <w:bCs/>
                <w:i w:val="0"/>
                <w:color w:val="000000"/>
                <w:kern w:val="0"/>
                <w:sz w:val="18"/>
                <w:szCs w:val="18"/>
                <w:highlight w:val="none"/>
                <w:u w:val="none"/>
                <w:lang w:val="en-US" w:eastAsia="zh-CN" w:bidi="ar"/>
              </w:rPr>
              <w:t>滑轨：滚珠式三节轨。 耐久性10万次，垂直向下静荷载200N，水平侧向静荷载100N</w:t>
            </w:r>
            <w:r>
              <w:rPr>
                <w:rFonts w:hint="eastAsia" w:ascii="宋体" w:eastAsia="宋体" w:cs="宋体"/>
                <w:b w:val="0"/>
                <w:bCs/>
                <w:i w:val="0"/>
                <w:color w:val="000000"/>
                <w:kern w:val="0"/>
                <w:sz w:val="18"/>
                <w:szCs w:val="18"/>
                <w:highlight w:val="none"/>
                <w:u w:val="none"/>
                <w:lang w:val="en-US" w:eastAsia="zh-CN" w:bidi="ar"/>
              </w:rPr>
              <w:t>。</w:t>
            </w:r>
            <w:r>
              <w:rPr>
                <w:rFonts w:ascii="宋体" w:hAnsi="宋体" w:eastAsia="宋体" w:cs="宋体"/>
                <w:b w:val="0"/>
                <w:bCs/>
                <w:i w:val="0"/>
                <w:color w:val="000000"/>
                <w:kern w:val="0"/>
                <w:sz w:val="18"/>
                <w:szCs w:val="18"/>
                <w:highlight w:val="none"/>
                <w:u w:val="none"/>
                <w:lang w:val="en-US" w:eastAsia="zh-CN" w:bidi="ar"/>
              </w:rPr>
              <w:br w:type="textWrapping"/>
            </w:r>
            <w:r>
              <w:rPr>
                <w:rFonts w:ascii="宋体" w:hAnsi="宋体" w:eastAsia="宋体" w:cs="宋体"/>
                <w:b w:val="0"/>
                <w:bCs/>
                <w:i w:val="0"/>
                <w:color w:val="000000"/>
                <w:kern w:val="0"/>
                <w:sz w:val="18"/>
                <w:szCs w:val="18"/>
                <w:highlight w:val="none"/>
                <w:u w:val="none"/>
                <w:lang w:val="en-US" w:eastAsia="zh-CN" w:bidi="ar"/>
              </w:rPr>
              <w:t>5、钢脚45度斜切采用V型开缺口后折弯点焊打磨处理。整体性更好。表面处理为白色喷细砂效果，白色与其他配件统一，避免色差。钢脚以拉杆+托臂的形式进行连接支撑。</w:t>
            </w:r>
          </w:p>
        </w:tc>
        <w:tc>
          <w:tcPr>
            <w:tcW w:w="14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b/>
                <w:i w:val="0"/>
                <w:color w:val="000000"/>
                <w:kern w:val="0"/>
                <w:sz w:val="18"/>
                <w:szCs w:val="18"/>
                <w:u w:val="none"/>
                <w:lang w:val="en-US" w:eastAsia="zh-CN" w:bidi="ar"/>
              </w:rPr>
              <w:t>木纹色+白色</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1张</w:t>
            </w:r>
          </w:p>
        </w:tc>
      </w:tr>
      <w:tr>
        <w:tblPrEx>
          <w:shd w:val="clear" w:color="auto" w:fill="auto"/>
          <w:tblCellMar>
            <w:top w:w="0" w:type="dxa"/>
            <w:left w:w="0" w:type="dxa"/>
            <w:bottom w:w="0" w:type="dxa"/>
            <w:right w:w="0" w:type="dxa"/>
          </w:tblCellMar>
        </w:tblPrEx>
        <w:trPr>
          <w:trHeight w:val="6742" w:hRule="atLeast"/>
        </w:trPr>
        <w:tc>
          <w:tcPr>
            <w:tcW w:w="12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职员椅</w:t>
            </w:r>
          </w:p>
        </w:tc>
        <w:tc>
          <w:tcPr>
            <w:tcW w:w="2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i w:val="0"/>
                <w:color w:val="000000"/>
                <w:kern w:val="0"/>
                <w:sz w:val="18"/>
                <w:szCs w:val="18"/>
                <w:u w:val="none"/>
                <w:bdr w:val="single" w:color="000000" w:sz="4" w:space="0"/>
                <w:shd w:val="clear" w:fill="FFFFFF"/>
                <w:lang w:val="en-US" w:eastAsia="zh-CN" w:bidi="ar"/>
              </w:rPr>
            </w:pPr>
            <w:r>
              <w:rPr>
                <w:rFonts w:ascii="宋体" w:hAnsi="宋体" w:eastAsia="宋体" w:cs="宋体"/>
                <w:b/>
                <w:i w:val="0"/>
                <w:color w:val="000000"/>
                <w:kern w:val="0"/>
                <w:sz w:val="18"/>
                <w:szCs w:val="18"/>
                <w:u w:val="none"/>
                <w:bdr w:val="single" w:color="000000" w:sz="4" w:space="0"/>
                <w:shd w:val="clear" w:fill="FFFFFF"/>
                <w:lang w:val="en-US" w:eastAsia="zh-CN" w:bidi="ar"/>
              </w:rPr>
              <w:drawing>
                <wp:anchor distT="0" distB="0" distL="114300" distR="114300" simplePos="0" relativeHeight="251663360" behindDoc="0" locked="0" layoutInCell="1" allowOverlap="1">
                  <wp:simplePos x="0" y="0"/>
                  <wp:positionH relativeFrom="column">
                    <wp:posOffset>137795</wp:posOffset>
                  </wp:positionH>
                  <wp:positionV relativeFrom="paragraph">
                    <wp:posOffset>941705</wp:posOffset>
                  </wp:positionV>
                  <wp:extent cx="1545590" cy="1507490"/>
                  <wp:effectExtent l="0" t="0" r="8890" b="1270"/>
                  <wp:wrapNone/>
                  <wp:docPr id="3" name="图片_234"/>
                  <wp:cNvGraphicFramePr/>
                  <a:graphic xmlns:a="http://schemas.openxmlformats.org/drawingml/2006/main">
                    <a:graphicData uri="http://schemas.openxmlformats.org/drawingml/2006/picture">
                      <pic:pic xmlns:pic="http://schemas.openxmlformats.org/drawingml/2006/picture">
                        <pic:nvPicPr>
                          <pic:cNvPr id="3" name="图片_234"/>
                          <pic:cNvPicPr/>
                        </pic:nvPicPr>
                        <pic:blipFill>
                          <a:blip r:embed="rId27"/>
                          <a:stretch>
                            <a:fillRect/>
                          </a:stretch>
                        </pic:blipFill>
                        <pic:spPr>
                          <a:xfrm>
                            <a:off x="0" y="0"/>
                            <a:ext cx="1545590" cy="1507490"/>
                          </a:xfrm>
                          <a:prstGeom prst="rect">
                            <a:avLst/>
                          </a:prstGeom>
                          <a:noFill/>
                          <a:ln>
                            <a:noFill/>
                          </a:ln>
                        </pic:spPr>
                      </pic:pic>
                    </a:graphicData>
                  </a:graphic>
                </wp:anchor>
              </w:drawing>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i w:val="0"/>
                <w:color w:val="auto"/>
                <w:kern w:val="0"/>
                <w:sz w:val="18"/>
                <w:szCs w:val="18"/>
                <w:highlight w:val="none"/>
                <w:u w:val="none"/>
                <w:lang w:val="en-US" w:eastAsia="zh-CN" w:bidi="ar"/>
              </w:rPr>
            </w:pPr>
            <w:r>
              <w:rPr>
                <w:rFonts w:ascii="宋体" w:hAnsi="宋体" w:eastAsia="宋体" w:cs="宋体"/>
                <w:b/>
                <w:i w:val="0"/>
                <w:color w:val="auto"/>
                <w:kern w:val="0"/>
                <w:sz w:val="18"/>
                <w:szCs w:val="18"/>
                <w:highlight w:val="none"/>
                <w:u w:val="none"/>
                <w:lang w:val="en-US" w:eastAsia="zh-CN" w:bidi="ar"/>
              </w:rPr>
              <w:t>615*585*955</w:t>
            </w:r>
          </w:p>
        </w:tc>
        <w:tc>
          <w:tcPr>
            <w:tcW w:w="3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0"/>
              </w:numPr>
              <w:suppressLineNumbers w:val="0"/>
              <w:jc w:val="left"/>
              <w:textAlignment w:val="center"/>
              <w:rPr>
                <w:rFonts w:hint="eastAsia" w:ascii="宋体" w:eastAsia="宋体" w:cs="宋体"/>
                <w:b w:val="0"/>
                <w:bCs/>
                <w:i w:val="0"/>
                <w:color w:val="auto"/>
                <w:kern w:val="0"/>
                <w:sz w:val="18"/>
                <w:szCs w:val="18"/>
                <w:highlight w:val="none"/>
                <w:u w:val="none"/>
                <w:lang w:val="en-US" w:eastAsia="zh-CN" w:bidi="ar"/>
              </w:rPr>
            </w:pPr>
            <w:r>
              <w:rPr>
                <w:rFonts w:ascii="宋体" w:hAnsi="宋体" w:eastAsia="宋体" w:cs="宋体"/>
                <w:b w:val="0"/>
                <w:bCs/>
                <w:i w:val="0"/>
                <w:color w:val="auto"/>
                <w:kern w:val="0"/>
                <w:sz w:val="18"/>
                <w:szCs w:val="18"/>
                <w:highlight w:val="none"/>
                <w:u w:val="none"/>
                <w:lang w:val="en-US" w:eastAsia="zh-CN" w:bidi="ar"/>
              </w:rPr>
              <w:t>面料：优质</w:t>
            </w:r>
            <w:r>
              <w:rPr>
                <w:rFonts w:hint="eastAsia" w:ascii="宋体" w:eastAsia="宋体" w:cs="宋体"/>
                <w:b w:val="0"/>
                <w:bCs/>
                <w:i w:val="0"/>
                <w:color w:val="auto"/>
                <w:kern w:val="0"/>
                <w:sz w:val="18"/>
                <w:szCs w:val="18"/>
                <w:highlight w:val="none"/>
                <w:u w:val="none"/>
                <w:lang w:val="en-US" w:eastAsia="zh-CN" w:bidi="ar"/>
              </w:rPr>
              <w:t>的</w:t>
            </w:r>
            <w:r>
              <w:rPr>
                <w:rFonts w:ascii="宋体" w:hAnsi="宋体" w:eastAsia="宋体" w:cs="宋体"/>
                <w:b w:val="0"/>
                <w:bCs/>
                <w:i w:val="0"/>
                <w:color w:val="auto"/>
                <w:kern w:val="0"/>
                <w:sz w:val="18"/>
                <w:szCs w:val="18"/>
                <w:highlight w:val="none"/>
                <w:u w:val="none"/>
                <w:lang w:val="en-US" w:eastAsia="zh-CN" w:bidi="ar"/>
              </w:rPr>
              <w:t>网布面料，甲醛释放量≤100mg/kg经过防污、抗菌、抗静电、耐色牢固、抗强度等表面加工处理，无异味，可分解致癌芳香胺染料：≤5mg/kg。优质高端网布，不易起球 ，抗拉度强 、耐磨 ，不易褪色（摩擦色牢度/光照色牢度），防火</w:t>
            </w:r>
            <w:r>
              <w:rPr>
                <w:rFonts w:hint="eastAsia" w:ascii="宋体" w:eastAsia="宋体" w:cs="宋体"/>
                <w:b w:val="0"/>
                <w:bCs/>
                <w:i w:val="0"/>
                <w:color w:val="auto"/>
                <w:kern w:val="0"/>
                <w:sz w:val="18"/>
                <w:szCs w:val="18"/>
                <w:highlight w:val="none"/>
                <w:u w:val="none"/>
                <w:lang w:val="en-US" w:eastAsia="zh-CN" w:bidi="ar"/>
              </w:rPr>
              <w:t>。</w:t>
            </w:r>
          </w:p>
          <w:p>
            <w:pPr>
              <w:keepNext w:val="0"/>
              <w:keepLines w:val="0"/>
              <w:widowControl/>
              <w:numPr>
                <w:ilvl w:val="0"/>
                <w:numId w:val="0"/>
              </w:numPr>
              <w:suppressLineNumbers w:val="0"/>
              <w:ind w:left="0" w:leftChars="0" w:firstLine="0" w:firstLineChars="0"/>
              <w:jc w:val="left"/>
              <w:textAlignment w:val="center"/>
              <w:rPr>
                <w:rFonts w:ascii="宋体" w:hAnsi="宋体" w:eastAsia="宋体" w:cs="宋体"/>
                <w:b w:val="0"/>
                <w:bCs/>
                <w:i w:val="0"/>
                <w:color w:val="auto"/>
                <w:kern w:val="0"/>
                <w:sz w:val="18"/>
                <w:szCs w:val="18"/>
                <w:highlight w:val="none"/>
                <w:u w:val="none"/>
                <w:lang w:val="en-US" w:eastAsia="zh-CN" w:bidi="ar"/>
              </w:rPr>
            </w:pPr>
            <w:r>
              <w:rPr>
                <w:rFonts w:ascii="宋体" w:hAnsi="宋体" w:eastAsia="宋体" w:cs="宋体"/>
                <w:b w:val="0"/>
                <w:bCs/>
                <w:i w:val="0"/>
                <w:color w:val="auto"/>
                <w:kern w:val="0"/>
                <w:sz w:val="18"/>
                <w:szCs w:val="18"/>
                <w:highlight w:val="none"/>
                <w:u w:val="none"/>
                <w:lang w:val="en-US" w:eastAsia="zh-CN" w:bidi="ar"/>
              </w:rPr>
              <w:t xml:space="preserve">2、海绵：优质高密度回弹海绵，软硬适中，回弹性≥40%，座面密度≥25kg/m³，不变形，耐用度高。                           </w:t>
            </w:r>
            <w:r>
              <w:rPr>
                <w:rFonts w:ascii="宋体" w:hAnsi="宋体" w:eastAsia="宋体" w:cs="宋体"/>
                <w:b w:val="0"/>
                <w:bCs/>
                <w:i w:val="0"/>
                <w:color w:val="auto"/>
                <w:kern w:val="0"/>
                <w:sz w:val="18"/>
                <w:szCs w:val="18"/>
                <w:highlight w:val="none"/>
                <w:u w:val="none"/>
                <w:lang w:val="en-US" w:eastAsia="zh-CN" w:bidi="ar"/>
              </w:rPr>
              <w:br w:type="textWrapping"/>
            </w:r>
            <w:r>
              <w:rPr>
                <w:rFonts w:ascii="宋体" w:hAnsi="宋体" w:eastAsia="宋体" w:cs="宋体"/>
                <w:b w:val="0"/>
                <w:bCs/>
                <w:i w:val="0"/>
                <w:color w:val="auto"/>
                <w:kern w:val="0"/>
                <w:sz w:val="18"/>
                <w:szCs w:val="18"/>
                <w:highlight w:val="none"/>
                <w:u w:val="none"/>
                <w:lang w:val="en-US" w:eastAsia="zh-CN" w:bidi="ar"/>
              </w:rPr>
              <w:t>3、曲木板：甲醛释放量≤0.08mg/m³,一次性热压成型                                                           4、扶手：固定ABS扶手,采用一体成型工艺</w:t>
            </w:r>
            <w:r>
              <w:rPr>
                <w:rFonts w:hint="eastAsia" w:ascii="宋体" w:eastAsia="宋体" w:cs="宋体"/>
                <w:b w:val="0"/>
                <w:bCs/>
                <w:i w:val="0"/>
                <w:color w:val="auto"/>
                <w:kern w:val="0"/>
                <w:sz w:val="18"/>
                <w:szCs w:val="18"/>
                <w:highlight w:val="none"/>
                <w:u w:val="none"/>
                <w:lang w:val="en-US" w:eastAsia="zh-CN" w:bidi="ar"/>
              </w:rPr>
              <w:t>。</w:t>
            </w:r>
            <w:r>
              <w:rPr>
                <w:rFonts w:ascii="宋体" w:hAnsi="宋体" w:eastAsia="宋体" w:cs="宋体"/>
                <w:b w:val="0"/>
                <w:bCs/>
                <w:i w:val="0"/>
                <w:color w:val="auto"/>
                <w:kern w:val="0"/>
                <w:sz w:val="18"/>
                <w:szCs w:val="18"/>
                <w:highlight w:val="none"/>
                <w:u w:val="none"/>
                <w:lang w:val="en-US" w:eastAsia="zh-CN" w:bidi="ar"/>
              </w:rPr>
              <w:t xml:space="preserve">                                              </w:t>
            </w:r>
            <w:r>
              <w:rPr>
                <w:rFonts w:ascii="宋体" w:hAnsi="宋体" w:eastAsia="宋体" w:cs="宋体"/>
                <w:b w:val="0"/>
                <w:bCs/>
                <w:i w:val="0"/>
                <w:color w:val="auto"/>
                <w:kern w:val="0"/>
                <w:sz w:val="18"/>
                <w:szCs w:val="18"/>
                <w:highlight w:val="none"/>
                <w:u w:val="none"/>
                <w:lang w:val="en-US" w:eastAsia="zh-CN" w:bidi="ar"/>
              </w:rPr>
              <w:br w:type="textWrapping"/>
            </w:r>
            <w:r>
              <w:rPr>
                <w:rFonts w:ascii="宋体" w:hAnsi="宋体" w:eastAsia="宋体" w:cs="宋体"/>
                <w:b w:val="0"/>
                <w:bCs/>
                <w:i w:val="0"/>
                <w:color w:val="auto"/>
                <w:kern w:val="0"/>
                <w:sz w:val="18"/>
                <w:szCs w:val="18"/>
                <w:highlight w:val="none"/>
                <w:u w:val="none"/>
                <w:lang w:val="en-US" w:eastAsia="zh-CN" w:bidi="ar"/>
              </w:rPr>
              <w:t>5、底盘：优质精铸合金底盘机构，自负重同步倾仰功能</w:t>
            </w:r>
            <w:r>
              <w:rPr>
                <w:rFonts w:hint="eastAsia" w:ascii="宋体" w:eastAsia="宋体" w:cs="宋体"/>
                <w:b w:val="0"/>
                <w:bCs/>
                <w:i w:val="0"/>
                <w:color w:val="auto"/>
                <w:kern w:val="0"/>
                <w:sz w:val="18"/>
                <w:szCs w:val="18"/>
                <w:highlight w:val="none"/>
                <w:u w:val="none"/>
                <w:lang w:val="en-US" w:eastAsia="zh-CN" w:bidi="ar"/>
              </w:rPr>
              <w:t>。</w:t>
            </w:r>
            <w:r>
              <w:rPr>
                <w:rFonts w:ascii="宋体" w:hAnsi="宋体" w:eastAsia="宋体" w:cs="宋体"/>
                <w:b w:val="0"/>
                <w:bCs/>
                <w:i w:val="0"/>
                <w:color w:val="auto"/>
                <w:kern w:val="0"/>
                <w:sz w:val="18"/>
                <w:szCs w:val="18"/>
                <w:highlight w:val="none"/>
                <w:u w:val="none"/>
                <w:lang w:val="en-US" w:eastAsia="zh-CN" w:bidi="ar"/>
              </w:rPr>
              <w:t xml:space="preserve">                                                     6、气杆：优质气压棒</w:t>
            </w:r>
            <w:r>
              <w:rPr>
                <w:rFonts w:hint="eastAsia" w:ascii="宋体" w:eastAsia="宋体" w:cs="宋体"/>
                <w:b w:val="0"/>
                <w:bCs/>
                <w:i w:val="0"/>
                <w:color w:val="auto"/>
                <w:kern w:val="0"/>
                <w:sz w:val="18"/>
                <w:szCs w:val="18"/>
                <w:highlight w:val="none"/>
                <w:u w:val="none"/>
                <w:lang w:val="en-US" w:eastAsia="zh-CN" w:bidi="ar"/>
              </w:rPr>
              <w:t>，</w:t>
            </w:r>
            <w:r>
              <w:rPr>
                <w:rFonts w:ascii="宋体" w:hAnsi="宋体" w:eastAsia="宋体" w:cs="宋体"/>
                <w:b w:val="0"/>
                <w:bCs/>
                <w:i w:val="0"/>
                <w:color w:val="auto"/>
                <w:kern w:val="0"/>
                <w:sz w:val="18"/>
                <w:szCs w:val="18"/>
                <w:highlight w:val="none"/>
                <w:u w:val="none"/>
                <w:lang w:val="en-US" w:eastAsia="zh-CN" w:bidi="ar"/>
              </w:rPr>
              <w:t>汽动升降行程60-80mm,30万次不漏气,通过载荷性与疲劳性测试</w:t>
            </w:r>
            <w:r>
              <w:rPr>
                <w:rFonts w:hint="eastAsia" w:ascii="宋体" w:eastAsia="宋体" w:cs="宋体"/>
                <w:b w:val="0"/>
                <w:bCs/>
                <w:i w:val="0"/>
                <w:color w:val="auto"/>
                <w:kern w:val="0"/>
                <w:sz w:val="18"/>
                <w:szCs w:val="18"/>
                <w:highlight w:val="none"/>
                <w:u w:val="none"/>
                <w:lang w:val="en-US" w:eastAsia="zh-CN" w:bidi="ar"/>
              </w:rPr>
              <w:t>。</w:t>
            </w:r>
            <w:r>
              <w:rPr>
                <w:rFonts w:ascii="宋体" w:hAnsi="宋体" w:eastAsia="宋体" w:cs="宋体"/>
                <w:b w:val="0"/>
                <w:bCs/>
                <w:i w:val="0"/>
                <w:color w:val="auto"/>
                <w:kern w:val="0"/>
                <w:sz w:val="18"/>
                <w:szCs w:val="18"/>
                <w:highlight w:val="none"/>
                <w:u w:val="none"/>
                <w:lang w:val="en-US" w:eastAsia="zh-CN" w:bidi="ar"/>
              </w:rPr>
              <w:t xml:space="preserve">                                                           </w:t>
            </w:r>
            <w:r>
              <w:rPr>
                <w:rFonts w:ascii="宋体" w:hAnsi="宋体" w:eastAsia="宋体" w:cs="宋体"/>
                <w:b w:val="0"/>
                <w:bCs/>
                <w:i w:val="0"/>
                <w:color w:val="auto"/>
                <w:kern w:val="0"/>
                <w:sz w:val="18"/>
                <w:szCs w:val="18"/>
                <w:highlight w:val="none"/>
                <w:u w:val="none"/>
                <w:lang w:val="en-US" w:eastAsia="zh-CN" w:bidi="ar"/>
              </w:rPr>
              <w:br w:type="textWrapping"/>
            </w:r>
            <w:r>
              <w:rPr>
                <w:rFonts w:ascii="宋体" w:hAnsi="宋体" w:eastAsia="宋体" w:cs="宋体"/>
                <w:b w:val="0"/>
                <w:bCs/>
                <w:i w:val="0"/>
                <w:color w:val="auto"/>
                <w:kern w:val="0"/>
                <w:sz w:val="18"/>
                <w:szCs w:val="18"/>
                <w:highlight w:val="none"/>
                <w:u w:val="none"/>
                <w:lang w:val="en-US" w:eastAsia="zh-CN" w:bidi="ar"/>
              </w:rPr>
              <w:t>7、椅脚：黑色尼龙五星脚,内置加强工艺处理</w:t>
            </w:r>
            <w:r>
              <w:rPr>
                <w:rFonts w:hint="eastAsia" w:ascii="宋体" w:eastAsia="宋体" w:cs="宋体"/>
                <w:b w:val="0"/>
                <w:bCs/>
                <w:i w:val="0"/>
                <w:color w:val="auto"/>
                <w:kern w:val="0"/>
                <w:sz w:val="18"/>
                <w:szCs w:val="18"/>
                <w:highlight w:val="none"/>
                <w:u w:val="none"/>
                <w:lang w:val="en-US" w:eastAsia="zh-CN" w:bidi="ar"/>
              </w:rPr>
              <w:t>。</w:t>
            </w:r>
            <w:r>
              <w:rPr>
                <w:rFonts w:ascii="宋体" w:hAnsi="宋体" w:eastAsia="宋体" w:cs="宋体"/>
                <w:b w:val="0"/>
                <w:bCs/>
                <w:i w:val="0"/>
                <w:color w:val="auto"/>
                <w:kern w:val="0"/>
                <w:sz w:val="18"/>
                <w:szCs w:val="18"/>
                <w:highlight w:val="none"/>
                <w:u w:val="none"/>
                <w:lang w:val="en-US" w:eastAsia="zh-CN" w:bidi="ar"/>
              </w:rPr>
              <w:t xml:space="preserve">                  </w:t>
            </w:r>
            <w:r>
              <w:rPr>
                <w:rFonts w:ascii="宋体" w:hAnsi="宋体" w:eastAsia="宋体" w:cs="宋体"/>
                <w:b w:val="0"/>
                <w:bCs/>
                <w:i w:val="0"/>
                <w:color w:val="auto"/>
                <w:kern w:val="0"/>
                <w:sz w:val="18"/>
                <w:szCs w:val="18"/>
                <w:highlight w:val="none"/>
                <w:u w:val="none"/>
                <w:lang w:val="en-US" w:eastAsia="zh-CN" w:bidi="ar"/>
              </w:rPr>
              <w:br w:type="textWrapping"/>
            </w:r>
            <w:r>
              <w:rPr>
                <w:rFonts w:ascii="宋体" w:hAnsi="宋体" w:eastAsia="宋体" w:cs="宋体"/>
                <w:b w:val="0"/>
                <w:bCs/>
                <w:i w:val="0"/>
                <w:color w:val="auto"/>
                <w:kern w:val="0"/>
                <w:sz w:val="18"/>
                <w:szCs w:val="18"/>
                <w:highlight w:val="none"/>
                <w:u w:val="none"/>
                <w:lang w:val="en-US" w:eastAsia="zh-CN" w:bidi="ar"/>
              </w:rPr>
              <w:t>8、椅轮：合成尼龙纤维树脂材料制成，耐磨性及其它理化性能达到</w:t>
            </w:r>
            <w:r>
              <w:rPr>
                <w:rFonts w:hint="eastAsia" w:ascii="宋体" w:eastAsia="宋体" w:cs="宋体"/>
                <w:b w:val="0"/>
                <w:bCs/>
                <w:i w:val="0"/>
                <w:color w:val="auto"/>
                <w:kern w:val="0"/>
                <w:sz w:val="18"/>
                <w:szCs w:val="18"/>
                <w:highlight w:val="none"/>
                <w:u w:val="none"/>
                <w:lang w:val="en-US" w:eastAsia="zh-CN" w:bidi="ar"/>
              </w:rPr>
              <w:t>有关</w:t>
            </w:r>
            <w:r>
              <w:rPr>
                <w:rFonts w:ascii="宋体" w:hAnsi="宋体" w:eastAsia="宋体" w:cs="宋体"/>
                <w:b w:val="0"/>
                <w:bCs/>
                <w:i w:val="0"/>
                <w:color w:val="auto"/>
                <w:kern w:val="0"/>
                <w:sz w:val="18"/>
                <w:szCs w:val="18"/>
                <w:highlight w:val="none"/>
                <w:u w:val="none"/>
                <w:lang w:val="en-US" w:eastAsia="zh-CN" w:bidi="ar"/>
              </w:rPr>
              <w:t>标准。</w:t>
            </w:r>
            <w:r>
              <w:rPr>
                <w:rFonts w:ascii="宋体" w:hAnsi="宋体" w:eastAsia="宋体" w:cs="宋体"/>
                <w:b w:val="0"/>
                <w:bCs/>
                <w:i w:val="0"/>
                <w:color w:val="auto"/>
                <w:kern w:val="0"/>
                <w:sz w:val="18"/>
                <w:szCs w:val="18"/>
                <w:highlight w:val="none"/>
                <w:u w:val="none"/>
                <w:lang w:val="en-US" w:eastAsia="zh-CN" w:bidi="ar"/>
              </w:rPr>
              <w:br w:type="textWrapping"/>
            </w:r>
            <w:r>
              <w:rPr>
                <w:rFonts w:ascii="宋体" w:hAnsi="宋体" w:eastAsia="宋体" w:cs="宋体"/>
                <w:b w:val="0"/>
                <w:bCs/>
                <w:i w:val="0"/>
                <w:color w:val="auto"/>
                <w:kern w:val="0"/>
                <w:sz w:val="18"/>
                <w:szCs w:val="18"/>
                <w:highlight w:val="none"/>
                <w:u w:val="none"/>
                <w:lang w:val="en-US" w:eastAsia="zh-CN" w:bidi="ar"/>
              </w:rPr>
              <w:t>9、座椅要求：底座静载荷7560N,1分钟，2次无损。椅背载荷334N，120000次无损。座面耐久：100000次无损。座面回转耐久性：120000次无损。跌落高度200mm，10次无损。甲醛释放量:≤0.06mg/㎡h。TVOC:≤0.2mg/㎡h</w:t>
            </w:r>
          </w:p>
        </w:tc>
        <w:tc>
          <w:tcPr>
            <w:tcW w:w="14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黑色</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1张</w:t>
            </w:r>
          </w:p>
        </w:tc>
      </w:tr>
      <w:tr>
        <w:tblPrEx>
          <w:shd w:val="clear" w:color="auto" w:fill="auto"/>
          <w:tblCellMar>
            <w:top w:w="0" w:type="dxa"/>
            <w:left w:w="0" w:type="dxa"/>
            <w:bottom w:w="0" w:type="dxa"/>
            <w:right w:w="0" w:type="dxa"/>
          </w:tblCellMar>
        </w:tblPrEx>
        <w:trPr>
          <w:trHeight w:val="350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18"/>
                <w:szCs w:val="18"/>
                <w:u w:val="none"/>
                <w:lang w:val="en-US" w:eastAsia="zh-CN" w:bidi="ar"/>
              </w:rPr>
            </w:pPr>
            <w:r>
              <w:rPr>
                <w:rFonts w:hint="eastAsia" w:ascii="宋体" w:eastAsia="宋体" w:cs="宋体"/>
                <w:b/>
                <w:i w:val="0"/>
                <w:color w:val="000000"/>
                <w:kern w:val="0"/>
                <w:sz w:val="18"/>
                <w:szCs w:val="18"/>
                <w:u w:val="none"/>
                <w:lang w:val="en-US" w:eastAsia="zh-CN" w:bidi="ar"/>
              </w:rPr>
              <w:t>大班台</w:t>
            </w:r>
          </w:p>
        </w:tc>
        <w:tc>
          <w:tcPr>
            <w:tcW w:w="2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i w:val="0"/>
                <w:color w:val="000000"/>
                <w:kern w:val="0"/>
                <w:sz w:val="18"/>
                <w:szCs w:val="18"/>
                <w:u w:val="none"/>
                <w:bdr w:val="single" w:color="000000" w:sz="4" w:space="0"/>
                <w:shd w:val="clear" w:fill="FFFFFF"/>
                <w:lang w:val="en-US" w:eastAsia="zh-CN" w:bidi="ar"/>
              </w:rPr>
            </w:pPr>
            <w:r>
              <w:rPr>
                <w:rFonts w:ascii="宋体" w:hAnsi="宋体" w:eastAsia="宋体" w:cs="宋体"/>
                <w:b/>
                <w:i w:val="0"/>
                <w:color w:val="000000"/>
                <w:kern w:val="0"/>
                <w:sz w:val="18"/>
                <w:szCs w:val="18"/>
                <w:u w:val="none"/>
                <w:bdr w:val="single" w:color="000000" w:sz="4" w:space="0"/>
                <w:shd w:val="clear" w:fill="FFFFFF"/>
                <w:lang w:val="en-US" w:eastAsia="zh-CN" w:bidi="ar"/>
              </w:rPr>
              <w:drawing>
                <wp:anchor distT="0" distB="0" distL="114300" distR="114300" simplePos="0" relativeHeight="251664384" behindDoc="0" locked="0" layoutInCell="1" allowOverlap="1">
                  <wp:simplePos x="0" y="0"/>
                  <wp:positionH relativeFrom="column">
                    <wp:posOffset>495300</wp:posOffset>
                  </wp:positionH>
                  <wp:positionV relativeFrom="paragraph">
                    <wp:posOffset>883285</wp:posOffset>
                  </wp:positionV>
                  <wp:extent cx="1035050" cy="770255"/>
                  <wp:effectExtent l="0" t="0" r="1270" b="6985"/>
                  <wp:wrapNone/>
                  <wp:docPr id="7" name="图片_190"/>
                  <wp:cNvGraphicFramePr/>
                  <a:graphic xmlns:a="http://schemas.openxmlformats.org/drawingml/2006/main">
                    <a:graphicData uri="http://schemas.openxmlformats.org/drawingml/2006/picture">
                      <pic:pic xmlns:pic="http://schemas.openxmlformats.org/drawingml/2006/picture">
                        <pic:nvPicPr>
                          <pic:cNvPr id="7" name="图片_190"/>
                          <pic:cNvPicPr/>
                        </pic:nvPicPr>
                        <pic:blipFill>
                          <a:blip r:embed="rId12"/>
                          <a:stretch>
                            <a:fillRect/>
                          </a:stretch>
                        </pic:blipFill>
                        <pic:spPr>
                          <a:xfrm>
                            <a:off x="0" y="0"/>
                            <a:ext cx="1035050" cy="770255"/>
                          </a:xfrm>
                          <a:prstGeom prst="rect">
                            <a:avLst/>
                          </a:prstGeom>
                          <a:noFill/>
                          <a:ln>
                            <a:noFill/>
                          </a:ln>
                        </pic:spPr>
                      </pic:pic>
                    </a:graphicData>
                  </a:graphic>
                </wp:anchor>
              </w:drawing>
            </w:r>
          </w:p>
        </w:tc>
        <w:tc>
          <w:tcPr>
            <w:tcW w:w="13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i w:val="0"/>
                <w:color w:val="auto"/>
                <w:kern w:val="0"/>
                <w:sz w:val="18"/>
                <w:szCs w:val="18"/>
                <w:u w:val="none"/>
                <w:lang w:val="en-US" w:eastAsia="zh-CN" w:bidi="ar"/>
              </w:rPr>
            </w:pPr>
            <w:r>
              <w:rPr>
                <w:rFonts w:ascii="宋体" w:hAnsi="宋体" w:eastAsia="宋体" w:cs="宋体"/>
                <w:b/>
                <w:i w:val="0"/>
                <w:color w:val="auto"/>
                <w:kern w:val="0"/>
                <w:sz w:val="18"/>
                <w:szCs w:val="18"/>
                <w:u w:val="none"/>
                <w:lang w:val="en-US" w:eastAsia="zh-CN" w:bidi="ar"/>
              </w:rPr>
              <w:t>2</w:t>
            </w:r>
            <w:r>
              <w:rPr>
                <w:rFonts w:hint="eastAsia" w:ascii="宋体" w:eastAsia="宋体" w:cs="宋体"/>
                <w:b/>
                <w:i w:val="0"/>
                <w:color w:val="auto"/>
                <w:kern w:val="0"/>
                <w:sz w:val="18"/>
                <w:szCs w:val="18"/>
                <w:u w:val="none"/>
                <w:lang w:val="en-US" w:eastAsia="zh-CN" w:bidi="ar"/>
              </w:rPr>
              <w:t>4</w:t>
            </w:r>
            <w:r>
              <w:rPr>
                <w:rFonts w:ascii="宋体" w:hAnsi="宋体" w:eastAsia="宋体" w:cs="宋体"/>
                <w:b/>
                <w:i w:val="0"/>
                <w:color w:val="auto"/>
                <w:kern w:val="0"/>
                <w:sz w:val="18"/>
                <w:szCs w:val="18"/>
                <w:u w:val="none"/>
                <w:lang w:val="en-US" w:eastAsia="zh-CN" w:bidi="ar"/>
              </w:rPr>
              <w:t>80*1900*760</w:t>
            </w:r>
          </w:p>
        </w:tc>
        <w:tc>
          <w:tcPr>
            <w:tcW w:w="3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i w:val="0"/>
                <w:color w:val="auto"/>
                <w:kern w:val="0"/>
                <w:sz w:val="18"/>
                <w:szCs w:val="18"/>
                <w:u w:val="none"/>
                <w:lang w:val="en-US" w:eastAsia="zh-CN" w:bidi="ar"/>
              </w:rPr>
            </w:pPr>
            <w:r>
              <w:rPr>
                <w:rFonts w:ascii="宋体" w:hAnsi="宋体" w:eastAsia="宋体" w:cs="宋体"/>
                <w:b w:val="0"/>
                <w:bCs/>
                <w:i w:val="0"/>
                <w:color w:val="auto"/>
                <w:kern w:val="0"/>
                <w:sz w:val="18"/>
                <w:szCs w:val="18"/>
                <w:u w:val="none"/>
                <w:lang w:val="en-US" w:eastAsia="zh-CN" w:bidi="ar"/>
              </w:rPr>
              <w:t>1、面材：60S天然白橡木/胡桃木木皮贴面。</w:t>
            </w:r>
            <w:r>
              <w:rPr>
                <w:rFonts w:ascii="宋体" w:hAnsi="宋体" w:eastAsia="宋体" w:cs="宋体"/>
                <w:b w:val="0"/>
                <w:bCs/>
                <w:i w:val="0"/>
                <w:color w:val="auto"/>
                <w:kern w:val="0"/>
                <w:sz w:val="18"/>
                <w:szCs w:val="18"/>
                <w:u w:val="none"/>
                <w:lang w:val="en-US" w:eastAsia="zh-CN" w:bidi="ar"/>
              </w:rPr>
              <w:br w:type="textWrapping"/>
            </w:r>
            <w:r>
              <w:rPr>
                <w:rFonts w:ascii="宋体" w:hAnsi="宋体" w:eastAsia="宋体" w:cs="宋体"/>
                <w:b w:val="0"/>
                <w:bCs/>
                <w:i w:val="0"/>
                <w:color w:val="auto"/>
                <w:kern w:val="0"/>
                <w:sz w:val="18"/>
                <w:szCs w:val="18"/>
                <w:u w:val="none"/>
                <w:lang w:val="en-US" w:eastAsia="zh-CN" w:bidi="ar"/>
              </w:rPr>
              <w:t xml:space="preserve">2、基材：优质中纤板、刨花板，根据GB 18580-2017要求甲醛释放量≤0.124mg/m³  </w:t>
            </w:r>
            <w:r>
              <w:rPr>
                <w:rFonts w:ascii="宋体" w:hAnsi="宋体" w:eastAsia="宋体" w:cs="宋体"/>
                <w:b w:val="0"/>
                <w:bCs/>
                <w:i w:val="0"/>
                <w:color w:val="auto"/>
                <w:kern w:val="0"/>
                <w:sz w:val="18"/>
                <w:szCs w:val="18"/>
                <w:u w:val="none"/>
                <w:lang w:val="en-US" w:eastAsia="zh-CN" w:bidi="ar"/>
              </w:rPr>
              <w:br w:type="textWrapping"/>
            </w:r>
            <w:r>
              <w:rPr>
                <w:rFonts w:ascii="宋体" w:hAnsi="宋体" w:eastAsia="宋体" w:cs="宋体"/>
                <w:b w:val="0"/>
                <w:bCs/>
                <w:i w:val="0"/>
                <w:color w:val="auto"/>
                <w:kern w:val="0"/>
                <w:sz w:val="18"/>
                <w:szCs w:val="18"/>
                <w:u w:val="none"/>
                <w:lang w:val="en-US" w:eastAsia="zh-CN" w:bidi="ar"/>
              </w:rPr>
              <w:t>3、五金：45度内切采用铝合金装饰盖饰边，氧化色铝合金装饰边部（45度内切铝合金装饰盖—只用于班台会议桌台面四周斜切边部和片脚斜切边部）</w:t>
            </w:r>
            <w:r>
              <w:rPr>
                <w:rFonts w:ascii="宋体" w:hAnsi="宋体" w:eastAsia="宋体" w:cs="宋体"/>
                <w:b w:val="0"/>
                <w:bCs/>
                <w:i w:val="0"/>
                <w:color w:val="auto"/>
                <w:kern w:val="0"/>
                <w:sz w:val="18"/>
                <w:szCs w:val="18"/>
                <w:u w:val="none"/>
                <w:lang w:val="en-US" w:eastAsia="zh-CN" w:bidi="ar"/>
              </w:rPr>
              <w:br w:type="textWrapping"/>
            </w:r>
            <w:r>
              <w:rPr>
                <w:rFonts w:ascii="宋体" w:hAnsi="宋体" w:eastAsia="宋体" w:cs="宋体"/>
                <w:b w:val="0"/>
                <w:bCs/>
                <w:i w:val="0"/>
                <w:color w:val="auto"/>
                <w:kern w:val="0"/>
                <w:sz w:val="18"/>
                <w:szCs w:val="18"/>
                <w:u w:val="none"/>
                <w:lang w:val="en-US" w:eastAsia="zh-CN" w:bidi="ar"/>
              </w:rPr>
              <w:t xml:space="preserve">电动升降系统，侧台可升降 </w:t>
            </w:r>
            <w:r>
              <w:rPr>
                <w:rFonts w:ascii="宋体" w:hAnsi="宋体" w:eastAsia="宋体" w:cs="宋体"/>
                <w:b w:val="0"/>
                <w:bCs/>
                <w:i w:val="0"/>
                <w:color w:val="auto"/>
                <w:kern w:val="0"/>
                <w:sz w:val="18"/>
                <w:szCs w:val="18"/>
                <w:u w:val="none"/>
                <w:lang w:val="en-US" w:eastAsia="zh-CN" w:bidi="ar"/>
              </w:rPr>
              <w:br w:type="textWrapping"/>
            </w:r>
            <w:r>
              <w:rPr>
                <w:rFonts w:ascii="宋体" w:hAnsi="宋体" w:eastAsia="宋体" w:cs="宋体"/>
                <w:b w:val="0"/>
                <w:bCs/>
                <w:i w:val="0"/>
                <w:color w:val="auto"/>
                <w:kern w:val="0"/>
                <w:sz w:val="18"/>
                <w:szCs w:val="18"/>
                <w:u w:val="none"/>
                <w:lang w:val="en-US" w:eastAsia="zh-CN" w:bidi="ar"/>
              </w:rPr>
              <w:t>进口优质回弹式滑轨，垂直向下静荷载200N，水平侧向静荷载100N，耐久性10万次，                                                                                   进口优质正面锁、优质锁具，互开率≤1.379%，使用寿命2万次通过。</w:t>
            </w:r>
            <w:r>
              <w:rPr>
                <w:rFonts w:ascii="宋体" w:hAnsi="宋体" w:eastAsia="宋体" w:cs="宋体"/>
                <w:b w:val="0"/>
                <w:bCs/>
                <w:i w:val="0"/>
                <w:color w:val="auto"/>
                <w:kern w:val="0"/>
                <w:sz w:val="18"/>
                <w:szCs w:val="18"/>
                <w:u w:val="none"/>
                <w:lang w:val="en-US" w:eastAsia="zh-CN" w:bidi="ar"/>
              </w:rPr>
              <w:br w:type="textWrapping"/>
            </w:r>
            <w:r>
              <w:rPr>
                <w:rFonts w:ascii="宋体" w:hAnsi="宋体" w:eastAsia="宋体" w:cs="宋体"/>
                <w:b w:val="0"/>
                <w:bCs/>
                <w:i w:val="0"/>
                <w:color w:val="auto"/>
                <w:kern w:val="0"/>
                <w:sz w:val="18"/>
                <w:szCs w:val="18"/>
                <w:u w:val="none"/>
                <w:lang w:val="en-US" w:eastAsia="zh-CN" w:bidi="ar"/>
              </w:rPr>
              <w:t>进口优质阻尼缓冲铰链+回弹装置，垂直向下静荷载200N，水平侧向静荷载100N，耐久性10万次。</w:t>
            </w:r>
            <w:r>
              <w:rPr>
                <w:rFonts w:ascii="宋体" w:hAnsi="宋体" w:eastAsia="宋体" w:cs="宋体"/>
                <w:b w:val="0"/>
                <w:bCs/>
                <w:i w:val="0"/>
                <w:color w:val="auto"/>
                <w:kern w:val="0"/>
                <w:sz w:val="18"/>
                <w:szCs w:val="18"/>
                <w:u w:val="none"/>
                <w:lang w:val="en-US" w:eastAsia="zh-CN" w:bidi="ar"/>
              </w:rPr>
              <w:br w:type="textWrapping"/>
            </w:r>
            <w:r>
              <w:rPr>
                <w:rFonts w:ascii="宋体" w:hAnsi="宋体" w:eastAsia="宋体" w:cs="宋体"/>
                <w:b w:val="0"/>
                <w:bCs/>
                <w:i w:val="0"/>
                <w:color w:val="auto"/>
                <w:kern w:val="0"/>
                <w:sz w:val="18"/>
                <w:szCs w:val="18"/>
                <w:u w:val="none"/>
                <w:lang w:val="en-US" w:eastAsia="zh-CN" w:bidi="ar"/>
              </w:rPr>
              <w:t xml:space="preserve">EFJ.43线盒（3个电源模块、1个HDMI模块、2个网络模块（CAT.6)、2个USB充电接口）  </w:t>
            </w:r>
            <w:r>
              <w:rPr>
                <w:rFonts w:ascii="宋体" w:hAnsi="宋体" w:eastAsia="宋体" w:cs="宋体"/>
                <w:b w:val="0"/>
                <w:bCs/>
                <w:i w:val="0"/>
                <w:color w:val="auto"/>
                <w:kern w:val="0"/>
                <w:sz w:val="18"/>
                <w:szCs w:val="18"/>
                <w:u w:val="none"/>
                <w:lang w:val="en-US" w:eastAsia="zh-CN" w:bidi="ar"/>
              </w:rPr>
              <w:br w:type="textWrapping"/>
            </w:r>
            <w:r>
              <w:rPr>
                <w:rFonts w:ascii="宋体" w:hAnsi="宋体" w:eastAsia="宋体" w:cs="宋体"/>
                <w:b w:val="0"/>
                <w:bCs/>
                <w:i w:val="0"/>
                <w:color w:val="auto"/>
                <w:kern w:val="0"/>
                <w:sz w:val="18"/>
                <w:szCs w:val="18"/>
                <w:u w:val="none"/>
                <w:lang w:val="en-US" w:eastAsia="zh-CN" w:bidi="ar"/>
              </w:rPr>
              <w:t>4、油漆：优质水性环保油漆，满足GB 24410-2009要求,挥发性有机化合物含量≤300g/L，游离甲醛含量≤100mg/kg,可溶性重金属含量未检出。开放式涂装 +白闪银涂装。</w:t>
            </w:r>
            <w:r>
              <w:rPr>
                <w:rFonts w:ascii="宋体" w:hAnsi="宋体" w:eastAsia="宋体" w:cs="宋体"/>
                <w:b w:val="0"/>
                <w:bCs/>
                <w:i w:val="0"/>
                <w:color w:val="auto"/>
                <w:kern w:val="0"/>
                <w:sz w:val="18"/>
                <w:szCs w:val="18"/>
                <w:u w:val="none"/>
                <w:lang w:val="en-US" w:eastAsia="zh-CN" w:bidi="ar"/>
              </w:rPr>
              <w:br w:type="textWrapping"/>
            </w:r>
            <w:r>
              <w:rPr>
                <w:rFonts w:ascii="宋体" w:hAnsi="宋体" w:eastAsia="宋体" w:cs="宋体"/>
                <w:b w:val="0"/>
                <w:bCs/>
                <w:i w:val="0"/>
                <w:color w:val="auto"/>
                <w:kern w:val="0"/>
                <w:sz w:val="18"/>
                <w:szCs w:val="18"/>
                <w:u w:val="none"/>
                <w:lang w:val="en-US" w:eastAsia="zh-CN" w:bidi="ar"/>
              </w:rPr>
              <w:t>5、抽屉采用一体成型工艺，无气味、环保、健康。</w:t>
            </w:r>
          </w:p>
        </w:tc>
        <w:tc>
          <w:tcPr>
            <w:tcW w:w="14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胡桃木色</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1张</w:t>
            </w:r>
          </w:p>
        </w:tc>
      </w:tr>
    </w:tbl>
    <w:p>
      <w:pPr>
        <w:pStyle w:val="5"/>
      </w:pPr>
    </w:p>
    <w:p/>
    <w:p>
      <w:pPr>
        <w:pStyle w:val="5"/>
        <w:spacing w:line="360" w:lineRule="auto"/>
        <w:jc w:val="center"/>
        <w:rPr>
          <w:rFonts w:hint="eastAsia"/>
          <w:b w:val="0"/>
          <w:bCs w:val="0"/>
          <w:color w:val="000000"/>
        </w:rPr>
      </w:pPr>
      <w:bookmarkStart w:id="191" w:name="_Toc28005332"/>
      <w:bookmarkStart w:id="192" w:name="_Toc525216560"/>
      <w:bookmarkStart w:id="193" w:name="_Toc44749633"/>
      <w:r>
        <w:rPr>
          <w:rFonts w:hint="eastAsia"/>
          <w:b w:val="0"/>
          <w:bCs w:val="0"/>
          <w:color w:val="000000"/>
        </w:rPr>
        <w:t>附件十</w:t>
      </w:r>
      <w:r>
        <w:rPr>
          <w:rFonts w:hint="eastAsia"/>
          <w:b w:val="0"/>
          <w:bCs w:val="0"/>
          <w:color w:val="000000"/>
          <w:lang w:val="en-US" w:eastAsia="zh-CN"/>
        </w:rPr>
        <w:t>六</w:t>
      </w:r>
      <w:r>
        <w:rPr>
          <w:rFonts w:hint="eastAsia"/>
          <w:b w:val="0"/>
          <w:bCs w:val="0"/>
          <w:color w:val="000000"/>
        </w:rPr>
        <w:t>、售后服务承诺书</w:t>
      </w:r>
      <w:bookmarkEnd w:id="191"/>
      <w:bookmarkEnd w:id="192"/>
    </w:p>
    <w:p>
      <w:pPr>
        <w:pStyle w:val="13"/>
        <w:adjustRightInd w:val="0"/>
        <w:snapToGrid w:val="0"/>
        <w:spacing w:line="360" w:lineRule="auto"/>
        <w:rPr>
          <w:rFonts w:hint="eastAsia" w:hAnsi="宋体"/>
          <w:b w:val="0"/>
          <w:bCs w:val="0"/>
          <w:color w:val="000000"/>
          <w:sz w:val="24"/>
        </w:rPr>
      </w:pPr>
      <w:r>
        <w:rPr>
          <w:rFonts w:hint="eastAsia" w:hAnsi="宋体"/>
          <w:b w:val="0"/>
          <w:bCs w:val="0"/>
          <w:color w:val="000000"/>
          <w:sz w:val="24"/>
          <w:u w:val="single"/>
        </w:rPr>
        <w:t xml:space="preserve">                            </w:t>
      </w:r>
      <w:r>
        <w:rPr>
          <w:rFonts w:hint="eastAsia" w:hAnsi="宋体"/>
          <w:b w:val="0"/>
          <w:bCs w:val="0"/>
          <w:color w:val="000000"/>
          <w:sz w:val="24"/>
        </w:rPr>
        <w:t>：</w:t>
      </w:r>
    </w:p>
    <w:p>
      <w:pPr>
        <w:spacing w:line="360" w:lineRule="auto"/>
        <w:ind w:firstLine="480" w:firstLineChars="200"/>
        <w:rPr>
          <w:rFonts w:hint="eastAsia" w:ascii="宋体" w:hAnsi="宋体" w:cs="宋体"/>
          <w:b w:val="0"/>
          <w:bCs w:val="0"/>
          <w:color w:val="000000"/>
          <w:sz w:val="30"/>
          <w:szCs w:val="36"/>
        </w:rPr>
      </w:pPr>
      <w:r>
        <w:rPr>
          <w:rFonts w:hint="eastAsia" w:hAnsi="宋体"/>
          <w:b w:val="0"/>
          <w:bCs w:val="0"/>
          <w:color w:val="000000"/>
          <w:sz w:val="24"/>
        </w:rPr>
        <w:t>非常荣幸能参加贵处组织的</w:t>
      </w:r>
      <w:r>
        <w:rPr>
          <w:rFonts w:hAnsi="宋体"/>
          <w:b w:val="0"/>
          <w:bCs w:val="0"/>
          <w:color w:val="000000"/>
          <w:sz w:val="24"/>
        </w:rPr>
        <w:t xml:space="preserve"> </w:t>
      </w:r>
      <w:r>
        <w:rPr>
          <w:rFonts w:hint="eastAsia" w:hAnsi="宋体"/>
          <w:b w:val="0"/>
          <w:bCs w:val="0"/>
          <w:color w:val="000000"/>
          <w:sz w:val="24"/>
          <w:u w:val="single"/>
        </w:rPr>
        <w:t xml:space="preserve">                  </w:t>
      </w:r>
      <w:r>
        <w:rPr>
          <w:rFonts w:hint="eastAsia" w:hAnsi="宋体"/>
          <w:b w:val="0"/>
          <w:bCs w:val="0"/>
          <w:color w:val="000000"/>
          <w:sz w:val="24"/>
        </w:rPr>
        <w:t>项目（括号内填写招标编号）的投标，现我公司就售后服务作出如下承诺：</w:t>
      </w:r>
    </w:p>
    <w:p>
      <w:pPr>
        <w:spacing w:line="360" w:lineRule="auto"/>
        <w:ind w:firstLine="480" w:firstLineChars="200"/>
        <w:rPr>
          <w:rFonts w:hint="eastAsia" w:hAnsi="宋体"/>
          <w:b w:val="0"/>
          <w:bCs w:val="0"/>
          <w:color w:val="000000"/>
          <w:sz w:val="24"/>
        </w:rPr>
      </w:pPr>
      <w:r>
        <w:rPr>
          <w:rFonts w:hint="eastAsia" w:hAnsi="宋体"/>
          <w:b w:val="0"/>
          <w:bCs w:val="0"/>
          <w:color w:val="000000"/>
          <w:sz w:val="24"/>
        </w:rPr>
        <w:t>一、质量保证</w:t>
      </w:r>
      <w:r>
        <w:rPr>
          <w:rFonts w:hint="eastAsia" w:ascii="宋体"/>
          <w:b w:val="0"/>
          <w:bCs w:val="0"/>
          <w:color w:val="000000"/>
          <w:kern w:val="0"/>
          <w:sz w:val="24"/>
        </w:rPr>
        <w:t>：</w:t>
      </w:r>
      <w:r>
        <w:rPr>
          <w:rFonts w:hint="eastAsia" w:ascii="宋体"/>
          <w:b w:val="0"/>
          <w:bCs w:val="0"/>
          <w:color w:val="000000"/>
          <w:kern w:val="0"/>
          <w:sz w:val="24"/>
          <w:u w:val="single"/>
        </w:rPr>
        <w:t>　　　　　　　           　　　</w:t>
      </w:r>
    </w:p>
    <w:p>
      <w:pPr>
        <w:spacing w:line="360" w:lineRule="auto"/>
        <w:rPr>
          <w:rFonts w:hint="eastAsia" w:hAnsi="宋体"/>
          <w:b w:val="0"/>
          <w:bCs w:val="0"/>
          <w:color w:val="000000"/>
          <w:sz w:val="24"/>
        </w:rPr>
      </w:pPr>
      <w:r>
        <w:rPr>
          <w:rFonts w:hint="eastAsia" w:hAnsi="宋体"/>
          <w:b w:val="0"/>
          <w:bCs w:val="0"/>
          <w:color w:val="000000"/>
          <w:sz w:val="24"/>
        </w:rPr>
        <w:t>　　二、安装和调试服务</w:t>
      </w:r>
      <w:r>
        <w:rPr>
          <w:rFonts w:hint="eastAsia" w:ascii="宋体"/>
          <w:b w:val="0"/>
          <w:bCs w:val="0"/>
          <w:color w:val="000000"/>
          <w:kern w:val="0"/>
          <w:sz w:val="24"/>
        </w:rPr>
        <w:t>：</w:t>
      </w:r>
      <w:r>
        <w:rPr>
          <w:rFonts w:hint="eastAsia" w:ascii="宋体"/>
          <w:b w:val="0"/>
          <w:bCs w:val="0"/>
          <w:color w:val="000000"/>
          <w:kern w:val="0"/>
          <w:sz w:val="24"/>
          <w:u w:val="single"/>
        </w:rPr>
        <w:t>　　　　　　     　　　　</w:t>
      </w:r>
    </w:p>
    <w:p>
      <w:pPr>
        <w:spacing w:line="360" w:lineRule="auto"/>
        <w:rPr>
          <w:rFonts w:hint="eastAsia" w:hAnsi="宋体"/>
          <w:b w:val="0"/>
          <w:bCs w:val="0"/>
          <w:color w:val="000000"/>
          <w:sz w:val="24"/>
        </w:rPr>
      </w:pPr>
      <w:r>
        <w:rPr>
          <w:rFonts w:hint="eastAsia" w:hAnsi="宋体"/>
          <w:b w:val="0"/>
          <w:bCs w:val="0"/>
          <w:color w:val="000000"/>
          <w:sz w:val="24"/>
        </w:rPr>
        <w:t>　　三、维修服务</w:t>
      </w:r>
      <w:r>
        <w:rPr>
          <w:rFonts w:hint="eastAsia" w:ascii="宋体"/>
          <w:b w:val="0"/>
          <w:bCs w:val="0"/>
          <w:color w:val="000000"/>
          <w:kern w:val="0"/>
          <w:sz w:val="24"/>
        </w:rPr>
        <w:t>：</w:t>
      </w:r>
      <w:r>
        <w:rPr>
          <w:rFonts w:hint="eastAsia" w:ascii="宋体"/>
          <w:b w:val="0"/>
          <w:bCs w:val="0"/>
          <w:color w:val="000000"/>
          <w:kern w:val="0"/>
          <w:sz w:val="24"/>
          <w:u w:val="single"/>
        </w:rPr>
        <w:t>　　　　　           　　　　　</w:t>
      </w:r>
    </w:p>
    <w:p>
      <w:pPr>
        <w:spacing w:line="360" w:lineRule="auto"/>
        <w:rPr>
          <w:rFonts w:hint="eastAsia" w:hAnsi="宋体"/>
          <w:b w:val="0"/>
          <w:bCs w:val="0"/>
          <w:color w:val="000000"/>
          <w:sz w:val="24"/>
        </w:rPr>
      </w:pPr>
      <w:r>
        <w:rPr>
          <w:rFonts w:hint="eastAsia" w:hAnsi="宋体"/>
          <w:b w:val="0"/>
          <w:bCs w:val="0"/>
          <w:color w:val="000000"/>
          <w:sz w:val="24"/>
        </w:rPr>
        <w:t>　　四、技术服务</w:t>
      </w:r>
      <w:r>
        <w:rPr>
          <w:rFonts w:hint="eastAsia" w:ascii="宋体"/>
          <w:b w:val="0"/>
          <w:bCs w:val="0"/>
          <w:color w:val="000000"/>
          <w:kern w:val="0"/>
          <w:sz w:val="24"/>
        </w:rPr>
        <w:t>：</w:t>
      </w:r>
      <w:r>
        <w:rPr>
          <w:rFonts w:hint="eastAsia" w:ascii="宋体"/>
          <w:b w:val="0"/>
          <w:bCs w:val="0"/>
          <w:color w:val="000000"/>
          <w:kern w:val="0"/>
          <w:sz w:val="24"/>
          <w:u w:val="single"/>
        </w:rPr>
        <w:t>　　　           　　　　　　　</w:t>
      </w:r>
    </w:p>
    <w:p>
      <w:pPr>
        <w:spacing w:line="360" w:lineRule="auto"/>
        <w:ind w:firstLine="480"/>
        <w:rPr>
          <w:rFonts w:hint="eastAsia" w:hAnsi="宋体"/>
          <w:b w:val="0"/>
          <w:bCs w:val="0"/>
          <w:color w:val="000000"/>
          <w:sz w:val="24"/>
        </w:rPr>
      </w:pPr>
      <w:r>
        <w:rPr>
          <w:rFonts w:hint="eastAsia" w:hAnsi="宋体"/>
          <w:b w:val="0"/>
          <w:bCs w:val="0"/>
          <w:color w:val="000000"/>
          <w:sz w:val="24"/>
        </w:rPr>
        <w:t>五、培训服务</w:t>
      </w:r>
      <w:r>
        <w:rPr>
          <w:rFonts w:hint="eastAsia" w:ascii="宋体"/>
          <w:b w:val="0"/>
          <w:bCs w:val="0"/>
          <w:color w:val="000000"/>
          <w:kern w:val="0"/>
          <w:sz w:val="24"/>
        </w:rPr>
        <w:t>：</w:t>
      </w:r>
      <w:r>
        <w:rPr>
          <w:rFonts w:hint="eastAsia" w:ascii="宋体"/>
          <w:b w:val="0"/>
          <w:bCs w:val="0"/>
          <w:color w:val="000000"/>
          <w:kern w:val="0"/>
          <w:sz w:val="24"/>
          <w:u w:val="single"/>
        </w:rPr>
        <w:t>　　　　　　　           　　　</w:t>
      </w:r>
    </w:p>
    <w:p>
      <w:pPr>
        <w:spacing w:line="360" w:lineRule="auto"/>
        <w:ind w:firstLine="480"/>
        <w:rPr>
          <w:rFonts w:hint="eastAsia" w:hAnsi="宋体"/>
          <w:b w:val="0"/>
          <w:bCs w:val="0"/>
          <w:color w:val="000000"/>
          <w:sz w:val="24"/>
        </w:rPr>
      </w:pPr>
      <w:r>
        <w:rPr>
          <w:rFonts w:hint="eastAsia" w:hAnsi="宋体"/>
          <w:b w:val="0"/>
          <w:bCs w:val="0"/>
          <w:color w:val="000000"/>
          <w:sz w:val="24"/>
        </w:rPr>
        <w:t>六、其他服务</w:t>
      </w:r>
      <w:r>
        <w:rPr>
          <w:rFonts w:hint="eastAsia" w:ascii="宋体"/>
          <w:b w:val="0"/>
          <w:bCs w:val="0"/>
          <w:color w:val="000000"/>
          <w:kern w:val="0"/>
          <w:sz w:val="24"/>
        </w:rPr>
        <w:t>：</w:t>
      </w:r>
      <w:r>
        <w:rPr>
          <w:rFonts w:hint="eastAsia" w:ascii="宋体"/>
          <w:b w:val="0"/>
          <w:bCs w:val="0"/>
          <w:color w:val="000000"/>
          <w:kern w:val="0"/>
          <w:sz w:val="24"/>
          <w:u w:val="single"/>
        </w:rPr>
        <w:t>　　　　           　　　　　　</w:t>
      </w:r>
    </w:p>
    <w:p>
      <w:pPr>
        <w:pStyle w:val="13"/>
        <w:spacing w:line="360" w:lineRule="auto"/>
        <w:rPr>
          <w:rFonts w:hint="eastAsia" w:hAnsi="宋体"/>
          <w:b w:val="0"/>
          <w:bCs w:val="0"/>
          <w:color w:val="000000"/>
          <w:sz w:val="24"/>
        </w:rPr>
      </w:pPr>
      <w:r>
        <w:rPr>
          <w:rFonts w:hint="eastAsia" w:hAnsi="宋体"/>
          <w:b w:val="0"/>
          <w:bCs w:val="0"/>
          <w:color w:val="000000"/>
          <w:sz w:val="24"/>
        </w:rPr>
        <w:t xml:space="preserve">                                     投标人全称（盖章）：</w:t>
      </w:r>
    </w:p>
    <w:p>
      <w:pPr>
        <w:pStyle w:val="13"/>
        <w:spacing w:line="360" w:lineRule="auto"/>
        <w:rPr>
          <w:rFonts w:hint="eastAsia" w:hAnsi="宋体"/>
          <w:b w:val="0"/>
          <w:bCs w:val="0"/>
          <w:color w:val="000000"/>
          <w:sz w:val="24"/>
        </w:rPr>
      </w:pPr>
      <w:r>
        <w:rPr>
          <w:rFonts w:hint="eastAsia" w:hAnsi="宋体"/>
          <w:b w:val="0"/>
          <w:bCs w:val="0"/>
          <w:color w:val="000000"/>
          <w:sz w:val="24"/>
        </w:rPr>
        <w:t xml:space="preserve">                                    </w:t>
      </w:r>
      <w:r>
        <w:rPr>
          <w:rFonts w:hint="eastAsia" w:hAnsi="宋体"/>
          <w:b w:val="0"/>
          <w:bCs w:val="0"/>
          <w:color w:val="000000"/>
          <w:sz w:val="24"/>
          <w:lang w:val="en-US" w:eastAsia="zh-CN"/>
        </w:rPr>
        <w:t>法定代表人</w:t>
      </w:r>
      <w:r>
        <w:rPr>
          <w:rFonts w:hint="eastAsia" w:hAnsi="宋体"/>
          <w:b w:val="0"/>
          <w:bCs w:val="0"/>
          <w:color w:val="000000"/>
          <w:sz w:val="24"/>
        </w:rPr>
        <w:t>（盖章）：</w:t>
      </w:r>
    </w:p>
    <w:p>
      <w:pPr>
        <w:spacing w:line="360" w:lineRule="auto"/>
        <w:rPr>
          <w:rFonts w:hint="eastAsia"/>
          <w:b w:val="0"/>
          <w:bCs w:val="0"/>
          <w:color w:val="000000"/>
          <w:sz w:val="36"/>
        </w:rPr>
      </w:pPr>
      <w:r>
        <w:rPr>
          <w:rFonts w:hint="eastAsia"/>
          <w:b w:val="0"/>
          <w:bCs w:val="0"/>
          <w:color w:val="000000"/>
        </w:rPr>
        <w:t xml:space="preserve">                         </w:t>
      </w:r>
      <w:r>
        <w:rPr>
          <w:rFonts w:hint="eastAsia"/>
          <w:b w:val="0"/>
          <w:bCs w:val="0"/>
          <w:color w:val="000000"/>
          <w:sz w:val="24"/>
        </w:rPr>
        <w:t xml:space="preserve">               日   期：</w:t>
      </w:r>
      <w:r>
        <w:rPr>
          <w:b w:val="0"/>
          <w:bCs w:val="0"/>
          <w:color w:val="000000"/>
          <w:sz w:val="36"/>
        </w:rPr>
        <w:t xml:space="preserve"> </w:t>
      </w:r>
      <w:bookmarkEnd w:id="193"/>
    </w:p>
    <w:p>
      <w:pPr>
        <w:spacing w:line="360" w:lineRule="auto"/>
        <w:rPr>
          <w:rFonts w:hint="eastAsia"/>
          <w:color w:val="000000"/>
          <w:sz w:val="36"/>
        </w:rPr>
      </w:pPr>
    </w:p>
    <w:p>
      <w:pPr>
        <w:spacing w:line="360" w:lineRule="auto"/>
        <w:rPr>
          <w:rFonts w:hint="eastAsia"/>
          <w:color w:val="000000"/>
          <w:sz w:val="36"/>
        </w:rPr>
      </w:pPr>
    </w:p>
    <w:p>
      <w:pPr>
        <w:spacing w:line="360" w:lineRule="auto"/>
        <w:rPr>
          <w:rFonts w:hint="eastAsia"/>
          <w:color w:val="000000"/>
          <w:sz w:val="36"/>
        </w:rPr>
      </w:pPr>
    </w:p>
    <w:p>
      <w:pPr>
        <w:spacing w:line="360" w:lineRule="auto"/>
        <w:rPr>
          <w:rFonts w:hint="eastAsia"/>
          <w:color w:val="000000"/>
          <w:sz w:val="36"/>
        </w:rPr>
      </w:pPr>
    </w:p>
    <w:p>
      <w:pPr>
        <w:spacing w:line="360" w:lineRule="auto"/>
        <w:rPr>
          <w:rFonts w:hint="eastAsia"/>
          <w:color w:val="000000"/>
          <w:sz w:val="36"/>
        </w:rPr>
      </w:pPr>
    </w:p>
    <w:p>
      <w:pPr>
        <w:pStyle w:val="3"/>
        <w:ind w:left="0" w:leftChars="0" w:firstLine="0" w:firstLineChars="0"/>
        <w:rPr>
          <w:rFonts w:hint="eastAsia"/>
          <w:color w:val="000000"/>
          <w:sz w:val="36"/>
        </w:rPr>
      </w:pPr>
    </w:p>
    <w:p>
      <w:pPr>
        <w:pStyle w:val="3"/>
        <w:ind w:left="0" w:leftChars="0" w:firstLine="0" w:firstLineChars="0"/>
        <w:rPr>
          <w:rFonts w:hint="eastAsia"/>
          <w:color w:val="000000"/>
          <w:sz w:val="36"/>
        </w:rPr>
      </w:pPr>
    </w:p>
    <w:p>
      <w:pPr>
        <w:pStyle w:val="3"/>
        <w:ind w:left="0" w:leftChars="0" w:firstLine="0" w:firstLineChars="0"/>
        <w:rPr>
          <w:rFonts w:hint="eastAsia"/>
          <w:color w:val="000000"/>
          <w:sz w:val="36"/>
        </w:rPr>
      </w:pPr>
    </w:p>
    <w:p>
      <w:pPr>
        <w:pStyle w:val="3"/>
        <w:ind w:left="0" w:leftChars="0" w:firstLine="0" w:firstLineChars="0"/>
        <w:rPr>
          <w:rFonts w:hint="eastAsia"/>
          <w:color w:val="000000"/>
          <w:sz w:val="36"/>
        </w:rPr>
      </w:pPr>
    </w:p>
    <w:p>
      <w:pPr>
        <w:pStyle w:val="3"/>
        <w:ind w:left="0" w:leftChars="0" w:firstLine="0" w:firstLineChars="0"/>
        <w:rPr>
          <w:rFonts w:hint="eastAsia"/>
          <w:color w:val="000000"/>
          <w:sz w:val="36"/>
        </w:rPr>
      </w:pPr>
    </w:p>
    <w:p>
      <w:pPr>
        <w:pStyle w:val="3"/>
        <w:rPr>
          <w:rFonts w:hint="eastAsia" w:ascii="宋体" w:hAnsi="宋体" w:eastAsia="仿宋_GB2312" w:cs="宋体"/>
          <w:b/>
          <w:color w:val="000000"/>
          <w:kern w:val="0"/>
          <w:sz w:val="24"/>
          <w:szCs w:val="22"/>
          <w:lang w:val="en-US" w:eastAsia="zh-CN" w:bidi="ar-SA"/>
        </w:rPr>
      </w:pPr>
      <w:r>
        <w:rPr>
          <w:rFonts w:hint="eastAsia" w:ascii="宋体" w:hAnsi="宋体" w:eastAsia="仿宋_GB2312" w:cs="宋体"/>
          <w:b/>
          <w:color w:val="000000"/>
          <w:kern w:val="0"/>
          <w:sz w:val="24"/>
          <w:szCs w:val="22"/>
          <w:lang w:val="en-US" w:eastAsia="zh-CN" w:bidi="ar-SA"/>
        </w:rPr>
        <w:t>附件十七</w:t>
      </w:r>
    </w:p>
    <w:p>
      <w:pPr>
        <w:pStyle w:val="95"/>
        <w:spacing w:line="500" w:lineRule="exact"/>
        <w:ind w:firstLine="442"/>
        <w:jc w:val="center"/>
        <w:rPr>
          <w:rFonts w:hAnsi="宋体" w:cs="宋体"/>
          <w:b/>
          <w:sz w:val="24"/>
        </w:rPr>
      </w:pPr>
      <w:r>
        <w:rPr>
          <w:rFonts w:hint="eastAsia" w:hAnsi="宋体" w:cs="宋体"/>
          <w:b/>
          <w:sz w:val="24"/>
        </w:rPr>
        <w:t>政府采购活动现场确认声明书</w:t>
      </w:r>
    </w:p>
    <w:p>
      <w:pPr>
        <w:pStyle w:val="95"/>
        <w:spacing w:line="500" w:lineRule="exact"/>
        <w:ind w:firstLine="482"/>
        <w:rPr>
          <w:rFonts w:hAnsi="宋体" w:cs="宋体"/>
          <w:b/>
          <w:sz w:val="24"/>
        </w:rPr>
      </w:pPr>
      <w:r>
        <w:rPr>
          <w:rFonts w:hint="eastAsia" w:hAnsi="宋体" w:cs="宋体"/>
          <w:b/>
          <w:bCs/>
          <w:sz w:val="24"/>
          <w:lang w:val="en-US" w:eastAsia="zh-CN"/>
        </w:rPr>
        <w:t>浙江省工程咨询有限公司</w:t>
      </w:r>
      <w:r>
        <w:rPr>
          <w:rFonts w:hint="eastAsia" w:hAnsi="宋体" w:cs="宋体"/>
          <w:b/>
          <w:kern w:val="0"/>
          <w:sz w:val="24"/>
        </w:rPr>
        <w:t>：</w:t>
      </w:r>
    </w:p>
    <w:p>
      <w:pPr>
        <w:pStyle w:val="95"/>
        <w:spacing w:line="480" w:lineRule="exact"/>
        <w:ind w:firstLine="504"/>
        <w:rPr>
          <w:rFonts w:hAnsi="宋体" w:cs="宋体"/>
          <w:spacing w:val="6"/>
          <w:sz w:val="24"/>
        </w:rPr>
      </w:pPr>
      <w:r>
        <w:rPr>
          <w:rFonts w:hint="eastAsia" w:hAnsi="宋体" w:cs="宋体"/>
          <w:spacing w:val="6"/>
          <w:sz w:val="24"/>
        </w:rPr>
        <w:t>本人经由</w:t>
      </w:r>
      <w:r>
        <w:rPr>
          <w:rFonts w:hint="eastAsia" w:hAnsi="宋体" w:cs="宋体"/>
          <w:spacing w:val="6"/>
          <w:sz w:val="24"/>
          <w:u w:val="single"/>
        </w:rPr>
        <w:t xml:space="preserve">                  （单位）</w:t>
      </w:r>
      <w:r>
        <w:rPr>
          <w:rFonts w:hint="eastAsia" w:hAnsi="宋体" w:cs="宋体"/>
          <w:spacing w:val="6"/>
          <w:sz w:val="24"/>
        </w:rPr>
        <w:t>负责人</w:t>
      </w:r>
      <w:r>
        <w:rPr>
          <w:rFonts w:hint="eastAsia" w:hAnsi="宋体" w:cs="宋体"/>
          <w:spacing w:val="6"/>
          <w:sz w:val="24"/>
          <w:u w:val="single"/>
        </w:rPr>
        <w:t xml:space="preserve">        （姓名）</w:t>
      </w:r>
      <w:r>
        <w:rPr>
          <w:rFonts w:hint="eastAsia" w:hAnsi="宋体" w:cs="宋体"/>
          <w:spacing w:val="6"/>
          <w:sz w:val="24"/>
        </w:rPr>
        <w:t>合法授权参加项目（编号：</w:t>
      </w:r>
      <w:r>
        <w:rPr>
          <w:rFonts w:hint="eastAsia" w:hAnsi="宋体" w:cs="宋体"/>
          <w:spacing w:val="6"/>
          <w:sz w:val="24"/>
          <w:u w:val="single"/>
        </w:rPr>
        <w:t xml:space="preserve">             </w:t>
      </w:r>
      <w:r>
        <w:rPr>
          <w:rFonts w:hint="eastAsia" w:hAnsi="宋体" w:cs="宋体"/>
          <w:spacing w:val="6"/>
          <w:sz w:val="24"/>
        </w:rPr>
        <w:t xml:space="preserve">）政府采购活动，经与本单位法人代表（负责人）联系确认，现就有关公平竞争事项郑重声明如下： </w:t>
      </w:r>
    </w:p>
    <w:p>
      <w:pPr>
        <w:pStyle w:val="96"/>
        <w:widowControl/>
        <w:numPr>
          <w:ilvl w:val="0"/>
          <w:numId w:val="18"/>
        </w:numPr>
        <w:snapToGrid w:val="0"/>
        <w:spacing w:line="480" w:lineRule="exact"/>
        <w:ind w:firstLine="453" w:firstLineChars="189"/>
        <w:rPr>
          <w:rFonts w:ascii="宋体" w:hAnsi="宋体" w:cs="宋体"/>
          <w:kern w:val="0"/>
          <w:sz w:val="24"/>
          <w:szCs w:val="24"/>
        </w:rPr>
      </w:pPr>
      <w:r>
        <w:rPr>
          <w:rFonts w:hint="eastAsia" w:ascii="宋体" w:hAnsi="宋体" w:cs="宋体"/>
          <w:kern w:val="0"/>
          <w:sz w:val="24"/>
          <w:szCs w:val="24"/>
        </w:rPr>
        <w:t>本单位与采购人之间 □不存在利害关系 □存在下列利害关系：</w:t>
      </w:r>
    </w:p>
    <w:p>
      <w:pPr>
        <w:pStyle w:val="96"/>
        <w:widowControl/>
        <w:snapToGrid w:val="0"/>
        <w:spacing w:line="480" w:lineRule="exact"/>
        <w:rPr>
          <w:rFonts w:ascii="宋体" w:hAnsi="宋体" w:cs="宋体"/>
          <w:kern w:val="0"/>
          <w:sz w:val="24"/>
          <w:szCs w:val="24"/>
        </w:rPr>
      </w:pPr>
      <w:r>
        <w:rPr>
          <w:rFonts w:hint="eastAsia" w:ascii="宋体" w:hAnsi="宋体" w:cs="宋体"/>
          <w:kern w:val="0"/>
          <w:sz w:val="24"/>
          <w:szCs w:val="24"/>
        </w:rPr>
        <w:t xml:space="preserve">  A.投资关系    B.行政隶属关系    C.业务指导关系</w:t>
      </w:r>
    </w:p>
    <w:p>
      <w:pPr>
        <w:pStyle w:val="96"/>
        <w:widowControl/>
        <w:snapToGrid w:val="0"/>
        <w:spacing w:line="480" w:lineRule="exact"/>
        <w:rPr>
          <w:rFonts w:ascii="宋体" w:hAnsi="宋体" w:cs="宋体"/>
          <w:kern w:val="0"/>
          <w:sz w:val="24"/>
          <w:szCs w:val="24"/>
        </w:rPr>
      </w:pPr>
      <w:r>
        <w:rPr>
          <w:rFonts w:hint="eastAsia" w:ascii="宋体" w:hAnsi="宋体" w:cs="宋体"/>
          <w:kern w:val="0"/>
          <w:sz w:val="24"/>
          <w:szCs w:val="24"/>
        </w:rPr>
        <w:t xml:space="preserve">  D.其他可能</w:t>
      </w:r>
      <w:r>
        <w:rPr>
          <w:rFonts w:hint="eastAsia" w:ascii="宋体" w:hAnsi="宋体" w:cs="宋体"/>
          <w:sz w:val="24"/>
          <w:szCs w:val="24"/>
        </w:rPr>
        <w:t>影响采购公正的</w:t>
      </w:r>
      <w:r>
        <w:rPr>
          <w:rFonts w:hint="eastAsia" w:ascii="宋体" w:hAnsi="宋体" w:cs="宋体"/>
          <w:kern w:val="0"/>
          <w:sz w:val="24"/>
          <w:szCs w:val="24"/>
        </w:rPr>
        <w:t>利害关系</w:t>
      </w:r>
      <w:r>
        <w:rPr>
          <w:rFonts w:hint="eastAsia" w:ascii="宋体" w:hAnsi="宋体" w:cs="宋体"/>
          <w:kern w:val="0"/>
          <w:sz w:val="24"/>
          <w:szCs w:val="24"/>
          <w:u w:val="single"/>
        </w:rPr>
        <w:t xml:space="preserve">（如有，请如实说明）                 </w:t>
      </w:r>
      <w:r>
        <w:rPr>
          <w:rFonts w:hint="eastAsia" w:ascii="宋体" w:hAnsi="宋体" w:cs="宋体"/>
          <w:kern w:val="0"/>
          <w:sz w:val="24"/>
          <w:szCs w:val="24"/>
        </w:rPr>
        <w:t>。</w:t>
      </w:r>
    </w:p>
    <w:p>
      <w:pPr>
        <w:pStyle w:val="96"/>
        <w:widowControl/>
        <w:snapToGrid w:val="0"/>
        <w:spacing w:line="480" w:lineRule="exact"/>
        <w:rPr>
          <w:rFonts w:ascii="宋体" w:hAnsi="宋体" w:cs="宋体"/>
          <w:kern w:val="0"/>
          <w:sz w:val="24"/>
          <w:szCs w:val="24"/>
        </w:rPr>
      </w:pPr>
      <w:r>
        <w:rPr>
          <w:rFonts w:hint="eastAsia" w:ascii="宋体" w:hAnsi="宋体" w:cs="宋体"/>
          <w:spacing w:val="6"/>
          <w:sz w:val="24"/>
          <w:szCs w:val="24"/>
        </w:rPr>
        <w:t xml:space="preserve">  二、</w:t>
      </w:r>
      <w:r>
        <w:rPr>
          <w:rFonts w:hint="eastAsia" w:ascii="宋体" w:hAnsi="宋体" w:cs="宋体"/>
          <w:kern w:val="0"/>
          <w:sz w:val="24"/>
          <w:szCs w:val="24"/>
        </w:rPr>
        <w:t>现已清楚知道参加本项目采购活动的其他所有供应商名称，本单位 □与其他所有供应商之间均不存在利害关系 □与</w:t>
      </w:r>
      <w:r>
        <w:rPr>
          <w:rFonts w:hint="eastAsia" w:ascii="宋体" w:hAnsi="宋体" w:cs="宋体"/>
          <w:kern w:val="0"/>
          <w:sz w:val="24"/>
          <w:szCs w:val="24"/>
          <w:u w:val="single"/>
        </w:rPr>
        <w:t xml:space="preserve">           （供应商名称）</w:t>
      </w:r>
      <w:r>
        <w:rPr>
          <w:rFonts w:hint="eastAsia" w:ascii="宋体" w:hAnsi="宋体" w:cs="宋体"/>
          <w:kern w:val="0"/>
          <w:sz w:val="24"/>
          <w:szCs w:val="24"/>
        </w:rPr>
        <w:t>之间存在下列利害关系：</w:t>
      </w:r>
    </w:p>
    <w:p>
      <w:pPr>
        <w:pStyle w:val="95"/>
        <w:spacing w:line="480" w:lineRule="exact"/>
        <w:ind w:firstLine="480"/>
        <w:rPr>
          <w:rFonts w:hAnsi="宋体" w:cs="宋体"/>
          <w:kern w:val="0"/>
          <w:sz w:val="24"/>
        </w:rPr>
      </w:pPr>
      <w:r>
        <w:rPr>
          <w:rFonts w:hint="eastAsia" w:hAnsi="宋体" w:cs="宋体"/>
          <w:kern w:val="0"/>
          <w:sz w:val="24"/>
        </w:rPr>
        <w:t xml:space="preserve">  A.法定代表人或负责人或实际控制人是同一人</w:t>
      </w:r>
    </w:p>
    <w:p>
      <w:pPr>
        <w:pStyle w:val="95"/>
        <w:spacing w:line="480" w:lineRule="exact"/>
        <w:ind w:firstLine="480"/>
        <w:rPr>
          <w:rFonts w:hAnsi="宋体" w:cs="宋体"/>
          <w:spacing w:val="6"/>
          <w:sz w:val="24"/>
        </w:rPr>
      </w:pPr>
      <w:r>
        <w:rPr>
          <w:rFonts w:hint="eastAsia" w:hAnsi="宋体" w:cs="宋体"/>
          <w:kern w:val="0"/>
          <w:sz w:val="24"/>
        </w:rPr>
        <w:t xml:space="preserve">  B.法定代表人或负责人或实际控制人是夫妻关系</w:t>
      </w:r>
    </w:p>
    <w:p>
      <w:pPr>
        <w:pStyle w:val="95"/>
        <w:spacing w:line="480" w:lineRule="exact"/>
        <w:ind w:firstLine="480"/>
        <w:rPr>
          <w:rFonts w:hAnsi="宋体" w:cs="宋体"/>
          <w:spacing w:val="6"/>
          <w:sz w:val="24"/>
        </w:rPr>
      </w:pPr>
      <w:r>
        <w:rPr>
          <w:rFonts w:hint="eastAsia" w:hAnsi="宋体" w:cs="宋体"/>
          <w:kern w:val="0"/>
          <w:sz w:val="24"/>
        </w:rPr>
        <w:t xml:space="preserve">  C.法定代表人或负责人或实际控制人是直系血亲关系</w:t>
      </w:r>
    </w:p>
    <w:p>
      <w:pPr>
        <w:pStyle w:val="95"/>
        <w:spacing w:line="480" w:lineRule="exact"/>
        <w:ind w:firstLine="480"/>
        <w:rPr>
          <w:rFonts w:hAnsi="宋体" w:cs="宋体"/>
          <w:spacing w:val="6"/>
          <w:sz w:val="24"/>
        </w:rPr>
      </w:pPr>
      <w:r>
        <w:rPr>
          <w:rFonts w:hint="eastAsia" w:hAnsi="宋体" w:cs="宋体"/>
          <w:kern w:val="0"/>
          <w:sz w:val="24"/>
        </w:rPr>
        <w:t xml:space="preserve">  D.法定代表人或负责人或实际控制人存在三代以内旁系血亲关系</w:t>
      </w:r>
    </w:p>
    <w:p>
      <w:pPr>
        <w:pStyle w:val="95"/>
        <w:spacing w:line="480" w:lineRule="exact"/>
        <w:ind w:firstLine="480"/>
        <w:rPr>
          <w:rFonts w:hAnsi="宋体" w:cs="宋体"/>
          <w:kern w:val="0"/>
          <w:sz w:val="24"/>
        </w:rPr>
      </w:pPr>
      <w:r>
        <w:rPr>
          <w:rFonts w:hint="eastAsia" w:hAnsi="宋体" w:cs="宋体"/>
          <w:kern w:val="0"/>
          <w:sz w:val="24"/>
        </w:rPr>
        <w:t xml:space="preserve">  E.法定代表人或负责人或实际控制人存在近姻亲关系</w:t>
      </w:r>
    </w:p>
    <w:p>
      <w:pPr>
        <w:pStyle w:val="95"/>
        <w:spacing w:line="480" w:lineRule="exact"/>
        <w:ind w:firstLine="480"/>
        <w:rPr>
          <w:rFonts w:hAnsi="宋体" w:cs="宋体"/>
          <w:kern w:val="0"/>
          <w:sz w:val="24"/>
        </w:rPr>
      </w:pPr>
      <w:r>
        <w:rPr>
          <w:rFonts w:hint="eastAsia" w:hAnsi="宋体" w:cs="宋体"/>
          <w:kern w:val="0"/>
          <w:sz w:val="24"/>
        </w:rPr>
        <w:t xml:space="preserve">  F.法定代表人或负责人或实际控制人存在股份控制或实际控制关系</w:t>
      </w:r>
    </w:p>
    <w:p>
      <w:pPr>
        <w:pStyle w:val="95"/>
        <w:spacing w:line="480" w:lineRule="exact"/>
        <w:ind w:firstLine="480"/>
        <w:rPr>
          <w:rFonts w:hAnsi="宋体" w:cs="宋体"/>
          <w:kern w:val="0"/>
          <w:sz w:val="24"/>
        </w:rPr>
      </w:pPr>
      <w:r>
        <w:rPr>
          <w:rFonts w:hint="eastAsia" w:hAnsi="宋体" w:cs="宋体"/>
          <w:kern w:val="0"/>
          <w:sz w:val="24"/>
        </w:rPr>
        <w:t xml:space="preserve">  G.存在共同直接或间接投资设立子公司、联营企业和合营企业情况</w:t>
      </w:r>
    </w:p>
    <w:p>
      <w:pPr>
        <w:pStyle w:val="95"/>
        <w:spacing w:line="480" w:lineRule="exact"/>
        <w:ind w:firstLine="480"/>
        <w:rPr>
          <w:rFonts w:hAnsi="宋体" w:cs="宋体"/>
          <w:sz w:val="24"/>
        </w:rPr>
      </w:pPr>
      <w:r>
        <w:rPr>
          <w:rFonts w:hint="eastAsia" w:hAnsi="宋体" w:cs="宋体"/>
          <w:kern w:val="0"/>
          <w:sz w:val="24"/>
        </w:rPr>
        <w:t xml:space="preserve">  H.存在分级代理或代销关系、同一生产制造商关系、</w:t>
      </w:r>
      <w:r>
        <w:rPr>
          <w:rFonts w:hint="eastAsia" w:hAnsi="宋体" w:cs="宋体"/>
          <w:sz w:val="24"/>
        </w:rPr>
        <w:t>管理关系、重要业务（占主营业务收入50%以上）或重要财务往来关系（如融资）等其他实质性控制关系</w:t>
      </w:r>
    </w:p>
    <w:p>
      <w:pPr>
        <w:pStyle w:val="95"/>
        <w:spacing w:line="480" w:lineRule="exact"/>
        <w:ind w:firstLine="480"/>
        <w:rPr>
          <w:rFonts w:hAnsi="宋体" w:cs="宋体"/>
          <w:spacing w:val="6"/>
          <w:sz w:val="24"/>
        </w:rPr>
      </w:pPr>
      <w:r>
        <w:rPr>
          <w:rFonts w:hint="eastAsia" w:hAnsi="宋体" w:cs="宋体"/>
          <w:sz w:val="24"/>
        </w:rPr>
        <w:t xml:space="preserve">    I</w:t>
      </w:r>
      <w:r>
        <w:rPr>
          <w:rFonts w:hint="eastAsia" w:hAnsi="宋体" w:cs="宋体"/>
          <w:kern w:val="0"/>
          <w:sz w:val="24"/>
        </w:rPr>
        <w:t>.</w:t>
      </w:r>
      <w:r>
        <w:rPr>
          <w:rFonts w:hint="eastAsia" w:hAnsi="宋体" w:cs="宋体"/>
          <w:sz w:val="24"/>
        </w:rPr>
        <w:t>其他利害关系情况</w:t>
      </w:r>
      <w:r>
        <w:rPr>
          <w:rFonts w:hint="eastAsia" w:hAnsi="宋体" w:cs="宋体"/>
          <w:kern w:val="0"/>
          <w:sz w:val="24"/>
        </w:rPr>
        <w:t>。</w:t>
      </w:r>
    </w:p>
    <w:p>
      <w:pPr>
        <w:pStyle w:val="96"/>
        <w:widowControl/>
        <w:numPr>
          <w:ilvl w:val="0"/>
          <w:numId w:val="19"/>
        </w:numPr>
        <w:snapToGrid w:val="0"/>
        <w:spacing w:line="480" w:lineRule="exact"/>
        <w:ind w:firstLine="453" w:firstLineChars="189"/>
        <w:rPr>
          <w:rFonts w:ascii="宋体" w:hAnsi="宋体" w:cs="宋体"/>
          <w:kern w:val="0"/>
          <w:sz w:val="24"/>
          <w:szCs w:val="24"/>
        </w:rPr>
      </w:pPr>
      <w:r>
        <w:rPr>
          <w:rFonts w:hint="eastAsia" w:ascii="宋体" w:hAnsi="宋体" w:cs="宋体"/>
          <w:sz w:val="24"/>
          <w:szCs w:val="24"/>
        </w:rPr>
        <w:t>现已清楚知道并</w:t>
      </w:r>
      <w:r>
        <w:rPr>
          <w:rFonts w:hint="eastAsia" w:ascii="宋体" w:hAnsi="宋体" w:cs="宋体"/>
          <w:kern w:val="0"/>
          <w:sz w:val="24"/>
          <w:szCs w:val="24"/>
        </w:rPr>
        <w:t>严格遵守政府采购法律法规和现场纪律。</w:t>
      </w:r>
    </w:p>
    <w:p>
      <w:pPr>
        <w:pStyle w:val="96"/>
        <w:widowControl/>
        <w:numPr>
          <w:ilvl w:val="0"/>
          <w:numId w:val="19"/>
        </w:numPr>
        <w:snapToGrid w:val="0"/>
        <w:spacing w:line="480" w:lineRule="exact"/>
        <w:ind w:firstLine="453" w:firstLineChars="189"/>
        <w:rPr>
          <w:rFonts w:ascii="宋体" w:hAnsi="宋体" w:cs="宋体"/>
          <w:kern w:val="0"/>
          <w:sz w:val="24"/>
          <w:szCs w:val="24"/>
        </w:rPr>
      </w:pPr>
      <w:r>
        <w:rPr>
          <w:rFonts w:hint="eastAsia" w:ascii="宋体" w:hAnsi="宋体" w:cs="宋体"/>
          <w:kern w:val="0"/>
          <w:sz w:val="24"/>
          <w:szCs w:val="24"/>
        </w:rPr>
        <w:t>我发现供应商之间存在或可能存在上述第二条第项利害关系。</w:t>
      </w:r>
    </w:p>
    <w:p>
      <w:pPr>
        <w:pStyle w:val="95"/>
        <w:spacing w:line="500" w:lineRule="exact"/>
        <w:ind w:firstLine="480"/>
        <w:rPr>
          <w:rFonts w:hAnsi="宋体" w:cs="宋体"/>
          <w:sz w:val="24"/>
        </w:rPr>
      </w:pPr>
    </w:p>
    <w:p>
      <w:pPr>
        <w:pStyle w:val="95"/>
        <w:spacing w:line="500" w:lineRule="exact"/>
        <w:ind w:firstLine="480"/>
        <w:rPr>
          <w:rFonts w:hAnsi="宋体" w:cs="宋体"/>
          <w:sz w:val="24"/>
          <w:u w:val="single"/>
        </w:rPr>
      </w:pPr>
      <w:r>
        <w:rPr>
          <w:rFonts w:hint="eastAsia" w:hAnsi="宋体" w:cs="宋体"/>
          <w:sz w:val="24"/>
        </w:rPr>
        <w:t>投标人代表签字：</w:t>
      </w:r>
    </w:p>
    <w:p>
      <w:pPr>
        <w:spacing w:line="440" w:lineRule="exact"/>
        <w:jc w:val="right"/>
        <w:rPr>
          <w:rFonts w:hint="eastAsia" w:ascii="宋体" w:hAnsi="宋体" w:cs="宋体"/>
          <w:sz w:val="24"/>
        </w:rPr>
      </w:pPr>
      <w:r>
        <w:rPr>
          <w:rFonts w:hint="eastAsia" w:ascii="宋体" w:hAnsi="宋体" w:cs="宋体"/>
          <w:sz w:val="24"/>
        </w:rPr>
        <w:tab/>
      </w:r>
      <w:r>
        <w:rPr>
          <w:rFonts w:hint="eastAsia" w:ascii="宋体" w:hAnsi="宋体" w:cs="宋体"/>
          <w:sz w:val="24"/>
        </w:rPr>
        <w:tab/>
      </w:r>
      <w:r>
        <w:rPr>
          <w:rFonts w:hint="eastAsia" w:ascii="宋体" w:hAnsi="宋体" w:cs="宋体"/>
          <w:sz w:val="24"/>
        </w:rPr>
        <w:tab/>
      </w:r>
    </w:p>
    <w:p>
      <w:pPr>
        <w:spacing w:line="440" w:lineRule="exact"/>
        <w:jc w:val="right"/>
        <w:rPr>
          <w:rFonts w:hint="eastAsia" w:ascii="新宋体" w:hAnsi="新宋体" w:eastAsia="新宋体" w:cs="新宋体"/>
          <w:b/>
          <w:bCs/>
          <w:sz w:val="22"/>
          <w:szCs w:val="22"/>
        </w:rPr>
      </w:pPr>
      <w:r>
        <w:rPr>
          <w:rFonts w:hint="eastAsia" w:ascii="宋体" w:hAnsi="宋体" w:cs="宋体"/>
          <w:sz w:val="24"/>
        </w:rPr>
        <w:t xml:space="preserve"> 年  月  日</w:t>
      </w:r>
    </w:p>
    <w:p>
      <w:pPr>
        <w:spacing w:line="440" w:lineRule="exact"/>
        <w:rPr>
          <w:rFonts w:hint="eastAsia" w:ascii="新宋体" w:hAnsi="新宋体" w:eastAsia="新宋体" w:cs="新宋体"/>
          <w:b/>
          <w:bCs/>
          <w:sz w:val="22"/>
          <w:szCs w:val="22"/>
        </w:rPr>
      </w:pPr>
    </w:p>
    <w:p>
      <w:pPr>
        <w:pStyle w:val="5"/>
      </w:pPr>
    </w:p>
    <w:p>
      <w:pPr>
        <w:jc w:val="center"/>
        <w:outlineLvl w:val="0"/>
        <w:rPr>
          <w:rFonts w:ascii="宋体" w:eastAsia="宋体"/>
          <w:b w:val="0"/>
          <w:color w:val="auto"/>
          <w:sz w:val="32"/>
          <w:szCs w:val="32"/>
        </w:rPr>
      </w:pPr>
      <w:bookmarkStart w:id="194" w:name="_Toc494407559"/>
      <w:r>
        <w:rPr>
          <w:rFonts w:hint="eastAsia" w:ascii="宋体" w:eastAsia="宋体"/>
          <w:color w:val="auto"/>
          <w:sz w:val="28"/>
          <w:szCs w:val="28"/>
        </w:rPr>
        <w:t>第七部分  评标办法</w:t>
      </w:r>
      <w:bookmarkEnd w:id="194"/>
    </w:p>
    <w:p>
      <w:pPr>
        <w:tabs>
          <w:tab w:val="left" w:pos="8820"/>
        </w:tabs>
        <w:adjustRightInd w:val="0"/>
        <w:snapToGrid w:val="0"/>
        <w:spacing w:before="100" w:after="50" w:line="320" w:lineRule="exact"/>
        <w:ind w:firstLine="440" w:firstLineChars="200"/>
        <w:rPr>
          <w:rFonts w:ascii="宋体" w:eastAsia="宋体"/>
          <w:b w:val="0"/>
          <w:color w:val="auto"/>
          <w:sz w:val="22"/>
          <w:szCs w:val="22"/>
        </w:rPr>
      </w:pPr>
      <w:r>
        <w:rPr>
          <w:rFonts w:hint="eastAsia" w:ascii="宋体" w:eastAsia="宋体"/>
          <w:b w:val="0"/>
          <w:color w:val="auto"/>
          <w:sz w:val="22"/>
          <w:szCs w:val="22"/>
        </w:rPr>
        <w:t>根据《中华人民共和国政府采购法》等有关政府采购法规，结合本次所要采购货物的实际，按照公平、公正、科学、择优的原则选择</w:t>
      </w:r>
      <w:r>
        <w:rPr>
          <w:rFonts w:hint="eastAsia" w:ascii="宋体" w:eastAsia="宋体" w:cs="宋体"/>
          <w:b w:val="0"/>
          <w:color w:val="auto"/>
          <w:sz w:val="22"/>
          <w:szCs w:val="22"/>
        </w:rPr>
        <w:t>中标供应商</w:t>
      </w:r>
      <w:r>
        <w:rPr>
          <w:rFonts w:hint="eastAsia" w:ascii="宋体" w:eastAsia="宋体"/>
          <w:b w:val="0"/>
          <w:color w:val="auto"/>
          <w:sz w:val="22"/>
          <w:szCs w:val="22"/>
        </w:rPr>
        <w:t>，特制定本评标办法。</w:t>
      </w:r>
    </w:p>
    <w:p>
      <w:pPr>
        <w:adjustRightInd w:val="0"/>
        <w:snapToGrid w:val="0"/>
        <w:spacing w:beforeLines="50" w:after="50" w:line="320" w:lineRule="exact"/>
        <w:jc w:val="center"/>
        <w:rPr>
          <w:rFonts w:ascii="宋体" w:eastAsia="宋体"/>
          <w:b w:val="0"/>
          <w:bCs/>
          <w:color w:val="auto"/>
          <w:sz w:val="22"/>
          <w:szCs w:val="22"/>
        </w:rPr>
      </w:pPr>
      <w:r>
        <w:rPr>
          <w:rFonts w:hint="eastAsia" w:ascii="宋体" w:eastAsia="宋体"/>
          <w:b w:val="0"/>
          <w:bCs/>
          <w:color w:val="auto"/>
          <w:sz w:val="22"/>
          <w:szCs w:val="22"/>
        </w:rPr>
        <w:t>一、总则</w:t>
      </w:r>
    </w:p>
    <w:p>
      <w:pPr>
        <w:pStyle w:val="15"/>
        <w:adjustRightInd w:val="0"/>
        <w:snapToGrid w:val="0"/>
        <w:spacing w:before="100" w:after="50" w:line="320" w:lineRule="exact"/>
        <w:rPr>
          <w:rFonts w:eastAsia="宋体"/>
          <w:b w:val="0"/>
          <w:color w:val="auto"/>
          <w:sz w:val="22"/>
          <w:szCs w:val="22"/>
        </w:rPr>
      </w:pPr>
      <w:r>
        <w:rPr>
          <w:rFonts w:hint="eastAsia" w:eastAsia="宋体"/>
          <w:b w:val="0"/>
          <w:color w:val="auto"/>
          <w:sz w:val="22"/>
          <w:szCs w:val="22"/>
        </w:rPr>
        <w:t>评标工作遵循公平、公正、民主、科学的原则和诚实、信誉、效率的服务原则。本着科学、严谨的态度，认真进行评标。择优选定设备的供货单位，确保货物质量、完工期，节约投资，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beforeLines="50" w:after="50" w:line="320" w:lineRule="exact"/>
        <w:jc w:val="center"/>
        <w:rPr>
          <w:rFonts w:ascii="宋体" w:eastAsia="宋体"/>
          <w:b w:val="0"/>
          <w:bCs/>
          <w:color w:val="auto"/>
          <w:sz w:val="22"/>
          <w:szCs w:val="22"/>
        </w:rPr>
      </w:pPr>
      <w:r>
        <w:rPr>
          <w:rFonts w:hint="eastAsia" w:ascii="宋体" w:eastAsia="宋体"/>
          <w:b w:val="0"/>
          <w:bCs/>
          <w:color w:val="auto"/>
          <w:sz w:val="22"/>
          <w:szCs w:val="22"/>
        </w:rPr>
        <w:t>二、评标组织</w:t>
      </w:r>
    </w:p>
    <w:p>
      <w:pPr>
        <w:pStyle w:val="15"/>
        <w:adjustRightInd w:val="0"/>
        <w:snapToGrid w:val="0"/>
        <w:spacing w:before="100" w:after="50" w:line="320" w:lineRule="exact"/>
        <w:rPr>
          <w:rFonts w:eastAsia="宋体"/>
          <w:b w:val="0"/>
          <w:color w:val="auto"/>
          <w:sz w:val="22"/>
          <w:szCs w:val="22"/>
        </w:rPr>
      </w:pPr>
      <w:r>
        <w:rPr>
          <w:rFonts w:hint="eastAsia" w:eastAsia="宋体"/>
          <w:b w:val="0"/>
          <w:color w:val="auto"/>
          <w:sz w:val="22"/>
          <w:szCs w:val="22"/>
        </w:rPr>
        <w:t>评标工作由采购人依法组建的评标委员会负责，评标委员会由采购人代表以及评标专家库中随机抽取的有关技术、经济专家共同组成。评标全过程由采购管理部门监督整个开标、评标和定标过程。</w:t>
      </w:r>
    </w:p>
    <w:p>
      <w:pPr>
        <w:pStyle w:val="91"/>
        <w:widowControl w:val="0"/>
        <w:pBdr>
          <w:left w:val="none" w:color="auto" w:sz="0" w:space="0"/>
          <w:bottom w:val="none" w:color="auto" w:sz="0" w:space="0"/>
          <w:right w:val="none" w:color="auto" w:sz="0" w:space="0"/>
        </w:pBdr>
        <w:adjustRightInd w:val="0"/>
        <w:snapToGrid w:val="0"/>
        <w:spacing w:beforeLines="50" w:beforeAutospacing="0" w:after="50" w:afterAutospacing="0" w:line="320" w:lineRule="exact"/>
        <w:textAlignment w:val="auto"/>
        <w:rPr>
          <w:rFonts w:ascii="宋体" w:hAnsi="宋体"/>
          <w:b w:val="0"/>
          <w:kern w:val="2"/>
          <w:sz w:val="22"/>
          <w:szCs w:val="22"/>
        </w:rPr>
      </w:pPr>
      <w:r>
        <w:rPr>
          <w:rFonts w:hint="eastAsia" w:ascii="宋体" w:hAnsi="宋体"/>
          <w:b w:val="0"/>
          <w:kern w:val="2"/>
          <w:sz w:val="22"/>
          <w:szCs w:val="22"/>
        </w:rPr>
        <w:t>三、评标程序及评审办法</w:t>
      </w:r>
    </w:p>
    <w:p>
      <w:pPr>
        <w:pStyle w:val="8"/>
        <w:adjustRightInd w:val="0"/>
        <w:snapToGrid w:val="0"/>
        <w:spacing w:beforeLines="50" w:after="50" w:line="320" w:lineRule="exact"/>
        <w:ind w:firstLine="440"/>
        <w:rPr>
          <w:rFonts w:ascii="宋体" w:eastAsia="宋体"/>
          <w:b w:val="0"/>
          <w:color w:val="auto"/>
          <w:sz w:val="22"/>
          <w:szCs w:val="22"/>
        </w:rPr>
      </w:pPr>
      <w:r>
        <w:rPr>
          <w:rFonts w:hint="eastAsia" w:ascii="宋体" w:eastAsia="宋体"/>
          <w:b w:val="0"/>
          <w:color w:val="auto"/>
          <w:sz w:val="22"/>
          <w:szCs w:val="22"/>
        </w:rPr>
        <w:t>本次开标，开标程序如下：</w:t>
      </w:r>
    </w:p>
    <w:p>
      <w:pPr>
        <w:pStyle w:val="8"/>
        <w:adjustRightInd w:val="0"/>
        <w:snapToGrid w:val="0"/>
        <w:spacing w:beforeLines="50" w:after="50" w:line="320" w:lineRule="exact"/>
        <w:ind w:firstLine="440"/>
        <w:rPr>
          <w:rFonts w:ascii="宋体" w:eastAsia="宋体"/>
          <w:b w:val="0"/>
          <w:color w:val="auto"/>
          <w:sz w:val="22"/>
          <w:szCs w:val="22"/>
        </w:rPr>
      </w:pPr>
      <w:r>
        <w:rPr>
          <w:rFonts w:hint="eastAsia" w:ascii="宋体" w:eastAsia="宋体"/>
          <w:b w:val="0"/>
          <w:color w:val="auto"/>
          <w:sz w:val="22"/>
          <w:szCs w:val="22"/>
        </w:rPr>
        <w:t>第一步：当众开启投标供应商技术资信标。</w:t>
      </w:r>
    </w:p>
    <w:p>
      <w:pPr>
        <w:pStyle w:val="13"/>
        <w:spacing w:line="320" w:lineRule="exact"/>
        <w:ind w:firstLine="440" w:firstLineChars="200"/>
        <w:rPr>
          <w:rFonts w:hAnsi="宋体" w:eastAsia="宋体"/>
          <w:b w:val="0"/>
          <w:color w:val="auto"/>
          <w:sz w:val="22"/>
          <w:szCs w:val="22"/>
        </w:rPr>
      </w:pPr>
      <w:r>
        <w:rPr>
          <w:rFonts w:hint="eastAsia" w:hAnsi="宋体" w:eastAsia="宋体"/>
          <w:b w:val="0"/>
          <w:color w:val="auto"/>
          <w:sz w:val="22"/>
          <w:szCs w:val="22"/>
        </w:rPr>
        <w:t>第二步：评标委员会根据评审原则和评审办法，对各供应商的资信、技术部分投标进行评审并打分，技术资信标不合格的供应商做无效标处理，不进入评审，并退还商务标。评审打分完成后向供应商公布资信、技术部分分值。</w:t>
      </w:r>
    </w:p>
    <w:p>
      <w:pPr>
        <w:adjustRightInd w:val="0"/>
        <w:snapToGrid w:val="0"/>
        <w:spacing w:before="100" w:after="50" w:line="320" w:lineRule="exact"/>
        <w:ind w:firstLine="440" w:firstLineChars="200"/>
        <w:rPr>
          <w:rFonts w:ascii="宋体" w:eastAsia="宋体"/>
          <w:b w:val="0"/>
          <w:color w:val="auto"/>
          <w:sz w:val="22"/>
          <w:szCs w:val="22"/>
        </w:rPr>
      </w:pPr>
      <w:r>
        <w:rPr>
          <w:rFonts w:hint="eastAsia" w:ascii="宋体" w:eastAsia="宋体"/>
          <w:b w:val="0"/>
          <w:color w:val="auto"/>
          <w:sz w:val="22"/>
          <w:szCs w:val="22"/>
        </w:rPr>
        <w:t>第三步：</w:t>
      </w:r>
      <w:r>
        <w:rPr>
          <w:rFonts w:hint="eastAsia" w:ascii="宋体" w:eastAsia="宋体"/>
          <w:b w:val="0"/>
          <w:color w:val="auto"/>
          <w:sz w:val="22"/>
          <w:szCs w:val="22"/>
          <w:u w:val="single"/>
        </w:rPr>
        <w:t>开启商务报价标</w:t>
      </w:r>
      <w:r>
        <w:rPr>
          <w:rFonts w:hint="eastAsia" w:ascii="宋体" w:eastAsia="宋体"/>
          <w:b w:val="0"/>
          <w:color w:val="auto"/>
          <w:sz w:val="22"/>
          <w:szCs w:val="22"/>
        </w:rPr>
        <w:t>，并对供应商的商务标由评委统一进行计算得分。</w:t>
      </w:r>
    </w:p>
    <w:p>
      <w:pPr>
        <w:pStyle w:val="8"/>
        <w:adjustRightInd w:val="0"/>
        <w:snapToGrid w:val="0"/>
        <w:spacing w:beforeLines="50" w:after="50" w:line="320" w:lineRule="exact"/>
        <w:ind w:firstLine="440"/>
        <w:rPr>
          <w:rFonts w:ascii="宋体" w:eastAsia="宋体"/>
          <w:b w:val="0"/>
          <w:color w:val="auto"/>
          <w:sz w:val="22"/>
          <w:szCs w:val="22"/>
        </w:rPr>
      </w:pPr>
      <w:r>
        <w:rPr>
          <w:rFonts w:hint="eastAsia" w:ascii="宋体" w:eastAsia="宋体"/>
          <w:b w:val="0"/>
          <w:color w:val="auto"/>
          <w:sz w:val="22"/>
          <w:szCs w:val="22"/>
        </w:rPr>
        <w:t>第四步：评标委员会以技术资信标和商务报价标合计分值由高到低的顺序推荐候选供应商名单，并提交书面评审报告。</w:t>
      </w:r>
    </w:p>
    <w:p>
      <w:pPr>
        <w:pStyle w:val="8"/>
        <w:adjustRightInd w:val="0"/>
        <w:snapToGrid w:val="0"/>
        <w:spacing w:beforeLines="50" w:after="50" w:line="320" w:lineRule="exact"/>
        <w:ind w:firstLine="440"/>
        <w:rPr>
          <w:rFonts w:ascii="宋体" w:eastAsia="宋体"/>
          <w:b w:val="0"/>
          <w:color w:val="auto"/>
          <w:sz w:val="22"/>
          <w:szCs w:val="22"/>
        </w:rPr>
      </w:pPr>
      <w:r>
        <w:rPr>
          <w:rFonts w:hint="eastAsia" w:ascii="宋体" w:eastAsia="宋体"/>
          <w:b w:val="0"/>
          <w:color w:val="auto"/>
          <w:sz w:val="22"/>
          <w:szCs w:val="22"/>
        </w:rPr>
        <w:t>第五步：由评标委员会根据评审报告推荐综合得分第一名的供应商为中标人。如果第一名得分相同，以报价低的优先；报价也相同，以抽签随机决定。</w:t>
      </w:r>
    </w:p>
    <w:p>
      <w:pPr>
        <w:pStyle w:val="8"/>
        <w:adjustRightInd w:val="0"/>
        <w:snapToGrid w:val="0"/>
        <w:spacing w:beforeLines="50" w:after="50" w:line="320" w:lineRule="exact"/>
        <w:ind w:firstLine="440"/>
        <w:rPr>
          <w:rFonts w:ascii="宋体" w:eastAsia="宋体"/>
          <w:b w:val="0"/>
          <w:color w:val="auto"/>
          <w:sz w:val="22"/>
          <w:szCs w:val="22"/>
        </w:rPr>
      </w:pPr>
      <w:r>
        <w:rPr>
          <w:rFonts w:hint="eastAsia" w:ascii="宋体" w:eastAsia="宋体"/>
          <w:b w:val="0"/>
          <w:color w:val="auto"/>
          <w:sz w:val="22"/>
          <w:szCs w:val="22"/>
        </w:rPr>
        <w:t xml:space="preserve">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pPr>
        <w:pStyle w:val="8"/>
        <w:adjustRightInd w:val="0"/>
        <w:snapToGrid w:val="0"/>
        <w:spacing w:beforeLines="50" w:after="50" w:line="320" w:lineRule="exact"/>
        <w:ind w:firstLine="440"/>
        <w:rPr>
          <w:rFonts w:ascii="宋体" w:eastAsia="宋体"/>
          <w:b w:val="0"/>
          <w:color w:val="auto"/>
          <w:sz w:val="22"/>
          <w:szCs w:val="22"/>
        </w:rPr>
      </w:pPr>
      <w:r>
        <w:rPr>
          <w:rFonts w:hint="eastAsia" w:ascii="宋体" w:eastAsia="宋体"/>
          <w:b w:val="0"/>
          <w:color w:val="auto"/>
          <w:sz w:val="22"/>
          <w:szCs w:val="22"/>
        </w:rPr>
        <w:t>如果无候选供应商，或者侯选供应商因前款规定的同样原因不能签订合同的，本次采购失败，重新组织采购。</w:t>
      </w:r>
    </w:p>
    <w:p>
      <w:pPr>
        <w:pStyle w:val="8"/>
        <w:adjustRightInd w:val="0"/>
        <w:snapToGrid w:val="0"/>
        <w:spacing w:beforeLines="50" w:after="50" w:line="320" w:lineRule="exact"/>
        <w:ind w:firstLine="440"/>
        <w:rPr>
          <w:rFonts w:ascii="宋体" w:eastAsia="宋体"/>
          <w:b w:val="0"/>
          <w:color w:val="auto"/>
          <w:sz w:val="22"/>
          <w:szCs w:val="22"/>
        </w:rPr>
      </w:pPr>
      <w:r>
        <w:rPr>
          <w:rFonts w:hint="eastAsia" w:ascii="宋体" w:eastAsia="宋体"/>
          <w:b w:val="0"/>
          <w:color w:val="auto"/>
          <w:sz w:val="22"/>
          <w:szCs w:val="22"/>
        </w:rPr>
        <w:t>其它参见本采购文件第三部分：“供应商须知” 中的相关内容。</w:t>
      </w:r>
    </w:p>
    <w:p>
      <w:pPr>
        <w:pStyle w:val="13"/>
        <w:adjustRightInd w:val="0"/>
        <w:snapToGrid w:val="0"/>
        <w:spacing w:line="360" w:lineRule="exact"/>
        <w:jc w:val="both"/>
        <w:rPr>
          <w:rFonts w:hAnsi="宋体" w:eastAsia="宋体"/>
          <w:color w:val="auto"/>
          <w:sz w:val="28"/>
          <w:szCs w:val="28"/>
        </w:rPr>
      </w:pPr>
    </w:p>
    <w:p>
      <w:pPr>
        <w:pStyle w:val="13"/>
        <w:adjustRightInd w:val="0"/>
        <w:snapToGrid w:val="0"/>
        <w:spacing w:line="360" w:lineRule="exact"/>
        <w:ind w:left="-105" w:leftChars="-50" w:firstLine="562"/>
        <w:jc w:val="center"/>
        <w:rPr>
          <w:rFonts w:hAnsi="宋体" w:eastAsia="宋体"/>
          <w:color w:val="auto"/>
          <w:sz w:val="28"/>
          <w:szCs w:val="28"/>
        </w:rPr>
      </w:pPr>
    </w:p>
    <w:p>
      <w:pPr>
        <w:pStyle w:val="13"/>
        <w:adjustRightInd w:val="0"/>
        <w:snapToGrid w:val="0"/>
        <w:spacing w:line="360" w:lineRule="exact"/>
        <w:ind w:left="-105" w:leftChars="-50" w:firstLine="562"/>
        <w:jc w:val="center"/>
        <w:rPr>
          <w:rFonts w:hAnsi="宋体" w:eastAsia="宋体"/>
          <w:color w:val="auto"/>
          <w:sz w:val="28"/>
          <w:szCs w:val="28"/>
        </w:rPr>
      </w:pPr>
    </w:p>
    <w:p>
      <w:pPr>
        <w:pStyle w:val="13"/>
        <w:adjustRightInd w:val="0"/>
        <w:snapToGrid w:val="0"/>
        <w:spacing w:line="360" w:lineRule="exact"/>
        <w:ind w:left="-105" w:leftChars="-50" w:firstLine="562"/>
        <w:jc w:val="center"/>
        <w:rPr>
          <w:rFonts w:hAnsi="宋体" w:eastAsia="宋体"/>
          <w:color w:val="auto"/>
          <w:sz w:val="28"/>
          <w:szCs w:val="28"/>
        </w:rPr>
      </w:pPr>
      <w:r>
        <w:rPr>
          <w:rFonts w:hint="eastAsia" w:hAnsi="宋体" w:eastAsia="宋体"/>
          <w:color w:val="auto"/>
          <w:sz w:val="28"/>
          <w:szCs w:val="28"/>
        </w:rPr>
        <w:t>评分细则</w:t>
      </w:r>
    </w:p>
    <w:p>
      <w:pPr>
        <w:snapToGrid w:val="0"/>
        <w:spacing w:line="340" w:lineRule="exact"/>
        <w:ind w:firstLine="322" w:firstLineChars="146"/>
        <w:rPr>
          <w:rFonts w:ascii="宋体" w:eastAsia="宋体"/>
          <w:bCs/>
          <w:color w:val="auto"/>
          <w:sz w:val="22"/>
          <w:szCs w:val="22"/>
        </w:rPr>
      </w:pPr>
      <w:r>
        <w:rPr>
          <w:rFonts w:hint="eastAsia" w:ascii="宋体" w:eastAsia="宋体"/>
          <w:bCs/>
          <w:color w:val="auto"/>
          <w:sz w:val="22"/>
          <w:szCs w:val="22"/>
        </w:rPr>
        <w:t>一、商务报价评分 3</w:t>
      </w:r>
      <w:r>
        <w:rPr>
          <w:rFonts w:ascii="宋体" w:eastAsia="宋体"/>
          <w:bCs/>
          <w:color w:val="auto"/>
          <w:sz w:val="22"/>
          <w:szCs w:val="22"/>
        </w:rPr>
        <w:t>0</w:t>
      </w:r>
      <w:r>
        <w:rPr>
          <w:rFonts w:hint="eastAsia" w:ascii="宋体" w:eastAsia="宋体"/>
          <w:bCs/>
          <w:color w:val="auto"/>
          <w:sz w:val="22"/>
          <w:szCs w:val="22"/>
        </w:rPr>
        <w:t>分；</w:t>
      </w:r>
    </w:p>
    <w:p>
      <w:pPr>
        <w:spacing w:line="340" w:lineRule="exact"/>
        <w:ind w:firstLine="440" w:firstLineChars="200"/>
        <w:rPr>
          <w:rFonts w:ascii="宋体" w:eastAsia="宋体"/>
          <w:b w:val="0"/>
          <w:color w:val="auto"/>
          <w:sz w:val="22"/>
          <w:szCs w:val="22"/>
          <w:u w:val="single"/>
        </w:rPr>
      </w:pPr>
      <w:r>
        <w:rPr>
          <w:rFonts w:hint="eastAsia" w:ascii="宋体" w:eastAsia="宋体"/>
          <w:b w:val="0"/>
          <w:color w:val="auto"/>
          <w:sz w:val="22"/>
          <w:szCs w:val="22"/>
          <w:u w:val="single"/>
        </w:rPr>
        <w:t>以供应商有效投标价中的最低价为评标基准价，得满分3</w:t>
      </w:r>
      <w:r>
        <w:rPr>
          <w:rFonts w:ascii="宋体" w:eastAsia="宋体"/>
          <w:b w:val="0"/>
          <w:color w:val="auto"/>
          <w:sz w:val="22"/>
          <w:szCs w:val="22"/>
          <w:u w:val="single"/>
        </w:rPr>
        <w:t>0</w:t>
      </w:r>
      <w:r>
        <w:rPr>
          <w:rFonts w:hint="eastAsia" w:ascii="宋体" w:eastAsia="宋体"/>
          <w:b w:val="0"/>
          <w:color w:val="auto"/>
          <w:sz w:val="22"/>
          <w:szCs w:val="22"/>
          <w:u w:val="single"/>
        </w:rPr>
        <w:t>分。商务报价评分计算公式为:投标报价得分=(评标基准价／投标报价)×3</w:t>
      </w:r>
      <w:r>
        <w:rPr>
          <w:rFonts w:ascii="宋体" w:eastAsia="宋体"/>
          <w:b w:val="0"/>
          <w:color w:val="auto"/>
          <w:sz w:val="22"/>
          <w:szCs w:val="22"/>
          <w:u w:val="single"/>
        </w:rPr>
        <w:t>0</w:t>
      </w:r>
      <w:r>
        <w:rPr>
          <w:rFonts w:hint="eastAsia" w:ascii="宋体" w:eastAsia="宋体"/>
          <w:b w:val="0"/>
          <w:color w:val="auto"/>
          <w:sz w:val="22"/>
          <w:szCs w:val="22"/>
          <w:u w:val="single"/>
        </w:rPr>
        <w:t>%×100。</w:t>
      </w:r>
    </w:p>
    <w:p>
      <w:pPr>
        <w:spacing w:line="340" w:lineRule="exact"/>
        <w:ind w:firstLine="440" w:firstLineChars="200"/>
        <w:rPr>
          <w:rFonts w:ascii="宋体" w:eastAsia="宋体"/>
          <w:bCs/>
          <w:color w:val="auto"/>
          <w:sz w:val="22"/>
          <w:szCs w:val="22"/>
        </w:rPr>
      </w:pPr>
      <w:r>
        <w:rPr>
          <w:rFonts w:hint="eastAsia" w:ascii="宋体" w:eastAsia="宋体"/>
          <w:b w:val="0"/>
          <w:color w:val="auto"/>
          <w:sz w:val="22"/>
          <w:szCs w:val="22"/>
          <w:u w:val="single"/>
        </w:rPr>
        <w:t>符合招标文件规定条件的小、微企业（或监狱企业、残疾人福利性单位），给予评标价格折扣。</w:t>
      </w:r>
    </w:p>
    <w:p>
      <w:pPr>
        <w:numPr>
          <w:ilvl w:val="0"/>
          <w:numId w:val="0"/>
        </w:numPr>
        <w:snapToGrid w:val="0"/>
        <w:spacing w:line="340" w:lineRule="exact"/>
        <w:rPr>
          <w:rFonts w:ascii="宋体" w:eastAsia="宋体"/>
          <w:bCs/>
          <w:color w:val="auto"/>
          <w:sz w:val="22"/>
          <w:szCs w:val="22"/>
        </w:rPr>
      </w:pPr>
      <w:r>
        <w:rPr>
          <w:rFonts w:hint="eastAsia" w:ascii="宋体" w:eastAsia="宋体"/>
          <w:bCs/>
          <w:color w:val="auto"/>
          <w:sz w:val="22"/>
          <w:szCs w:val="22"/>
        </w:rPr>
        <w:t xml:space="preserve">技术、服务、资信业绩综合评分 </w:t>
      </w:r>
      <w:r>
        <w:rPr>
          <w:rFonts w:ascii="宋体" w:eastAsia="宋体"/>
          <w:bCs/>
          <w:color w:val="auto"/>
          <w:sz w:val="22"/>
          <w:szCs w:val="22"/>
        </w:rPr>
        <w:t>70</w:t>
      </w:r>
      <w:r>
        <w:rPr>
          <w:rFonts w:hint="eastAsia" w:ascii="宋体" w:eastAsia="宋体"/>
          <w:bCs/>
          <w:color w:val="auto"/>
          <w:sz w:val="22"/>
          <w:szCs w:val="22"/>
        </w:rPr>
        <w:t>分</w:t>
      </w:r>
    </w:p>
    <w:tbl>
      <w:tblPr>
        <w:tblStyle w:val="22"/>
        <w:tblW w:w="10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625"/>
        <w:gridCol w:w="925"/>
        <w:gridCol w:w="5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序号</w:t>
            </w:r>
          </w:p>
        </w:tc>
        <w:tc>
          <w:tcPr>
            <w:tcW w:w="26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项目</w:t>
            </w: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分值</w:t>
            </w:r>
          </w:p>
        </w:tc>
        <w:tc>
          <w:tcPr>
            <w:tcW w:w="577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758" w:type="dxa"/>
            <w:vMerge w:val="restart"/>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1</w:t>
            </w:r>
          </w:p>
        </w:tc>
        <w:tc>
          <w:tcPr>
            <w:tcW w:w="2625" w:type="dxa"/>
            <w:vMerge w:val="restart"/>
            <w:vAlign w:val="center"/>
          </w:tcPr>
          <w:p>
            <w:pPr>
              <w:spacing w:line="460" w:lineRule="exact"/>
              <w:jc w:val="center"/>
              <w:rPr>
                <w:rFonts w:hint="default" w:ascii="新宋体" w:hAnsi="新宋体" w:eastAsia="新宋体" w:cs="新宋体"/>
                <w:b w:val="0"/>
                <w:bCs/>
                <w:color w:val="auto"/>
                <w:sz w:val="22"/>
                <w:szCs w:val="22"/>
                <w:lang w:val="en-US" w:eastAsia="zh-CN"/>
              </w:rPr>
            </w:pPr>
            <w:r>
              <w:rPr>
                <w:rFonts w:hint="eastAsia" w:ascii="新宋体" w:hAnsi="新宋体" w:eastAsia="新宋体" w:cs="新宋体"/>
                <w:b w:val="0"/>
                <w:bCs/>
                <w:color w:val="auto"/>
                <w:sz w:val="22"/>
                <w:szCs w:val="22"/>
              </w:rPr>
              <w:t>投标人（或制造商）情况</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0-10</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分</w:t>
            </w: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lang w:val="en-US" w:eastAsia="zh-CN"/>
              </w:rPr>
              <w:t>3</w:t>
            </w:r>
            <w:r>
              <w:rPr>
                <w:rFonts w:hint="eastAsia" w:ascii="新宋体" w:hAnsi="新宋体" w:eastAsia="新宋体" w:cs="新宋体"/>
                <w:b w:val="0"/>
                <w:bCs/>
                <w:color w:val="auto"/>
                <w:sz w:val="22"/>
                <w:szCs w:val="22"/>
              </w:rPr>
              <w:t>分</w:t>
            </w:r>
          </w:p>
        </w:tc>
        <w:tc>
          <w:tcPr>
            <w:tcW w:w="5775" w:type="dxa"/>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left"/>
              <w:textAlignment w:val="auto"/>
              <w:rPr>
                <w:rFonts w:hint="default" w:ascii="新宋体" w:hAnsi="新宋体" w:eastAsia="新宋体" w:cs="新宋体"/>
                <w:b w:val="0"/>
                <w:bCs/>
                <w:color w:val="auto"/>
                <w:sz w:val="22"/>
                <w:szCs w:val="22"/>
                <w:lang w:val="en-US"/>
              </w:rPr>
            </w:pPr>
            <w:r>
              <w:rPr>
                <w:rFonts w:hint="eastAsia" w:ascii="新宋体" w:hAnsi="新宋体" w:eastAsia="新宋体" w:cs="新宋体"/>
                <w:b w:val="0"/>
                <w:bCs/>
                <w:color w:val="auto"/>
                <w:sz w:val="22"/>
                <w:szCs w:val="22"/>
                <w:highlight w:val="none"/>
                <w:lang w:val="en-US" w:eastAsia="zh-CN"/>
              </w:rPr>
              <w:t>投标人拥有信息安全管理体系、能源管理体系、知识产权管理体系、企业诚信管理体系、企业社会责任管理体系、两化融合管理体系、标准化良好行为管理证书以上每拥有一个得1分 最高得3分。提供复印件加盖公章，原件备查。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758" w:type="dxa"/>
            <w:vMerge w:val="continue"/>
            <w:vAlign w:val="center"/>
          </w:tcPr>
          <w:p>
            <w:pPr>
              <w:spacing w:line="460" w:lineRule="exact"/>
              <w:jc w:val="center"/>
              <w:rPr>
                <w:rFonts w:ascii="新宋体" w:hAnsi="新宋体" w:eastAsia="新宋体" w:cs="新宋体"/>
                <w:b w:val="0"/>
                <w:bCs/>
                <w:color w:val="auto"/>
                <w:sz w:val="22"/>
                <w:szCs w:val="22"/>
              </w:rPr>
            </w:pPr>
          </w:p>
        </w:tc>
        <w:tc>
          <w:tcPr>
            <w:tcW w:w="2625" w:type="dxa"/>
            <w:vMerge w:val="continue"/>
            <w:vAlign w:val="center"/>
          </w:tcPr>
          <w:p>
            <w:pPr>
              <w:spacing w:line="460" w:lineRule="exact"/>
              <w:jc w:val="center"/>
              <w:rPr>
                <w:rFonts w:ascii="新宋体" w:hAnsi="新宋体" w:eastAsia="新宋体" w:cs="新宋体"/>
                <w:b w:val="0"/>
                <w:bCs/>
                <w:color w:val="auto"/>
                <w:sz w:val="22"/>
                <w:szCs w:val="22"/>
              </w:rPr>
            </w:pP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2分</w:t>
            </w:r>
          </w:p>
        </w:tc>
        <w:tc>
          <w:tcPr>
            <w:tcW w:w="5775" w:type="dxa"/>
          </w:tcPr>
          <w:p>
            <w:pPr>
              <w:widowControl/>
              <w:spacing w:line="460" w:lineRule="exact"/>
              <w:jc w:val="lef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提供有效期内的中国环境标志产品（十环）认证书</w:t>
            </w:r>
          </w:p>
          <w:p>
            <w:pPr>
              <w:pStyle w:val="30"/>
              <w:rPr>
                <w:color w:val="auto"/>
                <w:highlight w:val="none"/>
              </w:rPr>
            </w:pPr>
            <w:r>
              <w:rPr>
                <w:rFonts w:hint="eastAsia"/>
                <w:color w:val="auto"/>
                <w:highlight w:val="none"/>
              </w:rPr>
              <w:t>证书附件页需对应具体招标文件产品，逐一对应，并作出明显标识，每对应一个得0.2分，最高得2分。</w:t>
            </w:r>
          </w:p>
          <w:p>
            <w:pPr>
              <w:widowControl/>
              <w:spacing w:line="460" w:lineRule="exact"/>
              <w:jc w:val="lef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提供复印件加盖公章，原件备查。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58" w:type="dxa"/>
            <w:vMerge w:val="continue"/>
            <w:vAlign w:val="center"/>
          </w:tcPr>
          <w:p>
            <w:pPr>
              <w:spacing w:line="460" w:lineRule="exact"/>
              <w:jc w:val="center"/>
              <w:rPr>
                <w:rFonts w:ascii="新宋体" w:hAnsi="新宋体" w:eastAsia="新宋体" w:cs="新宋体"/>
                <w:b w:val="0"/>
                <w:bCs/>
                <w:color w:val="auto"/>
                <w:sz w:val="22"/>
                <w:szCs w:val="22"/>
              </w:rPr>
            </w:pPr>
          </w:p>
        </w:tc>
        <w:tc>
          <w:tcPr>
            <w:tcW w:w="2625" w:type="dxa"/>
            <w:vMerge w:val="continue"/>
            <w:vAlign w:val="center"/>
          </w:tcPr>
          <w:p>
            <w:pPr>
              <w:spacing w:line="460" w:lineRule="exact"/>
              <w:jc w:val="center"/>
              <w:rPr>
                <w:rFonts w:ascii="新宋体" w:hAnsi="新宋体" w:eastAsia="新宋体" w:cs="新宋体"/>
                <w:b w:val="0"/>
                <w:bCs/>
                <w:color w:val="auto"/>
                <w:sz w:val="22"/>
                <w:szCs w:val="22"/>
              </w:rPr>
            </w:pP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2分</w:t>
            </w:r>
          </w:p>
        </w:tc>
        <w:tc>
          <w:tcPr>
            <w:tcW w:w="5775" w:type="dxa"/>
          </w:tcPr>
          <w:p>
            <w:pPr>
              <w:widowControl/>
              <w:spacing w:line="460" w:lineRule="exact"/>
              <w:jc w:val="lef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提供有效期内</w:t>
            </w:r>
            <w:r>
              <w:rPr>
                <w:rFonts w:hint="eastAsia" w:ascii="新宋体" w:hAnsi="新宋体" w:eastAsia="新宋体" w:cs="新宋体"/>
                <w:b w:val="0"/>
                <w:bCs/>
                <w:color w:val="auto"/>
                <w:sz w:val="22"/>
                <w:szCs w:val="22"/>
                <w:highlight w:val="none"/>
                <w:lang w:val="en-US" w:eastAsia="zh-CN"/>
              </w:rPr>
              <w:t>中国</w:t>
            </w:r>
            <w:r>
              <w:rPr>
                <w:rFonts w:hint="eastAsia" w:ascii="新宋体" w:hAnsi="新宋体" w:eastAsia="新宋体" w:cs="新宋体"/>
                <w:b w:val="0"/>
                <w:bCs/>
                <w:color w:val="auto"/>
                <w:sz w:val="22"/>
                <w:szCs w:val="22"/>
                <w:highlight w:val="none"/>
              </w:rPr>
              <w:t>环保产品认证证书（CQC）</w:t>
            </w:r>
            <w:r>
              <w:rPr>
                <w:rFonts w:hint="eastAsia" w:ascii="Calibri" w:hAnsi="Calibri" w:eastAsia="宋体" w:cs="Times New Roman"/>
                <w:b w:val="0"/>
                <w:color w:val="auto"/>
                <w:kern w:val="2"/>
                <w:sz w:val="21"/>
                <w:szCs w:val="22"/>
                <w:highlight w:val="none"/>
                <w:lang w:val="en-US" w:eastAsia="zh-CN" w:bidi="ar-SA"/>
              </w:rPr>
              <w:t>证书认证产品需对应具体招标文件产品，逐一对应，并作出明显标识，每对应一个得0.4分，最高得2分，提</w:t>
            </w:r>
            <w:r>
              <w:rPr>
                <w:rFonts w:hint="eastAsia" w:ascii="新宋体" w:hAnsi="新宋体" w:eastAsia="新宋体" w:cs="新宋体"/>
                <w:b w:val="0"/>
                <w:bCs/>
                <w:color w:val="auto"/>
                <w:sz w:val="22"/>
                <w:szCs w:val="22"/>
                <w:highlight w:val="none"/>
              </w:rPr>
              <w:t>供复印件加盖公章，原件备查。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758" w:type="dxa"/>
            <w:vMerge w:val="continue"/>
            <w:vAlign w:val="center"/>
          </w:tcPr>
          <w:p>
            <w:pPr>
              <w:spacing w:line="460" w:lineRule="exact"/>
              <w:jc w:val="center"/>
              <w:rPr>
                <w:rFonts w:ascii="新宋体" w:hAnsi="新宋体" w:eastAsia="新宋体" w:cs="新宋体"/>
                <w:b w:val="0"/>
                <w:bCs/>
                <w:color w:val="auto"/>
                <w:sz w:val="22"/>
                <w:szCs w:val="22"/>
              </w:rPr>
            </w:pPr>
          </w:p>
        </w:tc>
        <w:tc>
          <w:tcPr>
            <w:tcW w:w="2625" w:type="dxa"/>
            <w:vMerge w:val="continue"/>
            <w:vAlign w:val="center"/>
          </w:tcPr>
          <w:p>
            <w:pPr>
              <w:spacing w:line="460" w:lineRule="exact"/>
              <w:jc w:val="center"/>
              <w:rPr>
                <w:rFonts w:ascii="新宋体" w:hAnsi="新宋体" w:eastAsia="新宋体" w:cs="新宋体"/>
                <w:b w:val="0"/>
                <w:bCs/>
                <w:color w:val="auto"/>
                <w:sz w:val="22"/>
                <w:szCs w:val="22"/>
              </w:rPr>
            </w:pP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2分</w:t>
            </w:r>
          </w:p>
        </w:tc>
        <w:tc>
          <w:tcPr>
            <w:tcW w:w="5775" w:type="dxa"/>
          </w:tcPr>
          <w:p>
            <w:pPr>
              <w:widowControl/>
              <w:spacing w:line="460" w:lineRule="exact"/>
              <w:jc w:val="left"/>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制造商具有家具中有害物质限量认证证书，认证产品类需含：椅凳类、柜类、桌类，满分2分，缺项不得分。提供复印件加盖公章，原件备查。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58" w:type="dxa"/>
            <w:vMerge w:val="continue"/>
            <w:vAlign w:val="center"/>
          </w:tcPr>
          <w:p>
            <w:pPr>
              <w:spacing w:line="460" w:lineRule="exact"/>
              <w:jc w:val="center"/>
              <w:rPr>
                <w:rFonts w:ascii="新宋体" w:hAnsi="新宋体" w:eastAsia="新宋体" w:cs="新宋体"/>
                <w:b w:val="0"/>
                <w:bCs/>
                <w:color w:val="auto"/>
                <w:sz w:val="22"/>
                <w:szCs w:val="22"/>
              </w:rPr>
            </w:pPr>
          </w:p>
        </w:tc>
        <w:tc>
          <w:tcPr>
            <w:tcW w:w="2625" w:type="dxa"/>
            <w:vMerge w:val="continue"/>
            <w:vAlign w:val="center"/>
          </w:tcPr>
          <w:p>
            <w:pPr>
              <w:spacing w:line="460" w:lineRule="exact"/>
              <w:jc w:val="center"/>
              <w:rPr>
                <w:rFonts w:ascii="新宋体" w:hAnsi="新宋体" w:eastAsia="新宋体" w:cs="新宋体"/>
                <w:b w:val="0"/>
                <w:bCs/>
                <w:color w:val="auto"/>
                <w:sz w:val="22"/>
                <w:szCs w:val="22"/>
              </w:rPr>
            </w:pP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1分</w:t>
            </w:r>
          </w:p>
        </w:tc>
        <w:tc>
          <w:tcPr>
            <w:tcW w:w="5775" w:type="dxa"/>
          </w:tcPr>
          <w:p>
            <w:pPr>
              <w:pStyle w:val="7"/>
              <w:spacing w:line="460" w:lineRule="exact"/>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投标人提供ISO14025环境标志国际标准III型环境标志证书认证产品类需含：椅凳类、柜类、桌类，得1分，缺项不得分</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rPr>
              <w:t>提供复印件加盖公章，原件备查。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758"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2</w:t>
            </w:r>
          </w:p>
        </w:tc>
        <w:tc>
          <w:tcPr>
            <w:tcW w:w="2625" w:type="dxa"/>
            <w:vAlign w:val="center"/>
          </w:tcPr>
          <w:p>
            <w:pPr>
              <w:spacing w:line="460" w:lineRule="exact"/>
              <w:jc w:val="center"/>
              <w:rPr>
                <w:rFonts w:hint="default" w:ascii="新宋体" w:hAnsi="新宋体" w:eastAsia="新宋体" w:cs="新宋体"/>
                <w:b w:val="0"/>
                <w:bCs/>
                <w:color w:val="auto"/>
                <w:sz w:val="22"/>
                <w:szCs w:val="22"/>
                <w:lang w:val="en-US" w:eastAsia="zh-CN"/>
              </w:rPr>
            </w:pPr>
            <w:r>
              <w:rPr>
                <w:rFonts w:hint="eastAsia" w:ascii="新宋体" w:hAnsi="新宋体" w:eastAsia="新宋体" w:cs="新宋体"/>
                <w:b w:val="0"/>
                <w:bCs/>
                <w:color w:val="auto"/>
                <w:sz w:val="22"/>
                <w:szCs w:val="22"/>
              </w:rPr>
              <w:t>成品检测报告</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0-10</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分</w:t>
            </w: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10分</w:t>
            </w:r>
          </w:p>
        </w:tc>
        <w:tc>
          <w:tcPr>
            <w:tcW w:w="5775" w:type="dxa"/>
          </w:tcPr>
          <w:p>
            <w:pPr>
              <w:widowControl/>
              <w:spacing w:line="460" w:lineRule="exact"/>
              <w:jc w:val="lef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投标产品具有自2019年1月1日后由省级及以上产品质量监督部门出具委托抽检的的成品检测报告。</w:t>
            </w:r>
          </w:p>
          <w:p>
            <w:pPr>
              <w:widowControl/>
              <w:spacing w:line="460" w:lineRule="exact"/>
              <w:jc w:val="lef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检测报告包括但不限于以下产品</w:t>
            </w:r>
            <w:r>
              <w:rPr>
                <w:rFonts w:hint="eastAsia" w:ascii="新宋体" w:hAnsi="新宋体" w:eastAsia="新宋体" w:cs="新宋体"/>
                <w:b w:val="0"/>
                <w:bCs/>
                <w:color w:val="auto"/>
                <w:sz w:val="22"/>
                <w:szCs w:val="22"/>
                <w:highlight w:val="none"/>
                <w:u w:val="single"/>
              </w:rPr>
              <w:t>茶几</w:t>
            </w: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u w:val="single"/>
              </w:rPr>
              <w:t>真皮沙发</w:t>
            </w: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u w:val="single"/>
              </w:rPr>
              <w:t>办公桌</w:t>
            </w: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u w:val="single"/>
              </w:rPr>
              <w:t>办公椅</w:t>
            </w:r>
            <w:r>
              <w:rPr>
                <w:rFonts w:hint="eastAsia" w:ascii="新宋体" w:hAnsi="新宋体" w:eastAsia="新宋体" w:cs="新宋体"/>
                <w:b w:val="0"/>
                <w:bCs/>
                <w:color w:val="auto"/>
                <w:sz w:val="22"/>
                <w:szCs w:val="22"/>
                <w:highlight w:val="none"/>
              </w:rPr>
              <w:t>、</w:t>
            </w:r>
            <w:r>
              <w:rPr>
                <w:rFonts w:hint="eastAsia" w:ascii="新宋体" w:hAnsi="新宋体" w:eastAsia="新宋体" w:cs="新宋体"/>
                <w:b w:val="0"/>
                <w:bCs/>
                <w:color w:val="auto"/>
                <w:sz w:val="22"/>
                <w:szCs w:val="22"/>
                <w:highlight w:val="none"/>
                <w:u w:val="single"/>
              </w:rPr>
              <w:t>文件柜、桌上屏风、</w:t>
            </w:r>
            <w:r>
              <w:rPr>
                <w:rFonts w:hint="eastAsia" w:ascii="新宋体" w:hAnsi="新宋体" w:eastAsia="新宋体" w:cs="新宋体"/>
                <w:b w:val="0"/>
                <w:bCs/>
                <w:color w:val="auto"/>
                <w:sz w:val="22"/>
                <w:szCs w:val="22"/>
                <w:highlight w:val="none"/>
              </w:rPr>
              <w:t>会议桌、会议椅、大班台、</w:t>
            </w:r>
            <w:r>
              <w:rPr>
                <w:rFonts w:hint="eastAsia" w:ascii="新宋体" w:hAnsi="新宋体" w:eastAsia="新宋体" w:cs="新宋体"/>
                <w:b w:val="0"/>
                <w:bCs/>
                <w:color w:val="auto"/>
                <w:sz w:val="22"/>
                <w:szCs w:val="22"/>
                <w:highlight w:val="none"/>
                <w:u w:val="single"/>
              </w:rPr>
              <w:t>大班椅</w:t>
            </w:r>
            <w:r>
              <w:rPr>
                <w:rFonts w:hint="eastAsia" w:ascii="新宋体" w:hAnsi="新宋体" w:eastAsia="新宋体" w:cs="新宋体"/>
                <w:b w:val="0"/>
                <w:bCs/>
                <w:color w:val="auto"/>
                <w:sz w:val="22"/>
                <w:szCs w:val="22"/>
                <w:highlight w:val="none"/>
              </w:rPr>
              <w:t>。共10分，每缺一份扣1分，扣完为止。</w:t>
            </w:r>
          </w:p>
          <w:p>
            <w:pPr>
              <w:widowControl/>
              <w:spacing w:line="460" w:lineRule="exact"/>
              <w:jc w:val="lef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注：开标现场须提供检测报告复印件加盖公章，原件备查。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758" w:type="dxa"/>
            <w:vAlign w:val="center"/>
          </w:tcPr>
          <w:p>
            <w:pPr>
              <w:spacing w:line="460" w:lineRule="exact"/>
              <w:jc w:val="center"/>
              <w:rPr>
                <w:rFonts w:hint="eastAsia" w:ascii="新宋体" w:hAnsi="新宋体" w:eastAsia="新宋体" w:cs="新宋体"/>
                <w:b w:val="0"/>
                <w:bCs/>
                <w:color w:val="auto"/>
                <w:sz w:val="22"/>
                <w:szCs w:val="22"/>
                <w:highlight w:val="none"/>
                <w:lang w:val="en-US" w:eastAsia="zh-CN"/>
              </w:rPr>
            </w:pPr>
            <w:r>
              <w:rPr>
                <w:rFonts w:hint="eastAsia" w:ascii="新宋体" w:hAnsi="新宋体" w:eastAsia="新宋体" w:cs="新宋体"/>
                <w:b w:val="0"/>
                <w:bCs/>
                <w:color w:val="auto"/>
                <w:sz w:val="22"/>
                <w:szCs w:val="22"/>
                <w:highlight w:val="none"/>
                <w:lang w:val="en-US" w:eastAsia="zh-CN"/>
              </w:rPr>
              <w:t>3</w:t>
            </w:r>
          </w:p>
        </w:tc>
        <w:tc>
          <w:tcPr>
            <w:tcW w:w="2625" w:type="dxa"/>
            <w:vAlign w:val="center"/>
          </w:tcPr>
          <w:p>
            <w:pPr>
              <w:spacing w:line="460" w:lineRule="exact"/>
              <w:jc w:val="center"/>
              <w:rPr>
                <w:rFonts w:hint="default" w:ascii="新宋体" w:hAnsi="新宋体" w:eastAsia="新宋体" w:cs="新宋体"/>
                <w:b w:val="0"/>
                <w:bCs/>
                <w:color w:val="auto"/>
                <w:sz w:val="22"/>
                <w:szCs w:val="22"/>
                <w:highlight w:val="none"/>
                <w:lang w:val="en-US" w:eastAsia="zh-CN"/>
              </w:rPr>
            </w:pPr>
            <w:r>
              <w:rPr>
                <w:rFonts w:hint="eastAsia" w:ascii="新宋体" w:hAnsi="新宋体" w:eastAsia="新宋体" w:cs="新宋体"/>
                <w:b w:val="0"/>
                <w:bCs/>
                <w:color w:val="auto"/>
                <w:sz w:val="22"/>
                <w:szCs w:val="22"/>
                <w:highlight w:val="none"/>
              </w:rPr>
              <w:t>原材料检测报告</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lang w:val="en-US" w:eastAsia="zh-CN"/>
              </w:rPr>
              <w:t>0-13</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lang w:val="en-US" w:eastAsia="zh-CN"/>
              </w:rPr>
              <w:t>分</w:t>
            </w: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13分</w:t>
            </w:r>
          </w:p>
        </w:tc>
        <w:tc>
          <w:tcPr>
            <w:tcW w:w="5775" w:type="dxa"/>
          </w:tcPr>
          <w:p>
            <w:pPr>
              <w:widowControl/>
              <w:spacing w:line="460" w:lineRule="exact"/>
              <w:jc w:val="lef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投标产品具有自投标日期前一年有效期内由省级及以上产品质量监督部门出具委托抽检的的原材料检测报告；所有报告数据均要达到国家的相关标准要求及本项目招标技术参数要求。刨花板、钢管、钢板、铝材、铰链、塑粉、锁、中密度纤维板、网布、麻绒、PVC封边、ABS封边、三节轨、尼龙五星脚、实木块、曲木板、水性面漆、喷胶、木皮、牛皮、高弹海绵、椅轮、底盘、气压棒、钢化玻璃、紧固件。</w:t>
            </w:r>
          </w:p>
          <w:p>
            <w:pPr>
              <w:widowControl/>
              <w:spacing w:line="460" w:lineRule="exact"/>
              <w:jc w:val="lef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共13分，每缺一份扣0.5分，扣完为止。</w:t>
            </w:r>
          </w:p>
          <w:p>
            <w:pPr>
              <w:widowControl/>
              <w:spacing w:line="460" w:lineRule="exact"/>
              <w:jc w:val="lef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注：开标现场须提供检测报告复印件加盖公章，原件备查。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8" w:type="dxa"/>
            <w:vMerge w:val="restart"/>
            <w:vAlign w:val="center"/>
          </w:tcPr>
          <w:p>
            <w:pPr>
              <w:spacing w:line="460" w:lineRule="exact"/>
              <w:jc w:val="center"/>
              <w:rPr>
                <w:rFonts w:hint="eastAsia" w:ascii="新宋体" w:hAnsi="新宋体" w:eastAsia="新宋体" w:cs="新宋体"/>
                <w:b w:val="0"/>
                <w:bCs/>
                <w:color w:val="auto"/>
                <w:sz w:val="22"/>
                <w:szCs w:val="22"/>
                <w:lang w:eastAsia="zh-CN"/>
              </w:rPr>
            </w:pPr>
            <w:r>
              <w:rPr>
                <w:rFonts w:hint="eastAsia" w:ascii="新宋体" w:hAnsi="新宋体" w:eastAsia="新宋体" w:cs="新宋体"/>
                <w:b w:val="0"/>
                <w:bCs/>
                <w:color w:val="auto"/>
                <w:sz w:val="22"/>
                <w:szCs w:val="22"/>
                <w:lang w:val="en-US" w:eastAsia="zh-CN"/>
              </w:rPr>
              <w:t>4</w:t>
            </w:r>
          </w:p>
        </w:tc>
        <w:tc>
          <w:tcPr>
            <w:tcW w:w="2625" w:type="dxa"/>
            <w:vMerge w:val="restart"/>
            <w:vAlign w:val="center"/>
          </w:tcPr>
          <w:p>
            <w:pPr>
              <w:spacing w:line="460" w:lineRule="exact"/>
              <w:jc w:val="center"/>
              <w:rPr>
                <w:rFonts w:hint="eastAsia" w:ascii="新宋体" w:hAnsi="新宋体" w:eastAsia="新宋体" w:cs="新宋体"/>
                <w:b w:val="0"/>
                <w:bCs/>
                <w:color w:val="auto"/>
                <w:sz w:val="22"/>
                <w:szCs w:val="22"/>
                <w:lang w:eastAsia="zh-CN"/>
              </w:rPr>
            </w:pPr>
            <w:r>
              <w:rPr>
                <w:rFonts w:hint="eastAsia" w:ascii="新宋体" w:hAnsi="新宋体" w:eastAsia="新宋体" w:cs="新宋体"/>
                <w:b w:val="0"/>
                <w:bCs/>
                <w:color w:val="auto"/>
                <w:sz w:val="22"/>
                <w:szCs w:val="22"/>
              </w:rPr>
              <w:t>关键性原材料技术指标、性能功能比较</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0-11</w:t>
            </w:r>
            <w:r>
              <w:rPr>
                <w:rFonts w:hint="eastAsia" w:ascii="新宋体" w:hAnsi="新宋体" w:eastAsia="新宋体" w:cs="新宋体"/>
                <w:b w:val="0"/>
                <w:bCs/>
                <w:color w:val="auto"/>
                <w:sz w:val="22"/>
                <w:szCs w:val="22"/>
                <w:lang w:eastAsia="zh-CN"/>
              </w:rPr>
              <w:t>）</w:t>
            </w: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5分</w:t>
            </w:r>
          </w:p>
        </w:tc>
        <w:tc>
          <w:tcPr>
            <w:tcW w:w="5775" w:type="dxa"/>
          </w:tcPr>
          <w:p>
            <w:pPr>
              <w:widowControl/>
              <w:snapToGrid w:val="0"/>
              <w:spacing w:line="460" w:lineRule="exact"/>
              <w:jc w:val="left"/>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主辅材料的材质、品牌、产地等的符合性、先进性（0-5分）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58" w:type="dxa"/>
            <w:vMerge w:val="continue"/>
            <w:vAlign w:val="center"/>
          </w:tcPr>
          <w:p>
            <w:pPr>
              <w:spacing w:line="460" w:lineRule="exact"/>
              <w:jc w:val="center"/>
              <w:rPr>
                <w:rFonts w:ascii="新宋体" w:hAnsi="新宋体" w:eastAsia="新宋体" w:cs="新宋体"/>
                <w:b w:val="0"/>
                <w:bCs/>
                <w:color w:val="auto"/>
                <w:sz w:val="22"/>
                <w:szCs w:val="22"/>
              </w:rPr>
            </w:pPr>
          </w:p>
        </w:tc>
        <w:tc>
          <w:tcPr>
            <w:tcW w:w="2625" w:type="dxa"/>
            <w:vMerge w:val="continue"/>
            <w:vAlign w:val="center"/>
          </w:tcPr>
          <w:p>
            <w:pPr>
              <w:spacing w:line="460" w:lineRule="exact"/>
              <w:jc w:val="center"/>
              <w:rPr>
                <w:rFonts w:ascii="新宋体" w:hAnsi="新宋体" w:eastAsia="新宋体" w:cs="新宋体"/>
                <w:b w:val="0"/>
                <w:bCs/>
                <w:color w:val="auto"/>
                <w:sz w:val="22"/>
                <w:szCs w:val="22"/>
              </w:rPr>
            </w:pP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2分</w:t>
            </w:r>
          </w:p>
        </w:tc>
        <w:tc>
          <w:tcPr>
            <w:tcW w:w="5775" w:type="dxa"/>
          </w:tcPr>
          <w:p>
            <w:pPr>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关键性原材料板材：需符合</w:t>
            </w:r>
            <w:r>
              <w:rPr>
                <w:rFonts w:ascii="新宋体" w:hAnsi="新宋体" w:eastAsia="新宋体" w:cs="新宋体"/>
                <w:b w:val="0"/>
                <w:bCs/>
                <w:color w:val="auto"/>
                <w:sz w:val="22"/>
                <w:szCs w:val="22"/>
                <w:highlight w:val="none"/>
              </w:rPr>
              <w:t>GB/T18580-2017</w:t>
            </w:r>
            <w:r>
              <w:rPr>
                <w:rFonts w:hint="eastAsia" w:ascii="新宋体" w:hAnsi="新宋体" w:eastAsia="新宋体" w:cs="新宋体"/>
                <w:b w:val="0"/>
                <w:bCs/>
                <w:color w:val="auto"/>
                <w:sz w:val="22"/>
                <w:szCs w:val="22"/>
                <w:highlight w:val="none"/>
              </w:rPr>
              <w:t>《市内装修装饰材料</w:t>
            </w:r>
            <w:r>
              <w:rPr>
                <w:rFonts w:ascii="新宋体" w:hAnsi="新宋体" w:eastAsia="新宋体" w:cs="新宋体"/>
                <w:b w:val="0"/>
                <w:bCs/>
                <w:color w:val="auto"/>
                <w:sz w:val="22"/>
                <w:szCs w:val="22"/>
                <w:highlight w:val="none"/>
              </w:rPr>
              <w:t xml:space="preserve"> </w:t>
            </w:r>
            <w:r>
              <w:rPr>
                <w:rFonts w:hint="eastAsia" w:ascii="新宋体" w:hAnsi="新宋体" w:eastAsia="新宋体" w:cs="新宋体"/>
                <w:b w:val="0"/>
                <w:bCs/>
                <w:color w:val="auto"/>
                <w:sz w:val="22"/>
                <w:szCs w:val="22"/>
                <w:highlight w:val="none"/>
              </w:rPr>
              <w:t>人造板及其制品中甲醛释放量》甲醛释放含量：</w:t>
            </w:r>
          </w:p>
          <w:p>
            <w:pPr>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≤0.1mg/m</w:t>
            </w:r>
            <w:r>
              <w:rPr>
                <w:rFonts w:ascii="新宋体" w:hAnsi="新宋体" w:eastAsia="新宋体" w:cs="新宋体"/>
                <w:b w:val="0"/>
                <w:bCs/>
                <w:color w:val="auto"/>
                <w:sz w:val="22"/>
                <w:szCs w:val="22"/>
                <w:highlight w:val="none"/>
              </w:rPr>
              <w:t>³</w:t>
            </w:r>
            <w:r>
              <w:rPr>
                <w:rFonts w:hint="eastAsia" w:ascii="新宋体" w:hAnsi="新宋体" w:eastAsia="新宋体" w:cs="新宋体"/>
                <w:b w:val="0"/>
                <w:bCs/>
                <w:color w:val="auto"/>
                <w:sz w:val="22"/>
                <w:szCs w:val="22"/>
                <w:highlight w:val="none"/>
              </w:rPr>
              <w:t>得0.5分</w:t>
            </w:r>
          </w:p>
          <w:p>
            <w:pPr>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≤0.07mg/m</w:t>
            </w:r>
            <w:r>
              <w:rPr>
                <w:rFonts w:ascii="新宋体" w:hAnsi="新宋体" w:eastAsia="新宋体" w:cs="新宋体"/>
                <w:b w:val="0"/>
                <w:bCs/>
                <w:color w:val="auto"/>
                <w:sz w:val="22"/>
                <w:szCs w:val="22"/>
                <w:highlight w:val="none"/>
              </w:rPr>
              <w:t>³</w:t>
            </w:r>
            <w:r>
              <w:rPr>
                <w:rFonts w:hint="eastAsia" w:ascii="新宋体" w:hAnsi="新宋体" w:eastAsia="新宋体" w:cs="新宋体"/>
                <w:b w:val="0"/>
                <w:bCs/>
                <w:color w:val="auto"/>
                <w:sz w:val="22"/>
                <w:szCs w:val="22"/>
                <w:highlight w:val="none"/>
              </w:rPr>
              <w:t>得1分</w:t>
            </w:r>
          </w:p>
          <w:p>
            <w:pPr>
              <w:rPr>
                <w:color w:val="auto"/>
                <w:highlight w:val="none"/>
              </w:rPr>
            </w:pPr>
            <w:r>
              <w:rPr>
                <w:rFonts w:hint="eastAsia" w:ascii="新宋体" w:hAnsi="新宋体" w:eastAsia="新宋体" w:cs="新宋体"/>
                <w:b w:val="0"/>
                <w:bCs/>
                <w:color w:val="auto"/>
                <w:sz w:val="22"/>
                <w:szCs w:val="22"/>
                <w:highlight w:val="none"/>
              </w:rPr>
              <w:t>≤0.05mg/m</w:t>
            </w:r>
            <w:r>
              <w:rPr>
                <w:rFonts w:ascii="新宋体" w:hAnsi="新宋体" w:eastAsia="新宋体" w:cs="新宋体"/>
                <w:b w:val="0"/>
                <w:bCs/>
                <w:color w:val="auto"/>
                <w:sz w:val="22"/>
                <w:szCs w:val="22"/>
                <w:highlight w:val="none"/>
              </w:rPr>
              <w:t>³</w:t>
            </w:r>
            <w:r>
              <w:rPr>
                <w:rFonts w:hint="eastAsia" w:ascii="新宋体" w:hAnsi="新宋体" w:eastAsia="新宋体" w:cs="新宋体"/>
                <w:b w:val="0"/>
                <w:bCs/>
                <w:color w:val="auto"/>
                <w:sz w:val="22"/>
                <w:szCs w:val="22"/>
                <w:highlight w:val="none"/>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758" w:type="dxa"/>
            <w:vMerge w:val="continue"/>
            <w:vAlign w:val="center"/>
          </w:tcPr>
          <w:p>
            <w:pPr>
              <w:spacing w:line="460" w:lineRule="exact"/>
              <w:jc w:val="center"/>
              <w:rPr>
                <w:rFonts w:ascii="新宋体" w:hAnsi="新宋体" w:eastAsia="新宋体" w:cs="新宋体"/>
                <w:b w:val="0"/>
                <w:bCs/>
                <w:color w:val="auto"/>
                <w:sz w:val="22"/>
                <w:szCs w:val="22"/>
              </w:rPr>
            </w:pPr>
          </w:p>
        </w:tc>
        <w:tc>
          <w:tcPr>
            <w:tcW w:w="2625" w:type="dxa"/>
            <w:vMerge w:val="continue"/>
            <w:vAlign w:val="center"/>
          </w:tcPr>
          <w:p>
            <w:pPr>
              <w:spacing w:line="460" w:lineRule="exact"/>
              <w:jc w:val="center"/>
              <w:rPr>
                <w:rFonts w:ascii="新宋体" w:hAnsi="新宋体" w:eastAsia="新宋体" w:cs="新宋体"/>
                <w:b w:val="0"/>
                <w:bCs/>
                <w:color w:val="auto"/>
                <w:sz w:val="22"/>
                <w:szCs w:val="22"/>
              </w:rPr>
            </w:pP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2分</w:t>
            </w:r>
          </w:p>
        </w:tc>
        <w:tc>
          <w:tcPr>
            <w:tcW w:w="5775" w:type="dxa"/>
          </w:tcPr>
          <w:p>
            <w:pPr>
              <w:widowControl/>
              <w:snapToGrid w:val="0"/>
              <w:spacing w:line="460" w:lineRule="exact"/>
              <w:jc w:val="lef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关键性原材料五金件：</w:t>
            </w:r>
          </w:p>
          <w:p>
            <w:pPr>
              <w:pStyle w:val="30"/>
              <w:rPr>
                <w:rFonts w:hint="eastAsia" w:eastAsia="宋体"/>
                <w:color w:val="auto"/>
                <w:highlight w:val="none"/>
                <w:lang w:val="en-US" w:eastAsia="zh-CN"/>
              </w:rPr>
            </w:pPr>
            <w:r>
              <w:rPr>
                <w:rFonts w:hint="eastAsia"/>
                <w:color w:val="auto"/>
                <w:highlight w:val="none"/>
              </w:rPr>
              <w:t>锁具需符合Q</w:t>
            </w:r>
            <w:r>
              <w:rPr>
                <w:color w:val="auto"/>
                <w:highlight w:val="none"/>
              </w:rPr>
              <w:t>B/T</w:t>
            </w:r>
            <w:r>
              <w:rPr>
                <w:rFonts w:hint="eastAsia"/>
                <w:color w:val="auto"/>
                <w:highlight w:val="none"/>
              </w:rPr>
              <w:t>1621-2015《家具锁》要求得0.5分</w:t>
            </w:r>
            <w:r>
              <w:rPr>
                <w:rFonts w:hint="eastAsia"/>
                <w:color w:val="auto"/>
                <w:highlight w:val="none"/>
                <w:lang w:eastAsia="zh-CN"/>
              </w:rPr>
              <w:t>；</w:t>
            </w:r>
          </w:p>
          <w:p>
            <w:pPr>
              <w:pStyle w:val="30"/>
              <w:rPr>
                <w:rFonts w:hint="eastAsia" w:eastAsia="宋体"/>
                <w:color w:val="auto"/>
                <w:highlight w:val="none"/>
                <w:lang w:eastAsia="zh-CN"/>
              </w:rPr>
            </w:pPr>
            <w:r>
              <w:rPr>
                <w:rFonts w:hint="eastAsia"/>
                <w:color w:val="auto"/>
                <w:highlight w:val="none"/>
              </w:rPr>
              <w:t>铰链需符合</w:t>
            </w:r>
            <w:r>
              <w:rPr>
                <w:color w:val="auto"/>
                <w:highlight w:val="none"/>
              </w:rPr>
              <w:t>QB/T2189-</w:t>
            </w:r>
            <w:r>
              <w:rPr>
                <w:rFonts w:hint="eastAsia"/>
                <w:color w:val="auto"/>
                <w:highlight w:val="none"/>
              </w:rPr>
              <w:t>2013《家具五金 杯状暗铰链》要求得0.5分</w:t>
            </w:r>
            <w:r>
              <w:rPr>
                <w:rFonts w:hint="eastAsia"/>
                <w:color w:val="auto"/>
                <w:highlight w:val="none"/>
                <w:lang w:eastAsia="zh-CN"/>
              </w:rPr>
              <w:t>；</w:t>
            </w:r>
          </w:p>
          <w:p>
            <w:pPr>
              <w:pStyle w:val="30"/>
              <w:rPr>
                <w:rFonts w:hint="eastAsia" w:eastAsia="宋体"/>
                <w:color w:val="auto"/>
                <w:highlight w:val="none"/>
                <w:lang w:eastAsia="zh-CN"/>
              </w:rPr>
            </w:pPr>
            <w:r>
              <w:rPr>
                <w:rFonts w:hint="eastAsia"/>
                <w:color w:val="auto"/>
                <w:highlight w:val="none"/>
              </w:rPr>
              <w:t>三节轨需符合</w:t>
            </w:r>
            <w:r>
              <w:rPr>
                <w:color w:val="auto"/>
                <w:highlight w:val="none"/>
              </w:rPr>
              <w:t>QB/T2514-2013</w:t>
            </w:r>
            <w:r>
              <w:rPr>
                <w:rFonts w:hint="eastAsia"/>
                <w:color w:val="auto"/>
                <w:highlight w:val="none"/>
              </w:rPr>
              <w:t>《家具五金 五金导轨》要求得0.5分</w:t>
            </w:r>
            <w:r>
              <w:rPr>
                <w:rFonts w:hint="eastAsia"/>
                <w:color w:val="auto"/>
                <w:highlight w:val="none"/>
                <w:lang w:eastAsia="zh-CN"/>
              </w:rPr>
              <w:t>；</w:t>
            </w:r>
          </w:p>
          <w:p>
            <w:pPr>
              <w:pStyle w:val="30"/>
              <w:rPr>
                <w:rFonts w:hint="eastAsia" w:eastAsia="宋体"/>
                <w:color w:val="auto"/>
                <w:highlight w:val="none"/>
                <w:lang w:eastAsia="zh-CN"/>
              </w:rPr>
            </w:pPr>
            <w:r>
              <w:rPr>
                <w:rFonts w:hint="eastAsia"/>
                <w:color w:val="auto"/>
                <w:highlight w:val="none"/>
              </w:rPr>
              <w:t>气压棒需符合Q</w:t>
            </w:r>
            <w:r>
              <w:rPr>
                <w:color w:val="auto"/>
                <w:highlight w:val="none"/>
              </w:rPr>
              <w:t>B/T2280—</w:t>
            </w:r>
            <w:r>
              <w:rPr>
                <w:rFonts w:hint="eastAsia"/>
                <w:color w:val="auto"/>
                <w:highlight w:val="none"/>
              </w:rPr>
              <w:t>2016《办公家具 办公椅》要求得0.5分</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758" w:type="dxa"/>
            <w:vMerge w:val="continue"/>
            <w:vAlign w:val="center"/>
          </w:tcPr>
          <w:p>
            <w:pPr>
              <w:spacing w:line="460" w:lineRule="exact"/>
              <w:jc w:val="center"/>
              <w:rPr>
                <w:rFonts w:ascii="新宋体" w:hAnsi="新宋体" w:eastAsia="新宋体" w:cs="新宋体"/>
                <w:b w:val="0"/>
                <w:bCs/>
                <w:color w:val="auto"/>
                <w:sz w:val="22"/>
                <w:szCs w:val="22"/>
              </w:rPr>
            </w:pPr>
          </w:p>
        </w:tc>
        <w:tc>
          <w:tcPr>
            <w:tcW w:w="2625" w:type="dxa"/>
            <w:vMerge w:val="continue"/>
            <w:vAlign w:val="center"/>
          </w:tcPr>
          <w:p>
            <w:pPr>
              <w:spacing w:line="460" w:lineRule="exact"/>
              <w:jc w:val="center"/>
              <w:rPr>
                <w:rFonts w:ascii="新宋体" w:hAnsi="新宋体" w:eastAsia="新宋体" w:cs="新宋体"/>
                <w:b w:val="0"/>
                <w:bCs/>
                <w:color w:val="auto"/>
                <w:sz w:val="22"/>
                <w:szCs w:val="22"/>
              </w:rPr>
            </w:pP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2分</w:t>
            </w:r>
          </w:p>
        </w:tc>
        <w:tc>
          <w:tcPr>
            <w:tcW w:w="5775" w:type="dxa"/>
          </w:tcPr>
          <w:p>
            <w:pPr>
              <w:pStyle w:val="7"/>
              <w:spacing w:line="460" w:lineRule="exac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关键性原材料:漆类、胶类:</w:t>
            </w:r>
          </w:p>
          <w:p>
            <w:pPr>
              <w:rPr>
                <w:color w:val="auto"/>
                <w:highlight w:val="none"/>
              </w:rPr>
            </w:pPr>
            <w:r>
              <w:rPr>
                <w:rFonts w:hint="eastAsia" w:ascii="新宋体" w:hAnsi="新宋体" w:eastAsia="新宋体" w:cs="新宋体"/>
                <w:b w:val="0"/>
                <w:bCs/>
                <w:color w:val="auto"/>
                <w:sz w:val="22"/>
                <w:szCs w:val="22"/>
                <w:highlight w:val="none"/>
              </w:rPr>
              <w:t>漆类:水性漆甲醛含量需符合G</w:t>
            </w:r>
            <w:r>
              <w:rPr>
                <w:rFonts w:ascii="新宋体" w:hAnsi="新宋体" w:eastAsia="新宋体" w:cs="新宋体"/>
                <w:b w:val="0"/>
                <w:bCs/>
                <w:color w:val="auto"/>
                <w:sz w:val="22"/>
                <w:szCs w:val="22"/>
                <w:highlight w:val="none"/>
              </w:rPr>
              <w:t>B24410</w:t>
            </w:r>
            <w:r>
              <w:rPr>
                <w:rFonts w:hint="eastAsia" w:ascii="新宋体" w:hAnsi="新宋体" w:eastAsia="新宋体" w:cs="新宋体"/>
                <w:b w:val="0"/>
                <w:bCs/>
                <w:color w:val="auto"/>
                <w:sz w:val="22"/>
                <w:szCs w:val="22"/>
                <w:highlight w:val="none"/>
              </w:rPr>
              <w:t>-2009《室内装修装饰材料 水性木器涂料中有害物质限量》要求得1分;</w:t>
            </w:r>
          </w:p>
          <w:p>
            <w:pPr>
              <w:pStyle w:val="30"/>
              <w:rPr>
                <w:color w:val="auto"/>
                <w:highlight w:val="none"/>
              </w:rPr>
            </w:pPr>
            <w:r>
              <w:rPr>
                <w:rFonts w:hint="eastAsia"/>
                <w:color w:val="auto"/>
                <w:highlight w:val="none"/>
              </w:rPr>
              <w:t>胶类:胶类游离甲醛需符合G</w:t>
            </w:r>
            <w:r>
              <w:rPr>
                <w:color w:val="auto"/>
                <w:highlight w:val="none"/>
              </w:rPr>
              <w:t>B18583-2008</w:t>
            </w:r>
            <w:r>
              <w:rPr>
                <w:rFonts w:hint="eastAsia"/>
                <w:color w:val="auto"/>
                <w:highlight w:val="none"/>
              </w:rPr>
              <w:t>《室内装修装饰材料</w:t>
            </w:r>
            <w:r>
              <w:rPr>
                <w:color w:val="auto"/>
                <w:highlight w:val="none"/>
              </w:rPr>
              <w:t xml:space="preserve"> </w:t>
            </w:r>
            <w:r>
              <w:rPr>
                <w:rFonts w:hint="eastAsia"/>
                <w:color w:val="auto"/>
                <w:highlight w:val="none"/>
              </w:rPr>
              <w:t>胶粘剂中有害物质限量》要求得1分;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vAlign w:val="center"/>
          </w:tcPr>
          <w:p>
            <w:pPr>
              <w:spacing w:line="460" w:lineRule="exact"/>
              <w:jc w:val="center"/>
              <w:rPr>
                <w:rFonts w:hint="eastAsia" w:ascii="新宋体" w:hAnsi="新宋体" w:eastAsia="新宋体" w:cs="新宋体"/>
                <w:b w:val="0"/>
                <w:bCs/>
                <w:color w:val="auto"/>
                <w:sz w:val="22"/>
                <w:szCs w:val="22"/>
                <w:lang w:eastAsia="zh-CN"/>
              </w:rPr>
            </w:pPr>
            <w:r>
              <w:rPr>
                <w:rFonts w:hint="eastAsia" w:ascii="新宋体" w:hAnsi="新宋体" w:eastAsia="新宋体" w:cs="新宋体"/>
                <w:b w:val="0"/>
                <w:bCs/>
                <w:color w:val="auto"/>
                <w:sz w:val="22"/>
                <w:szCs w:val="22"/>
                <w:lang w:val="en-US" w:eastAsia="zh-CN"/>
              </w:rPr>
              <w:t>5</w:t>
            </w:r>
          </w:p>
        </w:tc>
        <w:tc>
          <w:tcPr>
            <w:tcW w:w="2625" w:type="dxa"/>
            <w:vAlign w:val="center"/>
          </w:tcPr>
          <w:p>
            <w:pPr>
              <w:spacing w:line="460" w:lineRule="exact"/>
              <w:jc w:val="center"/>
              <w:rPr>
                <w:rFonts w:hint="default" w:ascii="新宋体" w:hAnsi="新宋体" w:eastAsia="新宋体" w:cs="新宋体"/>
                <w:b w:val="0"/>
                <w:bCs/>
                <w:color w:val="auto"/>
                <w:sz w:val="22"/>
                <w:szCs w:val="22"/>
                <w:lang w:val="en-US" w:eastAsia="zh-CN"/>
              </w:rPr>
            </w:pPr>
            <w:r>
              <w:rPr>
                <w:rFonts w:hint="eastAsia" w:ascii="新宋体" w:hAnsi="新宋体" w:eastAsia="新宋体" w:cs="新宋体"/>
                <w:b w:val="0"/>
                <w:bCs/>
                <w:color w:val="auto"/>
                <w:sz w:val="22"/>
                <w:szCs w:val="22"/>
              </w:rPr>
              <w:t>组织配送能力、专职人员配备情况</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0-5</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分</w:t>
            </w: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5分</w:t>
            </w:r>
          </w:p>
        </w:tc>
        <w:tc>
          <w:tcPr>
            <w:tcW w:w="5775" w:type="dxa"/>
          </w:tcPr>
          <w:p>
            <w:pPr>
              <w:widowControl/>
              <w:numPr>
                <w:ilvl w:val="0"/>
                <w:numId w:val="20"/>
              </w:numPr>
              <w:spacing w:line="460" w:lineRule="exact"/>
              <w:jc w:val="left"/>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针对本次项目具体实施计划进度、投入的实施人员横向比较打分；0-3分</w:t>
            </w:r>
          </w:p>
          <w:p>
            <w:pPr>
              <w:pStyle w:val="7"/>
              <w:spacing w:line="460" w:lineRule="exact"/>
            </w:pPr>
            <w:r>
              <w:rPr>
                <w:rFonts w:hint="eastAsia" w:ascii="新宋体" w:hAnsi="新宋体" w:eastAsia="新宋体" w:cs="新宋体"/>
                <w:b w:val="0"/>
                <w:bCs/>
                <w:color w:val="auto"/>
                <w:sz w:val="22"/>
                <w:szCs w:val="22"/>
                <w:lang w:val="en-US" w:eastAsia="zh-CN"/>
              </w:rPr>
              <w:t>2）</w:t>
            </w:r>
            <w:r>
              <w:rPr>
                <w:rFonts w:hint="eastAsia" w:ascii="新宋体" w:hAnsi="新宋体" w:eastAsia="新宋体" w:cs="新宋体"/>
                <w:b w:val="0"/>
                <w:bCs/>
                <w:color w:val="auto"/>
                <w:sz w:val="22"/>
                <w:szCs w:val="22"/>
              </w:rPr>
              <w:t>具有实施配送能力：投标人货物运输、安装、调试组织方案：科学性、合理性、时效性综合评估打分;0-2分</w:t>
            </w:r>
            <w:r>
              <w:rPr>
                <w:rFonts w:hint="eastAsia"/>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vAlign w:val="center"/>
          </w:tcPr>
          <w:p>
            <w:pPr>
              <w:spacing w:line="460" w:lineRule="exact"/>
              <w:jc w:val="center"/>
              <w:rPr>
                <w:rFonts w:hint="eastAsia" w:ascii="新宋体" w:hAnsi="新宋体" w:eastAsia="新宋体" w:cs="新宋体"/>
                <w:b w:val="0"/>
                <w:bCs/>
                <w:color w:val="auto"/>
                <w:sz w:val="22"/>
                <w:szCs w:val="22"/>
                <w:lang w:eastAsia="zh-CN"/>
              </w:rPr>
            </w:pPr>
            <w:r>
              <w:rPr>
                <w:rFonts w:hint="eastAsia" w:ascii="新宋体" w:hAnsi="新宋体" w:eastAsia="新宋体" w:cs="新宋体"/>
                <w:b w:val="0"/>
                <w:bCs/>
                <w:color w:val="auto"/>
                <w:sz w:val="22"/>
                <w:szCs w:val="22"/>
                <w:lang w:val="en-US" w:eastAsia="zh-CN"/>
              </w:rPr>
              <w:t>6</w:t>
            </w:r>
          </w:p>
        </w:tc>
        <w:tc>
          <w:tcPr>
            <w:tcW w:w="2625" w:type="dxa"/>
            <w:vAlign w:val="center"/>
          </w:tcPr>
          <w:p>
            <w:pPr>
              <w:spacing w:line="460" w:lineRule="exact"/>
              <w:jc w:val="center"/>
              <w:rPr>
                <w:rFonts w:hint="default" w:ascii="新宋体" w:hAnsi="新宋体" w:eastAsia="新宋体" w:cs="新宋体"/>
                <w:b w:val="0"/>
                <w:bCs/>
                <w:color w:val="auto"/>
                <w:sz w:val="22"/>
                <w:szCs w:val="22"/>
                <w:lang w:val="en-US" w:eastAsia="zh-CN"/>
              </w:rPr>
            </w:pPr>
            <w:r>
              <w:rPr>
                <w:rFonts w:hint="eastAsia" w:ascii="新宋体" w:hAnsi="新宋体" w:eastAsia="新宋体" w:cs="新宋体"/>
                <w:b w:val="0"/>
                <w:bCs/>
                <w:color w:val="auto"/>
                <w:sz w:val="22"/>
                <w:szCs w:val="22"/>
              </w:rPr>
              <w:t>同类项目业绩</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0-6</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分</w:t>
            </w: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lang w:val="en-US" w:eastAsia="zh-CN"/>
              </w:rPr>
              <w:t>6</w:t>
            </w:r>
            <w:r>
              <w:rPr>
                <w:rFonts w:hint="eastAsia" w:ascii="新宋体" w:hAnsi="新宋体" w:eastAsia="新宋体" w:cs="新宋体"/>
                <w:b w:val="0"/>
                <w:bCs/>
                <w:color w:val="auto"/>
                <w:sz w:val="22"/>
                <w:szCs w:val="22"/>
              </w:rPr>
              <w:t>分</w:t>
            </w:r>
          </w:p>
        </w:tc>
        <w:tc>
          <w:tcPr>
            <w:tcW w:w="5775" w:type="dxa"/>
          </w:tcPr>
          <w:p>
            <w:pPr>
              <w:pageBreakBefore w:val="0"/>
              <w:widowControl/>
              <w:kinsoku/>
              <w:wordWrap/>
              <w:overflowPunct/>
              <w:topLinePunct w:val="0"/>
              <w:autoSpaceDE/>
              <w:autoSpaceDN/>
              <w:bidi w:val="0"/>
              <w:adjustRightInd/>
              <w:spacing w:line="460" w:lineRule="exact"/>
              <w:jc w:val="left"/>
              <w:textAlignment w:val="auto"/>
              <w:rPr>
                <w:rFonts w:hint="default" w:ascii="新宋体" w:hAnsi="新宋体" w:eastAsia="新宋体" w:cs="新宋体"/>
                <w:b w:val="0"/>
                <w:bCs/>
                <w:color w:val="auto"/>
                <w:kern w:val="0"/>
                <w:sz w:val="22"/>
                <w:szCs w:val="22"/>
                <w:highlight w:val="none"/>
                <w:lang w:val="en-US" w:eastAsia="zh-CN"/>
              </w:rPr>
            </w:pPr>
            <w:r>
              <w:rPr>
                <w:rFonts w:hint="eastAsia" w:ascii="新宋体" w:hAnsi="新宋体" w:eastAsia="新宋体" w:cs="新宋体"/>
                <w:b w:val="0"/>
                <w:bCs/>
                <w:color w:val="auto"/>
                <w:kern w:val="0"/>
                <w:sz w:val="22"/>
                <w:szCs w:val="22"/>
                <w:highlight w:val="none"/>
              </w:rPr>
              <w:t>根据</w:t>
            </w:r>
            <w:r>
              <w:rPr>
                <w:rFonts w:hint="eastAsia" w:ascii="新宋体" w:hAnsi="新宋体" w:eastAsia="新宋体" w:cs="新宋体"/>
                <w:b w:val="0"/>
                <w:bCs/>
                <w:color w:val="auto"/>
                <w:kern w:val="0"/>
                <w:sz w:val="22"/>
                <w:szCs w:val="22"/>
                <w:highlight w:val="none"/>
                <w:lang w:eastAsia="zh-CN"/>
              </w:rPr>
              <w:t>投标人</w:t>
            </w:r>
            <w:r>
              <w:rPr>
                <w:rFonts w:hint="eastAsia" w:ascii="新宋体" w:hAnsi="新宋体" w:eastAsia="新宋体" w:cs="新宋体"/>
                <w:b w:val="0"/>
                <w:bCs/>
                <w:color w:val="auto"/>
                <w:kern w:val="0"/>
                <w:sz w:val="22"/>
                <w:szCs w:val="22"/>
                <w:highlight w:val="none"/>
              </w:rPr>
              <w:t>业绩情况打分：</w:t>
            </w:r>
            <w:r>
              <w:rPr>
                <w:rFonts w:hint="eastAsia" w:ascii="新宋体" w:hAnsi="新宋体" w:eastAsia="新宋体" w:cs="新宋体"/>
                <w:b w:val="0"/>
                <w:bCs/>
                <w:color w:val="auto"/>
                <w:kern w:val="0"/>
                <w:sz w:val="22"/>
                <w:szCs w:val="22"/>
                <w:highlight w:val="none"/>
                <w:lang w:val="en-US" w:eastAsia="zh-CN"/>
              </w:rPr>
              <w:t>2017年1月1日以来承接</w:t>
            </w:r>
            <w:r>
              <w:rPr>
                <w:rFonts w:hint="eastAsia" w:ascii="新宋体" w:hAnsi="新宋体" w:eastAsia="新宋体" w:cs="新宋体"/>
                <w:b w:val="0"/>
                <w:bCs/>
                <w:color w:val="auto"/>
                <w:kern w:val="0"/>
                <w:sz w:val="22"/>
                <w:szCs w:val="22"/>
                <w:highlight w:val="none"/>
              </w:rPr>
              <w:t>同类家具项目每提供一项合同得1分</w:t>
            </w:r>
            <w:r>
              <w:rPr>
                <w:rFonts w:hint="eastAsia" w:ascii="新宋体" w:hAnsi="新宋体" w:eastAsia="新宋体" w:cs="新宋体"/>
                <w:b w:val="0"/>
                <w:bCs/>
                <w:color w:val="auto"/>
                <w:kern w:val="0"/>
                <w:sz w:val="22"/>
                <w:szCs w:val="22"/>
                <w:highlight w:val="none"/>
                <w:lang w:eastAsia="zh-CN"/>
              </w:rPr>
              <w:t>，</w:t>
            </w:r>
            <w:r>
              <w:rPr>
                <w:rFonts w:hint="eastAsia" w:ascii="新宋体" w:hAnsi="新宋体" w:eastAsia="新宋体" w:cs="新宋体"/>
                <w:b w:val="0"/>
                <w:bCs/>
                <w:color w:val="auto"/>
                <w:kern w:val="0"/>
                <w:sz w:val="22"/>
                <w:szCs w:val="22"/>
                <w:highlight w:val="none"/>
                <w:lang w:val="en-US" w:eastAsia="zh-CN"/>
              </w:rPr>
              <w:t>最多6分。</w:t>
            </w:r>
          </w:p>
          <w:p>
            <w:pPr>
              <w:pStyle w:val="7"/>
              <w:spacing w:line="460" w:lineRule="exac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kern w:val="0"/>
                <w:sz w:val="22"/>
                <w:szCs w:val="22"/>
                <w:highlight w:val="none"/>
              </w:rPr>
              <w:t>提供供货合同</w:t>
            </w:r>
            <w:r>
              <w:rPr>
                <w:rFonts w:hint="eastAsia" w:ascii="新宋体" w:hAnsi="新宋体" w:eastAsia="新宋体" w:cs="新宋体"/>
                <w:b w:val="0"/>
                <w:bCs/>
                <w:color w:val="auto"/>
                <w:kern w:val="0"/>
                <w:sz w:val="22"/>
                <w:szCs w:val="22"/>
                <w:highlight w:val="none"/>
                <w:lang w:val="en-US" w:eastAsia="zh-CN"/>
              </w:rPr>
              <w:t>或中标通知书</w:t>
            </w:r>
            <w:r>
              <w:rPr>
                <w:rFonts w:hint="eastAsia" w:ascii="新宋体" w:hAnsi="新宋体" w:eastAsia="新宋体" w:cs="新宋体"/>
                <w:b w:val="0"/>
                <w:bCs/>
                <w:color w:val="auto"/>
                <w:kern w:val="0"/>
                <w:sz w:val="22"/>
                <w:szCs w:val="22"/>
                <w:highlight w:val="none"/>
              </w:rPr>
              <w:t>复印件</w:t>
            </w:r>
            <w:r>
              <w:rPr>
                <w:rFonts w:hint="eastAsia" w:ascii="新宋体" w:hAnsi="新宋体" w:eastAsia="新宋体" w:cs="新宋体"/>
                <w:b w:val="0"/>
                <w:bCs/>
                <w:color w:val="auto"/>
                <w:kern w:val="0"/>
                <w:sz w:val="22"/>
                <w:szCs w:val="22"/>
                <w:highlight w:val="none"/>
                <w:lang w:val="en-US" w:eastAsia="zh-CN"/>
              </w:rPr>
              <w:t>加盖公章</w:t>
            </w:r>
            <w:r>
              <w:rPr>
                <w:rFonts w:hint="eastAsia" w:ascii="新宋体" w:hAnsi="新宋体" w:eastAsia="新宋体" w:cs="新宋体"/>
                <w:b w:val="0"/>
                <w:bCs/>
                <w:color w:val="auto"/>
                <w:kern w:val="0"/>
                <w:sz w:val="22"/>
                <w:szCs w:val="22"/>
                <w:highlight w:val="none"/>
              </w:rPr>
              <w:t>，</w:t>
            </w:r>
            <w:r>
              <w:rPr>
                <w:rFonts w:hint="eastAsia" w:ascii="新宋体" w:hAnsi="新宋体" w:eastAsia="新宋体" w:cs="新宋体"/>
                <w:b w:val="0"/>
                <w:bCs/>
                <w:color w:val="auto"/>
                <w:kern w:val="0"/>
                <w:sz w:val="22"/>
                <w:szCs w:val="22"/>
                <w:highlight w:val="none"/>
                <w:lang w:val="en-US" w:eastAsia="zh-CN"/>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vAlign w:val="center"/>
          </w:tcPr>
          <w:p>
            <w:pPr>
              <w:spacing w:line="460" w:lineRule="exact"/>
              <w:jc w:val="center"/>
              <w:rPr>
                <w:rFonts w:hint="eastAsia" w:ascii="新宋体" w:hAnsi="新宋体" w:eastAsia="新宋体" w:cs="新宋体"/>
                <w:b w:val="0"/>
                <w:bCs/>
                <w:color w:val="auto"/>
                <w:sz w:val="22"/>
                <w:szCs w:val="22"/>
                <w:highlight w:val="none"/>
                <w:lang w:eastAsia="zh-CN"/>
              </w:rPr>
            </w:pPr>
            <w:r>
              <w:rPr>
                <w:rFonts w:hint="eastAsia" w:ascii="新宋体" w:hAnsi="新宋体" w:eastAsia="新宋体" w:cs="新宋体"/>
                <w:b w:val="0"/>
                <w:bCs/>
                <w:color w:val="auto"/>
                <w:sz w:val="22"/>
                <w:szCs w:val="22"/>
                <w:highlight w:val="none"/>
                <w:lang w:val="en-US" w:eastAsia="zh-CN"/>
              </w:rPr>
              <w:t>7</w:t>
            </w:r>
          </w:p>
        </w:tc>
        <w:tc>
          <w:tcPr>
            <w:tcW w:w="2625" w:type="dxa"/>
            <w:vAlign w:val="center"/>
          </w:tcPr>
          <w:p>
            <w:pPr>
              <w:spacing w:line="460" w:lineRule="exact"/>
              <w:jc w:val="center"/>
              <w:rPr>
                <w:rFonts w:hint="default" w:ascii="新宋体" w:hAnsi="新宋体" w:eastAsia="新宋体" w:cs="新宋体"/>
                <w:b w:val="0"/>
                <w:bCs/>
                <w:color w:val="auto"/>
                <w:sz w:val="22"/>
                <w:szCs w:val="22"/>
                <w:highlight w:val="none"/>
                <w:lang w:val="en-US" w:eastAsia="zh-CN"/>
              </w:rPr>
            </w:pPr>
            <w:r>
              <w:rPr>
                <w:rFonts w:hint="eastAsia" w:ascii="新宋体" w:hAnsi="新宋体" w:eastAsia="新宋体" w:cs="新宋体"/>
                <w:b w:val="0"/>
                <w:bCs/>
                <w:color w:val="auto"/>
                <w:sz w:val="22"/>
                <w:szCs w:val="22"/>
                <w:highlight w:val="none"/>
              </w:rPr>
              <w:t>投标产品出样</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lang w:val="en-US" w:eastAsia="zh-CN"/>
              </w:rPr>
              <w:t>0-12</w:t>
            </w:r>
            <w:r>
              <w:rPr>
                <w:rFonts w:hint="eastAsia" w:ascii="新宋体" w:hAnsi="新宋体" w:eastAsia="新宋体" w:cs="新宋体"/>
                <w:b w:val="0"/>
                <w:bCs/>
                <w:color w:val="auto"/>
                <w:sz w:val="22"/>
                <w:szCs w:val="22"/>
                <w:highlight w:val="none"/>
                <w:lang w:eastAsia="zh-CN"/>
              </w:rPr>
              <w:t>）</w:t>
            </w:r>
            <w:r>
              <w:rPr>
                <w:rFonts w:hint="eastAsia" w:ascii="新宋体" w:hAnsi="新宋体" w:eastAsia="新宋体" w:cs="新宋体"/>
                <w:b w:val="0"/>
                <w:bCs/>
                <w:color w:val="auto"/>
                <w:sz w:val="22"/>
                <w:szCs w:val="22"/>
                <w:highlight w:val="none"/>
                <w:lang w:val="en-US" w:eastAsia="zh-CN"/>
              </w:rPr>
              <w:t>分</w:t>
            </w:r>
          </w:p>
        </w:tc>
        <w:tc>
          <w:tcPr>
            <w:tcW w:w="925" w:type="dxa"/>
            <w:vAlign w:val="center"/>
          </w:tcPr>
          <w:p>
            <w:pPr>
              <w:spacing w:line="460" w:lineRule="exact"/>
              <w:jc w:val="center"/>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12分</w:t>
            </w:r>
          </w:p>
        </w:tc>
        <w:tc>
          <w:tcPr>
            <w:tcW w:w="5775" w:type="dxa"/>
          </w:tcPr>
          <w:p>
            <w:pPr>
              <w:pStyle w:val="7"/>
              <w:spacing w:line="460" w:lineRule="exact"/>
              <w:rPr>
                <w:rFonts w:ascii="新宋体" w:hAnsi="新宋体" w:eastAsia="新宋体" w:cs="新宋体"/>
                <w:b w:val="0"/>
                <w:bCs/>
                <w:color w:val="auto"/>
                <w:sz w:val="22"/>
                <w:szCs w:val="22"/>
                <w:highlight w:val="none"/>
              </w:rPr>
            </w:pPr>
            <w:r>
              <w:rPr>
                <w:rFonts w:hint="eastAsia" w:ascii="新宋体" w:hAnsi="新宋体" w:eastAsia="新宋体" w:cs="新宋体"/>
                <w:b w:val="0"/>
                <w:bCs/>
                <w:color w:val="auto"/>
                <w:sz w:val="22"/>
                <w:szCs w:val="22"/>
                <w:highlight w:val="none"/>
              </w:rPr>
              <w:t>根据投标人提供的样品综合评价，从投标样品的款式、外观、整体效果以及板材质量、制作工艺、五金件品质是否符合等方面进行评分，完全符合招标文件要求的，每个样品最高得4分，基本符合的每个样品得1-2分。最高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 w:type="dxa"/>
            <w:vAlign w:val="center"/>
          </w:tcPr>
          <w:p>
            <w:pPr>
              <w:spacing w:line="460" w:lineRule="exact"/>
              <w:jc w:val="center"/>
              <w:rPr>
                <w:rFonts w:hint="eastAsia" w:ascii="新宋体" w:hAnsi="新宋体" w:eastAsia="新宋体" w:cs="新宋体"/>
                <w:b w:val="0"/>
                <w:bCs/>
                <w:color w:val="auto"/>
                <w:sz w:val="22"/>
                <w:szCs w:val="22"/>
                <w:lang w:eastAsia="zh-CN"/>
              </w:rPr>
            </w:pPr>
            <w:r>
              <w:rPr>
                <w:rFonts w:hint="eastAsia" w:ascii="新宋体" w:hAnsi="新宋体" w:eastAsia="新宋体" w:cs="新宋体"/>
                <w:b w:val="0"/>
                <w:bCs/>
                <w:color w:val="auto"/>
                <w:sz w:val="22"/>
                <w:szCs w:val="22"/>
                <w:lang w:val="en-US" w:eastAsia="zh-CN"/>
              </w:rPr>
              <w:t>8</w:t>
            </w:r>
          </w:p>
        </w:tc>
        <w:tc>
          <w:tcPr>
            <w:tcW w:w="2625" w:type="dxa"/>
            <w:vAlign w:val="center"/>
          </w:tcPr>
          <w:p>
            <w:pPr>
              <w:spacing w:line="460" w:lineRule="exact"/>
              <w:jc w:val="center"/>
              <w:rPr>
                <w:rFonts w:hint="default" w:ascii="新宋体" w:hAnsi="新宋体" w:eastAsia="新宋体" w:cs="新宋体"/>
                <w:b w:val="0"/>
                <w:bCs/>
                <w:color w:val="auto"/>
                <w:sz w:val="22"/>
                <w:szCs w:val="22"/>
                <w:lang w:val="en-US" w:eastAsia="zh-CN"/>
              </w:rPr>
            </w:pPr>
            <w:r>
              <w:rPr>
                <w:rFonts w:hint="eastAsia" w:ascii="新宋体" w:hAnsi="新宋体" w:eastAsia="新宋体" w:cs="新宋体"/>
                <w:b w:val="0"/>
                <w:bCs/>
                <w:color w:val="auto"/>
                <w:sz w:val="22"/>
                <w:szCs w:val="22"/>
              </w:rPr>
              <w:t>售后服务机构及服务认证能力</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0-3</w:t>
            </w:r>
            <w:r>
              <w:rPr>
                <w:rFonts w:hint="eastAsia" w:ascii="新宋体" w:hAnsi="新宋体" w:eastAsia="新宋体" w:cs="新宋体"/>
                <w:b w:val="0"/>
                <w:bCs/>
                <w:color w:val="auto"/>
                <w:sz w:val="22"/>
                <w:szCs w:val="22"/>
                <w:lang w:eastAsia="zh-CN"/>
              </w:rPr>
              <w:t>）</w:t>
            </w:r>
            <w:r>
              <w:rPr>
                <w:rFonts w:hint="eastAsia" w:ascii="新宋体" w:hAnsi="新宋体" w:eastAsia="新宋体" w:cs="新宋体"/>
                <w:b w:val="0"/>
                <w:bCs/>
                <w:color w:val="auto"/>
                <w:sz w:val="22"/>
                <w:szCs w:val="22"/>
                <w:lang w:val="en-US" w:eastAsia="zh-CN"/>
              </w:rPr>
              <w:t>分</w:t>
            </w:r>
          </w:p>
        </w:tc>
        <w:tc>
          <w:tcPr>
            <w:tcW w:w="925" w:type="dxa"/>
            <w:vAlign w:val="center"/>
          </w:tcPr>
          <w:p>
            <w:pPr>
              <w:spacing w:line="460" w:lineRule="exact"/>
              <w:jc w:val="center"/>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rPr>
              <w:t>3分</w:t>
            </w:r>
          </w:p>
        </w:tc>
        <w:tc>
          <w:tcPr>
            <w:tcW w:w="5775" w:type="dxa"/>
          </w:tcPr>
          <w:p>
            <w:pPr>
              <w:widowControl/>
              <w:spacing w:line="460" w:lineRule="exact"/>
              <w:jc w:val="left"/>
              <w:rPr>
                <w:rFonts w:ascii="新宋体" w:hAnsi="新宋体" w:eastAsia="新宋体" w:cs="新宋体"/>
                <w:b w:val="0"/>
                <w:bCs/>
                <w:color w:val="auto"/>
                <w:sz w:val="22"/>
                <w:szCs w:val="22"/>
              </w:rPr>
            </w:pPr>
            <w:r>
              <w:rPr>
                <w:rFonts w:hint="eastAsia" w:ascii="新宋体" w:hAnsi="新宋体" w:eastAsia="新宋体" w:cs="新宋体"/>
                <w:b w:val="0"/>
                <w:bCs/>
                <w:color w:val="auto"/>
                <w:sz w:val="22"/>
                <w:szCs w:val="22"/>
                <w:lang w:val="en-US" w:eastAsia="zh-CN"/>
              </w:rPr>
              <w:t>1、</w:t>
            </w:r>
            <w:r>
              <w:rPr>
                <w:rFonts w:hint="eastAsia" w:ascii="新宋体" w:hAnsi="新宋体" w:eastAsia="新宋体" w:cs="新宋体"/>
                <w:b w:val="0"/>
                <w:bCs/>
                <w:color w:val="auto"/>
                <w:sz w:val="22"/>
                <w:szCs w:val="22"/>
              </w:rPr>
              <w:t>投标人承诺的售后响应时间及售后服务承诺（0-1分）；</w:t>
            </w:r>
          </w:p>
          <w:p>
            <w:pPr>
              <w:pStyle w:val="30"/>
              <w:rPr>
                <w:rFonts w:ascii="新宋体" w:hAnsi="新宋体" w:eastAsia="新宋体" w:cs="新宋体"/>
                <w:bCs/>
                <w:color w:val="auto"/>
                <w:kern w:val="0"/>
                <w:sz w:val="22"/>
              </w:rPr>
            </w:pPr>
            <w:r>
              <w:rPr>
                <w:rFonts w:hint="eastAsia" w:ascii="新宋体" w:hAnsi="新宋体" w:eastAsia="新宋体" w:cs="新宋体"/>
                <w:bCs/>
                <w:color w:val="auto"/>
                <w:kern w:val="0"/>
                <w:sz w:val="22"/>
                <w:lang w:val="en-US" w:eastAsia="zh-CN"/>
              </w:rPr>
              <w:t>2、</w:t>
            </w:r>
            <w:r>
              <w:rPr>
                <w:rFonts w:hint="eastAsia" w:ascii="新宋体" w:hAnsi="新宋体" w:eastAsia="新宋体" w:cs="新宋体"/>
                <w:bCs/>
                <w:color w:val="auto"/>
                <w:kern w:val="0"/>
                <w:sz w:val="22"/>
              </w:rPr>
              <w:t>在满足招标文件质保期要求的基础上，每增加1年加0.5分，最多加1分。（0-1分）；</w:t>
            </w:r>
          </w:p>
          <w:p>
            <w:pPr>
              <w:pStyle w:val="30"/>
            </w:pPr>
            <w:r>
              <w:rPr>
                <w:rFonts w:hint="eastAsia" w:ascii="新宋体" w:hAnsi="新宋体" w:eastAsia="新宋体" w:cs="新宋体"/>
                <w:bCs/>
                <w:color w:val="auto"/>
                <w:kern w:val="0"/>
                <w:sz w:val="22"/>
                <w:lang w:val="en-US" w:eastAsia="zh-CN"/>
              </w:rPr>
              <w:t>3、</w:t>
            </w:r>
            <w:r>
              <w:rPr>
                <w:rFonts w:hint="eastAsia" w:ascii="新宋体" w:hAnsi="新宋体" w:eastAsia="新宋体" w:cs="新宋体"/>
                <w:bCs/>
                <w:color w:val="auto"/>
                <w:kern w:val="0"/>
                <w:sz w:val="22"/>
              </w:rPr>
              <w:t>投标人拥有售后服务星级上认证（0-1分）；</w:t>
            </w:r>
          </w:p>
        </w:tc>
      </w:tr>
    </w:tbl>
    <w:p>
      <w:pPr>
        <w:pStyle w:val="13"/>
        <w:adjustRightInd w:val="0"/>
        <w:snapToGrid w:val="0"/>
        <w:spacing w:line="260" w:lineRule="exact"/>
        <w:ind w:left="-105" w:leftChars="-50" w:firstLine="440" w:firstLineChars="200"/>
        <w:rPr>
          <w:rFonts w:hint="eastAsia" w:hAnsi="宋体" w:eastAsia="宋体"/>
          <w:b w:val="0"/>
          <w:color w:val="auto"/>
          <w:sz w:val="22"/>
          <w:szCs w:val="22"/>
        </w:rPr>
      </w:pPr>
    </w:p>
    <w:p>
      <w:pPr>
        <w:pStyle w:val="13"/>
        <w:adjustRightInd w:val="0"/>
        <w:snapToGrid w:val="0"/>
        <w:spacing w:line="260" w:lineRule="exact"/>
        <w:rPr>
          <w:rFonts w:hint="eastAsia" w:hAnsi="宋体" w:eastAsia="宋体"/>
          <w:b w:val="0"/>
          <w:color w:val="auto"/>
          <w:sz w:val="22"/>
          <w:szCs w:val="22"/>
        </w:rPr>
      </w:pPr>
    </w:p>
    <w:p>
      <w:pPr>
        <w:pStyle w:val="13"/>
        <w:adjustRightInd w:val="0"/>
        <w:snapToGrid w:val="0"/>
        <w:spacing w:line="260" w:lineRule="exact"/>
        <w:ind w:left="-105" w:leftChars="-50" w:firstLine="440" w:firstLineChars="200"/>
        <w:rPr>
          <w:rFonts w:hint="eastAsia" w:hAnsi="宋体" w:eastAsia="宋体"/>
          <w:b w:val="0"/>
          <w:color w:val="auto"/>
          <w:sz w:val="22"/>
          <w:szCs w:val="22"/>
        </w:rPr>
      </w:pPr>
    </w:p>
    <w:p>
      <w:pPr>
        <w:pStyle w:val="13"/>
        <w:adjustRightInd w:val="0"/>
        <w:snapToGrid w:val="0"/>
        <w:spacing w:line="260" w:lineRule="exact"/>
        <w:ind w:left="-105" w:leftChars="-50" w:firstLine="440" w:firstLineChars="200"/>
        <w:rPr>
          <w:rFonts w:hAnsi="宋体" w:eastAsia="宋体"/>
          <w:b w:val="0"/>
          <w:color w:val="auto"/>
          <w:sz w:val="22"/>
          <w:szCs w:val="22"/>
        </w:rPr>
      </w:pPr>
      <w:r>
        <w:rPr>
          <w:rFonts w:hint="eastAsia" w:hAnsi="宋体" w:eastAsia="宋体"/>
          <w:b w:val="0"/>
          <w:color w:val="auto"/>
          <w:sz w:val="22"/>
          <w:szCs w:val="22"/>
        </w:rPr>
        <w:t>三、说明</w:t>
      </w:r>
    </w:p>
    <w:p>
      <w:pPr>
        <w:adjustRightInd w:val="0"/>
        <w:spacing w:before="100" w:after="50" w:line="260" w:lineRule="exact"/>
        <w:ind w:firstLine="420"/>
        <w:rPr>
          <w:rFonts w:ascii="宋体" w:eastAsia="宋体"/>
          <w:b w:val="0"/>
          <w:color w:val="auto"/>
          <w:kern w:val="2"/>
          <w:sz w:val="22"/>
          <w:szCs w:val="22"/>
        </w:rPr>
      </w:pPr>
      <w:r>
        <w:rPr>
          <w:rFonts w:hint="eastAsia" w:ascii="宋体" w:eastAsia="宋体"/>
          <w:b w:val="0"/>
          <w:color w:val="auto"/>
          <w:kern w:val="2"/>
          <w:sz w:val="22"/>
          <w:szCs w:val="22"/>
        </w:rPr>
        <w:t>1、每个供应商最终得分=技术资信部分分值（所有评标委员会成员打分的算术平均值）＋商务报价部分分值。</w:t>
      </w:r>
    </w:p>
    <w:p>
      <w:pPr>
        <w:adjustRightInd w:val="0"/>
        <w:spacing w:before="100" w:after="50" w:line="260" w:lineRule="exact"/>
        <w:ind w:firstLine="420"/>
        <w:rPr>
          <w:rFonts w:ascii="宋体" w:eastAsia="宋体"/>
          <w:b w:val="0"/>
          <w:color w:val="auto"/>
          <w:kern w:val="2"/>
          <w:sz w:val="22"/>
          <w:szCs w:val="22"/>
        </w:rPr>
      </w:pPr>
      <w:r>
        <w:rPr>
          <w:rFonts w:hint="eastAsia" w:ascii="宋体" w:eastAsia="宋体"/>
          <w:b w:val="0"/>
          <w:color w:val="auto"/>
          <w:kern w:val="2"/>
          <w:sz w:val="22"/>
          <w:szCs w:val="22"/>
        </w:rPr>
        <w:t>2、评标委员会推荐得分最高的供应商为中标供应商（如果得分相同则按投标价从低到高顺序依次推荐为中标候选供应商；如果综合得分相同投标价也相同，则抽签决定），并编写采购报告。</w:t>
      </w:r>
    </w:p>
    <w:p>
      <w:pPr>
        <w:adjustRightInd w:val="0"/>
        <w:spacing w:before="100" w:after="50" w:line="260" w:lineRule="exact"/>
        <w:ind w:firstLine="420"/>
        <w:rPr>
          <w:rFonts w:ascii="宋体" w:eastAsia="宋体"/>
          <w:b w:val="0"/>
          <w:color w:val="auto"/>
          <w:kern w:val="2"/>
          <w:sz w:val="22"/>
          <w:szCs w:val="22"/>
        </w:rPr>
      </w:pPr>
      <w:r>
        <w:rPr>
          <w:rFonts w:hint="eastAsia" w:ascii="宋体" w:eastAsia="宋体"/>
          <w:b w:val="0"/>
          <w:color w:val="auto"/>
          <w:kern w:val="2"/>
          <w:sz w:val="22"/>
          <w:szCs w:val="22"/>
        </w:rPr>
        <w:t>3、所有分值计算保留小数点后二位，小数点后三位四舍五入。</w:t>
      </w:r>
    </w:p>
    <w:p>
      <w:pPr>
        <w:adjustRightInd w:val="0"/>
        <w:spacing w:before="100" w:after="50" w:line="260" w:lineRule="exact"/>
        <w:ind w:firstLine="420"/>
        <w:rPr>
          <w:rFonts w:ascii="宋体" w:eastAsia="宋体"/>
          <w:b w:val="0"/>
          <w:color w:val="auto"/>
          <w:kern w:val="2"/>
          <w:sz w:val="22"/>
          <w:szCs w:val="22"/>
        </w:rPr>
      </w:pPr>
      <w:r>
        <w:rPr>
          <w:rFonts w:hint="eastAsia" w:ascii="宋体" w:eastAsia="宋体"/>
          <w:b w:val="0"/>
          <w:color w:val="auto"/>
          <w:kern w:val="2"/>
          <w:sz w:val="22"/>
          <w:szCs w:val="22"/>
        </w:rPr>
        <w:t>参见本招标文件第三部分：“供应商须知” 中的相关内容，未尽事宜按有关法律规定处理。</w:t>
      </w:r>
    </w:p>
    <w:p>
      <w:pPr>
        <w:adjustRightInd w:val="0"/>
        <w:spacing w:before="100" w:after="50" w:line="440" w:lineRule="atLeast"/>
        <w:ind w:firstLine="420"/>
        <w:rPr>
          <w:rFonts w:ascii="宋体" w:eastAsia="宋体"/>
          <w:b w:val="0"/>
          <w:color w:val="auto"/>
          <w:kern w:val="2"/>
          <w:sz w:val="22"/>
          <w:szCs w:val="22"/>
        </w:rPr>
      </w:pPr>
    </w:p>
    <w:p>
      <w:pPr>
        <w:adjustRightInd w:val="0"/>
        <w:spacing w:before="100" w:after="50" w:line="440" w:lineRule="atLeast"/>
        <w:rPr>
          <w:rFonts w:ascii="宋体" w:eastAsia="宋体"/>
          <w:b w:val="0"/>
          <w:color w:val="auto"/>
          <w:kern w:val="2"/>
          <w:sz w:val="22"/>
          <w:szCs w:val="22"/>
        </w:rPr>
      </w:pPr>
    </w:p>
    <w:p>
      <w:pPr>
        <w:pStyle w:val="5"/>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pStyle w:val="8"/>
        <w:rPr>
          <w:rFonts w:ascii="宋体" w:eastAsia="宋体"/>
          <w:b w:val="0"/>
          <w:color w:val="auto"/>
          <w:kern w:val="2"/>
          <w:sz w:val="22"/>
          <w:szCs w:val="22"/>
        </w:rPr>
      </w:pPr>
    </w:p>
    <w:p>
      <w:pPr>
        <w:adjustRightInd w:val="0"/>
        <w:spacing w:before="100" w:after="50" w:line="440" w:lineRule="atLeast"/>
        <w:ind w:firstLine="4920" w:firstLineChars="1640"/>
        <w:rPr>
          <w:rFonts w:ascii="宋体" w:eastAsia="宋体"/>
          <w:b w:val="0"/>
          <w:bCs/>
          <w:color w:val="auto"/>
          <w:spacing w:val="-30"/>
          <w:sz w:val="36"/>
        </w:rPr>
      </w:pPr>
      <w:r>
        <w:rPr>
          <w:rFonts w:hint="eastAsia" w:ascii="宋体" w:eastAsia="宋体"/>
          <w:b w:val="0"/>
          <w:bCs/>
          <w:color w:val="auto"/>
          <w:spacing w:val="-30"/>
          <w:sz w:val="36"/>
        </w:rPr>
        <w:t>投标文件封条</w:t>
      </w:r>
    </w:p>
    <w:p>
      <w:pPr>
        <w:spacing w:line="360" w:lineRule="auto"/>
        <w:jc w:val="center"/>
        <w:rPr>
          <w:rFonts w:ascii="宋体" w:eastAsia="宋体"/>
          <w:b w:val="0"/>
          <w:bCs/>
          <w:color w:val="auto"/>
          <w:spacing w:val="-30"/>
          <w:sz w:val="36"/>
        </w:rPr>
      </w:pPr>
      <w:r>
        <w:rPr>
          <w:rFonts w:hint="eastAsia" w:ascii="宋体" w:eastAsia="宋体"/>
          <w:color w:val="auto"/>
        </w:rPr>
        <w:t>（注：供应商在密封标书时将下列封条沿线剪下，不够可复印）</w:t>
      </w:r>
    </w:p>
    <w:p>
      <w:pPr>
        <w:rPr>
          <w:rFonts w:ascii="宋体" w:eastAsia="宋体"/>
          <w:color w:val="auto"/>
          <w:spacing w:val="-30"/>
        </w:rPr>
      </w:pPr>
    </w:p>
    <w:p>
      <w:pPr>
        <w:rPr>
          <w:rFonts w:ascii="宋体" w:eastAsia="宋体"/>
          <w:color w:val="auto"/>
          <w:spacing w:val="-30"/>
        </w:rPr>
      </w:pPr>
    </w:p>
    <w:p>
      <w:pPr>
        <w:rPr>
          <w:rFonts w:ascii="宋体" w:eastAsia="宋体"/>
          <w:color w:val="auto"/>
          <w:spacing w:val="-30"/>
        </w:rPr>
      </w:pPr>
    </w:p>
    <w:p>
      <w:pPr>
        <w:rPr>
          <w:rFonts w:ascii="宋体" w:eastAsia="宋体"/>
          <w:color w:val="auto"/>
        </w:rPr>
      </w:pPr>
    </w:p>
    <w:tbl>
      <w:tblPr>
        <w:tblStyle w:val="22"/>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520" w:type="dxa"/>
          </w:tcPr>
          <w:p>
            <w:pPr>
              <w:rPr>
                <w:rFonts w:ascii="宋体" w:eastAsia="宋体"/>
                <w:color w:val="auto"/>
                <w:spacing w:val="-30"/>
              </w:rPr>
            </w:pPr>
          </w:p>
        </w:tc>
      </w:tr>
    </w:tbl>
    <w:p>
      <w:pPr>
        <w:spacing w:line="600" w:lineRule="exact"/>
        <w:jc w:val="center"/>
        <w:rPr>
          <w:rFonts w:ascii="宋体" w:eastAsia="宋体"/>
          <w:bCs/>
          <w:color w:val="auto"/>
          <w:spacing w:val="-30"/>
          <w:sz w:val="44"/>
          <w:szCs w:val="44"/>
        </w:rPr>
      </w:pPr>
      <w:r>
        <w:rPr>
          <w:rFonts w:hint="eastAsia" w:ascii="宋体" w:eastAsia="宋体"/>
          <w:bCs/>
          <w:color w:val="auto"/>
          <w:spacing w:val="-30"/>
          <w:sz w:val="44"/>
          <w:szCs w:val="44"/>
          <w:lang w:eastAsia="zh-CN"/>
        </w:rPr>
        <w:t>浙江大学温州研究院办公家具采购项目</w:t>
      </w:r>
      <w:r>
        <w:rPr>
          <w:rFonts w:hint="eastAsia" w:ascii="宋体" w:eastAsia="宋体"/>
          <w:bCs/>
          <w:color w:val="auto"/>
          <w:spacing w:val="-30"/>
          <w:sz w:val="44"/>
          <w:szCs w:val="44"/>
        </w:rPr>
        <w:t>商务报价部分投标文件密封袋封条</w:t>
      </w:r>
    </w:p>
    <w:p>
      <w:pPr>
        <w:pStyle w:val="70"/>
        <w:rPr>
          <w:shd w:val="pct10" w:color="auto" w:fill="FFFFFF"/>
        </w:rPr>
      </w:pPr>
      <w:r>
        <w:rPr>
          <w:rFonts w:hint="eastAsia"/>
          <w:shd w:val="pct10" w:color="auto" w:fill="FFFFFF"/>
        </w:rPr>
        <w:t>加 盖 投 标 单 位 公 章 及 法 定 代 表 人 或 其 法 定 代 表 人 委 托 代 理 人 签 字 或 盖 章</w:t>
      </w:r>
    </w:p>
    <w:tbl>
      <w:tblPr>
        <w:tblStyle w:val="22"/>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520" w:type="dxa"/>
          </w:tcPr>
          <w:p>
            <w:pPr>
              <w:jc w:val="center"/>
              <w:rPr>
                <w:rFonts w:ascii="宋体" w:eastAsia="宋体"/>
                <w:color w:val="auto"/>
                <w:spacing w:val="-30"/>
              </w:rPr>
            </w:pPr>
          </w:p>
        </w:tc>
      </w:tr>
    </w:tbl>
    <w:p>
      <w:pPr>
        <w:rPr>
          <w:rFonts w:ascii="宋体" w:eastAsia="宋体"/>
          <w:color w:val="auto"/>
        </w:rPr>
      </w:pPr>
    </w:p>
    <w:p>
      <w:pPr>
        <w:rPr>
          <w:rFonts w:ascii="宋体" w:eastAsia="宋体"/>
          <w:color w:val="auto"/>
        </w:rPr>
      </w:pPr>
    </w:p>
    <w:p>
      <w:pPr>
        <w:rPr>
          <w:rFonts w:ascii="宋体" w:eastAsia="宋体"/>
          <w:color w:val="auto"/>
        </w:rPr>
      </w:pPr>
    </w:p>
    <w:p>
      <w:pPr>
        <w:rPr>
          <w:rFonts w:ascii="宋体" w:eastAsia="宋体"/>
          <w:color w:val="auto"/>
        </w:rPr>
      </w:pPr>
    </w:p>
    <w:p>
      <w:pPr>
        <w:rPr>
          <w:rFonts w:ascii="宋体" w:eastAsia="宋体"/>
          <w:color w:val="auto"/>
        </w:rPr>
      </w:pPr>
    </w:p>
    <w:tbl>
      <w:tblPr>
        <w:tblStyle w:val="22"/>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4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9540" w:type="dxa"/>
          </w:tcPr>
          <w:p>
            <w:pPr>
              <w:rPr>
                <w:rFonts w:ascii="宋体" w:eastAsia="宋体"/>
                <w:color w:val="auto"/>
                <w:spacing w:val="-30"/>
              </w:rPr>
            </w:pPr>
          </w:p>
        </w:tc>
      </w:tr>
    </w:tbl>
    <w:p>
      <w:pPr>
        <w:spacing w:line="600" w:lineRule="exact"/>
        <w:jc w:val="center"/>
        <w:rPr>
          <w:rFonts w:ascii="宋体" w:eastAsia="宋体"/>
          <w:bCs/>
          <w:color w:val="auto"/>
          <w:spacing w:val="-30"/>
          <w:sz w:val="44"/>
          <w:szCs w:val="44"/>
        </w:rPr>
      </w:pPr>
      <w:r>
        <w:rPr>
          <w:rFonts w:hint="eastAsia" w:ascii="宋体" w:eastAsia="宋体"/>
          <w:bCs/>
          <w:color w:val="auto"/>
          <w:spacing w:val="-30"/>
          <w:sz w:val="44"/>
          <w:szCs w:val="44"/>
          <w:lang w:eastAsia="zh-CN"/>
        </w:rPr>
        <w:t>浙江大学温州研究院办公家具采购项目</w:t>
      </w:r>
      <w:r>
        <w:rPr>
          <w:rFonts w:hint="eastAsia" w:ascii="宋体" w:eastAsia="宋体"/>
          <w:bCs/>
          <w:color w:val="auto"/>
          <w:spacing w:val="-30"/>
          <w:sz w:val="44"/>
          <w:szCs w:val="44"/>
        </w:rPr>
        <w:t>资信技术部分投标文件密封袋封条</w:t>
      </w:r>
    </w:p>
    <w:p>
      <w:pPr>
        <w:pStyle w:val="70"/>
        <w:rPr>
          <w:shd w:val="pct10" w:color="auto" w:fill="FFFFFF"/>
        </w:rPr>
      </w:pPr>
      <w:r>
        <w:rPr>
          <w:rFonts w:hint="eastAsia"/>
          <w:shd w:val="pct10" w:color="auto" w:fill="FFFFFF"/>
        </w:rPr>
        <w:t>加 盖 投 标 单 位 公 章 及 法 定 代 表 人 或 其 法 定 代 表 人 委 托 代 理 人 签 字 或 盖 章</w:t>
      </w:r>
    </w:p>
    <w:tbl>
      <w:tblPr>
        <w:tblStyle w:val="22"/>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520" w:type="dxa"/>
          </w:tcPr>
          <w:p>
            <w:pPr>
              <w:jc w:val="center"/>
              <w:rPr>
                <w:rFonts w:ascii="宋体" w:eastAsia="宋体"/>
                <w:color w:val="auto"/>
                <w:spacing w:val="-30"/>
              </w:rPr>
            </w:pPr>
          </w:p>
        </w:tc>
      </w:tr>
    </w:tbl>
    <w:p>
      <w:pPr>
        <w:spacing w:line="360" w:lineRule="auto"/>
        <w:jc w:val="center"/>
        <w:rPr>
          <w:rFonts w:ascii="宋体" w:eastAsia="宋体"/>
          <w:b w:val="0"/>
          <w:bCs/>
          <w:color w:val="auto"/>
          <w:spacing w:val="-30"/>
          <w:sz w:val="36"/>
        </w:rPr>
      </w:pPr>
    </w:p>
    <w:sectPr>
      <w:footerReference r:id="rId10" w:type="default"/>
      <w:type w:val="continuous"/>
      <w:pgSz w:w="11906" w:h="16838"/>
      <w:pgMar w:top="1440" w:right="1247" w:bottom="1440"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PMingLiU">
    <w:altName w:val="Microsoft JhengHei UI"/>
    <w:panose1 w:val="02020300000000000000"/>
    <w:charset w:val="88"/>
    <w:family w:val="roma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fldChar w:fldCharType="begin"/>
    </w:r>
    <w:r>
      <w:instrText xml:space="preserve">PAGE   \* MERGEFORMAT</w:instrText>
    </w:r>
    <w:r>
      <w:fldChar w:fldCharType="separate"/>
    </w:r>
    <w:r>
      <w:rPr>
        <w:lang w:val="zh-CN"/>
      </w:rPr>
      <w:t>1</w:t>
    </w:r>
    <w:r>
      <w:fldChar w:fldCharType="end"/>
    </w:r>
  </w:p>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right"/>
      <w:rPr>
        <w:rFonts w:ascii="宋体" w:eastAsia="宋体"/>
        <w:b w:val="0"/>
      </w:rPr>
    </w:pPr>
    <w:r>
      <w:fldChar w:fldCharType="begin"/>
    </w:r>
    <w:r>
      <w:rPr>
        <w:rStyle w:val="26"/>
      </w:rPr>
      <w:instrText xml:space="preserve"> PAGE </w:instrText>
    </w:r>
    <w:r>
      <w:fldChar w:fldCharType="separate"/>
    </w:r>
    <w:r>
      <w:rPr>
        <w:rStyle w:val="26"/>
      </w:rPr>
      <w:t>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eastAsia="宋体"/>
        <w:b w:val="0"/>
      </w:rPr>
    </w:pPr>
    <w:r>
      <w:rPr>
        <w:rFonts w:ascii="宋体" w:eastAsia="宋体"/>
        <w:b w:val="0"/>
      </w:rPr>
      <w:fldChar w:fldCharType="begin"/>
    </w:r>
    <w:r>
      <w:rPr>
        <w:rStyle w:val="26"/>
        <w:rFonts w:ascii="宋体" w:eastAsia="宋体"/>
        <w:b w:val="0"/>
      </w:rPr>
      <w:instrText xml:space="preserve"> PAGE </w:instrText>
    </w:r>
    <w:r>
      <w:rPr>
        <w:rFonts w:ascii="宋体" w:eastAsia="宋体"/>
        <w:b w:val="0"/>
      </w:rPr>
      <w:fldChar w:fldCharType="separate"/>
    </w:r>
    <w:r>
      <w:rPr>
        <w:rStyle w:val="26"/>
        <w:rFonts w:ascii="宋体" w:eastAsia="宋体"/>
        <w:b w:val="0"/>
      </w:rPr>
      <w:t>42</w:t>
    </w:r>
    <w:r>
      <w:rPr>
        <w:rFonts w:ascii="宋体" w:eastAsia="宋体"/>
        <w:b w:val="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fldChar w:fldCharType="begin"/>
    </w:r>
    <w:r>
      <w:instrText xml:space="preserve">PAGE   \* MERGEFORMAT</w:instrText>
    </w:r>
    <w:r>
      <w:fldChar w:fldCharType="separate"/>
    </w:r>
    <w:r>
      <w:rPr>
        <w:lang w:val="zh-CN"/>
      </w:rPr>
      <w:t>51</w:t>
    </w:r>
    <w:r>
      <w:fldChar w:fldCharType="end"/>
    </w:r>
  </w:p>
  <w:p>
    <w:pPr>
      <w:pStyle w:val="1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fldChar w:fldCharType="begin"/>
    </w:r>
    <w:r>
      <w:instrText xml:space="preserve">PAGE   \* MERGEFORMAT</w:instrText>
    </w:r>
    <w:r>
      <w:fldChar w:fldCharType="separate"/>
    </w:r>
    <w:r>
      <w:rPr>
        <w:lang w:val="zh-CN"/>
      </w:rPr>
      <w:t>58</w:t>
    </w:r>
    <w:r>
      <w:fldChar w:fldCharType="end"/>
    </w:r>
  </w:p>
  <w:p>
    <w:pPr>
      <w:pStyle w:val="1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eastAsia="仿宋_GB2312"/>
        <w:lang w:eastAsia="zh-CN"/>
      </w:rPr>
    </w:pPr>
    <w:r>
      <w:rPr>
        <w:rFonts w:hint="eastAsia"/>
        <w:color w:val="auto"/>
        <w:lang w:eastAsia="zh-CN"/>
      </w:rPr>
      <w:t>浙江省工程咨询有限公司</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eastAsia="仿宋_GB2312"/>
        <w:lang w:eastAsia="zh-CN"/>
      </w:rPr>
    </w:pPr>
    <w:r>
      <w:rPr>
        <w:rFonts w:hint="eastAsia"/>
        <w:lang w:eastAsia="zh-CN"/>
      </w:rPr>
      <w:t>浙江省工程咨询有限公司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2EBA6"/>
    <w:multiLevelType w:val="singleLevel"/>
    <w:tmpl w:val="8B12EBA6"/>
    <w:lvl w:ilvl="0" w:tentative="0">
      <w:start w:val="1"/>
      <w:numFmt w:val="decimal"/>
      <w:suff w:val="nothing"/>
      <w:lvlText w:val="%1、"/>
      <w:lvlJc w:val="left"/>
    </w:lvl>
  </w:abstractNum>
  <w:abstractNum w:abstractNumId="1">
    <w:nsid w:val="91DB58F9"/>
    <w:multiLevelType w:val="singleLevel"/>
    <w:tmpl w:val="91DB58F9"/>
    <w:lvl w:ilvl="0" w:tentative="0">
      <w:start w:val="1"/>
      <w:numFmt w:val="decimal"/>
      <w:suff w:val="nothing"/>
      <w:lvlText w:val="%1、"/>
      <w:lvlJc w:val="left"/>
    </w:lvl>
  </w:abstractNum>
  <w:abstractNum w:abstractNumId="2">
    <w:nsid w:val="97545B52"/>
    <w:multiLevelType w:val="singleLevel"/>
    <w:tmpl w:val="97545B52"/>
    <w:lvl w:ilvl="0" w:tentative="0">
      <w:start w:val="1"/>
      <w:numFmt w:val="decimal"/>
      <w:suff w:val="nothing"/>
      <w:lvlText w:val="%1、"/>
      <w:lvlJc w:val="left"/>
    </w:lvl>
  </w:abstractNum>
  <w:abstractNum w:abstractNumId="3">
    <w:nsid w:val="C9070C43"/>
    <w:multiLevelType w:val="singleLevel"/>
    <w:tmpl w:val="C9070C43"/>
    <w:lvl w:ilvl="0" w:tentative="0">
      <w:start w:val="1"/>
      <w:numFmt w:val="decimal"/>
      <w:suff w:val="nothing"/>
      <w:lvlText w:val="%1、"/>
      <w:lvlJc w:val="left"/>
    </w:lvl>
  </w:abstractNum>
  <w:abstractNum w:abstractNumId="4">
    <w:nsid w:val="D0B04879"/>
    <w:multiLevelType w:val="singleLevel"/>
    <w:tmpl w:val="D0B04879"/>
    <w:lvl w:ilvl="0" w:tentative="0">
      <w:start w:val="1"/>
      <w:numFmt w:val="decimal"/>
      <w:suff w:val="nothing"/>
      <w:lvlText w:val="%1、"/>
      <w:lvlJc w:val="left"/>
    </w:lvl>
  </w:abstractNum>
  <w:abstractNum w:abstractNumId="5">
    <w:nsid w:val="E3CCD308"/>
    <w:multiLevelType w:val="singleLevel"/>
    <w:tmpl w:val="E3CCD308"/>
    <w:lvl w:ilvl="0" w:tentative="0">
      <w:start w:val="1"/>
      <w:numFmt w:val="decimal"/>
      <w:suff w:val="nothing"/>
      <w:lvlText w:val="%1、"/>
      <w:lvlJc w:val="left"/>
    </w:lvl>
  </w:abstractNum>
  <w:abstractNum w:abstractNumId="6">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7">
    <w:nsid w:val="00000026"/>
    <w:multiLevelType w:val="multilevel"/>
    <w:tmpl w:val="00000026"/>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030B60B2"/>
    <w:multiLevelType w:val="multilevel"/>
    <w:tmpl w:val="030B60B2"/>
    <w:lvl w:ilvl="0" w:tentative="0">
      <w:start w:val="0"/>
      <w:numFmt w:val="bullet"/>
      <w:pStyle w:val="86"/>
      <w:lvlText w:val="★"/>
      <w:lvlJc w:val="left"/>
      <w:pPr>
        <w:ind w:left="720" w:hanging="360"/>
      </w:pPr>
      <w:rPr>
        <w:rFonts w:hint="eastAsia" w:ascii="宋体" w:hAnsi="宋体" w:eastAsia="宋体" w:cs="Times New Roman"/>
        <w:color w:val="auto"/>
        <w:sz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D1875C4"/>
    <w:multiLevelType w:val="multilevel"/>
    <w:tmpl w:val="0D1875C4"/>
    <w:lvl w:ilvl="0" w:tentative="0">
      <w:start w:val="1"/>
      <w:numFmt w:val="decimalEnclosedCircleChinese"/>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decimalEnclosedCircleChinese"/>
      <w:lvlText w:val="%3　"/>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BA75346"/>
    <w:multiLevelType w:val="multilevel"/>
    <w:tmpl w:val="2BA75346"/>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F84682F"/>
    <w:multiLevelType w:val="singleLevel"/>
    <w:tmpl w:val="2F84682F"/>
    <w:lvl w:ilvl="0" w:tentative="0">
      <w:start w:val="1"/>
      <w:numFmt w:val="chineseCounting"/>
      <w:suff w:val="space"/>
      <w:lvlText w:val="第%1部分"/>
      <w:lvlJc w:val="left"/>
      <w:rPr>
        <w:rFonts w:hint="eastAsia"/>
      </w:rPr>
    </w:lvl>
  </w:abstractNum>
  <w:abstractNum w:abstractNumId="12">
    <w:nsid w:val="484B18B4"/>
    <w:multiLevelType w:val="multilevel"/>
    <w:tmpl w:val="484B18B4"/>
    <w:lvl w:ilvl="0" w:tentative="0">
      <w:start w:val="1"/>
      <w:numFmt w:val="decimal"/>
      <w:lvlText w:val="%1、"/>
      <w:lvlJc w:val="left"/>
      <w:pPr>
        <w:ind w:left="360" w:hanging="36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A559D9"/>
    <w:multiLevelType w:val="singleLevel"/>
    <w:tmpl w:val="4AA559D9"/>
    <w:lvl w:ilvl="0" w:tentative="0">
      <w:start w:val="1"/>
      <w:numFmt w:val="bullet"/>
      <w:lvlText w:val=""/>
      <w:lvlJc w:val="left"/>
      <w:pPr>
        <w:tabs>
          <w:tab w:val="left" w:pos="1058"/>
        </w:tabs>
        <w:ind w:left="1058" w:hanging="425"/>
      </w:pPr>
      <w:rPr>
        <w:rFonts w:hint="default" w:ascii="Wingdings" w:hAnsi="Wingdings"/>
      </w:rPr>
    </w:lvl>
  </w:abstractNum>
  <w:abstractNum w:abstractNumId="14">
    <w:nsid w:val="4BD524CB"/>
    <w:multiLevelType w:val="singleLevel"/>
    <w:tmpl w:val="4BD524CB"/>
    <w:lvl w:ilvl="0" w:tentative="0">
      <w:start w:val="1"/>
      <w:numFmt w:val="decimal"/>
      <w:suff w:val="nothing"/>
      <w:lvlText w:val="%1）"/>
      <w:lvlJc w:val="left"/>
    </w:lvl>
  </w:abstractNum>
  <w:abstractNum w:abstractNumId="15">
    <w:nsid w:val="54F403B5"/>
    <w:multiLevelType w:val="singleLevel"/>
    <w:tmpl w:val="54F403B5"/>
    <w:lvl w:ilvl="0" w:tentative="0">
      <w:start w:val="1"/>
      <w:numFmt w:val="chineseCounting"/>
      <w:suff w:val="nothing"/>
      <w:lvlText w:val="%1、"/>
      <w:lvlJc w:val="left"/>
      <w:pPr>
        <w:ind w:left="0" w:firstLine="0"/>
      </w:pPr>
    </w:lvl>
  </w:abstractNum>
  <w:abstractNum w:abstractNumId="16">
    <w:nsid w:val="557FD3DA"/>
    <w:multiLevelType w:val="singleLevel"/>
    <w:tmpl w:val="557FD3DA"/>
    <w:lvl w:ilvl="0" w:tentative="0">
      <w:start w:val="3"/>
      <w:numFmt w:val="chineseCounting"/>
      <w:suff w:val="nothing"/>
      <w:lvlText w:val="%1、"/>
      <w:lvlJc w:val="left"/>
      <w:pPr>
        <w:ind w:left="0" w:firstLine="0"/>
      </w:pPr>
    </w:lvl>
  </w:abstractNum>
  <w:abstractNum w:abstractNumId="17">
    <w:nsid w:val="64205CCE"/>
    <w:multiLevelType w:val="multilevel"/>
    <w:tmpl w:val="64205C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D79D4E1"/>
    <w:multiLevelType w:val="singleLevel"/>
    <w:tmpl w:val="6D79D4E1"/>
    <w:lvl w:ilvl="0" w:tentative="0">
      <w:start w:val="1"/>
      <w:numFmt w:val="decimal"/>
      <w:suff w:val="nothing"/>
      <w:lvlText w:val="%1、"/>
      <w:lvlJc w:val="left"/>
    </w:lvl>
  </w:abstractNum>
  <w:abstractNum w:abstractNumId="19">
    <w:nsid w:val="7A781E8C"/>
    <w:multiLevelType w:val="multilevel"/>
    <w:tmpl w:val="7A781E8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2"/>
  </w:num>
  <w:num w:numId="5">
    <w:abstractNumId w:val="5"/>
  </w:num>
  <w:num w:numId="6">
    <w:abstractNumId w:val="1"/>
  </w:num>
  <w:num w:numId="7">
    <w:abstractNumId w:val="3"/>
  </w:num>
  <w:num w:numId="8">
    <w:abstractNumId w:val="4"/>
  </w:num>
  <w:num w:numId="9">
    <w:abstractNumId w:val="2"/>
  </w:num>
  <w:num w:numId="10">
    <w:abstractNumId w:val="0"/>
  </w:num>
  <w:num w:numId="11">
    <w:abstractNumId w:val="18"/>
  </w:num>
  <w:num w:numId="12">
    <w:abstractNumId w:val="7"/>
  </w:num>
  <w:num w:numId="13">
    <w:abstractNumId w:val="17"/>
  </w:num>
  <w:num w:numId="14">
    <w:abstractNumId w:val="19"/>
  </w:num>
  <w:num w:numId="15">
    <w:abstractNumId w:val="13"/>
  </w:num>
  <w:num w:numId="16">
    <w:abstractNumId w:val="9"/>
  </w:num>
  <w:num w:numId="17">
    <w:abstractNumId w:val="10"/>
  </w:num>
  <w:num w:numId="18">
    <w:abstractNumId w:val="15"/>
    <w:lvlOverride w:ilvl="0">
      <w:startOverride w:val="1"/>
    </w:lvlOverride>
  </w:num>
  <w:num w:numId="19">
    <w:abstractNumId w:val="16"/>
    <w:lvlOverride w:ilvl="0">
      <w:startOverride w:val="3"/>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21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D7393"/>
    <w:rsid w:val="00000185"/>
    <w:rsid w:val="00000350"/>
    <w:rsid w:val="00001114"/>
    <w:rsid w:val="000011C0"/>
    <w:rsid w:val="000015B5"/>
    <w:rsid w:val="000016FB"/>
    <w:rsid w:val="00002926"/>
    <w:rsid w:val="0000307F"/>
    <w:rsid w:val="00004309"/>
    <w:rsid w:val="0000482D"/>
    <w:rsid w:val="00004A34"/>
    <w:rsid w:val="00004DE8"/>
    <w:rsid w:val="00006019"/>
    <w:rsid w:val="00006439"/>
    <w:rsid w:val="00007CA4"/>
    <w:rsid w:val="00007CAF"/>
    <w:rsid w:val="00010910"/>
    <w:rsid w:val="00010C16"/>
    <w:rsid w:val="00011B1E"/>
    <w:rsid w:val="00011D57"/>
    <w:rsid w:val="00011E3D"/>
    <w:rsid w:val="00012178"/>
    <w:rsid w:val="00012530"/>
    <w:rsid w:val="00013F71"/>
    <w:rsid w:val="00017279"/>
    <w:rsid w:val="00017A52"/>
    <w:rsid w:val="00020BAC"/>
    <w:rsid w:val="00020C46"/>
    <w:rsid w:val="00020E69"/>
    <w:rsid w:val="00021460"/>
    <w:rsid w:val="0002178B"/>
    <w:rsid w:val="00022451"/>
    <w:rsid w:val="000238DE"/>
    <w:rsid w:val="00023C69"/>
    <w:rsid w:val="00023ECC"/>
    <w:rsid w:val="00024600"/>
    <w:rsid w:val="00024745"/>
    <w:rsid w:val="0002626C"/>
    <w:rsid w:val="00026E53"/>
    <w:rsid w:val="000270DB"/>
    <w:rsid w:val="00027CCA"/>
    <w:rsid w:val="00027F4C"/>
    <w:rsid w:val="00030306"/>
    <w:rsid w:val="00030F3E"/>
    <w:rsid w:val="00031A5A"/>
    <w:rsid w:val="00031D15"/>
    <w:rsid w:val="00032524"/>
    <w:rsid w:val="00032772"/>
    <w:rsid w:val="000327E6"/>
    <w:rsid w:val="00032B64"/>
    <w:rsid w:val="000337F1"/>
    <w:rsid w:val="0003432E"/>
    <w:rsid w:val="000348EA"/>
    <w:rsid w:val="000352C1"/>
    <w:rsid w:val="000354B3"/>
    <w:rsid w:val="00035CC0"/>
    <w:rsid w:val="00035D2B"/>
    <w:rsid w:val="00036238"/>
    <w:rsid w:val="000370D3"/>
    <w:rsid w:val="00037FA3"/>
    <w:rsid w:val="000400D6"/>
    <w:rsid w:val="0004020B"/>
    <w:rsid w:val="0004039D"/>
    <w:rsid w:val="00040E8A"/>
    <w:rsid w:val="00042248"/>
    <w:rsid w:val="00042606"/>
    <w:rsid w:val="00042BC7"/>
    <w:rsid w:val="00045261"/>
    <w:rsid w:val="0004539D"/>
    <w:rsid w:val="00045FCE"/>
    <w:rsid w:val="0004647C"/>
    <w:rsid w:val="00046EFB"/>
    <w:rsid w:val="000473CF"/>
    <w:rsid w:val="0005171D"/>
    <w:rsid w:val="00053094"/>
    <w:rsid w:val="00054065"/>
    <w:rsid w:val="00055437"/>
    <w:rsid w:val="0005570B"/>
    <w:rsid w:val="00055A61"/>
    <w:rsid w:val="00055BD9"/>
    <w:rsid w:val="00055C49"/>
    <w:rsid w:val="000571AC"/>
    <w:rsid w:val="000574AB"/>
    <w:rsid w:val="00060831"/>
    <w:rsid w:val="000612F8"/>
    <w:rsid w:val="00061478"/>
    <w:rsid w:val="00061A6F"/>
    <w:rsid w:val="000639F0"/>
    <w:rsid w:val="00063F8D"/>
    <w:rsid w:val="0006598F"/>
    <w:rsid w:val="00066473"/>
    <w:rsid w:val="00066631"/>
    <w:rsid w:val="00066654"/>
    <w:rsid w:val="0006677F"/>
    <w:rsid w:val="000667ED"/>
    <w:rsid w:val="00070B6E"/>
    <w:rsid w:val="000724FE"/>
    <w:rsid w:val="00072788"/>
    <w:rsid w:val="000729FF"/>
    <w:rsid w:val="00072DA7"/>
    <w:rsid w:val="00072EB6"/>
    <w:rsid w:val="000730E3"/>
    <w:rsid w:val="0007317C"/>
    <w:rsid w:val="000732A6"/>
    <w:rsid w:val="00073FC6"/>
    <w:rsid w:val="000751E2"/>
    <w:rsid w:val="000752E8"/>
    <w:rsid w:val="000754F7"/>
    <w:rsid w:val="00075962"/>
    <w:rsid w:val="000759A2"/>
    <w:rsid w:val="00075A35"/>
    <w:rsid w:val="00075BB8"/>
    <w:rsid w:val="00076D65"/>
    <w:rsid w:val="00076E33"/>
    <w:rsid w:val="00081819"/>
    <w:rsid w:val="0008256B"/>
    <w:rsid w:val="000829E8"/>
    <w:rsid w:val="00082A9D"/>
    <w:rsid w:val="00083EEA"/>
    <w:rsid w:val="000844A7"/>
    <w:rsid w:val="0008461B"/>
    <w:rsid w:val="0008525A"/>
    <w:rsid w:val="00085596"/>
    <w:rsid w:val="00085F0E"/>
    <w:rsid w:val="00086946"/>
    <w:rsid w:val="000873CA"/>
    <w:rsid w:val="00087733"/>
    <w:rsid w:val="00090C00"/>
    <w:rsid w:val="00090F75"/>
    <w:rsid w:val="0009238C"/>
    <w:rsid w:val="000927E6"/>
    <w:rsid w:val="000932B1"/>
    <w:rsid w:val="00093566"/>
    <w:rsid w:val="00093BFD"/>
    <w:rsid w:val="00093DBD"/>
    <w:rsid w:val="0009473E"/>
    <w:rsid w:val="0009480C"/>
    <w:rsid w:val="00094B6D"/>
    <w:rsid w:val="00095686"/>
    <w:rsid w:val="00096712"/>
    <w:rsid w:val="000967AB"/>
    <w:rsid w:val="00096A7C"/>
    <w:rsid w:val="000977B5"/>
    <w:rsid w:val="00097FE1"/>
    <w:rsid w:val="000A06C8"/>
    <w:rsid w:val="000A0E82"/>
    <w:rsid w:val="000A191C"/>
    <w:rsid w:val="000A2523"/>
    <w:rsid w:val="000A2AD1"/>
    <w:rsid w:val="000A3C3D"/>
    <w:rsid w:val="000A59C1"/>
    <w:rsid w:val="000A6023"/>
    <w:rsid w:val="000A623B"/>
    <w:rsid w:val="000A66B0"/>
    <w:rsid w:val="000A6D20"/>
    <w:rsid w:val="000A747F"/>
    <w:rsid w:val="000B0105"/>
    <w:rsid w:val="000B08B3"/>
    <w:rsid w:val="000B0A7B"/>
    <w:rsid w:val="000B0E88"/>
    <w:rsid w:val="000B0FC0"/>
    <w:rsid w:val="000B1094"/>
    <w:rsid w:val="000B1818"/>
    <w:rsid w:val="000B1BE5"/>
    <w:rsid w:val="000B24EE"/>
    <w:rsid w:val="000B3584"/>
    <w:rsid w:val="000B3930"/>
    <w:rsid w:val="000B3EB3"/>
    <w:rsid w:val="000B4E59"/>
    <w:rsid w:val="000B5291"/>
    <w:rsid w:val="000B5356"/>
    <w:rsid w:val="000B597F"/>
    <w:rsid w:val="000C0635"/>
    <w:rsid w:val="000C0C4E"/>
    <w:rsid w:val="000C0F97"/>
    <w:rsid w:val="000C39B3"/>
    <w:rsid w:val="000C422A"/>
    <w:rsid w:val="000C45D5"/>
    <w:rsid w:val="000C4E7F"/>
    <w:rsid w:val="000C5E07"/>
    <w:rsid w:val="000C5E8A"/>
    <w:rsid w:val="000C6128"/>
    <w:rsid w:val="000C6966"/>
    <w:rsid w:val="000C739F"/>
    <w:rsid w:val="000C7611"/>
    <w:rsid w:val="000C7D91"/>
    <w:rsid w:val="000D049C"/>
    <w:rsid w:val="000D0B2E"/>
    <w:rsid w:val="000D11CE"/>
    <w:rsid w:val="000D1711"/>
    <w:rsid w:val="000D218B"/>
    <w:rsid w:val="000D2308"/>
    <w:rsid w:val="000D256D"/>
    <w:rsid w:val="000D4687"/>
    <w:rsid w:val="000D4DE1"/>
    <w:rsid w:val="000D50C9"/>
    <w:rsid w:val="000D5A8E"/>
    <w:rsid w:val="000D66FC"/>
    <w:rsid w:val="000D677B"/>
    <w:rsid w:val="000D7B06"/>
    <w:rsid w:val="000D7CC4"/>
    <w:rsid w:val="000E00EF"/>
    <w:rsid w:val="000E140B"/>
    <w:rsid w:val="000E2C9C"/>
    <w:rsid w:val="000E3176"/>
    <w:rsid w:val="000E3C30"/>
    <w:rsid w:val="000E3E72"/>
    <w:rsid w:val="000E4082"/>
    <w:rsid w:val="000E447E"/>
    <w:rsid w:val="000E4E4F"/>
    <w:rsid w:val="000E4F5C"/>
    <w:rsid w:val="000E52BE"/>
    <w:rsid w:val="000E73BF"/>
    <w:rsid w:val="000F0072"/>
    <w:rsid w:val="000F0597"/>
    <w:rsid w:val="000F092F"/>
    <w:rsid w:val="000F0B60"/>
    <w:rsid w:val="000F0DE0"/>
    <w:rsid w:val="000F0E32"/>
    <w:rsid w:val="000F1595"/>
    <w:rsid w:val="000F29DF"/>
    <w:rsid w:val="000F2B21"/>
    <w:rsid w:val="000F4583"/>
    <w:rsid w:val="000F4A49"/>
    <w:rsid w:val="000F5267"/>
    <w:rsid w:val="000F6641"/>
    <w:rsid w:val="000F6A76"/>
    <w:rsid w:val="000F6FA6"/>
    <w:rsid w:val="000F72A1"/>
    <w:rsid w:val="000F7D72"/>
    <w:rsid w:val="00100E21"/>
    <w:rsid w:val="00101E68"/>
    <w:rsid w:val="00102299"/>
    <w:rsid w:val="00103245"/>
    <w:rsid w:val="0010361A"/>
    <w:rsid w:val="0010473A"/>
    <w:rsid w:val="00105006"/>
    <w:rsid w:val="001055A2"/>
    <w:rsid w:val="00105FFC"/>
    <w:rsid w:val="00107DC5"/>
    <w:rsid w:val="001111C4"/>
    <w:rsid w:val="00111BE5"/>
    <w:rsid w:val="00111C60"/>
    <w:rsid w:val="00111C6E"/>
    <w:rsid w:val="00113715"/>
    <w:rsid w:val="001151FE"/>
    <w:rsid w:val="001164BB"/>
    <w:rsid w:val="0011666C"/>
    <w:rsid w:val="0011697E"/>
    <w:rsid w:val="00116A35"/>
    <w:rsid w:val="00116FB9"/>
    <w:rsid w:val="00116FF2"/>
    <w:rsid w:val="001176DF"/>
    <w:rsid w:val="001215FE"/>
    <w:rsid w:val="001219D4"/>
    <w:rsid w:val="00121FC9"/>
    <w:rsid w:val="001232D8"/>
    <w:rsid w:val="00123433"/>
    <w:rsid w:val="00123744"/>
    <w:rsid w:val="00123E24"/>
    <w:rsid w:val="00124042"/>
    <w:rsid w:val="001240D9"/>
    <w:rsid w:val="001253E4"/>
    <w:rsid w:val="00125760"/>
    <w:rsid w:val="00125E7C"/>
    <w:rsid w:val="00126822"/>
    <w:rsid w:val="0012795B"/>
    <w:rsid w:val="00127CD8"/>
    <w:rsid w:val="001302B2"/>
    <w:rsid w:val="001310FC"/>
    <w:rsid w:val="0013139E"/>
    <w:rsid w:val="00131470"/>
    <w:rsid w:val="00131C0F"/>
    <w:rsid w:val="00132F0D"/>
    <w:rsid w:val="00132F16"/>
    <w:rsid w:val="0013315F"/>
    <w:rsid w:val="00133D33"/>
    <w:rsid w:val="00134625"/>
    <w:rsid w:val="0013479F"/>
    <w:rsid w:val="00135E01"/>
    <w:rsid w:val="00135F8E"/>
    <w:rsid w:val="00136563"/>
    <w:rsid w:val="00137FDE"/>
    <w:rsid w:val="0014026A"/>
    <w:rsid w:val="00140E70"/>
    <w:rsid w:val="0014135C"/>
    <w:rsid w:val="0014164B"/>
    <w:rsid w:val="00141E4D"/>
    <w:rsid w:val="001421EA"/>
    <w:rsid w:val="0014250F"/>
    <w:rsid w:val="00142988"/>
    <w:rsid w:val="00142D5B"/>
    <w:rsid w:val="00143FDF"/>
    <w:rsid w:val="00144246"/>
    <w:rsid w:val="00144BCA"/>
    <w:rsid w:val="00145F41"/>
    <w:rsid w:val="001462BD"/>
    <w:rsid w:val="001465B1"/>
    <w:rsid w:val="00146D7D"/>
    <w:rsid w:val="00147139"/>
    <w:rsid w:val="001477AC"/>
    <w:rsid w:val="00147921"/>
    <w:rsid w:val="00150113"/>
    <w:rsid w:val="001505BE"/>
    <w:rsid w:val="00151048"/>
    <w:rsid w:val="001533FC"/>
    <w:rsid w:val="00153B3C"/>
    <w:rsid w:val="00155B30"/>
    <w:rsid w:val="00156157"/>
    <w:rsid w:val="001568AE"/>
    <w:rsid w:val="001570A0"/>
    <w:rsid w:val="001576FC"/>
    <w:rsid w:val="00160A20"/>
    <w:rsid w:val="00160C11"/>
    <w:rsid w:val="00160F5B"/>
    <w:rsid w:val="0016178E"/>
    <w:rsid w:val="001622E9"/>
    <w:rsid w:val="001625E3"/>
    <w:rsid w:val="00163DCC"/>
    <w:rsid w:val="00165050"/>
    <w:rsid w:val="0016517C"/>
    <w:rsid w:val="00165B5A"/>
    <w:rsid w:val="00165F98"/>
    <w:rsid w:val="001662CE"/>
    <w:rsid w:val="00166537"/>
    <w:rsid w:val="00167543"/>
    <w:rsid w:val="0016767B"/>
    <w:rsid w:val="00167F6A"/>
    <w:rsid w:val="00170A24"/>
    <w:rsid w:val="00171280"/>
    <w:rsid w:val="001721B5"/>
    <w:rsid w:val="00172320"/>
    <w:rsid w:val="00174374"/>
    <w:rsid w:val="00175484"/>
    <w:rsid w:val="00175E8F"/>
    <w:rsid w:val="0017646B"/>
    <w:rsid w:val="00176F19"/>
    <w:rsid w:val="00177348"/>
    <w:rsid w:val="00177752"/>
    <w:rsid w:val="00177A4A"/>
    <w:rsid w:val="001806EF"/>
    <w:rsid w:val="00180791"/>
    <w:rsid w:val="00181697"/>
    <w:rsid w:val="0018253D"/>
    <w:rsid w:val="00182912"/>
    <w:rsid w:val="0018350D"/>
    <w:rsid w:val="0018424E"/>
    <w:rsid w:val="001845F6"/>
    <w:rsid w:val="00185876"/>
    <w:rsid w:val="00185B99"/>
    <w:rsid w:val="00185DB7"/>
    <w:rsid w:val="00186018"/>
    <w:rsid w:val="0018619C"/>
    <w:rsid w:val="00186CE1"/>
    <w:rsid w:val="0018718D"/>
    <w:rsid w:val="001872E0"/>
    <w:rsid w:val="00187329"/>
    <w:rsid w:val="00187B2D"/>
    <w:rsid w:val="00190F04"/>
    <w:rsid w:val="00191034"/>
    <w:rsid w:val="00191711"/>
    <w:rsid w:val="00191753"/>
    <w:rsid w:val="0019274D"/>
    <w:rsid w:val="00193482"/>
    <w:rsid w:val="00194B0D"/>
    <w:rsid w:val="00194B5C"/>
    <w:rsid w:val="00194F4A"/>
    <w:rsid w:val="00195989"/>
    <w:rsid w:val="001960CE"/>
    <w:rsid w:val="001962D6"/>
    <w:rsid w:val="00196585"/>
    <w:rsid w:val="001965C0"/>
    <w:rsid w:val="00196999"/>
    <w:rsid w:val="00196EB6"/>
    <w:rsid w:val="00197B95"/>
    <w:rsid w:val="001A0AD3"/>
    <w:rsid w:val="001A11BF"/>
    <w:rsid w:val="001A1449"/>
    <w:rsid w:val="001A1786"/>
    <w:rsid w:val="001A1844"/>
    <w:rsid w:val="001A24F9"/>
    <w:rsid w:val="001A3967"/>
    <w:rsid w:val="001A3FCD"/>
    <w:rsid w:val="001A44B7"/>
    <w:rsid w:val="001A510D"/>
    <w:rsid w:val="001A55C5"/>
    <w:rsid w:val="001A586C"/>
    <w:rsid w:val="001A641D"/>
    <w:rsid w:val="001A72E7"/>
    <w:rsid w:val="001A7773"/>
    <w:rsid w:val="001A7B24"/>
    <w:rsid w:val="001A7E21"/>
    <w:rsid w:val="001B18D5"/>
    <w:rsid w:val="001B27A8"/>
    <w:rsid w:val="001B315F"/>
    <w:rsid w:val="001B4214"/>
    <w:rsid w:val="001B49BA"/>
    <w:rsid w:val="001B4B58"/>
    <w:rsid w:val="001B5B9B"/>
    <w:rsid w:val="001B64E5"/>
    <w:rsid w:val="001B6937"/>
    <w:rsid w:val="001C0A26"/>
    <w:rsid w:val="001C0C03"/>
    <w:rsid w:val="001C1707"/>
    <w:rsid w:val="001C1A36"/>
    <w:rsid w:val="001C1C36"/>
    <w:rsid w:val="001C214C"/>
    <w:rsid w:val="001C2C29"/>
    <w:rsid w:val="001C3F67"/>
    <w:rsid w:val="001C406D"/>
    <w:rsid w:val="001C4631"/>
    <w:rsid w:val="001C4802"/>
    <w:rsid w:val="001C48CE"/>
    <w:rsid w:val="001C4C54"/>
    <w:rsid w:val="001C5EBF"/>
    <w:rsid w:val="001C6923"/>
    <w:rsid w:val="001C7BE6"/>
    <w:rsid w:val="001C7DE1"/>
    <w:rsid w:val="001D0277"/>
    <w:rsid w:val="001D0923"/>
    <w:rsid w:val="001D1B28"/>
    <w:rsid w:val="001D1D86"/>
    <w:rsid w:val="001D349B"/>
    <w:rsid w:val="001D3870"/>
    <w:rsid w:val="001D3F3A"/>
    <w:rsid w:val="001D44AB"/>
    <w:rsid w:val="001D4748"/>
    <w:rsid w:val="001D4DA7"/>
    <w:rsid w:val="001D67BB"/>
    <w:rsid w:val="001D69F2"/>
    <w:rsid w:val="001D6EDE"/>
    <w:rsid w:val="001E05C4"/>
    <w:rsid w:val="001E135F"/>
    <w:rsid w:val="001E2C86"/>
    <w:rsid w:val="001E2ECA"/>
    <w:rsid w:val="001E2F38"/>
    <w:rsid w:val="001E4411"/>
    <w:rsid w:val="001E4433"/>
    <w:rsid w:val="001E4EA8"/>
    <w:rsid w:val="001E59A4"/>
    <w:rsid w:val="001E6A97"/>
    <w:rsid w:val="001E6E40"/>
    <w:rsid w:val="001E7257"/>
    <w:rsid w:val="001E737A"/>
    <w:rsid w:val="001E7855"/>
    <w:rsid w:val="001E7ABC"/>
    <w:rsid w:val="001E7F73"/>
    <w:rsid w:val="001F06BA"/>
    <w:rsid w:val="001F10EF"/>
    <w:rsid w:val="001F1BF9"/>
    <w:rsid w:val="001F2A27"/>
    <w:rsid w:val="001F2CCE"/>
    <w:rsid w:val="001F2E4C"/>
    <w:rsid w:val="001F3361"/>
    <w:rsid w:val="001F343C"/>
    <w:rsid w:val="001F3A32"/>
    <w:rsid w:val="001F4DE3"/>
    <w:rsid w:val="001F5616"/>
    <w:rsid w:val="001F5941"/>
    <w:rsid w:val="001F59DC"/>
    <w:rsid w:val="001F5BB7"/>
    <w:rsid w:val="001F6275"/>
    <w:rsid w:val="001F62A0"/>
    <w:rsid w:val="001F65EF"/>
    <w:rsid w:val="001F69B7"/>
    <w:rsid w:val="001F6DFE"/>
    <w:rsid w:val="001F75A9"/>
    <w:rsid w:val="0020001E"/>
    <w:rsid w:val="00200905"/>
    <w:rsid w:val="002009BF"/>
    <w:rsid w:val="00201DE5"/>
    <w:rsid w:val="00202953"/>
    <w:rsid w:val="00202B60"/>
    <w:rsid w:val="00203242"/>
    <w:rsid w:val="00204A42"/>
    <w:rsid w:val="00204E5C"/>
    <w:rsid w:val="002068FE"/>
    <w:rsid w:val="00206BA6"/>
    <w:rsid w:val="002075D9"/>
    <w:rsid w:val="00207ABF"/>
    <w:rsid w:val="002105B5"/>
    <w:rsid w:val="00210B64"/>
    <w:rsid w:val="00212E47"/>
    <w:rsid w:val="00212ED5"/>
    <w:rsid w:val="002131A0"/>
    <w:rsid w:val="002137D7"/>
    <w:rsid w:val="00213B3F"/>
    <w:rsid w:val="002156A3"/>
    <w:rsid w:val="00215C58"/>
    <w:rsid w:val="00216F07"/>
    <w:rsid w:val="002173D1"/>
    <w:rsid w:val="00217591"/>
    <w:rsid w:val="002179C0"/>
    <w:rsid w:val="00220233"/>
    <w:rsid w:val="0022096E"/>
    <w:rsid w:val="00221638"/>
    <w:rsid w:val="002223D4"/>
    <w:rsid w:val="00222FD5"/>
    <w:rsid w:val="00223108"/>
    <w:rsid w:val="00223B0B"/>
    <w:rsid w:val="00224114"/>
    <w:rsid w:val="0022416E"/>
    <w:rsid w:val="0022443C"/>
    <w:rsid w:val="00224754"/>
    <w:rsid w:val="002252EC"/>
    <w:rsid w:val="00225975"/>
    <w:rsid w:val="00225A2D"/>
    <w:rsid w:val="00230619"/>
    <w:rsid w:val="00230866"/>
    <w:rsid w:val="002330D6"/>
    <w:rsid w:val="0023366B"/>
    <w:rsid w:val="0023383D"/>
    <w:rsid w:val="00233925"/>
    <w:rsid w:val="00234501"/>
    <w:rsid w:val="00234DF2"/>
    <w:rsid w:val="002357B5"/>
    <w:rsid w:val="002357CD"/>
    <w:rsid w:val="00235964"/>
    <w:rsid w:val="0023691B"/>
    <w:rsid w:val="00236AD5"/>
    <w:rsid w:val="00237D51"/>
    <w:rsid w:val="00240818"/>
    <w:rsid w:val="00240C9E"/>
    <w:rsid w:val="00240F8B"/>
    <w:rsid w:val="00242725"/>
    <w:rsid w:val="0024375A"/>
    <w:rsid w:val="00243F54"/>
    <w:rsid w:val="0024414A"/>
    <w:rsid w:val="0024494E"/>
    <w:rsid w:val="00244C4C"/>
    <w:rsid w:val="00245757"/>
    <w:rsid w:val="002458AC"/>
    <w:rsid w:val="002458DD"/>
    <w:rsid w:val="00245DD1"/>
    <w:rsid w:val="00245DF0"/>
    <w:rsid w:val="00246B20"/>
    <w:rsid w:val="0024752D"/>
    <w:rsid w:val="00247883"/>
    <w:rsid w:val="00247FCF"/>
    <w:rsid w:val="002506E8"/>
    <w:rsid w:val="00250F6B"/>
    <w:rsid w:val="002518B3"/>
    <w:rsid w:val="002522A2"/>
    <w:rsid w:val="002528A6"/>
    <w:rsid w:val="00252973"/>
    <w:rsid w:val="00252F89"/>
    <w:rsid w:val="00253166"/>
    <w:rsid w:val="0025387E"/>
    <w:rsid w:val="00253BB3"/>
    <w:rsid w:val="00253E6D"/>
    <w:rsid w:val="0025418A"/>
    <w:rsid w:val="00254381"/>
    <w:rsid w:val="0025470C"/>
    <w:rsid w:val="00254B4D"/>
    <w:rsid w:val="0025533F"/>
    <w:rsid w:val="00255C5E"/>
    <w:rsid w:val="00255F4A"/>
    <w:rsid w:val="00256AFB"/>
    <w:rsid w:val="00256C12"/>
    <w:rsid w:val="00256DF8"/>
    <w:rsid w:val="002571E7"/>
    <w:rsid w:val="0026166B"/>
    <w:rsid w:val="002627B5"/>
    <w:rsid w:val="00262EB6"/>
    <w:rsid w:val="002639FC"/>
    <w:rsid w:val="00264138"/>
    <w:rsid w:val="00264D42"/>
    <w:rsid w:val="00264DD2"/>
    <w:rsid w:val="002650EC"/>
    <w:rsid w:val="0026602B"/>
    <w:rsid w:val="00266BF4"/>
    <w:rsid w:val="00267311"/>
    <w:rsid w:val="00267B12"/>
    <w:rsid w:val="00267CD8"/>
    <w:rsid w:val="00267EFC"/>
    <w:rsid w:val="00270858"/>
    <w:rsid w:val="00270E4B"/>
    <w:rsid w:val="00271D5E"/>
    <w:rsid w:val="00271DF8"/>
    <w:rsid w:val="00271F8A"/>
    <w:rsid w:val="0027285A"/>
    <w:rsid w:val="0027327A"/>
    <w:rsid w:val="0027363C"/>
    <w:rsid w:val="00274435"/>
    <w:rsid w:val="0027481E"/>
    <w:rsid w:val="00274D4A"/>
    <w:rsid w:val="0027515F"/>
    <w:rsid w:val="00275937"/>
    <w:rsid w:val="00277FD8"/>
    <w:rsid w:val="002811D9"/>
    <w:rsid w:val="00281C41"/>
    <w:rsid w:val="00282004"/>
    <w:rsid w:val="00282666"/>
    <w:rsid w:val="00282D46"/>
    <w:rsid w:val="00283F20"/>
    <w:rsid w:val="002844EA"/>
    <w:rsid w:val="0028470D"/>
    <w:rsid w:val="00284F49"/>
    <w:rsid w:val="00287BC7"/>
    <w:rsid w:val="00290A88"/>
    <w:rsid w:val="00290D70"/>
    <w:rsid w:val="00292312"/>
    <w:rsid w:val="002932F8"/>
    <w:rsid w:val="00294F30"/>
    <w:rsid w:val="00295113"/>
    <w:rsid w:val="002955A5"/>
    <w:rsid w:val="0029595E"/>
    <w:rsid w:val="00296050"/>
    <w:rsid w:val="0029676A"/>
    <w:rsid w:val="00296F70"/>
    <w:rsid w:val="002A0289"/>
    <w:rsid w:val="002A04A7"/>
    <w:rsid w:val="002A04FA"/>
    <w:rsid w:val="002A0909"/>
    <w:rsid w:val="002A0A1B"/>
    <w:rsid w:val="002A0D3B"/>
    <w:rsid w:val="002A1021"/>
    <w:rsid w:val="002A12EB"/>
    <w:rsid w:val="002A153F"/>
    <w:rsid w:val="002A1BC7"/>
    <w:rsid w:val="002A20D8"/>
    <w:rsid w:val="002A2F16"/>
    <w:rsid w:val="002A33C0"/>
    <w:rsid w:val="002A3B77"/>
    <w:rsid w:val="002A3E27"/>
    <w:rsid w:val="002A5523"/>
    <w:rsid w:val="002A590A"/>
    <w:rsid w:val="002A5D4B"/>
    <w:rsid w:val="002A60B3"/>
    <w:rsid w:val="002A670E"/>
    <w:rsid w:val="002A6AB6"/>
    <w:rsid w:val="002A6F9F"/>
    <w:rsid w:val="002A738A"/>
    <w:rsid w:val="002A7623"/>
    <w:rsid w:val="002B0B3D"/>
    <w:rsid w:val="002B0FFD"/>
    <w:rsid w:val="002B117B"/>
    <w:rsid w:val="002B24D5"/>
    <w:rsid w:val="002B24EC"/>
    <w:rsid w:val="002B28C6"/>
    <w:rsid w:val="002B2D1B"/>
    <w:rsid w:val="002B44C8"/>
    <w:rsid w:val="002B4DE7"/>
    <w:rsid w:val="002B512B"/>
    <w:rsid w:val="002B5897"/>
    <w:rsid w:val="002B5B86"/>
    <w:rsid w:val="002B6744"/>
    <w:rsid w:val="002B6BF9"/>
    <w:rsid w:val="002B73E6"/>
    <w:rsid w:val="002B7AA2"/>
    <w:rsid w:val="002C0A8F"/>
    <w:rsid w:val="002C0D1D"/>
    <w:rsid w:val="002C0F10"/>
    <w:rsid w:val="002C0FCA"/>
    <w:rsid w:val="002C13DA"/>
    <w:rsid w:val="002C1B2B"/>
    <w:rsid w:val="002C2E95"/>
    <w:rsid w:val="002C3636"/>
    <w:rsid w:val="002C38E3"/>
    <w:rsid w:val="002C3D98"/>
    <w:rsid w:val="002C4059"/>
    <w:rsid w:val="002C5FB8"/>
    <w:rsid w:val="002C6837"/>
    <w:rsid w:val="002C6F58"/>
    <w:rsid w:val="002C7A48"/>
    <w:rsid w:val="002D029B"/>
    <w:rsid w:val="002D0513"/>
    <w:rsid w:val="002D070A"/>
    <w:rsid w:val="002D0785"/>
    <w:rsid w:val="002D1DE1"/>
    <w:rsid w:val="002D22C5"/>
    <w:rsid w:val="002D2307"/>
    <w:rsid w:val="002D2375"/>
    <w:rsid w:val="002D2733"/>
    <w:rsid w:val="002D2806"/>
    <w:rsid w:val="002D2C2F"/>
    <w:rsid w:val="002D3415"/>
    <w:rsid w:val="002D3510"/>
    <w:rsid w:val="002D406E"/>
    <w:rsid w:val="002D4083"/>
    <w:rsid w:val="002D434B"/>
    <w:rsid w:val="002D4639"/>
    <w:rsid w:val="002D47A2"/>
    <w:rsid w:val="002D585A"/>
    <w:rsid w:val="002D596F"/>
    <w:rsid w:val="002D5B2C"/>
    <w:rsid w:val="002D6CA6"/>
    <w:rsid w:val="002D7393"/>
    <w:rsid w:val="002D772F"/>
    <w:rsid w:val="002E22A1"/>
    <w:rsid w:val="002E4359"/>
    <w:rsid w:val="002E44EB"/>
    <w:rsid w:val="002E4CE6"/>
    <w:rsid w:val="002E4F24"/>
    <w:rsid w:val="002E522C"/>
    <w:rsid w:val="002E5B16"/>
    <w:rsid w:val="002E609D"/>
    <w:rsid w:val="002E6AFB"/>
    <w:rsid w:val="002E79CE"/>
    <w:rsid w:val="002F103C"/>
    <w:rsid w:val="002F15AA"/>
    <w:rsid w:val="002F231F"/>
    <w:rsid w:val="002F293A"/>
    <w:rsid w:val="002F29F9"/>
    <w:rsid w:val="002F3E0D"/>
    <w:rsid w:val="002F413A"/>
    <w:rsid w:val="002F5155"/>
    <w:rsid w:val="002F54FA"/>
    <w:rsid w:val="002F6722"/>
    <w:rsid w:val="002F6C31"/>
    <w:rsid w:val="002F739C"/>
    <w:rsid w:val="002F7692"/>
    <w:rsid w:val="002F7709"/>
    <w:rsid w:val="002F774B"/>
    <w:rsid w:val="002F7CD7"/>
    <w:rsid w:val="003001E0"/>
    <w:rsid w:val="003006FE"/>
    <w:rsid w:val="003022C9"/>
    <w:rsid w:val="003028AF"/>
    <w:rsid w:val="00302CF4"/>
    <w:rsid w:val="0030374F"/>
    <w:rsid w:val="00303BE4"/>
    <w:rsid w:val="003044BC"/>
    <w:rsid w:val="0030483D"/>
    <w:rsid w:val="003062F9"/>
    <w:rsid w:val="00306768"/>
    <w:rsid w:val="00306952"/>
    <w:rsid w:val="00306D55"/>
    <w:rsid w:val="00310AE1"/>
    <w:rsid w:val="00311929"/>
    <w:rsid w:val="00312751"/>
    <w:rsid w:val="00312CA8"/>
    <w:rsid w:val="00312CDC"/>
    <w:rsid w:val="00313319"/>
    <w:rsid w:val="0031336E"/>
    <w:rsid w:val="00313520"/>
    <w:rsid w:val="0031354E"/>
    <w:rsid w:val="003137D6"/>
    <w:rsid w:val="00314E8F"/>
    <w:rsid w:val="00316F90"/>
    <w:rsid w:val="00317204"/>
    <w:rsid w:val="00317BA0"/>
    <w:rsid w:val="003203F6"/>
    <w:rsid w:val="00322670"/>
    <w:rsid w:val="003235DF"/>
    <w:rsid w:val="003238B7"/>
    <w:rsid w:val="00323937"/>
    <w:rsid w:val="0032416B"/>
    <w:rsid w:val="00324394"/>
    <w:rsid w:val="00325EA5"/>
    <w:rsid w:val="003262CE"/>
    <w:rsid w:val="0032631E"/>
    <w:rsid w:val="00326781"/>
    <w:rsid w:val="003268A8"/>
    <w:rsid w:val="00326ABA"/>
    <w:rsid w:val="0032791F"/>
    <w:rsid w:val="00327C0D"/>
    <w:rsid w:val="00327CCD"/>
    <w:rsid w:val="0033008C"/>
    <w:rsid w:val="003306E4"/>
    <w:rsid w:val="00330D03"/>
    <w:rsid w:val="00331000"/>
    <w:rsid w:val="00331070"/>
    <w:rsid w:val="0033338C"/>
    <w:rsid w:val="003335BB"/>
    <w:rsid w:val="00333FBA"/>
    <w:rsid w:val="003346C1"/>
    <w:rsid w:val="00334F84"/>
    <w:rsid w:val="0033502B"/>
    <w:rsid w:val="0033579A"/>
    <w:rsid w:val="00335AE5"/>
    <w:rsid w:val="00336377"/>
    <w:rsid w:val="003364C5"/>
    <w:rsid w:val="003368E7"/>
    <w:rsid w:val="0033691E"/>
    <w:rsid w:val="00336CB4"/>
    <w:rsid w:val="00336D82"/>
    <w:rsid w:val="003405F2"/>
    <w:rsid w:val="003409A7"/>
    <w:rsid w:val="003410F4"/>
    <w:rsid w:val="00341567"/>
    <w:rsid w:val="0034223A"/>
    <w:rsid w:val="003436DF"/>
    <w:rsid w:val="003438E5"/>
    <w:rsid w:val="00344265"/>
    <w:rsid w:val="00345B16"/>
    <w:rsid w:val="00347982"/>
    <w:rsid w:val="00351227"/>
    <w:rsid w:val="00351354"/>
    <w:rsid w:val="0035187A"/>
    <w:rsid w:val="00353944"/>
    <w:rsid w:val="003545D4"/>
    <w:rsid w:val="00355C0F"/>
    <w:rsid w:val="003563E0"/>
    <w:rsid w:val="003568D3"/>
    <w:rsid w:val="003576B9"/>
    <w:rsid w:val="003625A1"/>
    <w:rsid w:val="00362BEA"/>
    <w:rsid w:val="00362E98"/>
    <w:rsid w:val="0036354E"/>
    <w:rsid w:val="00363C8D"/>
    <w:rsid w:val="00363D3C"/>
    <w:rsid w:val="00363F4D"/>
    <w:rsid w:val="00365A1F"/>
    <w:rsid w:val="00366848"/>
    <w:rsid w:val="00367599"/>
    <w:rsid w:val="003676D3"/>
    <w:rsid w:val="00367F0B"/>
    <w:rsid w:val="00370264"/>
    <w:rsid w:val="003705B6"/>
    <w:rsid w:val="00370E97"/>
    <w:rsid w:val="00370F76"/>
    <w:rsid w:val="00371C5D"/>
    <w:rsid w:val="00372F9B"/>
    <w:rsid w:val="00373342"/>
    <w:rsid w:val="0037463B"/>
    <w:rsid w:val="00375585"/>
    <w:rsid w:val="003760F6"/>
    <w:rsid w:val="003762F1"/>
    <w:rsid w:val="003768F7"/>
    <w:rsid w:val="00376EB1"/>
    <w:rsid w:val="0037720B"/>
    <w:rsid w:val="00377951"/>
    <w:rsid w:val="00380CA6"/>
    <w:rsid w:val="00380D09"/>
    <w:rsid w:val="00380FDE"/>
    <w:rsid w:val="00381E85"/>
    <w:rsid w:val="00382023"/>
    <w:rsid w:val="00382AE8"/>
    <w:rsid w:val="00383325"/>
    <w:rsid w:val="003836FA"/>
    <w:rsid w:val="00383E71"/>
    <w:rsid w:val="003848F5"/>
    <w:rsid w:val="00384D85"/>
    <w:rsid w:val="00384DF7"/>
    <w:rsid w:val="0038524F"/>
    <w:rsid w:val="00385403"/>
    <w:rsid w:val="0038609C"/>
    <w:rsid w:val="003871BE"/>
    <w:rsid w:val="0039030F"/>
    <w:rsid w:val="00390479"/>
    <w:rsid w:val="00391071"/>
    <w:rsid w:val="00391D42"/>
    <w:rsid w:val="00392037"/>
    <w:rsid w:val="00392146"/>
    <w:rsid w:val="00392223"/>
    <w:rsid w:val="0039267B"/>
    <w:rsid w:val="00392A10"/>
    <w:rsid w:val="00392AF1"/>
    <w:rsid w:val="00392FC9"/>
    <w:rsid w:val="00393895"/>
    <w:rsid w:val="00393AE0"/>
    <w:rsid w:val="0039525F"/>
    <w:rsid w:val="003953B3"/>
    <w:rsid w:val="003955EB"/>
    <w:rsid w:val="00396672"/>
    <w:rsid w:val="00396ABA"/>
    <w:rsid w:val="003971D0"/>
    <w:rsid w:val="00397E2F"/>
    <w:rsid w:val="003A0315"/>
    <w:rsid w:val="003A0654"/>
    <w:rsid w:val="003A1453"/>
    <w:rsid w:val="003A1977"/>
    <w:rsid w:val="003A1E1A"/>
    <w:rsid w:val="003A2E67"/>
    <w:rsid w:val="003A336F"/>
    <w:rsid w:val="003A47A2"/>
    <w:rsid w:val="003A482A"/>
    <w:rsid w:val="003A60E6"/>
    <w:rsid w:val="003A6541"/>
    <w:rsid w:val="003A6907"/>
    <w:rsid w:val="003A6A75"/>
    <w:rsid w:val="003A6E70"/>
    <w:rsid w:val="003A741A"/>
    <w:rsid w:val="003B04D0"/>
    <w:rsid w:val="003B1694"/>
    <w:rsid w:val="003B2406"/>
    <w:rsid w:val="003B3635"/>
    <w:rsid w:val="003B469E"/>
    <w:rsid w:val="003B4CE2"/>
    <w:rsid w:val="003B6418"/>
    <w:rsid w:val="003B72CD"/>
    <w:rsid w:val="003C05D1"/>
    <w:rsid w:val="003C090A"/>
    <w:rsid w:val="003C0BAB"/>
    <w:rsid w:val="003C0C07"/>
    <w:rsid w:val="003C0F4D"/>
    <w:rsid w:val="003C12BA"/>
    <w:rsid w:val="003C14B7"/>
    <w:rsid w:val="003C1A40"/>
    <w:rsid w:val="003C1D4C"/>
    <w:rsid w:val="003C2168"/>
    <w:rsid w:val="003C22C0"/>
    <w:rsid w:val="003C3338"/>
    <w:rsid w:val="003C4A2D"/>
    <w:rsid w:val="003C53B5"/>
    <w:rsid w:val="003C6272"/>
    <w:rsid w:val="003C672F"/>
    <w:rsid w:val="003C76AA"/>
    <w:rsid w:val="003C779E"/>
    <w:rsid w:val="003C7F7B"/>
    <w:rsid w:val="003D0785"/>
    <w:rsid w:val="003D182A"/>
    <w:rsid w:val="003D1D2B"/>
    <w:rsid w:val="003D3BF1"/>
    <w:rsid w:val="003D451B"/>
    <w:rsid w:val="003D477C"/>
    <w:rsid w:val="003D526A"/>
    <w:rsid w:val="003D5739"/>
    <w:rsid w:val="003D5B65"/>
    <w:rsid w:val="003D6336"/>
    <w:rsid w:val="003D731D"/>
    <w:rsid w:val="003E08DE"/>
    <w:rsid w:val="003E0F3D"/>
    <w:rsid w:val="003E23D7"/>
    <w:rsid w:val="003E289D"/>
    <w:rsid w:val="003E29F0"/>
    <w:rsid w:val="003E354D"/>
    <w:rsid w:val="003E4675"/>
    <w:rsid w:val="003E4A87"/>
    <w:rsid w:val="003E54E0"/>
    <w:rsid w:val="003E65A0"/>
    <w:rsid w:val="003E7A22"/>
    <w:rsid w:val="003E7AF2"/>
    <w:rsid w:val="003E7D13"/>
    <w:rsid w:val="003F008B"/>
    <w:rsid w:val="003F07C6"/>
    <w:rsid w:val="003F0895"/>
    <w:rsid w:val="003F0C12"/>
    <w:rsid w:val="003F13AF"/>
    <w:rsid w:val="003F166F"/>
    <w:rsid w:val="003F1C18"/>
    <w:rsid w:val="003F1D78"/>
    <w:rsid w:val="003F20C4"/>
    <w:rsid w:val="003F25FC"/>
    <w:rsid w:val="003F383C"/>
    <w:rsid w:val="003F3C86"/>
    <w:rsid w:val="003F4B3B"/>
    <w:rsid w:val="003F60AC"/>
    <w:rsid w:val="003F62E2"/>
    <w:rsid w:val="003F63B7"/>
    <w:rsid w:val="003F71CB"/>
    <w:rsid w:val="003F7D48"/>
    <w:rsid w:val="004000EF"/>
    <w:rsid w:val="004002CD"/>
    <w:rsid w:val="004007EF"/>
    <w:rsid w:val="00400D8C"/>
    <w:rsid w:val="004012B4"/>
    <w:rsid w:val="00401F19"/>
    <w:rsid w:val="00401F49"/>
    <w:rsid w:val="0040433E"/>
    <w:rsid w:val="00405059"/>
    <w:rsid w:val="0040575B"/>
    <w:rsid w:val="004059C3"/>
    <w:rsid w:val="00405F24"/>
    <w:rsid w:val="00406F27"/>
    <w:rsid w:val="00407134"/>
    <w:rsid w:val="0040721F"/>
    <w:rsid w:val="004114C7"/>
    <w:rsid w:val="00412400"/>
    <w:rsid w:val="004138C3"/>
    <w:rsid w:val="00413DD3"/>
    <w:rsid w:val="004157D2"/>
    <w:rsid w:val="004161A8"/>
    <w:rsid w:val="004162C0"/>
    <w:rsid w:val="004165A7"/>
    <w:rsid w:val="00416DF7"/>
    <w:rsid w:val="00420379"/>
    <w:rsid w:val="004210FC"/>
    <w:rsid w:val="00421E39"/>
    <w:rsid w:val="0042246F"/>
    <w:rsid w:val="00422E58"/>
    <w:rsid w:val="00424079"/>
    <w:rsid w:val="0042424A"/>
    <w:rsid w:val="00424477"/>
    <w:rsid w:val="004259CE"/>
    <w:rsid w:val="00425C81"/>
    <w:rsid w:val="00426056"/>
    <w:rsid w:val="004265C8"/>
    <w:rsid w:val="004268BB"/>
    <w:rsid w:val="00426CED"/>
    <w:rsid w:val="004270C4"/>
    <w:rsid w:val="0042732B"/>
    <w:rsid w:val="00427ED7"/>
    <w:rsid w:val="00430190"/>
    <w:rsid w:val="0043041D"/>
    <w:rsid w:val="00430D19"/>
    <w:rsid w:val="00431682"/>
    <w:rsid w:val="004317D8"/>
    <w:rsid w:val="004317E7"/>
    <w:rsid w:val="00431E3E"/>
    <w:rsid w:val="00432119"/>
    <w:rsid w:val="0043213F"/>
    <w:rsid w:val="004330FA"/>
    <w:rsid w:val="00433399"/>
    <w:rsid w:val="00434879"/>
    <w:rsid w:val="00435776"/>
    <w:rsid w:val="00435CB2"/>
    <w:rsid w:val="0043667F"/>
    <w:rsid w:val="004373DD"/>
    <w:rsid w:val="00437537"/>
    <w:rsid w:val="00437A14"/>
    <w:rsid w:val="00437BF4"/>
    <w:rsid w:val="00440573"/>
    <w:rsid w:val="004406BC"/>
    <w:rsid w:val="00440ABC"/>
    <w:rsid w:val="00440B0C"/>
    <w:rsid w:val="00440CCF"/>
    <w:rsid w:val="004411BA"/>
    <w:rsid w:val="0044156E"/>
    <w:rsid w:val="004419F8"/>
    <w:rsid w:val="00442B37"/>
    <w:rsid w:val="00443512"/>
    <w:rsid w:val="00443801"/>
    <w:rsid w:val="004443C7"/>
    <w:rsid w:val="004446D4"/>
    <w:rsid w:val="004447F3"/>
    <w:rsid w:val="00444C54"/>
    <w:rsid w:val="0044510F"/>
    <w:rsid w:val="00445DCF"/>
    <w:rsid w:val="00445E3C"/>
    <w:rsid w:val="004467F9"/>
    <w:rsid w:val="00446D4D"/>
    <w:rsid w:val="00447030"/>
    <w:rsid w:val="00447286"/>
    <w:rsid w:val="00447CE3"/>
    <w:rsid w:val="0045049A"/>
    <w:rsid w:val="0045054B"/>
    <w:rsid w:val="004520A9"/>
    <w:rsid w:val="004538B1"/>
    <w:rsid w:val="004538BF"/>
    <w:rsid w:val="00454A51"/>
    <w:rsid w:val="004552A7"/>
    <w:rsid w:val="0045542E"/>
    <w:rsid w:val="00456620"/>
    <w:rsid w:val="00457327"/>
    <w:rsid w:val="00457B49"/>
    <w:rsid w:val="00460032"/>
    <w:rsid w:val="0046011B"/>
    <w:rsid w:val="00460743"/>
    <w:rsid w:val="00460F88"/>
    <w:rsid w:val="004615B4"/>
    <w:rsid w:val="004615D1"/>
    <w:rsid w:val="00461666"/>
    <w:rsid w:val="00461FD7"/>
    <w:rsid w:val="0046205F"/>
    <w:rsid w:val="004623DF"/>
    <w:rsid w:val="00462A3D"/>
    <w:rsid w:val="00462C17"/>
    <w:rsid w:val="004637D5"/>
    <w:rsid w:val="0046431E"/>
    <w:rsid w:val="00464596"/>
    <w:rsid w:val="00464966"/>
    <w:rsid w:val="004651F4"/>
    <w:rsid w:val="00465281"/>
    <w:rsid w:val="00465330"/>
    <w:rsid w:val="0046649B"/>
    <w:rsid w:val="00467094"/>
    <w:rsid w:val="004708CA"/>
    <w:rsid w:val="00470D7C"/>
    <w:rsid w:val="00471098"/>
    <w:rsid w:val="00471D62"/>
    <w:rsid w:val="00471E80"/>
    <w:rsid w:val="004725D4"/>
    <w:rsid w:val="004739E5"/>
    <w:rsid w:val="00473E00"/>
    <w:rsid w:val="00473F33"/>
    <w:rsid w:val="0047417F"/>
    <w:rsid w:val="00474859"/>
    <w:rsid w:val="00474AE8"/>
    <w:rsid w:val="0047589C"/>
    <w:rsid w:val="00476469"/>
    <w:rsid w:val="0047674E"/>
    <w:rsid w:val="0047677E"/>
    <w:rsid w:val="00477650"/>
    <w:rsid w:val="004809AD"/>
    <w:rsid w:val="00480AD9"/>
    <w:rsid w:val="00480CD7"/>
    <w:rsid w:val="00482DFF"/>
    <w:rsid w:val="0048307C"/>
    <w:rsid w:val="00483688"/>
    <w:rsid w:val="00483D01"/>
    <w:rsid w:val="00483D19"/>
    <w:rsid w:val="0048408F"/>
    <w:rsid w:val="004844E4"/>
    <w:rsid w:val="0048458C"/>
    <w:rsid w:val="00484825"/>
    <w:rsid w:val="004854DF"/>
    <w:rsid w:val="0048658E"/>
    <w:rsid w:val="004867FF"/>
    <w:rsid w:val="00486BBA"/>
    <w:rsid w:val="00487F5B"/>
    <w:rsid w:val="00490D06"/>
    <w:rsid w:val="00491C49"/>
    <w:rsid w:val="004929E5"/>
    <w:rsid w:val="0049348C"/>
    <w:rsid w:val="00493687"/>
    <w:rsid w:val="004936AF"/>
    <w:rsid w:val="004938FE"/>
    <w:rsid w:val="00493E53"/>
    <w:rsid w:val="00494029"/>
    <w:rsid w:val="00494E84"/>
    <w:rsid w:val="00495BAB"/>
    <w:rsid w:val="00497FD6"/>
    <w:rsid w:val="004A0094"/>
    <w:rsid w:val="004A033C"/>
    <w:rsid w:val="004A0DAB"/>
    <w:rsid w:val="004A1765"/>
    <w:rsid w:val="004A1D85"/>
    <w:rsid w:val="004A1EB4"/>
    <w:rsid w:val="004A3198"/>
    <w:rsid w:val="004A40C8"/>
    <w:rsid w:val="004A42A0"/>
    <w:rsid w:val="004A4D26"/>
    <w:rsid w:val="004A4DC6"/>
    <w:rsid w:val="004A566B"/>
    <w:rsid w:val="004A5733"/>
    <w:rsid w:val="004A5D1B"/>
    <w:rsid w:val="004A6449"/>
    <w:rsid w:val="004A7AEC"/>
    <w:rsid w:val="004B0A86"/>
    <w:rsid w:val="004B1906"/>
    <w:rsid w:val="004B1D2F"/>
    <w:rsid w:val="004B1DF5"/>
    <w:rsid w:val="004B4CB9"/>
    <w:rsid w:val="004B4EE3"/>
    <w:rsid w:val="004B533F"/>
    <w:rsid w:val="004B54E0"/>
    <w:rsid w:val="004B5562"/>
    <w:rsid w:val="004B5AF9"/>
    <w:rsid w:val="004B5B82"/>
    <w:rsid w:val="004B5DF9"/>
    <w:rsid w:val="004B5FA8"/>
    <w:rsid w:val="004C0981"/>
    <w:rsid w:val="004C0E50"/>
    <w:rsid w:val="004C1F7B"/>
    <w:rsid w:val="004C27ED"/>
    <w:rsid w:val="004C2AD6"/>
    <w:rsid w:val="004C3C20"/>
    <w:rsid w:val="004C42BF"/>
    <w:rsid w:val="004C4B12"/>
    <w:rsid w:val="004C5581"/>
    <w:rsid w:val="004C5E12"/>
    <w:rsid w:val="004D00BA"/>
    <w:rsid w:val="004D01AF"/>
    <w:rsid w:val="004D0F57"/>
    <w:rsid w:val="004D0FA2"/>
    <w:rsid w:val="004D1C47"/>
    <w:rsid w:val="004D23AB"/>
    <w:rsid w:val="004D2EFC"/>
    <w:rsid w:val="004D4751"/>
    <w:rsid w:val="004D511D"/>
    <w:rsid w:val="004D5479"/>
    <w:rsid w:val="004D6021"/>
    <w:rsid w:val="004D6316"/>
    <w:rsid w:val="004D682E"/>
    <w:rsid w:val="004D7151"/>
    <w:rsid w:val="004D7201"/>
    <w:rsid w:val="004D734C"/>
    <w:rsid w:val="004D7988"/>
    <w:rsid w:val="004E026F"/>
    <w:rsid w:val="004E1D75"/>
    <w:rsid w:val="004E3247"/>
    <w:rsid w:val="004E42D8"/>
    <w:rsid w:val="004E44CD"/>
    <w:rsid w:val="004E46EC"/>
    <w:rsid w:val="004E489F"/>
    <w:rsid w:val="004E4BFE"/>
    <w:rsid w:val="004E5928"/>
    <w:rsid w:val="004E5BF7"/>
    <w:rsid w:val="004E61A1"/>
    <w:rsid w:val="004E65A8"/>
    <w:rsid w:val="004E681F"/>
    <w:rsid w:val="004E686A"/>
    <w:rsid w:val="004E6C54"/>
    <w:rsid w:val="004E6CEA"/>
    <w:rsid w:val="004E783C"/>
    <w:rsid w:val="004E7E98"/>
    <w:rsid w:val="004F0AD5"/>
    <w:rsid w:val="004F0B44"/>
    <w:rsid w:val="004F3271"/>
    <w:rsid w:val="004F3488"/>
    <w:rsid w:val="004F4247"/>
    <w:rsid w:val="004F42E0"/>
    <w:rsid w:val="004F48B6"/>
    <w:rsid w:val="004F4A81"/>
    <w:rsid w:val="004F566D"/>
    <w:rsid w:val="004F6AB1"/>
    <w:rsid w:val="004F6E42"/>
    <w:rsid w:val="004F6F6B"/>
    <w:rsid w:val="004F7910"/>
    <w:rsid w:val="005003AC"/>
    <w:rsid w:val="00501789"/>
    <w:rsid w:val="00502A0A"/>
    <w:rsid w:val="00502BA9"/>
    <w:rsid w:val="00503D6A"/>
    <w:rsid w:val="00505227"/>
    <w:rsid w:val="00505C8D"/>
    <w:rsid w:val="00505DD0"/>
    <w:rsid w:val="00507504"/>
    <w:rsid w:val="00507A60"/>
    <w:rsid w:val="005103EC"/>
    <w:rsid w:val="005108CC"/>
    <w:rsid w:val="00510BE2"/>
    <w:rsid w:val="00511B87"/>
    <w:rsid w:val="00512237"/>
    <w:rsid w:val="0051227C"/>
    <w:rsid w:val="00513A1F"/>
    <w:rsid w:val="00513CCC"/>
    <w:rsid w:val="00513E5B"/>
    <w:rsid w:val="005148FF"/>
    <w:rsid w:val="00514FDE"/>
    <w:rsid w:val="005173C6"/>
    <w:rsid w:val="005174EF"/>
    <w:rsid w:val="00517B66"/>
    <w:rsid w:val="005207F4"/>
    <w:rsid w:val="0052108C"/>
    <w:rsid w:val="00521474"/>
    <w:rsid w:val="00521D71"/>
    <w:rsid w:val="005247C6"/>
    <w:rsid w:val="005251F9"/>
    <w:rsid w:val="0052526A"/>
    <w:rsid w:val="00526F17"/>
    <w:rsid w:val="00530010"/>
    <w:rsid w:val="00530714"/>
    <w:rsid w:val="00531EA1"/>
    <w:rsid w:val="005323EE"/>
    <w:rsid w:val="0053284C"/>
    <w:rsid w:val="00532EE7"/>
    <w:rsid w:val="0053372A"/>
    <w:rsid w:val="00533AF5"/>
    <w:rsid w:val="00533C7C"/>
    <w:rsid w:val="00533E1B"/>
    <w:rsid w:val="00534D7A"/>
    <w:rsid w:val="0053503D"/>
    <w:rsid w:val="00535872"/>
    <w:rsid w:val="00535FA7"/>
    <w:rsid w:val="00536D65"/>
    <w:rsid w:val="005370E9"/>
    <w:rsid w:val="00540130"/>
    <w:rsid w:val="00540253"/>
    <w:rsid w:val="00540439"/>
    <w:rsid w:val="00541218"/>
    <w:rsid w:val="005428D0"/>
    <w:rsid w:val="00542A13"/>
    <w:rsid w:val="005433BD"/>
    <w:rsid w:val="00543CA5"/>
    <w:rsid w:val="00544247"/>
    <w:rsid w:val="005444AA"/>
    <w:rsid w:val="005459AA"/>
    <w:rsid w:val="00545CC3"/>
    <w:rsid w:val="005464D9"/>
    <w:rsid w:val="00547F35"/>
    <w:rsid w:val="005501AF"/>
    <w:rsid w:val="00550AD0"/>
    <w:rsid w:val="00551C84"/>
    <w:rsid w:val="00552A49"/>
    <w:rsid w:val="005544DD"/>
    <w:rsid w:val="00555425"/>
    <w:rsid w:val="005565A6"/>
    <w:rsid w:val="00557D9B"/>
    <w:rsid w:val="00560F77"/>
    <w:rsid w:val="00561359"/>
    <w:rsid w:val="00562DE9"/>
    <w:rsid w:val="00562FD4"/>
    <w:rsid w:val="00564750"/>
    <w:rsid w:val="0056483F"/>
    <w:rsid w:val="0056549B"/>
    <w:rsid w:val="00565787"/>
    <w:rsid w:val="00565D41"/>
    <w:rsid w:val="00566B2F"/>
    <w:rsid w:val="0056713E"/>
    <w:rsid w:val="0056763E"/>
    <w:rsid w:val="005704F9"/>
    <w:rsid w:val="005712FE"/>
    <w:rsid w:val="00571C34"/>
    <w:rsid w:val="00572B38"/>
    <w:rsid w:val="0057351D"/>
    <w:rsid w:val="00574C83"/>
    <w:rsid w:val="00574DD7"/>
    <w:rsid w:val="00575115"/>
    <w:rsid w:val="00575809"/>
    <w:rsid w:val="00580412"/>
    <w:rsid w:val="00580CA2"/>
    <w:rsid w:val="0058190B"/>
    <w:rsid w:val="00581BC2"/>
    <w:rsid w:val="00582100"/>
    <w:rsid w:val="00582AC9"/>
    <w:rsid w:val="00582DA5"/>
    <w:rsid w:val="00583FE0"/>
    <w:rsid w:val="005848B6"/>
    <w:rsid w:val="00584A18"/>
    <w:rsid w:val="00585637"/>
    <w:rsid w:val="00585AE4"/>
    <w:rsid w:val="00585ED9"/>
    <w:rsid w:val="0058605F"/>
    <w:rsid w:val="00586661"/>
    <w:rsid w:val="00586CB2"/>
    <w:rsid w:val="0058782D"/>
    <w:rsid w:val="0058799E"/>
    <w:rsid w:val="005908F3"/>
    <w:rsid w:val="005909B2"/>
    <w:rsid w:val="00590CF0"/>
    <w:rsid w:val="005918FA"/>
    <w:rsid w:val="00591C7F"/>
    <w:rsid w:val="00591E9B"/>
    <w:rsid w:val="0059224C"/>
    <w:rsid w:val="00592549"/>
    <w:rsid w:val="005925DB"/>
    <w:rsid w:val="00592957"/>
    <w:rsid w:val="00592A7F"/>
    <w:rsid w:val="00593963"/>
    <w:rsid w:val="00593991"/>
    <w:rsid w:val="0059402D"/>
    <w:rsid w:val="00594256"/>
    <w:rsid w:val="00594953"/>
    <w:rsid w:val="005977F7"/>
    <w:rsid w:val="00597888"/>
    <w:rsid w:val="005A0378"/>
    <w:rsid w:val="005A0A27"/>
    <w:rsid w:val="005A2DDA"/>
    <w:rsid w:val="005A33AC"/>
    <w:rsid w:val="005A4104"/>
    <w:rsid w:val="005A4DB8"/>
    <w:rsid w:val="005A50C5"/>
    <w:rsid w:val="005A5334"/>
    <w:rsid w:val="005A6407"/>
    <w:rsid w:val="005A767D"/>
    <w:rsid w:val="005B1508"/>
    <w:rsid w:val="005B17E9"/>
    <w:rsid w:val="005B2370"/>
    <w:rsid w:val="005B25CD"/>
    <w:rsid w:val="005B2C88"/>
    <w:rsid w:val="005B2DC8"/>
    <w:rsid w:val="005B2E4A"/>
    <w:rsid w:val="005B3AB9"/>
    <w:rsid w:val="005B3B7E"/>
    <w:rsid w:val="005B3BA1"/>
    <w:rsid w:val="005B3C7D"/>
    <w:rsid w:val="005B3D98"/>
    <w:rsid w:val="005B4A43"/>
    <w:rsid w:val="005B4C91"/>
    <w:rsid w:val="005B4D82"/>
    <w:rsid w:val="005B5491"/>
    <w:rsid w:val="005B5823"/>
    <w:rsid w:val="005B61ED"/>
    <w:rsid w:val="005B7FDB"/>
    <w:rsid w:val="005C0B4F"/>
    <w:rsid w:val="005C1378"/>
    <w:rsid w:val="005C1A04"/>
    <w:rsid w:val="005C1E2E"/>
    <w:rsid w:val="005C27D3"/>
    <w:rsid w:val="005C29E7"/>
    <w:rsid w:val="005C29FE"/>
    <w:rsid w:val="005C3473"/>
    <w:rsid w:val="005C3F21"/>
    <w:rsid w:val="005C6D16"/>
    <w:rsid w:val="005C6FD1"/>
    <w:rsid w:val="005C729F"/>
    <w:rsid w:val="005D03F4"/>
    <w:rsid w:val="005D08D1"/>
    <w:rsid w:val="005D151F"/>
    <w:rsid w:val="005D19CD"/>
    <w:rsid w:val="005D1FD0"/>
    <w:rsid w:val="005D2686"/>
    <w:rsid w:val="005D2AF5"/>
    <w:rsid w:val="005D2E87"/>
    <w:rsid w:val="005D3E85"/>
    <w:rsid w:val="005D46F0"/>
    <w:rsid w:val="005D5345"/>
    <w:rsid w:val="005D547D"/>
    <w:rsid w:val="005D5AB1"/>
    <w:rsid w:val="005D5C27"/>
    <w:rsid w:val="005D60C5"/>
    <w:rsid w:val="005D69C2"/>
    <w:rsid w:val="005D6E0A"/>
    <w:rsid w:val="005D7A13"/>
    <w:rsid w:val="005E01D6"/>
    <w:rsid w:val="005E05E9"/>
    <w:rsid w:val="005E2394"/>
    <w:rsid w:val="005E2463"/>
    <w:rsid w:val="005E2D3D"/>
    <w:rsid w:val="005E45CF"/>
    <w:rsid w:val="005E470F"/>
    <w:rsid w:val="005E5486"/>
    <w:rsid w:val="005E56DF"/>
    <w:rsid w:val="005E5AB7"/>
    <w:rsid w:val="005E5E11"/>
    <w:rsid w:val="005E62BE"/>
    <w:rsid w:val="005E6CBC"/>
    <w:rsid w:val="005E717F"/>
    <w:rsid w:val="005E7610"/>
    <w:rsid w:val="005F2212"/>
    <w:rsid w:val="005F2DFC"/>
    <w:rsid w:val="005F32BD"/>
    <w:rsid w:val="005F33F7"/>
    <w:rsid w:val="005F34C8"/>
    <w:rsid w:val="005F3CC1"/>
    <w:rsid w:val="005F4B25"/>
    <w:rsid w:val="005F4F28"/>
    <w:rsid w:val="005F58CB"/>
    <w:rsid w:val="005F5C11"/>
    <w:rsid w:val="005F6484"/>
    <w:rsid w:val="005F79D0"/>
    <w:rsid w:val="0060225D"/>
    <w:rsid w:val="006029DF"/>
    <w:rsid w:val="0060307F"/>
    <w:rsid w:val="00604578"/>
    <w:rsid w:val="006045B7"/>
    <w:rsid w:val="0060518C"/>
    <w:rsid w:val="0060691F"/>
    <w:rsid w:val="0060750E"/>
    <w:rsid w:val="00607D0F"/>
    <w:rsid w:val="00610165"/>
    <w:rsid w:val="00610644"/>
    <w:rsid w:val="0061074B"/>
    <w:rsid w:val="00611848"/>
    <w:rsid w:val="00613545"/>
    <w:rsid w:val="00614BA4"/>
    <w:rsid w:val="006154BC"/>
    <w:rsid w:val="00615D85"/>
    <w:rsid w:val="00615E55"/>
    <w:rsid w:val="00616CA6"/>
    <w:rsid w:val="0061786A"/>
    <w:rsid w:val="006202C3"/>
    <w:rsid w:val="006209F4"/>
    <w:rsid w:val="00620E54"/>
    <w:rsid w:val="00621518"/>
    <w:rsid w:val="00621CFC"/>
    <w:rsid w:val="0062230F"/>
    <w:rsid w:val="006234B0"/>
    <w:rsid w:val="006234F0"/>
    <w:rsid w:val="00623582"/>
    <w:rsid w:val="00623C03"/>
    <w:rsid w:val="00625146"/>
    <w:rsid w:val="0062556F"/>
    <w:rsid w:val="0062581B"/>
    <w:rsid w:val="00625A8A"/>
    <w:rsid w:val="006267A9"/>
    <w:rsid w:val="006273F1"/>
    <w:rsid w:val="0062783E"/>
    <w:rsid w:val="00630091"/>
    <w:rsid w:val="00630319"/>
    <w:rsid w:val="006309E0"/>
    <w:rsid w:val="006318A1"/>
    <w:rsid w:val="00631A68"/>
    <w:rsid w:val="00632CCA"/>
    <w:rsid w:val="00632DB4"/>
    <w:rsid w:val="0063321C"/>
    <w:rsid w:val="00633936"/>
    <w:rsid w:val="006344F9"/>
    <w:rsid w:val="006348D6"/>
    <w:rsid w:val="00634990"/>
    <w:rsid w:val="006352CA"/>
    <w:rsid w:val="00635C59"/>
    <w:rsid w:val="00635D44"/>
    <w:rsid w:val="0063664C"/>
    <w:rsid w:val="006375DE"/>
    <w:rsid w:val="00640682"/>
    <w:rsid w:val="00641045"/>
    <w:rsid w:val="0064443E"/>
    <w:rsid w:val="00644CF1"/>
    <w:rsid w:val="00645138"/>
    <w:rsid w:val="0064548A"/>
    <w:rsid w:val="006455B6"/>
    <w:rsid w:val="0064567C"/>
    <w:rsid w:val="006459CA"/>
    <w:rsid w:val="00645F28"/>
    <w:rsid w:val="0064676E"/>
    <w:rsid w:val="00646CA7"/>
    <w:rsid w:val="00646F19"/>
    <w:rsid w:val="00647155"/>
    <w:rsid w:val="006475FA"/>
    <w:rsid w:val="00647912"/>
    <w:rsid w:val="00647D5D"/>
    <w:rsid w:val="00647F32"/>
    <w:rsid w:val="006508E4"/>
    <w:rsid w:val="006519F7"/>
    <w:rsid w:val="00651EB7"/>
    <w:rsid w:val="006521C0"/>
    <w:rsid w:val="00652494"/>
    <w:rsid w:val="00653294"/>
    <w:rsid w:val="00653F0E"/>
    <w:rsid w:val="006541DA"/>
    <w:rsid w:val="00654BF4"/>
    <w:rsid w:val="00655275"/>
    <w:rsid w:val="00655691"/>
    <w:rsid w:val="00655B02"/>
    <w:rsid w:val="006560B9"/>
    <w:rsid w:val="00656118"/>
    <w:rsid w:val="0065650F"/>
    <w:rsid w:val="0065664C"/>
    <w:rsid w:val="00656832"/>
    <w:rsid w:val="00656D28"/>
    <w:rsid w:val="00657062"/>
    <w:rsid w:val="00657A2B"/>
    <w:rsid w:val="00661662"/>
    <w:rsid w:val="0066254B"/>
    <w:rsid w:val="00662CDF"/>
    <w:rsid w:val="00662D82"/>
    <w:rsid w:val="00663320"/>
    <w:rsid w:val="00663D50"/>
    <w:rsid w:val="00665884"/>
    <w:rsid w:val="006660A5"/>
    <w:rsid w:val="0066632C"/>
    <w:rsid w:val="00666928"/>
    <w:rsid w:val="0066740A"/>
    <w:rsid w:val="006674AC"/>
    <w:rsid w:val="0067046B"/>
    <w:rsid w:val="0067181E"/>
    <w:rsid w:val="00671D7F"/>
    <w:rsid w:val="0067207A"/>
    <w:rsid w:val="00672E60"/>
    <w:rsid w:val="0067367E"/>
    <w:rsid w:val="006737F3"/>
    <w:rsid w:val="0067452D"/>
    <w:rsid w:val="00674A51"/>
    <w:rsid w:val="006754CE"/>
    <w:rsid w:val="00675F37"/>
    <w:rsid w:val="006764B3"/>
    <w:rsid w:val="00677582"/>
    <w:rsid w:val="0067798B"/>
    <w:rsid w:val="00677F2E"/>
    <w:rsid w:val="006812C8"/>
    <w:rsid w:val="0068192B"/>
    <w:rsid w:val="00681F19"/>
    <w:rsid w:val="00682746"/>
    <w:rsid w:val="006827F0"/>
    <w:rsid w:val="00682A87"/>
    <w:rsid w:val="00682EAC"/>
    <w:rsid w:val="00683A01"/>
    <w:rsid w:val="0068419B"/>
    <w:rsid w:val="006846CD"/>
    <w:rsid w:val="00684E36"/>
    <w:rsid w:val="006857A4"/>
    <w:rsid w:val="00685DA8"/>
    <w:rsid w:val="00686E8B"/>
    <w:rsid w:val="006871A2"/>
    <w:rsid w:val="006871D2"/>
    <w:rsid w:val="0068754D"/>
    <w:rsid w:val="00687DB1"/>
    <w:rsid w:val="006909C4"/>
    <w:rsid w:val="006911B9"/>
    <w:rsid w:val="00691CA2"/>
    <w:rsid w:val="00692841"/>
    <w:rsid w:val="006929F4"/>
    <w:rsid w:val="00692D35"/>
    <w:rsid w:val="00693294"/>
    <w:rsid w:val="00693586"/>
    <w:rsid w:val="00694BFA"/>
    <w:rsid w:val="00694E73"/>
    <w:rsid w:val="00695FB4"/>
    <w:rsid w:val="0069716F"/>
    <w:rsid w:val="00697363"/>
    <w:rsid w:val="0069736F"/>
    <w:rsid w:val="00697B2D"/>
    <w:rsid w:val="00697C24"/>
    <w:rsid w:val="00697F78"/>
    <w:rsid w:val="006A0658"/>
    <w:rsid w:val="006A0A31"/>
    <w:rsid w:val="006A1287"/>
    <w:rsid w:val="006A16AF"/>
    <w:rsid w:val="006A22E5"/>
    <w:rsid w:val="006A25D9"/>
    <w:rsid w:val="006A2B4F"/>
    <w:rsid w:val="006A488F"/>
    <w:rsid w:val="006A4E87"/>
    <w:rsid w:val="006A5F3A"/>
    <w:rsid w:val="006A6C64"/>
    <w:rsid w:val="006A7C8D"/>
    <w:rsid w:val="006A7CD7"/>
    <w:rsid w:val="006B080E"/>
    <w:rsid w:val="006B12C7"/>
    <w:rsid w:val="006B17FA"/>
    <w:rsid w:val="006B1AE0"/>
    <w:rsid w:val="006B1DED"/>
    <w:rsid w:val="006B2C06"/>
    <w:rsid w:val="006B322A"/>
    <w:rsid w:val="006B39B0"/>
    <w:rsid w:val="006B3FCC"/>
    <w:rsid w:val="006B47FC"/>
    <w:rsid w:val="006B516A"/>
    <w:rsid w:val="006B593D"/>
    <w:rsid w:val="006B66A1"/>
    <w:rsid w:val="006B698B"/>
    <w:rsid w:val="006B6C7C"/>
    <w:rsid w:val="006B714A"/>
    <w:rsid w:val="006B7523"/>
    <w:rsid w:val="006B796B"/>
    <w:rsid w:val="006B799B"/>
    <w:rsid w:val="006C0E00"/>
    <w:rsid w:val="006C10A2"/>
    <w:rsid w:val="006C18C2"/>
    <w:rsid w:val="006C1CB4"/>
    <w:rsid w:val="006C1EB9"/>
    <w:rsid w:val="006C2878"/>
    <w:rsid w:val="006C2979"/>
    <w:rsid w:val="006C3218"/>
    <w:rsid w:val="006C356D"/>
    <w:rsid w:val="006C37F3"/>
    <w:rsid w:val="006C6237"/>
    <w:rsid w:val="006C74A8"/>
    <w:rsid w:val="006C7AC7"/>
    <w:rsid w:val="006D0DBB"/>
    <w:rsid w:val="006D0F87"/>
    <w:rsid w:val="006D1490"/>
    <w:rsid w:val="006D2005"/>
    <w:rsid w:val="006D252B"/>
    <w:rsid w:val="006D2B8E"/>
    <w:rsid w:val="006D3764"/>
    <w:rsid w:val="006D40D7"/>
    <w:rsid w:val="006D4655"/>
    <w:rsid w:val="006D5C97"/>
    <w:rsid w:val="006D7031"/>
    <w:rsid w:val="006D7520"/>
    <w:rsid w:val="006E0124"/>
    <w:rsid w:val="006E1A24"/>
    <w:rsid w:val="006E1A2D"/>
    <w:rsid w:val="006E295D"/>
    <w:rsid w:val="006E2ED8"/>
    <w:rsid w:val="006E3AC1"/>
    <w:rsid w:val="006E4700"/>
    <w:rsid w:val="006E4EA9"/>
    <w:rsid w:val="006E535B"/>
    <w:rsid w:val="006E5B69"/>
    <w:rsid w:val="006E678A"/>
    <w:rsid w:val="006E67BD"/>
    <w:rsid w:val="006E73EB"/>
    <w:rsid w:val="006E73F8"/>
    <w:rsid w:val="006E78BB"/>
    <w:rsid w:val="006F0BD6"/>
    <w:rsid w:val="006F1A9D"/>
    <w:rsid w:val="006F2208"/>
    <w:rsid w:val="006F27BD"/>
    <w:rsid w:val="006F3002"/>
    <w:rsid w:val="006F3771"/>
    <w:rsid w:val="006F39AD"/>
    <w:rsid w:val="006F3A37"/>
    <w:rsid w:val="006F4110"/>
    <w:rsid w:val="006F48A2"/>
    <w:rsid w:val="006F4A41"/>
    <w:rsid w:val="006F4D4C"/>
    <w:rsid w:val="007001B1"/>
    <w:rsid w:val="00700BA0"/>
    <w:rsid w:val="00701D6E"/>
    <w:rsid w:val="00701E67"/>
    <w:rsid w:val="00702301"/>
    <w:rsid w:val="007023CF"/>
    <w:rsid w:val="00702808"/>
    <w:rsid w:val="0070322B"/>
    <w:rsid w:val="00703896"/>
    <w:rsid w:val="00703DD9"/>
    <w:rsid w:val="0070584D"/>
    <w:rsid w:val="00705F34"/>
    <w:rsid w:val="00706659"/>
    <w:rsid w:val="00710C7C"/>
    <w:rsid w:val="007114E5"/>
    <w:rsid w:val="00711A12"/>
    <w:rsid w:val="00712A4E"/>
    <w:rsid w:val="00714048"/>
    <w:rsid w:val="007141B0"/>
    <w:rsid w:val="00714D0C"/>
    <w:rsid w:val="00715A43"/>
    <w:rsid w:val="00715F7C"/>
    <w:rsid w:val="0071642D"/>
    <w:rsid w:val="00716713"/>
    <w:rsid w:val="00716E42"/>
    <w:rsid w:val="00717D1C"/>
    <w:rsid w:val="00722F05"/>
    <w:rsid w:val="0072332C"/>
    <w:rsid w:val="007233A3"/>
    <w:rsid w:val="00723BF4"/>
    <w:rsid w:val="00723F89"/>
    <w:rsid w:val="0072473D"/>
    <w:rsid w:val="00724A10"/>
    <w:rsid w:val="007253A6"/>
    <w:rsid w:val="0072626F"/>
    <w:rsid w:val="00726703"/>
    <w:rsid w:val="00726708"/>
    <w:rsid w:val="0073036E"/>
    <w:rsid w:val="0073051A"/>
    <w:rsid w:val="00730D78"/>
    <w:rsid w:val="00730EA0"/>
    <w:rsid w:val="007311AE"/>
    <w:rsid w:val="00731F47"/>
    <w:rsid w:val="0073309E"/>
    <w:rsid w:val="007333D8"/>
    <w:rsid w:val="00733763"/>
    <w:rsid w:val="00734C06"/>
    <w:rsid w:val="00735036"/>
    <w:rsid w:val="007351F7"/>
    <w:rsid w:val="00735E3E"/>
    <w:rsid w:val="007368BF"/>
    <w:rsid w:val="00737130"/>
    <w:rsid w:val="00740175"/>
    <w:rsid w:val="007407C3"/>
    <w:rsid w:val="00740DFD"/>
    <w:rsid w:val="007415D7"/>
    <w:rsid w:val="0074183C"/>
    <w:rsid w:val="00742B42"/>
    <w:rsid w:val="00742C6F"/>
    <w:rsid w:val="007432E8"/>
    <w:rsid w:val="007436CC"/>
    <w:rsid w:val="00743824"/>
    <w:rsid w:val="00744F5C"/>
    <w:rsid w:val="0074583D"/>
    <w:rsid w:val="007460A1"/>
    <w:rsid w:val="0074688F"/>
    <w:rsid w:val="007473E4"/>
    <w:rsid w:val="00750492"/>
    <w:rsid w:val="007515A0"/>
    <w:rsid w:val="00753973"/>
    <w:rsid w:val="007541C6"/>
    <w:rsid w:val="00755CA2"/>
    <w:rsid w:val="00755F71"/>
    <w:rsid w:val="0075613E"/>
    <w:rsid w:val="007570B1"/>
    <w:rsid w:val="00760824"/>
    <w:rsid w:val="00761972"/>
    <w:rsid w:val="007624E9"/>
    <w:rsid w:val="00766229"/>
    <w:rsid w:val="00766363"/>
    <w:rsid w:val="0076653D"/>
    <w:rsid w:val="00766BFF"/>
    <w:rsid w:val="00766EA3"/>
    <w:rsid w:val="007671E0"/>
    <w:rsid w:val="00770256"/>
    <w:rsid w:val="00771238"/>
    <w:rsid w:val="0077140F"/>
    <w:rsid w:val="00771672"/>
    <w:rsid w:val="00771C8F"/>
    <w:rsid w:val="007721D7"/>
    <w:rsid w:val="0077539B"/>
    <w:rsid w:val="00775D86"/>
    <w:rsid w:val="00776958"/>
    <w:rsid w:val="007769B3"/>
    <w:rsid w:val="00776E1E"/>
    <w:rsid w:val="00777028"/>
    <w:rsid w:val="0078090B"/>
    <w:rsid w:val="00780B31"/>
    <w:rsid w:val="007815E8"/>
    <w:rsid w:val="00781C0C"/>
    <w:rsid w:val="007824A4"/>
    <w:rsid w:val="00782794"/>
    <w:rsid w:val="0078386A"/>
    <w:rsid w:val="00783EAF"/>
    <w:rsid w:val="00783F7A"/>
    <w:rsid w:val="0078478E"/>
    <w:rsid w:val="00784C7F"/>
    <w:rsid w:val="00786808"/>
    <w:rsid w:val="0078686A"/>
    <w:rsid w:val="007872D3"/>
    <w:rsid w:val="00787788"/>
    <w:rsid w:val="00787DAD"/>
    <w:rsid w:val="00790B7A"/>
    <w:rsid w:val="007913E8"/>
    <w:rsid w:val="007919FC"/>
    <w:rsid w:val="007921EE"/>
    <w:rsid w:val="00792A63"/>
    <w:rsid w:val="0079316D"/>
    <w:rsid w:val="00793F4F"/>
    <w:rsid w:val="00795017"/>
    <w:rsid w:val="00795310"/>
    <w:rsid w:val="007954F6"/>
    <w:rsid w:val="00795A55"/>
    <w:rsid w:val="00796655"/>
    <w:rsid w:val="00796E41"/>
    <w:rsid w:val="00797F2E"/>
    <w:rsid w:val="007A02F3"/>
    <w:rsid w:val="007A1211"/>
    <w:rsid w:val="007A1542"/>
    <w:rsid w:val="007A1A2A"/>
    <w:rsid w:val="007A1F6E"/>
    <w:rsid w:val="007A2AFF"/>
    <w:rsid w:val="007A470F"/>
    <w:rsid w:val="007A4EE2"/>
    <w:rsid w:val="007A6D63"/>
    <w:rsid w:val="007B091E"/>
    <w:rsid w:val="007B11A0"/>
    <w:rsid w:val="007B11D4"/>
    <w:rsid w:val="007B132D"/>
    <w:rsid w:val="007B386A"/>
    <w:rsid w:val="007B395A"/>
    <w:rsid w:val="007B3AA5"/>
    <w:rsid w:val="007B43B5"/>
    <w:rsid w:val="007B4D2F"/>
    <w:rsid w:val="007B5225"/>
    <w:rsid w:val="007B5594"/>
    <w:rsid w:val="007B5A3B"/>
    <w:rsid w:val="007B6823"/>
    <w:rsid w:val="007B7611"/>
    <w:rsid w:val="007B7812"/>
    <w:rsid w:val="007B7B3F"/>
    <w:rsid w:val="007B7DC2"/>
    <w:rsid w:val="007C0A9C"/>
    <w:rsid w:val="007C0BA1"/>
    <w:rsid w:val="007C144E"/>
    <w:rsid w:val="007C170B"/>
    <w:rsid w:val="007C2696"/>
    <w:rsid w:val="007C5E4C"/>
    <w:rsid w:val="007C5FF6"/>
    <w:rsid w:val="007C659C"/>
    <w:rsid w:val="007C6EFA"/>
    <w:rsid w:val="007C700E"/>
    <w:rsid w:val="007C7714"/>
    <w:rsid w:val="007C7D19"/>
    <w:rsid w:val="007D18EA"/>
    <w:rsid w:val="007D1AEF"/>
    <w:rsid w:val="007D1DAD"/>
    <w:rsid w:val="007D1F93"/>
    <w:rsid w:val="007D2294"/>
    <w:rsid w:val="007D28C7"/>
    <w:rsid w:val="007D2920"/>
    <w:rsid w:val="007D2DD6"/>
    <w:rsid w:val="007D3AF2"/>
    <w:rsid w:val="007D3D67"/>
    <w:rsid w:val="007D402F"/>
    <w:rsid w:val="007D421A"/>
    <w:rsid w:val="007D4C41"/>
    <w:rsid w:val="007D4F90"/>
    <w:rsid w:val="007D5454"/>
    <w:rsid w:val="007D55D4"/>
    <w:rsid w:val="007D56CB"/>
    <w:rsid w:val="007D5849"/>
    <w:rsid w:val="007D6338"/>
    <w:rsid w:val="007D73C4"/>
    <w:rsid w:val="007E03B7"/>
    <w:rsid w:val="007E0E05"/>
    <w:rsid w:val="007E1108"/>
    <w:rsid w:val="007E15D6"/>
    <w:rsid w:val="007E208D"/>
    <w:rsid w:val="007E2313"/>
    <w:rsid w:val="007E23A4"/>
    <w:rsid w:val="007E2769"/>
    <w:rsid w:val="007E2888"/>
    <w:rsid w:val="007E2D9C"/>
    <w:rsid w:val="007E3539"/>
    <w:rsid w:val="007E360A"/>
    <w:rsid w:val="007E3E05"/>
    <w:rsid w:val="007E3F11"/>
    <w:rsid w:val="007E4785"/>
    <w:rsid w:val="007E47B6"/>
    <w:rsid w:val="007E4ACF"/>
    <w:rsid w:val="007E525E"/>
    <w:rsid w:val="007E6C0D"/>
    <w:rsid w:val="007E6F68"/>
    <w:rsid w:val="007E7D79"/>
    <w:rsid w:val="007F0D0A"/>
    <w:rsid w:val="007F10F0"/>
    <w:rsid w:val="007F1221"/>
    <w:rsid w:val="007F1EF3"/>
    <w:rsid w:val="007F21D5"/>
    <w:rsid w:val="007F30BC"/>
    <w:rsid w:val="007F3AAF"/>
    <w:rsid w:val="007F4A02"/>
    <w:rsid w:val="007F5306"/>
    <w:rsid w:val="007F5365"/>
    <w:rsid w:val="007F568A"/>
    <w:rsid w:val="007F5722"/>
    <w:rsid w:val="007F5772"/>
    <w:rsid w:val="007F5BA4"/>
    <w:rsid w:val="007F5ED8"/>
    <w:rsid w:val="007F6A63"/>
    <w:rsid w:val="007F6DC5"/>
    <w:rsid w:val="007F7785"/>
    <w:rsid w:val="007F7A25"/>
    <w:rsid w:val="00800018"/>
    <w:rsid w:val="008005F1"/>
    <w:rsid w:val="008008C2"/>
    <w:rsid w:val="00801071"/>
    <w:rsid w:val="00801AE0"/>
    <w:rsid w:val="00801EF4"/>
    <w:rsid w:val="00802E5C"/>
    <w:rsid w:val="00803A70"/>
    <w:rsid w:val="00804F41"/>
    <w:rsid w:val="008056F2"/>
    <w:rsid w:val="0080582E"/>
    <w:rsid w:val="00805DFD"/>
    <w:rsid w:val="00805EE1"/>
    <w:rsid w:val="00805FE2"/>
    <w:rsid w:val="008064FE"/>
    <w:rsid w:val="00806630"/>
    <w:rsid w:val="008100C1"/>
    <w:rsid w:val="00810FD2"/>
    <w:rsid w:val="00811557"/>
    <w:rsid w:val="00811A8D"/>
    <w:rsid w:val="008120BA"/>
    <w:rsid w:val="00812500"/>
    <w:rsid w:val="0081353F"/>
    <w:rsid w:val="00813788"/>
    <w:rsid w:val="00814330"/>
    <w:rsid w:val="00814EA8"/>
    <w:rsid w:val="00815337"/>
    <w:rsid w:val="008173B0"/>
    <w:rsid w:val="00817483"/>
    <w:rsid w:val="008176BE"/>
    <w:rsid w:val="008203A1"/>
    <w:rsid w:val="00820F9D"/>
    <w:rsid w:val="00821E5E"/>
    <w:rsid w:val="00822FE7"/>
    <w:rsid w:val="008239A7"/>
    <w:rsid w:val="008239B8"/>
    <w:rsid w:val="008239F2"/>
    <w:rsid w:val="00823D19"/>
    <w:rsid w:val="008245D2"/>
    <w:rsid w:val="00824E6C"/>
    <w:rsid w:val="00824F60"/>
    <w:rsid w:val="008251C9"/>
    <w:rsid w:val="008258F4"/>
    <w:rsid w:val="00825C63"/>
    <w:rsid w:val="00826044"/>
    <w:rsid w:val="00826EEB"/>
    <w:rsid w:val="00826F2B"/>
    <w:rsid w:val="008270BD"/>
    <w:rsid w:val="00827714"/>
    <w:rsid w:val="008318EF"/>
    <w:rsid w:val="00832371"/>
    <w:rsid w:val="00832F46"/>
    <w:rsid w:val="00833322"/>
    <w:rsid w:val="008333CB"/>
    <w:rsid w:val="00833702"/>
    <w:rsid w:val="00833A12"/>
    <w:rsid w:val="00833B0C"/>
    <w:rsid w:val="00834401"/>
    <w:rsid w:val="008355B1"/>
    <w:rsid w:val="00836959"/>
    <w:rsid w:val="00840582"/>
    <w:rsid w:val="008413FE"/>
    <w:rsid w:val="00841AA2"/>
    <w:rsid w:val="00842FD7"/>
    <w:rsid w:val="00843EC0"/>
    <w:rsid w:val="0084652A"/>
    <w:rsid w:val="00850467"/>
    <w:rsid w:val="0085147D"/>
    <w:rsid w:val="008515E1"/>
    <w:rsid w:val="00851E3D"/>
    <w:rsid w:val="0085204F"/>
    <w:rsid w:val="0085220B"/>
    <w:rsid w:val="008525D3"/>
    <w:rsid w:val="008527CE"/>
    <w:rsid w:val="0085362F"/>
    <w:rsid w:val="0085512C"/>
    <w:rsid w:val="00856426"/>
    <w:rsid w:val="00857C75"/>
    <w:rsid w:val="00857CFA"/>
    <w:rsid w:val="00860907"/>
    <w:rsid w:val="008609CA"/>
    <w:rsid w:val="0086105D"/>
    <w:rsid w:val="00861CFD"/>
    <w:rsid w:val="0086276E"/>
    <w:rsid w:val="0086303B"/>
    <w:rsid w:val="008633CF"/>
    <w:rsid w:val="00863784"/>
    <w:rsid w:val="00863A59"/>
    <w:rsid w:val="00863D14"/>
    <w:rsid w:val="0086472B"/>
    <w:rsid w:val="008650CD"/>
    <w:rsid w:val="008653AC"/>
    <w:rsid w:val="0087046D"/>
    <w:rsid w:val="00871EEF"/>
    <w:rsid w:val="00873191"/>
    <w:rsid w:val="0087329A"/>
    <w:rsid w:val="008732E7"/>
    <w:rsid w:val="0087392C"/>
    <w:rsid w:val="00873B6C"/>
    <w:rsid w:val="008744E7"/>
    <w:rsid w:val="00875614"/>
    <w:rsid w:val="00875695"/>
    <w:rsid w:val="0087644B"/>
    <w:rsid w:val="00876B04"/>
    <w:rsid w:val="0087748C"/>
    <w:rsid w:val="0088081B"/>
    <w:rsid w:val="00882EEB"/>
    <w:rsid w:val="008835A9"/>
    <w:rsid w:val="00884AB6"/>
    <w:rsid w:val="008864C1"/>
    <w:rsid w:val="00887327"/>
    <w:rsid w:val="0088790B"/>
    <w:rsid w:val="00890D7E"/>
    <w:rsid w:val="00891394"/>
    <w:rsid w:val="00891AA6"/>
    <w:rsid w:val="00891F85"/>
    <w:rsid w:val="008952A0"/>
    <w:rsid w:val="008956E3"/>
    <w:rsid w:val="00895DDB"/>
    <w:rsid w:val="008972B2"/>
    <w:rsid w:val="00897525"/>
    <w:rsid w:val="00897637"/>
    <w:rsid w:val="008A0EE5"/>
    <w:rsid w:val="008A11DE"/>
    <w:rsid w:val="008A1216"/>
    <w:rsid w:val="008A20A0"/>
    <w:rsid w:val="008A21EE"/>
    <w:rsid w:val="008A44C9"/>
    <w:rsid w:val="008A663C"/>
    <w:rsid w:val="008A7BD5"/>
    <w:rsid w:val="008B02AE"/>
    <w:rsid w:val="008B0AB8"/>
    <w:rsid w:val="008B1141"/>
    <w:rsid w:val="008B1206"/>
    <w:rsid w:val="008B2F00"/>
    <w:rsid w:val="008B3491"/>
    <w:rsid w:val="008B4317"/>
    <w:rsid w:val="008B458D"/>
    <w:rsid w:val="008B460A"/>
    <w:rsid w:val="008B4CE8"/>
    <w:rsid w:val="008B53E1"/>
    <w:rsid w:val="008B594D"/>
    <w:rsid w:val="008B5C3A"/>
    <w:rsid w:val="008B63F4"/>
    <w:rsid w:val="008B6A88"/>
    <w:rsid w:val="008B7044"/>
    <w:rsid w:val="008B7DBA"/>
    <w:rsid w:val="008B7F41"/>
    <w:rsid w:val="008C032F"/>
    <w:rsid w:val="008C07AC"/>
    <w:rsid w:val="008C19E7"/>
    <w:rsid w:val="008C1C12"/>
    <w:rsid w:val="008C2810"/>
    <w:rsid w:val="008C2EB4"/>
    <w:rsid w:val="008C396E"/>
    <w:rsid w:val="008C39A3"/>
    <w:rsid w:val="008C42CF"/>
    <w:rsid w:val="008C4AA9"/>
    <w:rsid w:val="008C56CC"/>
    <w:rsid w:val="008C6792"/>
    <w:rsid w:val="008C7364"/>
    <w:rsid w:val="008C7B1F"/>
    <w:rsid w:val="008C7E16"/>
    <w:rsid w:val="008D0CEA"/>
    <w:rsid w:val="008D1508"/>
    <w:rsid w:val="008D173C"/>
    <w:rsid w:val="008D1C5E"/>
    <w:rsid w:val="008D1D37"/>
    <w:rsid w:val="008D1FD5"/>
    <w:rsid w:val="008D376A"/>
    <w:rsid w:val="008D3820"/>
    <w:rsid w:val="008D4A4E"/>
    <w:rsid w:val="008D594C"/>
    <w:rsid w:val="008D5CB7"/>
    <w:rsid w:val="008D616F"/>
    <w:rsid w:val="008D6B09"/>
    <w:rsid w:val="008D6D4A"/>
    <w:rsid w:val="008E0447"/>
    <w:rsid w:val="008E1296"/>
    <w:rsid w:val="008E1389"/>
    <w:rsid w:val="008E16CF"/>
    <w:rsid w:val="008E1C3F"/>
    <w:rsid w:val="008E23AA"/>
    <w:rsid w:val="008E30C7"/>
    <w:rsid w:val="008E33AA"/>
    <w:rsid w:val="008E49D1"/>
    <w:rsid w:val="008E4D3B"/>
    <w:rsid w:val="008E5A69"/>
    <w:rsid w:val="008E6024"/>
    <w:rsid w:val="008E697B"/>
    <w:rsid w:val="008E7022"/>
    <w:rsid w:val="008F13A9"/>
    <w:rsid w:val="008F179A"/>
    <w:rsid w:val="008F2528"/>
    <w:rsid w:val="008F2783"/>
    <w:rsid w:val="008F366B"/>
    <w:rsid w:val="008F3835"/>
    <w:rsid w:val="008F3AFE"/>
    <w:rsid w:val="008F4650"/>
    <w:rsid w:val="008F4999"/>
    <w:rsid w:val="008F5D2F"/>
    <w:rsid w:val="008F63B1"/>
    <w:rsid w:val="008F6861"/>
    <w:rsid w:val="008F7ECE"/>
    <w:rsid w:val="0090120D"/>
    <w:rsid w:val="009016FD"/>
    <w:rsid w:val="00902507"/>
    <w:rsid w:val="00902ADD"/>
    <w:rsid w:val="00902EED"/>
    <w:rsid w:val="0090369D"/>
    <w:rsid w:val="00903BE1"/>
    <w:rsid w:val="00904764"/>
    <w:rsid w:val="009047C3"/>
    <w:rsid w:val="00904930"/>
    <w:rsid w:val="00904BD5"/>
    <w:rsid w:val="00904E0F"/>
    <w:rsid w:val="0090643C"/>
    <w:rsid w:val="00906AD5"/>
    <w:rsid w:val="009070B5"/>
    <w:rsid w:val="009070EC"/>
    <w:rsid w:val="00910335"/>
    <w:rsid w:val="00911570"/>
    <w:rsid w:val="0091181F"/>
    <w:rsid w:val="00911C35"/>
    <w:rsid w:val="009122C2"/>
    <w:rsid w:val="0091233E"/>
    <w:rsid w:val="0091275D"/>
    <w:rsid w:val="00912A97"/>
    <w:rsid w:val="009133C7"/>
    <w:rsid w:val="009136A7"/>
    <w:rsid w:val="009136E6"/>
    <w:rsid w:val="00913A3C"/>
    <w:rsid w:val="00913BF4"/>
    <w:rsid w:val="00914349"/>
    <w:rsid w:val="00914BBE"/>
    <w:rsid w:val="009156E7"/>
    <w:rsid w:val="009166CB"/>
    <w:rsid w:val="00916DC6"/>
    <w:rsid w:val="009172DA"/>
    <w:rsid w:val="00917966"/>
    <w:rsid w:val="0092005A"/>
    <w:rsid w:val="00920669"/>
    <w:rsid w:val="00920718"/>
    <w:rsid w:val="00921B87"/>
    <w:rsid w:val="00922027"/>
    <w:rsid w:val="00922D10"/>
    <w:rsid w:val="009230D1"/>
    <w:rsid w:val="009238D1"/>
    <w:rsid w:val="00923B78"/>
    <w:rsid w:val="00925200"/>
    <w:rsid w:val="00926A30"/>
    <w:rsid w:val="00926E4F"/>
    <w:rsid w:val="00927981"/>
    <w:rsid w:val="00927B00"/>
    <w:rsid w:val="009307DE"/>
    <w:rsid w:val="00930DFD"/>
    <w:rsid w:val="009310FA"/>
    <w:rsid w:val="00931424"/>
    <w:rsid w:val="00931DC8"/>
    <w:rsid w:val="0093212B"/>
    <w:rsid w:val="00932534"/>
    <w:rsid w:val="009326EC"/>
    <w:rsid w:val="00935BD3"/>
    <w:rsid w:val="00935D0F"/>
    <w:rsid w:val="00936C7D"/>
    <w:rsid w:val="0093749E"/>
    <w:rsid w:val="00941651"/>
    <w:rsid w:val="00941ACE"/>
    <w:rsid w:val="00942607"/>
    <w:rsid w:val="009428BA"/>
    <w:rsid w:val="00945955"/>
    <w:rsid w:val="00947302"/>
    <w:rsid w:val="0094787D"/>
    <w:rsid w:val="00947FD8"/>
    <w:rsid w:val="00951894"/>
    <w:rsid w:val="00951A32"/>
    <w:rsid w:val="009530D4"/>
    <w:rsid w:val="009535A2"/>
    <w:rsid w:val="009541FC"/>
    <w:rsid w:val="0095531A"/>
    <w:rsid w:val="00955A97"/>
    <w:rsid w:val="0095668B"/>
    <w:rsid w:val="00960736"/>
    <w:rsid w:val="00962AD5"/>
    <w:rsid w:val="00963344"/>
    <w:rsid w:val="0096344A"/>
    <w:rsid w:val="0096429F"/>
    <w:rsid w:val="009648E8"/>
    <w:rsid w:val="00964C2C"/>
    <w:rsid w:val="009657E4"/>
    <w:rsid w:val="0096595E"/>
    <w:rsid w:val="00966BB4"/>
    <w:rsid w:val="00966C5D"/>
    <w:rsid w:val="00967000"/>
    <w:rsid w:val="009676E1"/>
    <w:rsid w:val="009679E8"/>
    <w:rsid w:val="00967B33"/>
    <w:rsid w:val="00970D6C"/>
    <w:rsid w:val="00971FC3"/>
    <w:rsid w:val="009739C9"/>
    <w:rsid w:val="00973E18"/>
    <w:rsid w:val="009743A2"/>
    <w:rsid w:val="009753E4"/>
    <w:rsid w:val="0097642F"/>
    <w:rsid w:val="009769CF"/>
    <w:rsid w:val="00977142"/>
    <w:rsid w:val="0097793D"/>
    <w:rsid w:val="00977B6D"/>
    <w:rsid w:val="00977E89"/>
    <w:rsid w:val="00980410"/>
    <w:rsid w:val="00980F41"/>
    <w:rsid w:val="00982150"/>
    <w:rsid w:val="00983651"/>
    <w:rsid w:val="00983AC5"/>
    <w:rsid w:val="00984404"/>
    <w:rsid w:val="0098480C"/>
    <w:rsid w:val="0098482D"/>
    <w:rsid w:val="009852E5"/>
    <w:rsid w:val="00985934"/>
    <w:rsid w:val="00985D61"/>
    <w:rsid w:val="00985DB7"/>
    <w:rsid w:val="0099069F"/>
    <w:rsid w:val="00990EF9"/>
    <w:rsid w:val="00991294"/>
    <w:rsid w:val="009915D8"/>
    <w:rsid w:val="0099178A"/>
    <w:rsid w:val="0099209C"/>
    <w:rsid w:val="009922BA"/>
    <w:rsid w:val="00992490"/>
    <w:rsid w:val="00992F54"/>
    <w:rsid w:val="00992FC6"/>
    <w:rsid w:val="009952D0"/>
    <w:rsid w:val="00995C8F"/>
    <w:rsid w:val="00996142"/>
    <w:rsid w:val="00996865"/>
    <w:rsid w:val="009968B3"/>
    <w:rsid w:val="0099717E"/>
    <w:rsid w:val="00997B95"/>
    <w:rsid w:val="00997C94"/>
    <w:rsid w:val="009A07ED"/>
    <w:rsid w:val="009A1297"/>
    <w:rsid w:val="009A18A0"/>
    <w:rsid w:val="009A3FB4"/>
    <w:rsid w:val="009A4040"/>
    <w:rsid w:val="009A42CA"/>
    <w:rsid w:val="009A44EB"/>
    <w:rsid w:val="009A48F9"/>
    <w:rsid w:val="009A5FD9"/>
    <w:rsid w:val="009A7040"/>
    <w:rsid w:val="009A7217"/>
    <w:rsid w:val="009A7611"/>
    <w:rsid w:val="009B034F"/>
    <w:rsid w:val="009B1A66"/>
    <w:rsid w:val="009B2D26"/>
    <w:rsid w:val="009B2D94"/>
    <w:rsid w:val="009B4096"/>
    <w:rsid w:val="009B4B19"/>
    <w:rsid w:val="009B508C"/>
    <w:rsid w:val="009B529A"/>
    <w:rsid w:val="009B5850"/>
    <w:rsid w:val="009B5B9A"/>
    <w:rsid w:val="009B6392"/>
    <w:rsid w:val="009B682A"/>
    <w:rsid w:val="009B6EAE"/>
    <w:rsid w:val="009B7805"/>
    <w:rsid w:val="009C0682"/>
    <w:rsid w:val="009C0E19"/>
    <w:rsid w:val="009C148A"/>
    <w:rsid w:val="009C1495"/>
    <w:rsid w:val="009C15E8"/>
    <w:rsid w:val="009C297C"/>
    <w:rsid w:val="009C3C3A"/>
    <w:rsid w:val="009C4179"/>
    <w:rsid w:val="009C4311"/>
    <w:rsid w:val="009C495C"/>
    <w:rsid w:val="009C5F4D"/>
    <w:rsid w:val="009C7B43"/>
    <w:rsid w:val="009C7D11"/>
    <w:rsid w:val="009C7FE2"/>
    <w:rsid w:val="009D03CD"/>
    <w:rsid w:val="009D04E8"/>
    <w:rsid w:val="009D052E"/>
    <w:rsid w:val="009D05B8"/>
    <w:rsid w:val="009D05D3"/>
    <w:rsid w:val="009D141F"/>
    <w:rsid w:val="009D18E1"/>
    <w:rsid w:val="009D2354"/>
    <w:rsid w:val="009D38ED"/>
    <w:rsid w:val="009D3F18"/>
    <w:rsid w:val="009D44DA"/>
    <w:rsid w:val="009D4717"/>
    <w:rsid w:val="009D5223"/>
    <w:rsid w:val="009D527A"/>
    <w:rsid w:val="009D551B"/>
    <w:rsid w:val="009D60D7"/>
    <w:rsid w:val="009D6DF2"/>
    <w:rsid w:val="009D6F40"/>
    <w:rsid w:val="009D7AE2"/>
    <w:rsid w:val="009E0315"/>
    <w:rsid w:val="009E1F47"/>
    <w:rsid w:val="009E253C"/>
    <w:rsid w:val="009E2FB6"/>
    <w:rsid w:val="009E3527"/>
    <w:rsid w:val="009E3B08"/>
    <w:rsid w:val="009E46C7"/>
    <w:rsid w:val="009E4DB2"/>
    <w:rsid w:val="009E5C63"/>
    <w:rsid w:val="009E5D77"/>
    <w:rsid w:val="009E6199"/>
    <w:rsid w:val="009E62D4"/>
    <w:rsid w:val="009E6671"/>
    <w:rsid w:val="009E6801"/>
    <w:rsid w:val="009E69F9"/>
    <w:rsid w:val="009E6D51"/>
    <w:rsid w:val="009E7053"/>
    <w:rsid w:val="009E7157"/>
    <w:rsid w:val="009E736E"/>
    <w:rsid w:val="009F01F2"/>
    <w:rsid w:val="009F042C"/>
    <w:rsid w:val="009F12A7"/>
    <w:rsid w:val="009F1D0A"/>
    <w:rsid w:val="009F2369"/>
    <w:rsid w:val="009F33D1"/>
    <w:rsid w:val="009F39CF"/>
    <w:rsid w:val="009F3FE4"/>
    <w:rsid w:val="009F456C"/>
    <w:rsid w:val="009F47B0"/>
    <w:rsid w:val="009F4AD4"/>
    <w:rsid w:val="009F6799"/>
    <w:rsid w:val="009F6E0D"/>
    <w:rsid w:val="009F74B7"/>
    <w:rsid w:val="009F7717"/>
    <w:rsid w:val="009F7E82"/>
    <w:rsid w:val="00A00A79"/>
    <w:rsid w:val="00A00BA8"/>
    <w:rsid w:val="00A00EAF"/>
    <w:rsid w:val="00A0120D"/>
    <w:rsid w:val="00A01457"/>
    <w:rsid w:val="00A0195B"/>
    <w:rsid w:val="00A02109"/>
    <w:rsid w:val="00A0232A"/>
    <w:rsid w:val="00A024AC"/>
    <w:rsid w:val="00A03424"/>
    <w:rsid w:val="00A03A84"/>
    <w:rsid w:val="00A0424E"/>
    <w:rsid w:val="00A04A33"/>
    <w:rsid w:val="00A05C55"/>
    <w:rsid w:val="00A0642D"/>
    <w:rsid w:val="00A07920"/>
    <w:rsid w:val="00A11037"/>
    <w:rsid w:val="00A12C73"/>
    <w:rsid w:val="00A13A1C"/>
    <w:rsid w:val="00A13D2E"/>
    <w:rsid w:val="00A14708"/>
    <w:rsid w:val="00A14D3C"/>
    <w:rsid w:val="00A15A68"/>
    <w:rsid w:val="00A15BE7"/>
    <w:rsid w:val="00A16686"/>
    <w:rsid w:val="00A17A21"/>
    <w:rsid w:val="00A17C50"/>
    <w:rsid w:val="00A17FCE"/>
    <w:rsid w:val="00A20C11"/>
    <w:rsid w:val="00A22276"/>
    <w:rsid w:val="00A223B2"/>
    <w:rsid w:val="00A22615"/>
    <w:rsid w:val="00A2320F"/>
    <w:rsid w:val="00A24110"/>
    <w:rsid w:val="00A24DB5"/>
    <w:rsid w:val="00A25641"/>
    <w:rsid w:val="00A27E64"/>
    <w:rsid w:val="00A27EA5"/>
    <w:rsid w:val="00A30CD5"/>
    <w:rsid w:val="00A31E65"/>
    <w:rsid w:val="00A322FC"/>
    <w:rsid w:val="00A32895"/>
    <w:rsid w:val="00A3294A"/>
    <w:rsid w:val="00A35E91"/>
    <w:rsid w:val="00A35EA2"/>
    <w:rsid w:val="00A361E1"/>
    <w:rsid w:val="00A36C1E"/>
    <w:rsid w:val="00A373FC"/>
    <w:rsid w:val="00A37E0A"/>
    <w:rsid w:val="00A4030A"/>
    <w:rsid w:val="00A40EE3"/>
    <w:rsid w:val="00A41226"/>
    <w:rsid w:val="00A41839"/>
    <w:rsid w:val="00A42005"/>
    <w:rsid w:val="00A43C5A"/>
    <w:rsid w:val="00A44972"/>
    <w:rsid w:val="00A4511C"/>
    <w:rsid w:val="00A45554"/>
    <w:rsid w:val="00A467B1"/>
    <w:rsid w:val="00A468F2"/>
    <w:rsid w:val="00A469D4"/>
    <w:rsid w:val="00A50881"/>
    <w:rsid w:val="00A519D3"/>
    <w:rsid w:val="00A52B85"/>
    <w:rsid w:val="00A52CFA"/>
    <w:rsid w:val="00A5328D"/>
    <w:rsid w:val="00A53392"/>
    <w:rsid w:val="00A54353"/>
    <w:rsid w:val="00A54679"/>
    <w:rsid w:val="00A55B98"/>
    <w:rsid w:val="00A55D5E"/>
    <w:rsid w:val="00A563B4"/>
    <w:rsid w:val="00A56E1A"/>
    <w:rsid w:val="00A578D1"/>
    <w:rsid w:val="00A60555"/>
    <w:rsid w:val="00A61946"/>
    <w:rsid w:val="00A628D3"/>
    <w:rsid w:val="00A62B1D"/>
    <w:rsid w:val="00A62B46"/>
    <w:rsid w:val="00A63CE6"/>
    <w:rsid w:val="00A6402A"/>
    <w:rsid w:val="00A64986"/>
    <w:rsid w:val="00A65837"/>
    <w:rsid w:val="00A677FD"/>
    <w:rsid w:val="00A7170E"/>
    <w:rsid w:val="00A72722"/>
    <w:rsid w:val="00A72F2D"/>
    <w:rsid w:val="00A734D0"/>
    <w:rsid w:val="00A73E47"/>
    <w:rsid w:val="00A73FD3"/>
    <w:rsid w:val="00A807A5"/>
    <w:rsid w:val="00A8122C"/>
    <w:rsid w:val="00A81B1C"/>
    <w:rsid w:val="00A81E91"/>
    <w:rsid w:val="00A825E9"/>
    <w:rsid w:val="00A83070"/>
    <w:rsid w:val="00A83934"/>
    <w:rsid w:val="00A854B0"/>
    <w:rsid w:val="00A85906"/>
    <w:rsid w:val="00A85A63"/>
    <w:rsid w:val="00A85BDF"/>
    <w:rsid w:val="00A86218"/>
    <w:rsid w:val="00A86737"/>
    <w:rsid w:val="00A86DE6"/>
    <w:rsid w:val="00A8756B"/>
    <w:rsid w:val="00A87E2E"/>
    <w:rsid w:val="00A903EC"/>
    <w:rsid w:val="00A90EBE"/>
    <w:rsid w:val="00A919AD"/>
    <w:rsid w:val="00A9364F"/>
    <w:rsid w:val="00A94297"/>
    <w:rsid w:val="00A94529"/>
    <w:rsid w:val="00A97F18"/>
    <w:rsid w:val="00AA04E7"/>
    <w:rsid w:val="00AA0E67"/>
    <w:rsid w:val="00AA1FE8"/>
    <w:rsid w:val="00AA2301"/>
    <w:rsid w:val="00AA2B1A"/>
    <w:rsid w:val="00AA2CDC"/>
    <w:rsid w:val="00AA2FD1"/>
    <w:rsid w:val="00AA32C7"/>
    <w:rsid w:val="00AA3845"/>
    <w:rsid w:val="00AA4B2F"/>
    <w:rsid w:val="00AA4FF4"/>
    <w:rsid w:val="00AA5161"/>
    <w:rsid w:val="00AA5807"/>
    <w:rsid w:val="00AA63AC"/>
    <w:rsid w:val="00AA6834"/>
    <w:rsid w:val="00AA68FD"/>
    <w:rsid w:val="00AA6B34"/>
    <w:rsid w:val="00AA6CAD"/>
    <w:rsid w:val="00AA6EAD"/>
    <w:rsid w:val="00AA6FFF"/>
    <w:rsid w:val="00AA7134"/>
    <w:rsid w:val="00AB01E4"/>
    <w:rsid w:val="00AB0A8A"/>
    <w:rsid w:val="00AB28B6"/>
    <w:rsid w:val="00AB3480"/>
    <w:rsid w:val="00AB3DAC"/>
    <w:rsid w:val="00AB4437"/>
    <w:rsid w:val="00AB4755"/>
    <w:rsid w:val="00AB49FE"/>
    <w:rsid w:val="00AB4C76"/>
    <w:rsid w:val="00AB5258"/>
    <w:rsid w:val="00AB526F"/>
    <w:rsid w:val="00AB56C2"/>
    <w:rsid w:val="00AB6FFE"/>
    <w:rsid w:val="00AB743A"/>
    <w:rsid w:val="00AC070E"/>
    <w:rsid w:val="00AC0999"/>
    <w:rsid w:val="00AC1F7D"/>
    <w:rsid w:val="00AC2E8F"/>
    <w:rsid w:val="00AC31F6"/>
    <w:rsid w:val="00AC37B9"/>
    <w:rsid w:val="00AC37C4"/>
    <w:rsid w:val="00AC3D2F"/>
    <w:rsid w:val="00AC53C7"/>
    <w:rsid w:val="00AC58E2"/>
    <w:rsid w:val="00AC5CD8"/>
    <w:rsid w:val="00AC614A"/>
    <w:rsid w:val="00AC69E8"/>
    <w:rsid w:val="00AC7032"/>
    <w:rsid w:val="00AC743D"/>
    <w:rsid w:val="00AD074E"/>
    <w:rsid w:val="00AD0827"/>
    <w:rsid w:val="00AD09BB"/>
    <w:rsid w:val="00AD18A2"/>
    <w:rsid w:val="00AD38B4"/>
    <w:rsid w:val="00AD3A48"/>
    <w:rsid w:val="00AD3E59"/>
    <w:rsid w:val="00AD3FC9"/>
    <w:rsid w:val="00AD447E"/>
    <w:rsid w:val="00AD4626"/>
    <w:rsid w:val="00AD4673"/>
    <w:rsid w:val="00AD4D50"/>
    <w:rsid w:val="00AD53D0"/>
    <w:rsid w:val="00AD5D8D"/>
    <w:rsid w:val="00AD64E5"/>
    <w:rsid w:val="00AD7033"/>
    <w:rsid w:val="00AE043F"/>
    <w:rsid w:val="00AE118D"/>
    <w:rsid w:val="00AE206D"/>
    <w:rsid w:val="00AE2170"/>
    <w:rsid w:val="00AE291F"/>
    <w:rsid w:val="00AE31C3"/>
    <w:rsid w:val="00AE4587"/>
    <w:rsid w:val="00AE47B8"/>
    <w:rsid w:val="00AE4A3E"/>
    <w:rsid w:val="00AE5305"/>
    <w:rsid w:val="00AE5AEF"/>
    <w:rsid w:val="00AE71A3"/>
    <w:rsid w:val="00AF112A"/>
    <w:rsid w:val="00AF14F1"/>
    <w:rsid w:val="00AF207C"/>
    <w:rsid w:val="00AF2DAF"/>
    <w:rsid w:val="00AF35CF"/>
    <w:rsid w:val="00AF3747"/>
    <w:rsid w:val="00AF3D9D"/>
    <w:rsid w:val="00AF40AD"/>
    <w:rsid w:val="00AF4323"/>
    <w:rsid w:val="00AF45B2"/>
    <w:rsid w:val="00AF4807"/>
    <w:rsid w:val="00AF5A8F"/>
    <w:rsid w:val="00AF61DA"/>
    <w:rsid w:val="00AF6A52"/>
    <w:rsid w:val="00AF6E82"/>
    <w:rsid w:val="00AF6F11"/>
    <w:rsid w:val="00AF7934"/>
    <w:rsid w:val="00AF7A19"/>
    <w:rsid w:val="00AF7FFE"/>
    <w:rsid w:val="00B00AF3"/>
    <w:rsid w:val="00B00DB5"/>
    <w:rsid w:val="00B016D6"/>
    <w:rsid w:val="00B02937"/>
    <w:rsid w:val="00B030B5"/>
    <w:rsid w:val="00B03AA4"/>
    <w:rsid w:val="00B05271"/>
    <w:rsid w:val="00B054CA"/>
    <w:rsid w:val="00B05EA6"/>
    <w:rsid w:val="00B05F84"/>
    <w:rsid w:val="00B05FFD"/>
    <w:rsid w:val="00B06A5E"/>
    <w:rsid w:val="00B079FB"/>
    <w:rsid w:val="00B117FA"/>
    <w:rsid w:val="00B11D63"/>
    <w:rsid w:val="00B12753"/>
    <w:rsid w:val="00B1287C"/>
    <w:rsid w:val="00B13889"/>
    <w:rsid w:val="00B13CE7"/>
    <w:rsid w:val="00B14DBB"/>
    <w:rsid w:val="00B14F29"/>
    <w:rsid w:val="00B156CF"/>
    <w:rsid w:val="00B1611D"/>
    <w:rsid w:val="00B164FA"/>
    <w:rsid w:val="00B174B7"/>
    <w:rsid w:val="00B17BBC"/>
    <w:rsid w:val="00B205C6"/>
    <w:rsid w:val="00B20C4C"/>
    <w:rsid w:val="00B2116F"/>
    <w:rsid w:val="00B22B5A"/>
    <w:rsid w:val="00B235EC"/>
    <w:rsid w:val="00B23C24"/>
    <w:rsid w:val="00B2504B"/>
    <w:rsid w:val="00B256C2"/>
    <w:rsid w:val="00B26466"/>
    <w:rsid w:val="00B26682"/>
    <w:rsid w:val="00B26742"/>
    <w:rsid w:val="00B26A0B"/>
    <w:rsid w:val="00B26DBA"/>
    <w:rsid w:val="00B302ED"/>
    <w:rsid w:val="00B310DA"/>
    <w:rsid w:val="00B3181C"/>
    <w:rsid w:val="00B318D0"/>
    <w:rsid w:val="00B319AC"/>
    <w:rsid w:val="00B33085"/>
    <w:rsid w:val="00B33473"/>
    <w:rsid w:val="00B34633"/>
    <w:rsid w:val="00B34639"/>
    <w:rsid w:val="00B348A1"/>
    <w:rsid w:val="00B375F9"/>
    <w:rsid w:val="00B37A96"/>
    <w:rsid w:val="00B37AA7"/>
    <w:rsid w:val="00B40A0F"/>
    <w:rsid w:val="00B40E6F"/>
    <w:rsid w:val="00B41D5F"/>
    <w:rsid w:val="00B423BE"/>
    <w:rsid w:val="00B423EC"/>
    <w:rsid w:val="00B427E5"/>
    <w:rsid w:val="00B429D5"/>
    <w:rsid w:val="00B44ED5"/>
    <w:rsid w:val="00B5004B"/>
    <w:rsid w:val="00B50090"/>
    <w:rsid w:val="00B51B48"/>
    <w:rsid w:val="00B51F35"/>
    <w:rsid w:val="00B5290A"/>
    <w:rsid w:val="00B52A9C"/>
    <w:rsid w:val="00B531B1"/>
    <w:rsid w:val="00B536AE"/>
    <w:rsid w:val="00B53BEF"/>
    <w:rsid w:val="00B53D04"/>
    <w:rsid w:val="00B5415A"/>
    <w:rsid w:val="00B55096"/>
    <w:rsid w:val="00B550EE"/>
    <w:rsid w:val="00B554D3"/>
    <w:rsid w:val="00B5554F"/>
    <w:rsid w:val="00B55707"/>
    <w:rsid w:val="00B55F8A"/>
    <w:rsid w:val="00B564A0"/>
    <w:rsid w:val="00B5681F"/>
    <w:rsid w:val="00B56EBA"/>
    <w:rsid w:val="00B576E5"/>
    <w:rsid w:val="00B57F9F"/>
    <w:rsid w:val="00B60BC9"/>
    <w:rsid w:val="00B611F9"/>
    <w:rsid w:val="00B61353"/>
    <w:rsid w:val="00B61814"/>
    <w:rsid w:val="00B61EA7"/>
    <w:rsid w:val="00B62131"/>
    <w:rsid w:val="00B63989"/>
    <w:rsid w:val="00B64212"/>
    <w:rsid w:val="00B662EF"/>
    <w:rsid w:val="00B66387"/>
    <w:rsid w:val="00B666BA"/>
    <w:rsid w:val="00B70DC4"/>
    <w:rsid w:val="00B71831"/>
    <w:rsid w:val="00B71B9A"/>
    <w:rsid w:val="00B7272E"/>
    <w:rsid w:val="00B73219"/>
    <w:rsid w:val="00B734A2"/>
    <w:rsid w:val="00B73510"/>
    <w:rsid w:val="00B735BB"/>
    <w:rsid w:val="00B73FFF"/>
    <w:rsid w:val="00B74FE0"/>
    <w:rsid w:val="00B75822"/>
    <w:rsid w:val="00B75C33"/>
    <w:rsid w:val="00B75CE5"/>
    <w:rsid w:val="00B75EBF"/>
    <w:rsid w:val="00B77026"/>
    <w:rsid w:val="00B7718E"/>
    <w:rsid w:val="00B77E0D"/>
    <w:rsid w:val="00B80233"/>
    <w:rsid w:val="00B804A4"/>
    <w:rsid w:val="00B8062F"/>
    <w:rsid w:val="00B80B30"/>
    <w:rsid w:val="00B82452"/>
    <w:rsid w:val="00B82FB7"/>
    <w:rsid w:val="00B83EFB"/>
    <w:rsid w:val="00B85D05"/>
    <w:rsid w:val="00B863D3"/>
    <w:rsid w:val="00B86B8D"/>
    <w:rsid w:val="00B86BD7"/>
    <w:rsid w:val="00B90F66"/>
    <w:rsid w:val="00B92309"/>
    <w:rsid w:val="00B9286D"/>
    <w:rsid w:val="00B92B47"/>
    <w:rsid w:val="00B93287"/>
    <w:rsid w:val="00B94030"/>
    <w:rsid w:val="00B952CD"/>
    <w:rsid w:val="00B95C6B"/>
    <w:rsid w:val="00B9645F"/>
    <w:rsid w:val="00B97B67"/>
    <w:rsid w:val="00BA0D1B"/>
    <w:rsid w:val="00BA0E3E"/>
    <w:rsid w:val="00BA2AC5"/>
    <w:rsid w:val="00BA2F3E"/>
    <w:rsid w:val="00BA3A44"/>
    <w:rsid w:val="00BA4025"/>
    <w:rsid w:val="00BA40D8"/>
    <w:rsid w:val="00BA55B7"/>
    <w:rsid w:val="00BA5E66"/>
    <w:rsid w:val="00BA5FEF"/>
    <w:rsid w:val="00BA6198"/>
    <w:rsid w:val="00BB01B0"/>
    <w:rsid w:val="00BB1D72"/>
    <w:rsid w:val="00BB1DBF"/>
    <w:rsid w:val="00BB3544"/>
    <w:rsid w:val="00BB3698"/>
    <w:rsid w:val="00BB36A7"/>
    <w:rsid w:val="00BB3A0B"/>
    <w:rsid w:val="00BB3F28"/>
    <w:rsid w:val="00BB4034"/>
    <w:rsid w:val="00BB417D"/>
    <w:rsid w:val="00BB70F6"/>
    <w:rsid w:val="00BB76E3"/>
    <w:rsid w:val="00BB7B0D"/>
    <w:rsid w:val="00BB7B60"/>
    <w:rsid w:val="00BC04A2"/>
    <w:rsid w:val="00BC27F9"/>
    <w:rsid w:val="00BC3DE7"/>
    <w:rsid w:val="00BC4063"/>
    <w:rsid w:val="00BC4477"/>
    <w:rsid w:val="00BC4750"/>
    <w:rsid w:val="00BC5A70"/>
    <w:rsid w:val="00BC69A6"/>
    <w:rsid w:val="00BC7119"/>
    <w:rsid w:val="00BC7157"/>
    <w:rsid w:val="00BD13B6"/>
    <w:rsid w:val="00BD1996"/>
    <w:rsid w:val="00BD27E4"/>
    <w:rsid w:val="00BD2AF9"/>
    <w:rsid w:val="00BD2B0D"/>
    <w:rsid w:val="00BD3450"/>
    <w:rsid w:val="00BD3991"/>
    <w:rsid w:val="00BD430E"/>
    <w:rsid w:val="00BD4585"/>
    <w:rsid w:val="00BD4AC2"/>
    <w:rsid w:val="00BD6211"/>
    <w:rsid w:val="00BD6E75"/>
    <w:rsid w:val="00BE003C"/>
    <w:rsid w:val="00BE0CF1"/>
    <w:rsid w:val="00BE0EAD"/>
    <w:rsid w:val="00BE1394"/>
    <w:rsid w:val="00BE14AB"/>
    <w:rsid w:val="00BE2120"/>
    <w:rsid w:val="00BE244B"/>
    <w:rsid w:val="00BE2E1C"/>
    <w:rsid w:val="00BE4C64"/>
    <w:rsid w:val="00BE4ECC"/>
    <w:rsid w:val="00BE5323"/>
    <w:rsid w:val="00BE5597"/>
    <w:rsid w:val="00BE62F3"/>
    <w:rsid w:val="00BE7489"/>
    <w:rsid w:val="00BF031F"/>
    <w:rsid w:val="00BF0A04"/>
    <w:rsid w:val="00BF0A8E"/>
    <w:rsid w:val="00BF12F8"/>
    <w:rsid w:val="00BF13B9"/>
    <w:rsid w:val="00BF1D16"/>
    <w:rsid w:val="00BF1DA1"/>
    <w:rsid w:val="00BF1E86"/>
    <w:rsid w:val="00BF1FA1"/>
    <w:rsid w:val="00BF204D"/>
    <w:rsid w:val="00BF215B"/>
    <w:rsid w:val="00BF2270"/>
    <w:rsid w:val="00BF2377"/>
    <w:rsid w:val="00BF2C02"/>
    <w:rsid w:val="00BF393D"/>
    <w:rsid w:val="00BF4255"/>
    <w:rsid w:val="00BF494F"/>
    <w:rsid w:val="00BF4B02"/>
    <w:rsid w:val="00BF6176"/>
    <w:rsid w:val="00BF6F6E"/>
    <w:rsid w:val="00BF71AA"/>
    <w:rsid w:val="00BF7812"/>
    <w:rsid w:val="00BF7EFC"/>
    <w:rsid w:val="00C005DF"/>
    <w:rsid w:val="00C00EED"/>
    <w:rsid w:val="00C01078"/>
    <w:rsid w:val="00C0112D"/>
    <w:rsid w:val="00C0134C"/>
    <w:rsid w:val="00C01A20"/>
    <w:rsid w:val="00C022FD"/>
    <w:rsid w:val="00C0321D"/>
    <w:rsid w:val="00C03774"/>
    <w:rsid w:val="00C04DBA"/>
    <w:rsid w:val="00C05078"/>
    <w:rsid w:val="00C05342"/>
    <w:rsid w:val="00C0547C"/>
    <w:rsid w:val="00C0567A"/>
    <w:rsid w:val="00C05976"/>
    <w:rsid w:val="00C05D9D"/>
    <w:rsid w:val="00C062F9"/>
    <w:rsid w:val="00C0635B"/>
    <w:rsid w:val="00C06A1A"/>
    <w:rsid w:val="00C072C0"/>
    <w:rsid w:val="00C10E17"/>
    <w:rsid w:val="00C1129E"/>
    <w:rsid w:val="00C12086"/>
    <w:rsid w:val="00C1497E"/>
    <w:rsid w:val="00C1575D"/>
    <w:rsid w:val="00C1657D"/>
    <w:rsid w:val="00C16A9A"/>
    <w:rsid w:val="00C207D2"/>
    <w:rsid w:val="00C20ABC"/>
    <w:rsid w:val="00C20BF6"/>
    <w:rsid w:val="00C214BC"/>
    <w:rsid w:val="00C22809"/>
    <w:rsid w:val="00C22D27"/>
    <w:rsid w:val="00C2369B"/>
    <w:rsid w:val="00C23BF7"/>
    <w:rsid w:val="00C24239"/>
    <w:rsid w:val="00C24285"/>
    <w:rsid w:val="00C245CB"/>
    <w:rsid w:val="00C24689"/>
    <w:rsid w:val="00C24873"/>
    <w:rsid w:val="00C24CF4"/>
    <w:rsid w:val="00C25EEB"/>
    <w:rsid w:val="00C27102"/>
    <w:rsid w:val="00C3009A"/>
    <w:rsid w:val="00C3049F"/>
    <w:rsid w:val="00C307C7"/>
    <w:rsid w:val="00C311D0"/>
    <w:rsid w:val="00C31DD9"/>
    <w:rsid w:val="00C31F99"/>
    <w:rsid w:val="00C32AE0"/>
    <w:rsid w:val="00C32BDE"/>
    <w:rsid w:val="00C32D6F"/>
    <w:rsid w:val="00C336F0"/>
    <w:rsid w:val="00C3469C"/>
    <w:rsid w:val="00C34DCB"/>
    <w:rsid w:val="00C36544"/>
    <w:rsid w:val="00C37CE0"/>
    <w:rsid w:val="00C404A0"/>
    <w:rsid w:val="00C41607"/>
    <w:rsid w:val="00C42242"/>
    <w:rsid w:val="00C4319C"/>
    <w:rsid w:val="00C4414D"/>
    <w:rsid w:val="00C443D7"/>
    <w:rsid w:val="00C44B80"/>
    <w:rsid w:val="00C44BFB"/>
    <w:rsid w:val="00C45E3F"/>
    <w:rsid w:val="00C46B0D"/>
    <w:rsid w:val="00C476F1"/>
    <w:rsid w:val="00C502F4"/>
    <w:rsid w:val="00C50984"/>
    <w:rsid w:val="00C516B3"/>
    <w:rsid w:val="00C52136"/>
    <w:rsid w:val="00C5465F"/>
    <w:rsid w:val="00C555BC"/>
    <w:rsid w:val="00C572CC"/>
    <w:rsid w:val="00C57667"/>
    <w:rsid w:val="00C57F0A"/>
    <w:rsid w:val="00C604F2"/>
    <w:rsid w:val="00C61C24"/>
    <w:rsid w:val="00C621A4"/>
    <w:rsid w:val="00C63364"/>
    <w:rsid w:val="00C639DD"/>
    <w:rsid w:val="00C63B1C"/>
    <w:rsid w:val="00C646A2"/>
    <w:rsid w:val="00C64F58"/>
    <w:rsid w:val="00C65109"/>
    <w:rsid w:val="00C65579"/>
    <w:rsid w:val="00C65AC5"/>
    <w:rsid w:val="00C65AF8"/>
    <w:rsid w:val="00C662FB"/>
    <w:rsid w:val="00C66372"/>
    <w:rsid w:val="00C66EAE"/>
    <w:rsid w:val="00C6716B"/>
    <w:rsid w:val="00C7024D"/>
    <w:rsid w:val="00C7059B"/>
    <w:rsid w:val="00C7274A"/>
    <w:rsid w:val="00C73462"/>
    <w:rsid w:val="00C7359C"/>
    <w:rsid w:val="00C73631"/>
    <w:rsid w:val="00C74A0B"/>
    <w:rsid w:val="00C7524E"/>
    <w:rsid w:val="00C75554"/>
    <w:rsid w:val="00C75729"/>
    <w:rsid w:val="00C76345"/>
    <w:rsid w:val="00C7661D"/>
    <w:rsid w:val="00C7742C"/>
    <w:rsid w:val="00C806BD"/>
    <w:rsid w:val="00C83019"/>
    <w:rsid w:val="00C845B2"/>
    <w:rsid w:val="00C84757"/>
    <w:rsid w:val="00C84F27"/>
    <w:rsid w:val="00C8540C"/>
    <w:rsid w:val="00C85D7A"/>
    <w:rsid w:val="00C87AF5"/>
    <w:rsid w:val="00C87AFF"/>
    <w:rsid w:val="00C87E4B"/>
    <w:rsid w:val="00C90801"/>
    <w:rsid w:val="00C91792"/>
    <w:rsid w:val="00C9227E"/>
    <w:rsid w:val="00C92E1E"/>
    <w:rsid w:val="00C934DC"/>
    <w:rsid w:val="00C93B1E"/>
    <w:rsid w:val="00C93C2C"/>
    <w:rsid w:val="00C946EA"/>
    <w:rsid w:val="00C94900"/>
    <w:rsid w:val="00C949D3"/>
    <w:rsid w:val="00C94F35"/>
    <w:rsid w:val="00C95761"/>
    <w:rsid w:val="00C9599B"/>
    <w:rsid w:val="00C95D91"/>
    <w:rsid w:val="00C97181"/>
    <w:rsid w:val="00C975C0"/>
    <w:rsid w:val="00C97756"/>
    <w:rsid w:val="00C97801"/>
    <w:rsid w:val="00CA022C"/>
    <w:rsid w:val="00CA0260"/>
    <w:rsid w:val="00CA109D"/>
    <w:rsid w:val="00CA146E"/>
    <w:rsid w:val="00CA2268"/>
    <w:rsid w:val="00CA2457"/>
    <w:rsid w:val="00CA2F93"/>
    <w:rsid w:val="00CA3170"/>
    <w:rsid w:val="00CA35E2"/>
    <w:rsid w:val="00CA3843"/>
    <w:rsid w:val="00CA39F2"/>
    <w:rsid w:val="00CA497E"/>
    <w:rsid w:val="00CA5B56"/>
    <w:rsid w:val="00CA61B7"/>
    <w:rsid w:val="00CA76AD"/>
    <w:rsid w:val="00CB0EE4"/>
    <w:rsid w:val="00CB1B28"/>
    <w:rsid w:val="00CB20E4"/>
    <w:rsid w:val="00CB345C"/>
    <w:rsid w:val="00CB3498"/>
    <w:rsid w:val="00CB37F6"/>
    <w:rsid w:val="00CB45BF"/>
    <w:rsid w:val="00CB4D68"/>
    <w:rsid w:val="00CB4FFF"/>
    <w:rsid w:val="00CB5320"/>
    <w:rsid w:val="00CB540C"/>
    <w:rsid w:val="00CB5EA7"/>
    <w:rsid w:val="00CC060E"/>
    <w:rsid w:val="00CC07BC"/>
    <w:rsid w:val="00CC0CBC"/>
    <w:rsid w:val="00CC0E62"/>
    <w:rsid w:val="00CC1112"/>
    <w:rsid w:val="00CC11F2"/>
    <w:rsid w:val="00CC3A10"/>
    <w:rsid w:val="00CC3A44"/>
    <w:rsid w:val="00CC419F"/>
    <w:rsid w:val="00CC46A0"/>
    <w:rsid w:val="00CC6A78"/>
    <w:rsid w:val="00CC772A"/>
    <w:rsid w:val="00CC7A64"/>
    <w:rsid w:val="00CC7EC0"/>
    <w:rsid w:val="00CD08D9"/>
    <w:rsid w:val="00CD1320"/>
    <w:rsid w:val="00CD14A4"/>
    <w:rsid w:val="00CD2034"/>
    <w:rsid w:val="00CD32CF"/>
    <w:rsid w:val="00CD364B"/>
    <w:rsid w:val="00CD3C20"/>
    <w:rsid w:val="00CD769B"/>
    <w:rsid w:val="00CD77B0"/>
    <w:rsid w:val="00CD7875"/>
    <w:rsid w:val="00CE0A45"/>
    <w:rsid w:val="00CE22C8"/>
    <w:rsid w:val="00CE3883"/>
    <w:rsid w:val="00CE4442"/>
    <w:rsid w:val="00CE4AC8"/>
    <w:rsid w:val="00CE4CB9"/>
    <w:rsid w:val="00CE5ADA"/>
    <w:rsid w:val="00CE5FC2"/>
    <w:rsid w:val="00CE6253"/>
    <w:rsid w:val="00CE635C"/>
    <w:rsid w:val="00CE66A1"/>
    <w:rsid w:val="00CE6F41"/>
    <w:rsid w:val="00CE71BF"/>
    <w:rsid w:val="00CF0A79"/>
    <w:rsid w:val="00CF11BB"/>
    <w:rsid w:val="00CF18F3"/>
    <w:rsid w:val="00CF1B92"/>
    <w:rsid w:val="00CF26FC"/>
    <w:rsid w:val="00CF2C7F"/>
    <w:rsid w:val="00CF30ED"/>
    <w:rsid w:val="00CF3A43"/>
    <w:rsid w:val="00CF4A98"/>
    <w:rsid w:val="00CF4CF9"/>
    <w:rsid w:val="00CF4DA5"/>
    <w:rsid w:val="00CF5B7A"/>
    <w:rsid w:val="00CF6497"/>
    <w:rsid w:val="00CF6868"/>
    <w:rsid w:val="00CF6DDC"/>
    <w:rsid w:val="00CF749C"/>
    <w:rsid w:val="00D023C3"/>
    <w:rsid w:val="00D023DC"/>
    <w:rsid w:val="00D02C6B"/>
    <w:rsid w:val="00D03409"/>
    <w:rsid w:val="00D037FE"/>
    <w:rsid w:val="00D04C84"/>
    <w:rsid w:val="00D05261"/>
    <w:rsid w:val="00D05E81"/>
    <w:rsid w:val="00D06243"/>
    <w:rsid w:val="00D06F24"/>
    <w:rsid w:val="00D07170"/>
    <w:rsid w:val="00D0771C"/>
    <w:rsid w:val="00D0774E"/>
    <w:rsid w:val="00D104A4"/>
    <w:rsid w:val="00D10CE5"/>
    <w:rsid w:val="00D125C7"/>
    <w:rsid w:val="00D1445D"/>
    <w:rsid w:val="00D14AD3"/>
    <w:rsid w:val="00D14EC7"/>
    <w:rsid w:val="00D160DC"/>
    <w:rsid w:val="00D1673A"/>
    <w:rsid w:val="00D16762"/>
    <w:rsid w:val="00D16B75"/>
    <w:rsid w:val="00D17132"/>
    <w:rsid w:val="00D1731F"/>
    <w:rsid w:val="00D1795C"/>
    <w:rsid w:val="00D17B62"/>
    <w:rsid w:val="00D20464"/>
    <w:rsid w:val="00D206E0"/>
    <w:rsid w:val="00D2153B"/>
    <w:rsid w:val="00D220CF"/>
    <w:rsid w:val="00D22627"/>
    <w:rsid w:val="00D2309A"/>
    <w:rsid w:val="00D24281"/>
    <w:rsid w:val="00D24459"/>
    <w:rsid w:val="00D246E8"/>
    <w:rsid w:val="00D24C8F"/>
    <w:rsid w:val="00D255CC"/>
    <w:rsid w:val="00D257A6"/>
    <w:rsid w:val="00D25817"/>
    <w:rsid w:val="00D25AD4"/>
    <w:rsid w:val="00D27301"/>
    <w:rsid w:val="00D27940"/>
    <w:rsid w:val="00D30F11"/>
    <w:rsid w:val="00D310A7"/>
    <w:rsid w:val="00D3143C"/>
    <w:rsid w:val="00D3152B"/>
    <w:rsid w:val="00D32E2A"/>
    <w:rsid w:val="00D33F87"/>
    <w:rsid w:val="00D34038"/>
    <w:rsid w:val="00D34171"/>
    <w:rsid w:val="00D347FF"/>
    <w:rsid w:val="00D3480C"/>
    <w:rsid w:val="00D36F2A"/>
    <w:rsid w:val="00D378C4"/>
    <w:rsid w:val="00D40867"/>
    <w:rsid w:val="00D41676"/>
    <w:rsid w:val="00D41A0C"/>
    <w:rsid w:val="00D41BC2"/>
    <w:rsid w:val="00D4287B"/>
    <w:rsid w:val="00D42DF5"/>
    <w:rsid w:val="00D43453"/>
    <w:rsid w:val="00D43501"/>
    <w:rsid w:val="00D43B8E"/>
    <w:rsid w:val="00D44DA2"/>
    <w:rsid w:val="00D454D6"/>
    <w:rsid w:val="00D4702C"/>
    <w:rsid w:val="00D473D6"/>
    <w:rsid w:val="00D5107A"/>
    <w:rsid w:val="00D51838"/>
    <w:rsid w:val="00D52AD9"/>
    <w:rsid w:val="00D53140"/>
    <w:rsid w:val="00D537DC"/>
    <w:rsid w:val="00D54011"/>
    <w:rsid w:val="00D5405B"/>
    <w:rsid w:val="00D5487B"/>
    <w:rsid w:val="00D54923"/>
    <w:rsid w:val="00D549D0"/>
    <w:rsid w:val="00D54BD2"/>
    <w:rsid w:val="00D55287"/>
    <w:rsid w:val="00D600E7"/>
    <w:rsid w:val="00D60A15"/>
    <w:rsid w:val="00D60C6A"/>
    <w:rsid w:val="00D60F2C"/>
    <w:rsid w:val="00D62B0C"/>
    <w:rsid w:val="00D62D06"/>
    <w:rsid w:val="00D63F10"/>
    <w:rsid w:val="00D650DA"/>
    <w:rsid w:val="00D65120"/>
    <w:rsid w:val="00D653BC"/>
    <w:rsid w:val="00D65D2D"/>
    <w:rsid w:val="00D65EB9"/>
    <w:rsid w:val="00D67000"/>
    <w:rsid w:val="00D67230"/>
    <w:rsid w:val="00D67428"/>
    <w:rsid w:val="00D674F7"/>
    <w:rsid w:val="00D67E07"/>
    <w:rsid w:val="00D71933"/>
    <w:rsid w:val="00D71C76"/>
    <w:rsid w:val="00D71EF5"/>
    <w:rsid w:val="00D727D3"/>
    <w:rsid w:val="00D72BD3"/>
    <w:rsid w:val="00D72C2C"/>
    <w:rsid w:val="00D72CF6"/>
    <w:rsid w:val="00D73712"/>
    <w:rsid w:val="00D74FB7"/>
    <w:rsid w:val="00D7553B"/>
    <w:rsid w:val="00D7570C"/>
    <w:rsid w:val="00D76161"/>
    <w:rsid w:val="00D76540"/>
    <w:rsid w:val="00D77529"/>
    <w:rsid w:val="00D77650"/>
    <w:rsid w:val="00D80387"/>
    <w:rsid w:val="00D816B4"/>
    <w:rsid w:val="00D81968"/>
    <w:rsid w:val="00D82CE5"/>
    <w:rsid w:val="00D830BB"/>
    <w:rsid w:val="00D8392B"/>
    <w:rsid w:val="00D83C6B"/>
    <w:rsid w:val="00D8458B"/>
    <w:rsid w:val="00D8551B"/>
    <w:rsid w:val="00D85857"/>
    <w:rsid w:val="00D87022"/>
    <w:rsid w:val="00D900FD"/>
    <w:rsid w:val="00D91368"/>
    <w:rsid w:val="00D917D8"/>
    <w:rsid w:val="00D918D7"/>
    <w:rsid w:val="00D91AE9"/>
    <w:rsid w:val="00D924F9"/>
    <w:rsid w:val="00D93751"/>
    <w:rsid w:val="00D9428D"/>
    <w:rsid w:val="00D943DD"/>
    <w:rsid w:val="00D9548F"/>
    <w:rsid w:val="00D97943"/>
    <w:rsid w:val="00DA0118"/>
    <w:rsid w:val="00DA0A2A"/>
    <w:rsid w:val="00DA0CF0"/>
    <w:rsid w:val="00DA2752"/>
    <w:rsid w:val="00DA3676"/>
    <w:rsid w:val="00DA3A66"/>
    <w:rsid w:val="00DA52E9"/>
    <w:rsid w:val="00DA57D2"/>
    <w:rsid w:val="00DA584B"/>
    <w:rsid w:val="00DA7FEF"/>
    <w:rsid w:val="00DB007A"/>
    <w:rsid w:val="00DB0F73"/>
    <w:rsid w:val="00DB1123"/>
    <w:rsid w:val="00DB2762"/>
    <w:rsid w:val="00DB2F0E"/>
    <w:rsid w:val="00DB37FC"/>
    <w:rsid w:val="00DB40FC"/>
    <w:rsid w:val="00DB47D3"/>
    <w:rsid w:val="00DB5D99"/>
    <w:rsid w:val="00DB6F4A"/>
    <w:rsid w:val="00DC011C"/>
    <w:rsid w:val="00DC0D09"/>
    <w:rsid w:val="00DC10DD"/>
    <w:rsid w:val="00DC1C00"/>
    <w:rsid w:val="00DC1F1D"/>
    <w:rsid w:val="00DC2334"/>
    <w:rsid w:val="00DC2724"/>
    <w:rsid w:val="00DC3048"/>
    <w:rsid w:val="00DC31E0"/>
    <w:rsid w:val="00DC3934"/>
    <w:rsid w:val="00DC3F31"/>
    <w:rsid w:val="00DC4BE7"/>
    <w:rsid w:val="00DC5864"/>
    <w:rsid w:val="00DC6B4D"/>
    <w:rsid w:val="00DC6CBF"/>
    <w:rsid w:val="00DC73B5"/>
    <w:rsid w:val="00DC7E5F"/>
    <w:rsid w:val="00DD074F"/>
    <w:rsid w:val="00DD16DB"/>
    <w:rsid w:val="00DD16EB"/>
    <w:rsid w:val="00DD2273"/>
    <w:rsid w:val="00DD26CA"/>
    <w:rsid w:val="00DD27A3"/>
    <w:rsid w:val="00DD2BF6"/>
    <w:rsid w:val="00DD31BC"/>
    <w:rsid w:val="00DD3411"/>
    <w:rsid w:val="00DD4229"/>
    <w:rsid w:val="00DD456A"/>
    <w:rsid w:val="00DD699A"/>
    <w:rsid w:val="00DD7126"/>
    <w:rsid w:val="00DE0C7B"/>
    <w:rsid w:val="00DE1675"/>
    <w:rsid w:val="00DE193E"/>
    <w:rsid w:val="00DE2364"/>
    <w:rsid w:val="00DE26FB"/>
    <w:rsid w:val="00DE29F5"/>
    <w:rsid w:val="00DE5033"/>
    <w:rsid w:val="00DE534D"/>
    <w:rsid w:val="00DE67E5"/>
    <w:rsid w:val="00DE7788"/>
    <w:rsid w:val="00DF0379"/>
    <w:rsid w:val="00DF0EDB"/>
    <w:rsid w:val="00DF14DA"/>
    <w:rsid w:val="00DF1C39"/>
    <w:rsid w:val="00DF2C04"/>
    <w:rsid w:val="00DF2CDE"/>
    <w:rsid w:val="00DF30AA"/>
    <w:rsid w:val="00DF3386"/>
    <w:rsid w:val="00DF33E3"/>
    <w:rsid w:val="00DF5276"/>
    <w:rsid w:val="00DF67B8"/>
    <w:rsid w:val="00DF6EAF"/>
    <w:rsid w:val="00DF7296"/>
    <w:rsid w:val="00DF747C"/>
    <w:rsid w:val="00E0015E"/>
    <w:rsid w:val="00E00666"/>
    <w:rsid w:val="00E0102A"/>
    <w:rsid w:val="00E01901"/>
    <w:rsid w:val="00E01F1C"/>
    <w:rsid w:val="00E0209B"/>
    <w:rsid w:val="00E02332"/>
    <w:rsid w:val="00E029A9"/>
    <w:rsid w:val="00E03E6B"/>
    <w:rsid w:val="00E04212"/>
    <w:rsid w:val="00E0443E"/>
    <w:rsid w:val="00E04553"/>
    <w:rsid w:val="00E04CC3"/>
    <w:rsid w:val="00E05DF5"/>
    <w:rsid w:val="00E05EEA"/>
    <w:rsid w:val="00E05EEC"/>
    <w:rsid w:val="00E06CE7"/>
    <w:rsid w:val="00E06FBC"/>
    <w:rsid w:val="00E076AB"/>
    <w:rsid w:val="00E07BB1"/>
    <w:rsid w:val="00E101DE"/>
    <w:rsid w:val="00E10597"/>
    <w:rsid w:val="00E10E18"/>
    <w:rsid w:val="00E11A79"/>
    <w:rsid w:val="00E1266D"/>
    <w:rsid w:val="00E12DDA"/>
    <w:rsid w:val="00E14E05"/>
    <w:rsid w:val="00E14E64"/>
    <w:rsid w:val="00E1589A"/>
    <w:rsid w:val="00E15B2A"/>
    <w:rsid w:val="00E16644"/>
    <w:rsid w:val="00E20703"/>
    <w:rsid w:val="00E20932"/>
    <w:rsid w:val="00E21186"/>
    <w:rsid w:val="00E21F9C"/>
    <w:rsid w:val="00E21FE0"/>
    <w:rsid w:val="00E25280"/>
    <w:rsid w:val="00E26A04"/>
    <w:rsid w:val="00E27036"/>
    <w:rsid w:val="00E27585"/>
    <w:rsid w:val="00E3023F"/>
    <w:rsid w:val="00E32075"/>
    <w:rsid w:val="00E321B3"/>
    <w:rsid w:val="00E3374C"/>
    <w:rsid w:val="00E346AF"/>
    <w:rsid w:val="00E348A6"/>
    <w:rsid w:val="00E35916"/>
    <w:rsid w:val="00E36712"/>
    <w:rsid w:val="00E40305"/>
    <w:rsid w:val="00E40765"/>
    <w:rsid w:val="00E41B23"/>
    <w:rsid w:val="00E41D0D"/>
    <w:rsid w:val="00E43788"/>
    <w:rsid w:val="00E4394D"/>
    <w:rsid w:val="00E44472"/>
    <w:rsid w:val="00E44B89"/>
    <w:rsid w:val="00E454B0"/>
    <w:rsid w:val="00E46235"/>
    <w:rsid w:val="00E462B6"/>
    <w:rsid w:val="00E4652B"/>
    <w:rsid w:val="00E4718F"/>
    <w:rsid w:val="00E47A8F"/>
    <w:rsid w:val="00E51D99"/>
    <w:rsid w:val="00E527AC"/>
    <w:rsid w:val="00E527BC"/>
    <w:rsid w:val="00E5292B"/>
    <w:rsid w:val="00E54E6C"/>
    <w:rsid w:val="00E54EF1"/>
    <w:rsid w:val="00E55A17"/>
    <w:rsid w:val="00E5635A"/>
    <w:rsid w:val="00E566D8"/>
    <w:rsid w:val="00E579C2"/>
    <w:rsid w:val="00E57B6D"/>
    <w:rsid w:val="00E6009F"/>
    <w:rsid w:val="00E60A58"/>
    <w:rsid w:val="00E61F2A"/>
    <w:rsid w:val="00E6239D"/>
    <w:rsid w:val="00E63240"/>
    <w:rsid w:val="00E63522"/>
    <w:rsid w:val="00E63B17"/>
    <w:rsid w:val="00E643B7"/>
    <w:rsid w:val="00E6481A"/>
    <w:rsid w:val="00E6504C"/>
    <w:rsid w:val="00E65CA1"/>
    <w:rsid w:val="00E662B9"/>
    <w:rsid w:val="00E6748D"/>
    <w:rsid w:val="00E70616"/>
    <w:rsid w:val="00E70A7F"/>
    <w:rsid w:val="00E711F8"/>
    <w:rsid w:val="00E71723"/>
    <w:rsid w:val="00E71C95"/>
    <w:rsid w:val="00E72190"/>
    <w:rsid w:val="00E72A79"/>
    <w:rsid w:val="00E732A4"/>
    <w:rsid w:val="00E739CF"/>
    <w:rsid w:val="00E74626"/>
    <w:rsid w:val="00E74749"/>
    <w:rsid w:val="00E74BC9"/>
    <w:rsid w:val="00E75299"/>
    <w:rsid w:val="00E75AF6"/>
    <w:rsid w:val="00E76DAE"/>
    <w:rsid w:val="00E7715A"/>
    <w:rsid w:val="00E776E6"/>
    <w:rsid w:val="00E77A54"/>
    <w:rsid w:val="00E77EBF"/>
    <w:rsid w:val="00E80326"/>
    <w:rsid w:val="00E81130"/>
    <w:rsid w:val="00E81688"/>
    <w:rsid w:val="00E816BE"/>
    <w:rsid w:val="00E818EF"/>
    <w:rsid w:val="00E82610"/>
    <w:rsid w:val="00E82B99"/>
    <w:rsid w:val="00E8340E"/>
    <w:rsid w:val="00E84146"/>
    <w:rsid w:val="00E84B2D"/>
    <w:rsid w:val="00E84CFD"/>
    <w:rsid w:val="00E84E6B"/>
    <w:rsid w:val="00E853D6"/>
    <w:rsid w:val="00E872D0"/>
    <w:rsid w:val="00E875D7"/>
    <w:rsid w:val="00E876C1"/>
    <w:rsid w:val="00E87E6C"/>
    <w:rsid w:val="00E90E2D"/>
    <w:rsid w:val="00E91897"/>
    <w:rsid w:val="00E91A30"/>
    <w:rsid w:val="00E91B6F"/>
    <w:rsid w:val="00E922A3"/>
    <w:rsid w:val="00E93669"/>
    <w:rsid w:val="00E93FE5"/>
    <w:rsid w:val="00E943BA"/>
    <w:rsid w:val="00E94465"/>
    <w:rsid w:val="00E94CA0"/>
    <w:rsid w:val="00E953CF"/>
    <w:rsid w:val="00E95DE5"/>
    <w:rsid w:val="00E96361"/>
    <w:rsid w:val="00E9706A"/>
    <w:rsid w:val="00E97075"/>
    <w:rsid w:val="00E97129"/>
    <w:rsid w:val="00E97184"/>
    <w:rsid w:val="00EA08EB"/>
    <w:rsid w:val="00EA1220"/>
    <w:rsid w:val="00EA1FD5"/>
    <w:rsid w:val="00EA21DD"/>
    <w:rsid w:val="00EA233D"/>
    <w:rsid w:val="00EA264A"/>
    <w:rsid w:val="00EA30BE"/>
    <w:rsid w:val="00EA357A"/>
    <w:rsid w:val="00EA4388"/>
    <w:rsid w:val="00EA6BB4"/>
    <w:rsid w:val="00EB0255"/>
    <w:rsid w:val="00EB0563"/>
    <w:rsid w:val="00EB2251"/>
    <w:rsid w:val="00EB3D44"/>
    <w:rsid w:val="00EB456B"/>
    <w:rsid w:val="00EB45E6"/>
    <w:rsid w:val="00EB478C"/>
    <w:rsid w:val="00EB5367"/>
    <w:rsid w:val="00EB5813"/>
    <w:rsid w:val="00EB5A20"/>
    <w:rsid w:val="00EB5E0C"/>
    <w:rsid w:val="00EB6384"/>
    <w:rsid w:val="00EB6B0F"/>
    <w:rsid w:val="00EB6EE2"/>
    <w:rsid w:val="00EB6F95"/>
    <w:rsid w:val="00EB7455"/>
    <w:rsid w:val="00EB74BC"/>
    <w:rsid w:val="00EB7DA1"/>
    <w:rsid w:val="00EC0198"/>
    <w:rsid w:val="00EC0A92"/>
    <w:rsid w:val="00EC0ACA"/>
    <w:rsid w:val="00EC10A3"/>
    <w:rsid w:val="00EC2426"/>
    <w:rsid w:val="00EC2724"/>
    <w:rsid w:val="00EC2FE6"/>
    <w:rsid w:val="00EC3646"/>
    <w:rsid w:val="00EC3685"/>
    <w:rsid w:val="00EC3A32"/>
    <w:rsid w:val="00EC663C"/>
    <w:rsid w:val="00EC6890"/>
    <w:rsid w:val="00EC7626"/>
    <w:rsid w:val="00ED0169"/>
    <w:rsid w:val="00ED03CD"/>
    <w:rsid w:val="00ED03DA"/>
    <w:rsid w:val="00ED0B2D"/>
    <w:rsid w:val="00ED107C"/>
    <w:rsid w:val="00ED14CC"/>
    <w:rsid w:val="00ED16A2"/>
    <w:rsid w:val="00ED1822"/>
    <w:rsid w:val="00ED2617"/>
    <w:rsid w:val="00ED267E"/>
    <w:rsid w:val="00ED3ABC"/>
    <w:rsid w:val="00ED4A0C"/>
    <w:rsid w:val="00ED4D9D"/>
    <w:rsid w:val="00ED5BBE"/>
    <w:rsid w:val="00ED6882"/>
    <w:rsid w:val="00ED7B29"/>
    <w:rsid w:val="00ED7CC8"/>
    <w:rsid w:val="00EE1A29"/>
    <w:rsid w:val="00EE1C1F"/>
    <w:rsid w:val="00EE2AB6"/>
    <w:rsid w:val="00EE4487"/>
    <w:rsid w:val="00EE4526"/>
    <w:rsid w:val="00EE5CF5"/>
    <w:rsid w:val="00EE6B00"/>
    <w:rsid w:val="00EF0012"/>
    <w:rsid w:val="00EF047A"/>
    <w:rsid w:val="00EF06DA"/>
    <w:rsid w:val="00EF07B4"/>
    <w:rsid w:val="00EF15CC"/>
    <w:rsid w:val="00EF21F2"/>
    <w:rsid w:val="00EF2EF6"/>
    <w:rsid w:val="00EF32CB"/>
    <w:rsid w:val="00EF3320"/>
    <w:rsid w:val="00EF335B"/>
    <w:rsid w:val="00EF4724"/>
    <w:rsid w:val="00EF5FC2"/>
    <w:rsid w:val="00EF644B"/>
    <w:rsid w:val="00EF74AB"/>
    <w:rsid w:val="00EF7A21"/>
    <w:rsid w:val="00F0091B"/>
    <w:rsid w:val="00F00E60"/>
    <w:rsid w:val="00F01346"/>
    <w:rsid w:val="00F0394A"/>
    <w:rsid w:val="00F0428A"/>
    <w:rsid w:val="00F04296"/>
    <w:rsid w:val="00F04876"/>
    <w:rsid w:val="00F051BD"/>
    <w:rsid w:val="00F0599E"/>
    <w:rsid w:val="00F06E6A"/>
    <w:rsid w:val="00F103CD"/>
    <w:rsid w:val="00F10445"/>
    <w:rsid w:val="00F104A8"/>
    <w:rsid w:val="00F10876"/>
    <w:rsid w:val="00F10A0E"/>
    <w:rsid w:val="00F10D7B"/>
    <w:rsid w:val="00F11DDD"/>
    <w:rsid w:val="00F1244B"/>
    <w:rsid w:val="00F1248C"/>
    <w:rsid w:val="00F12994"/>
    <w:rsid w:val="00F13189"/>
    <w:rsid w:val="00F13197"/>
    <w:rsid w:val="00F13D6E"/>
    <w:rsid w:val="00F13E42"/>
    <w:rsid w:val="00F13FDE"/>
    <w:rsid w:val="00F1505F"/>
    <w:rsid w:val="00F165EB"/>
    <w:rsid w:val="00F16755"/>
    <w:rsid w:val="00F16EA6"/>
    <w:rsid w:val="00F1751C"/>
    <w:rsid w:val="00F17CD6"/>
    <w:rsid w:val="00F17F16"/>
    <w:rsid w:val="00F17FE0"/>
    <w:rsid w:val="00F20727"/>
    <w:rsid w:val="00F211B1"/>
    <w:rsid w:val="00F21769"/>
    <w:rsid w:val="00F21DDC"/>
    <w:rsid w:val="00F21F94"/>
    <w:rsid w:val="00F22188"/>
    <w:rsid w:val="00F22AB5"/>
    <w:rsid w:val="00F2331B"/>
    <w:rsid w:val="00F23428"/>
    <w:rsid w:val="00F2395C"/>
    <w:rsid w:val="00F2464B"/>
    <w:rsid w:val="00F263ED"/>
    <w:rsid w:val="00F26457"/>
    <w:rsid w:val="00F267B5"/>
    <w:rsid w:val="00F268E4"/>
    <w:rsid w:val="00F30651"/>
    <w:rsid w:val="00F307E1"/>
    <w:rsid w:val="00F30B05"/>
    <w:rsid w:val="00F30B1E"/>
    <w:rsid w:val="00F31E5A"/>
    <w:rsid w:val="00F326D8"/>
    <w:rsid w:val="00F328E1"/>
    <w:rsid w:val="00F33667"/>
    <w:rsid w:val="00F3422A"/>
    <w:rsid w:val="00F34E23"/>
    <w:rsid w:val="00F35956"/>
    <w:rsid w:val="00F365AF"/>
    <w:rsid w:val="00F374F5"/>
    <w:rsid w:val="00F40349"/>
    <w:rsid w:val="00F4264C"/>
    <w:rsid w:val="00F433C3"/>
    <w:rsid w:val="00F4368D"/>
    <w:rsid w:val="00F450BC"/>
    <w:rsid w:val="00F45603"/>
    <w:rsid w:val="00F46468"/>
    <w:rsid w:val="00F467EC"/>
    <w:rsid w:val="00F46ADC"/>
    <w:rsid w:val="00F47763"/>
    <w:rsid w:val="00F47C6D"/>
    <w:rsid w:val="00F50162"/>
    <w:rsid w:val="00F50A3F"/>
    <w:rsid w:val="00F525F6"/>
    <w:rsid w:val="00F53AFB"/>
    <w:rsid w:val="00F53C4B"/>
    <w:rsid w:val="00F54481"/>
    <w:rsid w:val="00F54AFB"/>
    <w:rsid w:val="00F55855"/>
    <w:rsid w:val="00F57774"/>
    <w:rsid w:val="00F57B25"/>
    <w:rsid w:val="00F57BEA"/>
    <w:rsid w:val="00F6049A"/>
    <w:rsid w:val="00F60C50"/>
    <w:rsid w:val="00F618DF"/>
    <w:rsid w:val="00F625EC"/>
    <w:rsid w:val="00F6321E"/>
    <w:rsid w:val="00F63280"/>
    <w:rsid w:val="00F6391E"/>
    <w:rsid w:val="00F63C12"/>
    <w:rsid w:val="00F63D03"/>
    <w:rsid w:val="00F64355"/>
    <w:rsid w:val="00F651DB"/>
    <w:rsid w:val="00F6692E"/>
    <w:rsid w:val="00F6723A"/>
    <w:rsid w:val="00F675E2"/>
    <w:rsid w:val="00F708C1"/>
    <w:rsid w:val="00F711DA"/>
    <w:rsid w:val="00F717EF"/>
    <w:rsid w:val="00F719B7"/>
    <w:rsid w:val="00F724CC"/>
    <w:rsid w:val="00F73476"/>
    <w:rsid w:val="00F7376E"/>
    <w:rsid w:val="00F73B8A"/>
    <w:rsid w:val="00F73EDE"/>
    <w:rsid w:val="00F74BD2"/>
    <w:rsid w:val="00F74E2B"/>
    <w:rsid w:val="00F751FE"/>
    <w:rsid w:val="00F755CF"/>
    <w:rsid w:val="00F76BAB"/>
    <w:rsid w:val="00F76F44"/>
    <w:rsid w:val="00F77186"/>
    <w:rsid w:val="00F772FB"/>
    <w:rsid w:val="00F77D8F"/>
    <w:rsid w:val="00F77EE4"/>
    <w:rsid w:val="00F80D9B"/>
    <w:rsid w:val="00F812B7"/>
    <w:rsid w:val="00F82A0A"/>
    <w:rsid w:val="00F83651"/>
    <w:rsid w:val="00F837B6"/>
    <w:rsid w:val="00F8415F"/>
    <w:rsid w:val="00F8439D"/>
    <w:rsid w:val="00F84E02"/>
    <w:rsid w:val="00F85864"/>
    <w:rsid w:val="00F85DDE"/>
    <w:rsid w:val="00F86B0F"/>
    <w:rsid w:val="00F87720"/>
    <w:rsid w:val="00F87764"/>
    <w:rsid w:val="00F8785F"/>
    <w:rsid w:val="00F87861"/>
    <w:rsid w:val="00F908CD"/>
    <w:rsid w:val="00F90932"/>
    <w:rsid w:val="00F9180D"/>
    <w:rsid w:val="00F91BF6"/>
    <w:rsid w:val="00F95DBA"/>
    <w:rsid w:val="00F97B20"/>
    <w:rsid w:val="00F97F12"/>
    <w:rsid w:val="00FA03CD"/>
    <w:rsid w:val="00FA1048"/>
    <w:rsid w:val="00FA11C5"/>
    <w:rsid w:val="00FA14CE"/>
    <w:rsid w:val="00FA1BA3"/>
    <w:rsid w:val="00FA3231"/>
    <w:rsid w:val="00FA3377"/>
    <w:rsid w:val="00FA3DCD"/>
    <w:rsid w:val="00FA5122"/>
    <w:rsid w:val="00FA627C"/>
    <w:rsid w:val="00FA6DEB"/>
    <w:rsid w:val="00FA7246"/>
    <w:rsid w:val="00FB0E3C"/>
    <w:rsid w:val="00FB1471"/>
    <w:rsid w:val="00FB182D"/>
    <w:rsid w:val="00FB19CA"/>
    <w:rsid w:val="00FB2476"/>
    <w:rsid w:val="00FB32F8"/>
    <w:rsid w:val="00FB3B2E"/>
    <w:rsid w:val="00FB418E"/>
    <w:rsid w:val="00FB4665"/>
    <w:rsid w:val="00FB5798"/>
    <w:rsid w:val="00FB5949"/>
    <w:rsid w:val="00FB5D89"/>
    <w:rsid w:val="00FC04B5"/>
    <w:rsid w:val="00FC0571"/>
    <w:rsid w:val="00FC0965"/>
    <w:rsid w:val="00FC1198"/>
    <w:rsid w:val="00FC14FD"/>
    <w:rsid w:val="00FC15AE"/>
    <w:rsid w:val="00FC32EB"/>
    <w:rsid w:val="00FC3EC1"/>
    <w:rsid w:val="00FC46F6"/>
    <w:rsid w:val="00FC5241"/>
    <w:rsid w:val="00FC531A"/>
    <w:rsid w:val="00FC5E15"/>
    <w:rsid w:val="00FC650A"/>
    <w:rsid w:val="00FC74DD"/>
    <w:rsid w:val="00FC78D6"/>
    <w:rsid w:val="00FD059D"/>
    <w:rsid w:val="00FD2026"/>
    <w:rsid w:val="00FD2D35"/>
    <w:rsid w:val="00FD2DAF"/>
    <w:rsid w:val="00FD319F"/>
    <w:rsid w:val="00FD31B3"/>
    <w:rsid w:val="00FD34E6"/>
    <w:rsid w:val="00FD38E8"/>
    <w:rsid w:val="00FD3E53"/>
    <w:rsid w:val="00FD44B3"/>
    <w:rsid w:val="00FD4961"/>
    <w:rsid w:val="00FD4B84"/>
    <w:rsid w:val="00FD52BF"/>
    <w:rsid w:val="00FD58E8"/>
    <w:rsid w:val="00FD618C"/>
    <w:rsid w:val="00FD6379"/>
    <w:rsid w:val="00FE0824"/>
    <w:rsid w:val="00FE11A5"/>
    <w:rsid w:val="00FE1955"/>
    <w:rsid w:val="00FE2951"/>
    <w:rsid w:val="00FE2B42"/>
    <w:rsid w:val="00FE379C"/>
    <w:rsid w:val="00FE37CC"/>
    <w:rsid w:val="00FE3BBC"/>
    <w:rsid w:val="00FE3BEC"/>
    <w:rsid w:val="00FE3F8F"/>
    <w:rsid w:val="00FE4EC4"/>
    <w:rsid w:val="00FE58FE"/>
    <w:rsid w:val="00FE5AE4"/>
    <w:rsid w:val="00FE5B45"/>
    <w:rsid w:val="00FE5C83"/>
    <w:rsid w:val="00FE6772"/>
    <w:rsid w:val="00FE784B"/>
    <w:rsid w:val="00FE7DC7"/>
    <w:rsid w:val="00FE7F89"/>
    <w:rsid w:val="00FF01CF"/>
    <w:rsid w:val="00FF027C"/>
    <w:rsid w:val="00FF068F"/>
    <w:rsid w:val="00FF086C"/>
    <w:rsid w:val="00FF0EA2"/>
    <w:rsid w:val="00FF13F8"/>
    <w:rsid w:val="00FF2082"/>
    <w:rsid w:val="00FF2C50"/>
    <w:rsid w:val="00FF325A"/>
    <w:rsid w:val="00FF3E3D"/>
    <w:rsid w:val="00FF469F"/>
    <w:rsid w:val="00FF5D52"/>
    <w:rsid w:val="00FF5EB8"/>
    <w:rsid w:val="00FF622B"/>
    <w:rsid w:val="00FF6249"/>
    <w:rsid w:val="00FF7AAB"/>
    <w:rsid w:val="00FF7ACA"/>
    <w:rsid w:val="01736C41"/>
    <w:rsid w:val="01902876"/>
    <w:rsid w:val="0315125B"/>
    <w:rsid w:val="035337F5"/>
    <w:rsid w:val="04C5060E"/>
    <w:rsid w:val="05DA769F"/>
    <w:rsid w:val="06FC3647"/>
    <w:rsid w:val="07112CB2"/>
    <w:rsid w:val="082B31C6"/>
    <w:rsid w:val="08441CEF"/>
    <w:rsid w:val="0848163E"/>
    <w:rsid w:val="08ED3D20"/>
    <w:rsid w:val="092855FB"/>
    <w:rsid w:val="0B1958A1"/>
    <w:rsid w:val="0B716428"/>
    <w:rsid w:val="0DA54174"/>
    <w:rsid w:val="0E9F41B4"/>
    <w:rsid w:val="0EC84533"/>
    <w:rsid w:val="0F5C2B11"/>
    <w:rsid w:val="0FD770CA"/>
    <w:rsid w:val="10AC0082"/>
    <w:rsid w:val="11BA044D"/>
    <w:rsid w:val="129E3A6B"/>
    <w:rsid w:val="12EF6893"/>
    <w:rsid w:val="13DA6E63"/>
    <w:rsid w:val="141830F7"/>
    <w:rsid w:val="147421C9"/>
    <w:rsid w:val="16E03866"/>
    <w:rsid w:val="1862445F"/>
    <w:rsid w:val="19B54BD9"/>
    <w:rsid w:val="1A1D30E1"/>
    <w:rsid w:val="1AE62563"/>
    <w:rsid w:val="1BE02B2C"/>
    <w:rsid w:val="1CE94C4F"/>
    <w:rsid w:val="1D652621"/>
    <w:rsid w:val="1F574A6B"/>
    <w:rsid w:val="1FC20BBB"/>
    <w:rsid w:val="1FED7986"/>
    <w:rsid w:val="20803B2A"/>
    <w:rsid w:val="20EF3ACF"/>
    <w:rsid w:val="21AD634E"/>
    <w:rsid w:val="24D77D70"/>
    <w:rsid w:val="25667417"/>
    <w:rsid w:val="25725E2A"/>
    <w:rsid w:val="25895DC9"/>
    <w:rsid w:val="261C63C8"/>
    <w:rsid w:val="26365040"/>
    <w:rsid w:val="27AA58C8"/>
    <w:rsid w:val="27D10221"/>
    <w:rsid w:val="28E9550A"/>
    <w:rsid w:val="29BA4652"/>
    <w:rsid w:val="2A6C4DBE"/>
    <w:rsid w:val="2BCC2DD9"/>
    <w:rsid w:val="2D3F3648"/>
    <w:rsid w:val="2D995CF7"/>
    <w:rsid w:val="2EA75D82"/>
    <w:rsid w:val="2F961ECE"/>
    <w:rsid w:val="30E37E4E"/>
    <w:rsid w:val="30F202D0"/>
    <w:rsid w:val="31790601"/>
    <w:rsid w:val="31F80004"/>
    <w:rsid w:val="338C7F36"/>
    <w:rsid w:val="33D6072E"/>
    <w:rsid w:val="346E71D8"/>
    <w:rsid w:val="35323F88"/>
    <w:rsid w:val="36A33D67"/>
    <w:rsid w:val="377B243E"/>
    <w:rsid w:val="37AB724F"/>
    <w:rsid w:val="3D8A23F0"/>
    <w:rsid w:val="3F6F3485"/>
    <w:rsid w:val="409734FA"/>
    <w:rsid w:val="41076AC1"/>
    <w:rsid w:val="42C1584A"/>
    <w:rsid w:val="4325717C"/>
    <w:rsid w:val="433E3563"/>
    <w:rsid w:val="436D48FC"/>
    <w:rsid w:val="45125BF8"/>
    <w:rsid w:val="4547767C"/>
    <w:rsid w:val="45DF1D44"/>
    <w:rsid w:val="464B48E8"/>
    <w:rsid w:val="46F85EAB"/>
    <w:rsid w:val="47036BB2"/>
    <w:rsid w:val="4B601F71"/>
    <w:rsid w:val="4BB61CF0"/>
    <w:rsid w:val="4F4B6457"/>
    <w:rsid w:val="50377333"/>
    <w:rsid w:val="50694420"/>
    <w:rsid w:val="51956E4E"/>
    <w:rsid w:val="51996E96"/>
    <w:rsid w:val="51AE086C"/>
    <w:rsid w:val="523D1BC5"/>
    <w:rsid w:val="52C87142"/>
    <w:rsid w:val="53AA4A66"/>
    <w:rsid w:val="54A07C89"/>
    <w:rsid w:val="54A30149"/>
    <w:rsid w:val="555208FF"/>
    <w:rsid w:val="56962F84"/>
    <w:rsid w:val="5AE43160"/>
    <w:rsid w:val="5B8500A5"/>
    <w:rsid w:val="5C9C0D2A"/>
    <w:rsid w:val="5CD33E3E"/>
    <w:rsid w:val="5CF9317E"/>
    <w:rsid w:val="5FDF5637"/>
    <w:rsid w:val="603D31E7"/>
    <w:rsid w:val="61891944"/>
    <w:rsid w:val="62774AB8"/>
    <w:rsid w:val="62D3798E"/>
    <w:rsid w:val="65CA7843"/>
    <w:rsid w:val="65F51986"/>
    <w:rsid w:val="6811227B"/>
    <w:rsid w:val="69A4092F"/>
    <w:rsid w:val="6AAA6057"/>
    <w:rsid w:val="6D451D27"/>
    <w:rsid w:val="6E0340AA"/>
    <w:rsid w:val="6EE732B7"/>
    <w:rsid w:val="6F184C4B"/>
    <w:rsid w:val="70AD03F8"/>
    <w:rsid w:val="714C1AFB"/>
    <w:rsid w:val="727A68C3"/>
    <w:rsid w:val="748E1988"/>
    <w:rsid w:val="753D4E56"/>
    <w:rsid w:val="75F24C10"/>
    <w:rsid w:val="778A44EC"/>
    <w:rsid w:val="77E66632"/>
    <w:rsid w:val="7A953051"/>
    <w:rsid w:val="7B3F787C"/>
    <w:rsid w:val="7C187F51"/>
    <w:rsid w:val="7C54148A"/>
    <w:rsid w:val="7CB219EF"/>
    <w:rsid w:val="7CFD243B"/>
    <w:rsid w:val="7D473524"/>
    <w:rsid w:val="7E9910C0"/>
    <w:rsid w:val="7EE20FB3"/>
    <w:rsid w:val="7F5D25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b/>
      <w:color w:val="000000"/>
      <w:sz w:val="21"/>
      <w:lang w:val="en-US" w:eastAsia="zh-CN" w:bidi="ar-SA"/>
    </w:rPr>
  </w:style>
  <w:style w:type="paragraph" w:styleId="4">
    <w:name w:val="heading 1"/>
    <w:basedOn w:val="1"/>
    <w:next w:val="1"/>
    <w:link w:val="31"/>
    <w:qFormat/>
    <w:uiPriority w:val="0"/>
    <w:pPr>
      <w:keepNext/>
      <w:keepLines/>
      <w:spacing w:before="340" w:after="330" w:line="578" w:lineRule="auto"/>
      <w:outlineLvl w:val="0"/>
    </w:pPr>
    <w:rPr>
      <w:bCs/>
      <w:kern w:val="44"/>
      <w:sz w:val="44"/>
      <w:szCs w:val="44"/>
    </w:rPr>
  </w:style>
  <w:style w:type="paragraph" w:styleId="5">
    <w:name w:val="heading 2"/>
    <w:basedOn w:val="1"/>
    <w:next w:val="1"/>
    <w:link w:val="32"/>
    <w:qFormat/>
    <w:uiPriority w:val="9"/>
    <w:pPr>
      <w:keepNext/>
      <w:keepLines/>
      <w:spacing w:before="260" w:after="260" w:line="416" w:lineRule="auto"/>
      <w:outlineLvl w:val="1"/>
    </w:pPr>
    <w:rPr>
      <w:rFonts w:ascii="Arial" w:hAnsi="Arial" w:eastAsia="黑体"/>
      <w:bCs/>
      <w:sz w:val="32"/>
      <w:szCs w:val="32"/>
    </w:rPr>
  </w:style>
  <w:style w:type="paragraph" w:styleId="6">
    <w:name w:val="heading 3"/>
    <w:basedOn w:val="1"/>
    <w:next w:val="1"/>
    <w:link w:val="33"/>
    <w:qFormat/>
    <w:uiPriority w:val="0"/>
    <w:pPr>
      <w:keepNext/>
      <w:keepLines/>
      <w:spacing w:before="260" w:after="260" w:line="416" w:lineRule="auto"/>
      <w:outlineLvl w:val="2"/>
    </w:pPr>
    <w:rPr>
      <w:bCs/>
      <w:sz w:val="32"/>
      <w:szCs w:val="32"/>
    </w:rPr>
  </w:style>
  <w:style w:type="paragraph" w:styleId="7">
    <w:name w:val="heading 4"/>
    <w:basedOn w:val="1"/>
    <w:next w:val="1"/>
    <w:qFormat/>
    <w:uiPriority w:val="0"/>
    <w:pPr>
      <w:keepNext/>
      <w:keepLines/>
      <w:spacing w:line="540" w:lineRule="atLeast"/>
      <w:outlineLvl w:val="3"/>
    </w:pPr>
    <w:rPr>
      <w:sz w:val="28"/>
      <w:szCs w:val="28"/>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b w:val="0"/>
      <w:color w:val="auto"/>
      <w:kern w:val="2"/>
    </w:rPr>
  </w:style>
  <w:style w:type="paragraph" w:styleId="3">
    <w:name w:val="Body Text First Indent"/>
    <w:basedOn w:val="2"/>
    <w:qFormat/>
    <w:uiPriority w:val="0"/>
    <w:pPr>
      <w:autoSpaceDE w:val="0"/>
      <w:autoSpaceDN w:val="0"/>
      <w:adjustRightInd w:val="0"/>
      <w:ind w:firstLine="420" w:firstLineChars="100"/>
      <w:jc w:val="left"/>
    </w:pPr>
    <w:rPr>
      <w:kern w:val="0"/>
      <w:sz w:val="20"/>
      <w:szCs w:val="20"/>
    </w:rPr>
  </w:style>
  <w:style w:type="paragraph" w:styleId="8">
    <w:name w:val="Normal Indent"/>
    <w:basedOn w:val="1"/>
    <w:qFormat/>
    <w:uiPriority w:val="0"/>
    <w:pPr>
      <w:ind w:firstLine="420" w:firstLineChars="200"/>
    </w:pPr>
  </w:style>
  <w:style w:type="paragraph" w:styleId="9">
    <w:name w:val="Document Map"/>
    <w:basedOn w:val="1"/>
    <w:semiHidden/>
    <w:qFormat/>
    <w:uiPriority w:val="0"/>
    <w:pPr>
      <w:shd w:val="clear" w:color="auto" w:fill="000080"/>
    </w:pPr>
    <w:rPr>
      <w:rFonts w:ascii="Times New Roman" w:hAnsi="Times New Roman" w:eastAsia="宋体"/>
      <w:b w:val="0"/>
      <w:color w:val="auto"/>
      <w:kern w:val="2"/>
    </w:rPr>
  </w:style>
  <w:style w:type="paragraph" w:styleId="10">
    <w:name w:val="toa heading"/>
    <w:basedOn w:val="1"/>
    <w:next w:val="1"/>
    <w:qFormat/>
    <w:uiPriority w:val="0"/>
    <w:pPr>
      <w:spacing w:before="120"/>
    </w:pPr>
    <w:rPr>
      <w:rFonts w:ascii="Arial" w:hAnsi="Arial"/>
      <w:sz w:val="24"/>
    </w:rPr>
  </w:style>
  <w:style w:type="paragraph" w:styleId="11">
    <w:name w:val="annotation text"/>
    <w:basedOn w:val="1"/>
    <w:link w:val="40"/>
    <w:unhideWhenUsed/>
    <w:qFormat/>
    <w:uiPriority w:val="0"/>
    <w:pPr>
      <w:jc w:val="left"/>
    </w:pPr>
  </w:style>
  <w:style w:type="paragraph" w:styleId="12">
    <w:name w:val="Body Text Indent"/>
    <w:basedOn w:val="1"/>
    <w:qFormat/>
    <w:uiPriority w:val="0"/>
    <w:pPr>
      <w:spacing w:after="120"/>
      <w:ind w:left="420" w:leftChars="200"/>
    </w:pPr>
  </w:style>
  <w:style w:type="paragraph" w:styleId="13">
    <w:name w:val="Plain Text"/>
    <w:basedOn w:val="1"/>
    <w:link w:val="52"/>
    <w:qFormat/>
    <w:uiPriority w:val="0"/>
    <w:rPr>
      <w:rFonts w:ascii="宋体" w:hAnsi="Courier New"/>
    </w:rPr>
  </w:style>
  <w:style w:type="paragraph" w:styleId="14">
    <w:name w:val="Date"/>
    <w:basedOn w:val="1"/>
    <w:next w:val="1"/>
    <w:qFormat/>
    <w:uiPriority w:val="0"/>
    <w:pPr>
      <w:adjustRightInd w:val="0"/>
      <w:spacing w:line="360" w:lineRule="atLeast"/>
      <w:textAlignment w:val="baseline"/>
    </w:pPr>
    <w:rPr>
      <w:rFonts w:ascii="Times New Roman" w:hAnsi="Times New Roman" w:eastAsia="宋体"/>
      <w:b w:val="0"/>
      <w:color w:val="auto"/>
    </w:rPr>
  </w:style>
  <w:style w:type="paragraph" w:styleId="15">
    <w:name w:val="Body Text Indent 2"/>
    <w:basedOn w:val="1"/>
    <w:link w:val="47"/>
    <w:qFormat/>
    <w:uiPriority w:val="0"/>
    <w:pPr>
      <w:widowControl/>
      <w:spacing w:line="480" w:lineRule="atLeast"/>
      <w:ind w:firstLine="480"/>
    </w:pPr>
    <w:rPr>
      <w:rFonts w:ascii="宋体"/>
      <w:sz w:val="24"/>
    </w:rPr>
  </w:style>
  <w:style w:type="paragraph" w:styleId="16">
    <w:name w:val="Balloon Text"/>
    <w:basedOn w:val="1"/>
    <w:qFormat/>
    <w:uiPriority w:val="0"/>
    <w:rPr>
      <w:sz w:val="18"/>
    </w:rPr>
  </w:style>
  <w:style w:type="paragraph" w:styleId="17">
    <w:name w:val="footer"/>
    <w:basedOn w:val="1"/>
    <w:link w:val="50"/>
    <w:qFormat/>
    <w:uiPriority w:val="99"/>
    <w:pPr>
      <w:tabs>
        <w:tab w:val="center" w:pos="4153"/>
        <w:tab w:val="right" w:pos="8306"/>
      </w:tabs>
      <w:snapToGrid w:val="0"/>
      <w:jc w:val="left"/>
    </w:pPr>
    <w:rPr>
      <w:sz w:val="18"/>
    </w:rPr>
  </w:style>
  <w:style w:type="paragraph" w:styleId="18">
    <w:name w:val="header"/>
    <w:basedOn w:val="1"/>
    <w:link w:val="34"/>
    <w:qFormat/>
    <w:uiPriority w:val="0"/>
    <w:pPr>
      <w:pBdr>
        <w:bottom w:val="single" w:color="auto" w:sz="6" w:space="1"/>
      </w:pBdr>
      <w:tabs>
        <w:tab w:val="center" w:pos="4153"/>
        <w:tab w:val="right" w:pos="8306"/>
      </w:tabs>
      <w:snapToGrid w:val="0"/>
      <w:jc w:val="center"/>
    </w:pPr>
    <w:rPr>
      <w:sz w:val="18"/>
    </w:rPr>
  </w:style>
  <w:style w:type="paragraph" w:styleId="19">
    <w:name w:val="Body Text Indent 3"/>
    <w:basedOn w:val="1"/>
    <w:qFormat/>
    <w:uiPriority w:val="0"/>
    <w:pPr>
      <w:spacing w:after="120"/>
      <w:ind w:left="420" w:leftChars="200"/>
    </w:pPr>
    <w:rPr>
      <w:sz w:val="16"/>
    </w:rPr>
  </w:style>
  <w:style w:type="paragraph" w:styleId="20">
    <w:name w:val="Normal (Web)"/>
    <w:basedOn w:val="1"/>
    <w:unhideWhenUsed/>
    <w:qFormat/>
    <w:uiPriority w:val="99"/>
    <w:pPr>
      <w:widowControl/>
      <w:spacing w:before="100" w:beforeAutospacing="1" w:after="100" w:afterAutospacing="1"/>
      <w:jc w:val="left"/>
    </w:pPr>
    <w:rPr>
      <w:rFonts w:ascii="宋体" w:eastAsia="宋体" w:cs="宋体"/>
      <w:b w:val="0"/>
      <w:color w:val="auto"/>
      <w:sz w:val="24"/>
      <w:szCs w:val="24"/>
    </w:rPr>
  </w:style>
  <w:style w:type="paragraph" w:styleId="21">
    <w:name w:val="annotation subject"/>
    <w:basedOn w:val="11"/>
    <w:next w:val="11"/>
    <w:link w:val="39"/>
    <w:unhideWhenUsed/>
    <w:qFormat/>
    <w:uiPriority w:val="0"/>
    <w:rPr>
      <w:bCs/>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rPr>
  </w:style>
  <w:style w:type="character" w:styleId="26">
    <w:name w:val="page number"/>
    <w:basedOn w:val="24"/>
    <w:qFormat/>
    <w:uiPriority w:val="0"/>
  </w:style>
  <w:style w:type="character" w:styleId="27">
    <w:name w:val="line number"/>
    <w:qFormat/>
    <w:uiPriority w:val="0"/>
  </w:style>
  <w:style w:type="character" w:styleId="28">
    <w:name w:val="Hyperlink"/>
    <w:qFormat/>
    <w:uiPriority w:val="99"/>
    <w:rPr>
      <w:color w:val="0000FF"/>
      <w:u w:val="single"/>
    </w:rPr>
  </w:style>
  <w:style w:type="character" w:styleId="29">
    <w:name w:val="annotation reference"/>
    <w:unhideWhenUsed/>
    <w:qFormat/>
    <w:uiPriority w:val="0"/>
    <w:rPr>
      <w:sz w:val="21"/>
      <w:szCs w:val="21"/>
    </w:rPr>
  </w:style>
  <w:style w:type="paragraph" w:customStyle="1" w:styleId="30">
    <w:name w:val="_Style 3"/>
    <w:qFormat/>
    <w:uiPriority w:val="0"/>
    <w:pPr>
      <w:widowControl w:val="0"/>
      <w:jc w:val="both"/>
    </w:pPr>
    <w:rPr>
      <w:rFonts w:ascii="Calibri" w:hAnsi="Calibri" w:eastAsia="宋体" w:cs="Times New Roman"/>
      <w:kern w:val="2"/>
      <w:sz w:val="21"/>
      <w:szCs w:val="22"/>
      <w:lang w:val="en-US" w:eastAsia="zh-CN" w:bidi="ar-SA"/>
    </w:rPr>
  </w:style>
  <w:style w:type="character" w:customStyle="1" w:styleId="31">
    <w:name w:val="标题 1 Char"/>
    <w:link w:val="4"/>
    <w:qFormat/>
    <w:uiPriority w:val="0"/>
    <w:rPr>
      <w:rFonts w:ascii="仿宋_GB2312" w:hAnsi="宋体" w:eastAsia="仿宋_GB2312"/>
      <w:b/>
      <w:bCs/>
      <w:color w:val="000000"/>
      <w:kern w:val="44"/>
      <w:sz w:val="44"/>
      <w:szCs w:val="44"/>
      <w:lang w:val="en-US" w:eastAsia="zh-CN" w:bidi="ar-SA"/>
    </w:rPr>
  </w:style>
  <w:style w:type="character" w:customStyle="1" w:styleId="32">
    <w:name w:val="标题 2 Char"/>
    <w:link w:val="5"/>
    <w:qFormat/>
    <w:uiPriority w:val="9"/>
    <w:rPr>
      <w:rFonts w:ascii="Arial" w:hAnsi="Arial" w:eastAsia="黑体"/>
      <w:b/>
      <w:bCs/>
      <w:color w:val="000000"/>
      <w:sz w:val="32"/>
      <w:szCs w:val="32"/>
      <w:lang w:val="en-US" w:eastAsia="zh-CN" w:bidi="ar-SA"/>
    </w:rPr>
  </w:style>
  <w:style w:type="character" w:customStyle="1" w:styleId="33">
    <w:name w:val="标题 3 Char"/>
    <w:link w:val="6"/>
    <w:qFormat/>
    <w:uiPriority w:val="0"/>
    <w:rPr>
      <w:rFonts w:ascii="仿宋_GB2312" w:hAnsi="宋体" w:eastAsia="仿宋_GB2312"/>
      <w:b/>
      <w:bCs/>
      <w:color w:val="000000"/>
      <w:sz w:val="32"/>
      <w:szCs w:val="32"/>
      <w:lang w:val="en-US" w:eastAsia="zh-CN" w:bidi="ar-SA"/>
    </w:rPr>
  </w:style>
  <w:style w:type="character" w:customStyle="1" w:styleId="34">
    <w:name w:val="页眉 Char1"/>
    <w:link w:val="18"/>
    <w:qFormat/>
    <w:uiPriority w:val="0"/>
    <w:rPr>
      <w:rFonts w:ascii="仿宋_GB2312" w:hAnsi="宋体" w:eastAsia="仿宋_GB2312"/>
      <w:b/>
      <w:color w:val="000000"/>
      <w:sz w:val="18"/>
      <w:lang w:val="en-US" w:eastAsia="zh-CN" w:bidi="ar-SA"/>
    </w:rPr>
  </w:style>
  <w:style w:type="character" w:customStyle="1" w:styleId="35">
    <w:name w:val="unnamed51"/>
    <w:qFormat/>
    <w:uiPriority w:val="0"/>
    <w:rPr>
      <w:sz w:val="22"/>
    </w:rPr>
  </w:style>
  <w:style w:type="character" w:customStyle="1" w:styleId="36">
    <w:name w:val="Texte Char Char"/>
    <w:qFormat/>
    <w:locked/>
    <w:uiPriority w:val="0"/>
    <w:rPr>
      <w:rFonts w:ascii="宋体" w:hAnsi="Courier New" w:eastAsia="宋体"/>
      <w:kern w:val="2"/>
      <w:sz w:val="24"/>
      <w:lang w:val="en-US" w:eastAsia="zh-CN" w:bidi="ar-SA"/>
    </w:rPr>
  </w:style>
  <w:style w:type="character" w:customStyle="1" w:styleId="37">
    <w:name w:val="Plain Text Char1"/>
    <w:link w:val="38"/>
    <w:qFormat/>
    <w:uiPriority w:val="0"/>
    <w:rPr>
      <w:rFonts w:ascii="宋体" w:hAnsi="Courier New" w:eastAsia="宋体"/>
      <w:kern w:val="2"/>
      <w:sz w:val="21"/>
      <w:lang w:val="en-US" w:eastAsia="zh-CN" w:bidi="ar-SA"/>
    </w:rPr>
  </w:style>
  <w:style w:type="paragraph" w:customStyle="1" w:styleId="38">
    <w:name w:val="纯文本1"/>
    <w:basedOn w:val="1"/>
    <w:link w:val="37"/>
    <w:qFormat/>
    <w:uiPriority w:val="0"/>
    <w:rPr>
      <w:rFonts w:ascii="宋体" w:hAnsi="Courier New" w:eastAsia="宋体"/>
      <w:b w:val="0"/>
      <w:color w:val="auto"/>
      <w:kern w:val="2"/>
    </w:rPr>
  </w:style>
  <w:style w:type="character" w:customStyle="1" w:styleId="39">
    <w:name w:val="批注主题 Char"/>
    <w:link w:val="21"/>
    <w:semiHidden/>
    <w:qFormat/>
    <w:uiPriority w:val="0"/>
    <w:rPr>
      <w:rFonts w:ascii="仿宋_GB2312" w:hAnsi="宋体" w:eastAsia="仿宋_GB2312"/>
      <w:b/>
      <w:bCs/>
      <w:color w:val="000000"/>
      <w:sz w:val="21"/>
      <w:lang w:val="en-US" w:eastAsia="zh-CN" w:bidi="ar-SA"/>
    </w:rPr>
  </w:style>
  <w:style w:type="character" w:customStyle="1" w:styleId="40">
    <w:name w:val="批注文字 Char"/>
    <w:link w:val="11"/>
    <w:semiHidden/>
    <w:qFormat/>
    <w:uiPriority w:val="0"/>
    <w:rPr>
      <w:rFonts w:ascii="仿宋_GB2312" w:hAnsi="宋体" w:eastAsia="仿宋_GB2312"/>
      <w:b/>
      <w:color w:val="000000"/>
      <w:sz w:val="21"/>
      <w:lang w:val="en-US" w:eastAsia="zh-CN" w:bidi="ar-SA"/>
    </w:rPr>
  </w:style>
  <w:style w:type="character" w:customStyle="1" w:styleId="41">
    <w:name w:val="文档结构图 Char"/>
    <w:link w:val="42"/>
    <w:qFormat/>
    <w:uiPriority w:val="0"/>
    <w:rPr>
      <w:rFonts w:ascii="宋体" w:eastAsia="宋体"/>
      <w:sz w:val="18"/>
      <w:szCs w:val="18"/>
      <w:lang w:bidi="ar-SA"/>
    </w:rPr>
  </w:style>
  <w:style w:type="paragraph" w:customStyle="1" w:styleId="42">
    <w:name w:val="文档结构图1"/>
    <w:basedOn w:val="1"/>
    <w:link w:val="41"/>
    <w:qFormat/>
    <w:uiPriority w:val="0"/>
    <w:rPr>
      <w:rFonts w:ascii="宋体" w:hAnsi="Times New Roman" w:eastAsia="宋体"/>
      <w:b w:val="0"/>
      <w:color w:val="auto"/>
      <w:sz w:val="18"/>
      <w:szCs w:val="18"/>
    </w:rPr>
  </w:style>
  <w:style w:type="character" w:customStyle="1" w:styleId="43">
    <w:name w:val="companytext"/>
    <w:basedOn w:val="24"/>
    <w:qFormat/>
    <w:uiPriority w:val="0"/>
  </w:style>
  <w:style w:type="character" w:customStyle="1" w:styleId="44">
    <w:name w:val="正文缩进 Char"/>
    <w:link w:val="45"/>
    <w:qFormat/>
    <w:uiPriority w:val="0"/>
    <w:rPr>
      <w:rFonts w:ascii="Calibri" w:hAnsi="Calibri" w:eastAsia="宋体"/>
      <w:kern w:val="2"/>
      <w:sz w:val="21"/>
      <w:szCs w:val="22"/>
      <w:lang w:val="en-US" w:eastAsia="zh-CN" w:bidi="ar-SA"/>
    </w:rPr>
  </w:style>
  <w:style w:type="paragraph" w:customStyle="1" w:styleId="45">
    <w:name w:val="正文缩进1"/>
    <w:basedOn w:val="1"/>
    <w:link w:val="44"/>
    <w:qFormat/>
    <w:uiPriority w:val="0"/>
    <w:pPr>
      <w:ind w:firstLine="420" w:firstLineChars="200"/>
    </w:pPr>
    <w:rPr>
      <w:rFonts w:ascii="Calibri" w:hAnsi="Calibri" w:eastAsia="宋体"/>
      <w:b w:val="0"/>
      <w:color w:val="auto"/>
      <w:kern w:val="2"/>
      <w:szCs w:val="22"/>
    </w:rPr>
  </w:style>
  <w:style w:type="character" w:customStyle="1" w:styleId="46">
    <w:name w:val="页脚 Char"/>
    <w:qFormat/>
    <w:uiPriority w:val="99"/>
  </w:style>
  <w:style w:type="character" w:customStyle="1" w:styleId="47">
    <w:name w:val="正文文本缩进 2 Char"/>
    <w:link w:val="15"/>
    <w:qFormat/>
    <w:locked/>
    <w:uiPriority w:val="0"/>
    <w:rPr>
      <w:rFonts w:ascii="宋体" w:hAnsi="宋体" w:eastAsia="仿宋_GB2312"/>
      <w:b/>
      <w:color w:val="000000"/>
      <w:sz w:val="24"/>
      <w:lang w:val="en-US" w:eastAsia="zh-CN" w:bidi="ar-SA"/>
    </w:rPr>
  </w:style>
  <w:style w:type="character" w:customStyle="1" w:styleId="48">
    <w:name w:val="样式 标题 1 + Arial Char"/>
    <w:link w:val="49"/>
    <w:qFormat/>
    <w:uiPriority w:val="0"/>
    <w:rPr>
      <w:rFonts w:ascii="Arial" w:hAnsi="Arial"/>
      <w:b/>
      <w:bCs/>
      <w:kern w:val="2"/>
      <w:sz w:val="32"/>
      <w:szCs w:val="44"/>
    </w:rPr>
  </w:style>
  <w:style w:type="paragraph" w:customStyle="1" w:styleId="49">
    <w:name w:val="样式 标题 1 + Arial"/>
    <w:basedOn w:val="4"/>
    <w:link w:val="48"/>
    <w:qFormat/>
    <w:uiPriority w:val="0"/>
    <w:pPr>
      <w:snapToGrid w:val="0"/>
      <w:spacing w:before="0" w:after="0" w:line="360" w:lineRule="auto"/>
      <w:jc w:val="center"/>
    </w:pPr>
    <w:rPr>
      <w:rFonts w:ascii="Arial" w:hAnsi="Arial" w:eastAsia="宋体"/>
      <w:color w:val="auto"/>
      <w:kern w:val="2"/>
      <w:sz w:val="32"/>
    </w:rPr>
  </w:style>
  <w:style w:type="character" w:customStyle="1" w:styleId="50">
    <w:name w:val="页脚 Char1"/>
    <w:link w:val="17"/>
    <w:qFormat/>
    <w:uiPriority w:val="99"/>
    <w:rPr>
      <w:rFonts w:ascii="仿宋_GB2312" w:hAnsi="宋体" w:eastAsia="仿宋_GB2312"/>
      <w:b/>
      <w:color w:val="000000"/>
      <w:sz w:val="18"/>
      <w:lang w:val="en-US" w:eastAsia="zh-CN" w:bidi="ar-SA"/>
    </w:rPr>
  </w:style>
  <w:style w:type="character" w:customStyle="1" w:styleId="51">
    <w:name w:val="apple-converted-space"/>
    <w:qFormat/>
    <w:uiPriority w:val="0"/>
  </w:style>
  <w:style w:type="character" w:customStyle="1" w:styleId="52">
    <w:name w:val="纯文本 Char"/>
    <w:link w:val="13"/>
    <w:qFormat/>
    <w:uiPriority w:val="0"/>
    <w:rPr>
      <w:rFonts w:ascii="宋体" w:hAnsi="Courier New" w:eastAsia="仿宋_GB2312"/>
      <w:b/>
      <w:color w:val="000000"/>
      <w:sz w:val="21"/>
      <w:lang w:val="en-US" w:eastAsia="zh-CN" w:bidi="ar-SA"/>
    </w:rPr>
  </w:style>
  <w:style w:type="character" w:customStyle="1" w:styleId="53">
    <w:name w:val="普通文字 Char Char2"/>
    <w:qFormat/>
    <w:uiPriority w:val="0"/>
    <w:rPr>
      <w:rFonts w:ascii="宋体" w:hAnsi="Courier New" w:eastAsia="仿宋_GB2312"/>
      <w:b/>
      <w:color w:val="000000"/>
      <w:sz w:val="21"/>
      <w:lang w:val="en-US" w:eastAsia="zh-CN" w:bidi="ar-SA"/>
    </w:rPr>
  </w:style>
  <w:style w:type="character" w:customStyle="1" w:styleId="54">
    <w:name w:val="Char Char3"/>
    <w:qFormat/>
    <w:uiPriority w:val="0"/>
    <w:rPr>
      <w:rFonts w:ascii="宋体" w:hAnsi="Courier New"/>
      <w:kern w:val="2"/>
      <w:sz w:val="21"/>
      <w:lang w:bidi="ar-SA"/>
    </w:rPr>
  </w:style>
  <w:style w:type="character" w:customStyle="1" w:styleId="55">
    <w:name w:val="Mention"/>
    <w:unhideWhenUsed/>
    <w:qFormat/>
    <w:uiPriority w:val="99"/>
    <w:rPr>
      <w:color w:val="2B579A"/>
      <w:shd w:val="clear" w:color="auto" w:fill="E6E6E6"/>
    </w:rPr>
  </w:style>
  <w:style w:type="character" w:customStyle="1" w:styleId="56">
    <w:name w:val="标题 2 Char Char"/>
    <w:qFormat/>
    <w:uiPriority w:val="0"/>
    <w:rPr>
      <w:rFonts w:ascii="Arial" w:hAnsi="Arial" w:eastAsia="黑体"/>
      <w:b/>
      <w:bCs/>
      <w:color w:val="000000"/>
      <w:sz w:val="32"/>
      <w:szCs w:val="32"/>
      <w:lang w:val="en-US" w:eastAsia="zh-CN" w:bidi="ar-SA"/>
    </w:rPr>
  </w:style>
  <w:style w:type="character" w:customStyle="1" w:styleId="57">
    <w:name w:val="普通文字 Char Char5"/>
    <w:qFormat/>
    <w:uiPriority w:val="0"/>
    <w:rPr>
      <w:rFonts w:ascii="宋体" w:hAnsi="Courier New" w:eastAsia="仿宋_GB2312"/>
      <w:b/>
      <w:color w:val="000000"/>
      <w:sz w:val="21"/>
      <w:lang w:val="en-US" w:eastAsia="zh-CN" w:bidi="ar-SA"/>
    </w:rPr>
  </w:style>
  <w:style w:type="character" w:customStyle="1" w:styleId="58">
    <w:name w:val="页眉 Char"/>
    <w:qFormat/>
    <w:uiPriority w:val="99"/>
  </w:style>
  <w:style w:type="paragraph" w:customStyle="1" w:styleId="59">
    <w:name w:val="Char Char6"/>
    <w:basedOn w:val="1"/>
    <w:qFormat/>
    <w:uiPriority w:val="0"/>
    <w:pPr>
      <w:tabs>
        <w:tab w:val="left" w:pos="425"/>
      </w:tabs>
      <w:ind w:left="420" w:leftChars="200" w:firstLine="270" w:firstLineChars="150"/>
    </w:pPr>
    <w:rPr>
      <w:rFonts w:ascii="Times New Roman" w:hAnsi="Times New Roman" w:eastAsia="宋体"/>
      <w:b w:val="0"/>
      <w:color w:val="auto"/>
      <w:kern w:val="2"/>
    </w:rPr>
  </w:style>
  <w:style w:type="paragraph" w:customStyle="1" w:styleId="60">
    <w:name w:val="TOC Heading"/>
    <w:basedOn w:val="4"/>
    <w:next w:val="1"/>
    <w:qFormat/>
    <w:uiPriority w:val="39"/>
    <w:pPr>
      <w:widowControl/>
      <w:spacing w:before="240" w:after="0" w:line="259" w:lineRule="auto"/>
      <w:jc w:val="left"/>
      <w:outlineLvl w:val="9"/>
    </w:pPr>
    <w:rPr>
      <w:rFonts w:ascii="Calibri Light" w:hAnsi="Calibri Light" w:eastAsia="宋体"/>
      <w:b w:val="0"/>
      <w:bCs w:val="0"/>
      <w:color w:val="2E74B5"/>
      <w:kern w:val="0"/>
      <w:sz w:val="32"/>
      <w:szCs w:val="32"/>
    </w:rPr>
  </w:style>
  <w:style w:type="paragraph" w:customStyle="1" w:styleId="61">
    <w:name w:val="默认段落字体 Para Char Char Char Char Char Char Char"/>
    <w:basedOn w:val="1"/>
    <w:qFormat/>
    <w:uiPriority w:val="0"/>
    <w:pPr>
      <w:adjustRightInd w:val="0"/>
      <w:spacing w:line="360" w:lineRule="auto"/>
    </w:pPr>
    <w:rPr>
      <w:rFonts w:ascii="Tahoma" w:hAnsi="Tahoma" w:eastAsia="宋体"/>
      <w:b w:val="0"/>
      <w:color w:val="auto"/>
      <w:sz w:val="24"/>
    </w:rPr>
  </w:style>
  <w:style w:type="paragraph" w:customStyle="1" w:styleId="62">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3">
    <w:name w:val="Char Char Char Char Char Char Char Char Char Char Char Char Char"/>
    <w:basedOn w:val="1"/>
    <w:qFormat/>
    <w:uiPriority w:val="0"/>
    <w:pPr>
      <w:widowControl/>
      <w:spacing w:after="160" w:line="240" w:lineRule="exact"/>
      <w:jc w:val="left"/>
    </w:pPr>
    <w:rPr>
      <w:rFonts w:ascii="Verdana" w:hAnsi="Verdana" w:eastAsia="宋体"/>
      <w:b w:val="0"/>
      <w:color w:val="auto"/>
      <w:sz w:val="20"/>
      <w:lang w:eastAsia="en-US"/>
    </w:rPr>
  </w:style>
  <w:style w:type="paragraph" w:customStyle="1" w:styleId="64">
    <w:name w:val="样式 正文缩进 + 首行缩进:  2 字符"/>
    <w:basedOn w:val="45"/>
    <w:qFormat/>
    <w:uiPriority w:val="0"/>
    <w:pPr>
      <w:spacing w:line="360" w:lineRule="auto"/>
      <w:ind w:firstLine="200"/>
    </w:pPr>
    <w:rPr>
      <w:rFonts w:ascii="Times New Roman" w:hAnsi="Times New Roman" w:cs="宋体"/>
      <w:sz w:val="24"/>
      <w:szCs w:val="20"/>
    </w:rPr>
  </w:style>
  <w:style w:type="paragraph" w:customStyle="1" w:styleId="65">
    <w:name w:val="style18"/>
    <w:basedOn w:val="1"/>
    <w:qFormat/>
    <w:uiPriority w:val="0"/>
    <w:pPr>
      <w:widowControl/>
      <w:spacing w:before="100" w:beforeAutospacing="1" w:after="100" w:afterAutospacing="1"/>
      <w:jc w:val="left"/>
    </w:pPr>
    <w:rPr>
      <w:rFonts w:ascii="宋体" w:eastAsia="宋体" w:cs="宋体"/>
      <w:b w:val="0"/>
      <w:color w:val="auto"/>
      <w:sz w:val="24"/>
      <w:szCs w:val="24"/>
    </w:rPr>
  </w:style>
  <w:style w:type="paragraph" w:customStyle="1" w:styleId="66">
    <w:name w:val="Body Text(ch)"/>
    <w:basedOn w:val="1"/>
    <w:next w:val="2"/>
    <w:qFormat/>
    <w:uiPriority w:val="0"/>
    <w:pPr>
      <w:spacing w:line="500" w:lineRule="exact"/>
      <w:jc w:val="center"/>
    </w:pPr>
    <w:rPr>
      <w:rFonts w:ascii="Times New Roman" w:hAnsi="Times New Roman" w:eastAsia="宋体"/>
      <w:b w:val="0"/>
      <w:color w:val="auto"/>
      <w:kern w:val="2"/>
    </w:rPr>
  </w:style>
  <w:style w:type="paragraph" w:customStyle="1" w:styleId="67">
    <w:name w:val="Char Char Char Char"/>
    <w:basedOn w:val="1"/>
    <w:semiHidden/>
    <w:qFormat/>
    <w:uiPriority w:val="0"/>
    <w:pPr>
      <w:widowControl/>
      <w:spacing w:after="160" w:line="240" w:lineRule="exact"/>
      <w:jc w:val="left"/>
    </w:pPr>
    <w:rPr>
      <w:rFonts w:ascii="Verdana" w:hAnsi="Verdana" w:eastAsia="宋体"/>
      <w:b w:val="0"/>
      <w:color w:val="auto"/>
      <w:sz w:val="20"/>
      <w:lang w:eastAsia="en-US"/>
    </w:rPr>
  </w:style>
  <w:style w:type="paragraph" w:customStyle="1" w:styleId="68">
    <w:name w:val="标题 3 （加黑）"/>
    <w:basedOn w:val="6"/>
    <w:qFormat/>
    <w:uiPriority w:val="0"/>
    <w:pPr>
      <w:keepNext w:val="0"/>
      <w:spacing w:before="120" w:after="120" w:line="415" w:lineRule="auto"/>
      <w:ind w:left="354" w:hanging="354" w:hangingChars="150"/>
    </w:pPr>
    <w:rPr>
      <w:rFonts w:ascii="Times New Roman" w:hAnsi="Times New Roman" w:eastAsia="宋体"/>
      <w:color w:val="auto"/>
      <w:kern w:val="2"/>
      <w:sz w:val="24"/>
    </w:rPr>
  </w:style>
  <w:style w:type="paragraph" w:customStyle="1" w:styleId="69">
    <w:name w:val="Default"/>
    <w:qFormat/>
    <w:uiPriority w:val="0"/>
    <w:pPr>
      <w:widowControl w:val="0"/>
      <w:autoSpaceDE w:val="0"/>
      <w:autoSpaceDN w:val="0"/>
      <w:adjustRightInd w:val="0"/>
    </w:pPr>
    <w:rPr>
      <w:rFonts w:ascii="PMingLiU" w:hAnsi="Times New Roman" w:eastAsia="PMingLiU" w:cs="PMingLiU"/>
      <w:color w:val="000000"/>
      <w:sz w:val="24"/>
      <w:szCs w:val="24"/>
      <w:lang w:val="en-US" w:eastAsia="zh-CN" w:bidi="ar-SA"/>
    </w:rPr>
  </w:style>
  <w:style w:type="paragraph" w:customStyle="1" w:styleId="70">
    <w:name w:val="目录 11"/>
    <w:basedOn w:val="1"/>
    <w:next w:val="1"/>
    <w:qFormat/>
    <w:uiPriority w:val="39"/>
    <w:pPr>
      <w:tabs>
        <w:tab w:val="right" w:leader="dot" w:pos="9118"/>
      </w:tabs>
      <w:jc w:val="center"/>
    </w:pPr>
    <w:rPr>
      <w:rFonts w:ascii="宋体" w:eastAsia="宋体"/>
      <w:color w:val="auto"/>
      <w:kern w:val="2"/>
      <w:sz w:val="22"/>
      <w:szCs w:val="22"/>
    </w:rPr>
  </w:style>
  <w:style w:type="paragraph" w:customStyle="1" w:styleId="71">
    <w:name w:val="Char1"/>
    <w:basedOn w:val="1"/>
    <w:qFormat/>
    <w:uiPriority w:val="0"/>
    <w:rPr>
      <w:rFonts w:hAnsi="Times New Roman"/>
      <w:color w:val="auto"/>
      <w:kern w:val="2"/>
      <w:sz w:val="32"/>
      <w:szCs w:val="32"/>
    </w:rPr>
  </w:style>
  <w:style w:type="paragraph" w:customStyle="1" w:styleId="72">
    <w:name w:val="Char1 Char Char Char"/>
    <w:basedOn w:val="1"/>
    <w:qFormat/>
    <w:uiPriority w:val="0"/>
    <w:rPr>
      <w:rFonts w:ascii="Tahoma" w:hAnsi="Tahoma" w:eastAsia="宋体"/>
      <w:b w:val="0"/>
      <w:color w:val="auto"/>
      <w:kern w:val="2"/>
      <w:sz w:val="24"/>
    </w:rPr>
  </w:style>
  <w:style w:type="paragraph" w:customStyle="1" w:styleId="73">
    <w:name w:val="Char Char Char"/>
    <w:basedOn w:val="1"/>
    <w:qFormat/>
    <w:uiPriority w:val="0"/>
    <w:rPr>
      <w:rFonts w:ascii="Times New Roman" w:hAnsi="Times New Roman" w:eastAsia="宋体"/>
      <w:b w:val="0"/>
      <w:color w:val="auto"/>
      <w:kern w:val="2"/>
      <w:szCs w:val="24"/>
    </w:rPr>
  </w:style>
  <w:style w:type="paragraph" w:customStyle="1" w:styleId="74">
    <w:name w:val="_Style 19"/>
    <w:basedOn w:val="1"/>
    <w:qFormat/>
    <w:uiPriority w:val="0"/>
    <w:rPr>
      <w:rFonts w:cs="宋体"/>
      <w:bCs/>
      <w:szCs w:val="21"/>
    </w:rPr>
  </w:style>
  <w:style w:type="paragraph" w:customStyle="1" w:styleId="75">
    <w:name w:val="列出段落1"/>
    <w:basedOn w:val="1"/>
    <w:qFormat/>
    <w:uiPriority w:val="34"/>
    <w:pPr>
      <w:ind w:firstLine="420" w:firstLineChars="200"/>
    </w:pPr>
  </w:style>
  <w:style w:type="paragraph" w:customStyle="1" w:styleId="76">
    <w:name w:val="Char Char Char Char Char Char Char Char Char Char"/>
    <w:basedOn w:val="9"/>
    <w:qFormat/>
    <w:uiPriority w:val="0"/>
    <w:rPr>
      <w:szCs w:val="24"/>
    </w:rPr>
  </w:style>
  <w:style w:type="paragraph" w:customStyle="1" w:styleId="77">
    <w:name w:val="Char Char12"/>
    <w:basedOn w:val="9"/>
    <w:qFormat/>
    <w:uiPriority w:val="0"/>
    <w:rPr>
      <w:szCs w:val="24"/>
    </w:rPr>
  </w:style>
  <w:style w:type="paragraph" w:customStyle="1" w:styleId="78">
    <w:name w:val="Char Char2 Char"/>
    <w:basedOn w:val="1"/>
    <w:qFormat/>
    <w:uiPriority w:val="0"/>
    <w:pPr>
      <w:keepNext/>
      <w:keepLines/>
      <w:pageBreakBefore/>
      <w:tabs>
        <w:tab w:val="left" w:pos="845"/>
      </w:tabs>
      <w:ind w:left="845" w:hanging="420"/>
    </w:pPr>
  </w:style>
  <w:style w:type="paragraph" w:customStyle="1" w:styleId="79">
    <w:name w:val="Char1 Char Char Char Char Char Char"/>
    <w:basedOn w:val="1"/>
    <w:qFormat/>
    <w:uiPriority w:val="0"/>
    <w:rPr>
      <w:rFonts w:ascii="Tahoma" w:hAnsi="Tahoma" w:eastAsia="宋体"/>
      <w:b w:val="0"/>
      <w:color w:val="auto"/>
      <w:kern w:val="2"/>
      <w:sz w:val="24"/>
    </w:rPr>
  </w:style>
  <w:style w:type="paragraph" w:customStyle="1" w:styleId="80">
    <w:name w:val="Char Char7 Char"/>
    <w:basedOn w:val="1"/>
    <w:qFormat/>
    <w:uiPriority w:val="0"/>
    <w:pPr>
      <w:tabs>
        <w:tab w:val="left" w:pos="425"/>
      </w:tabs>
      <w:ind w:left="420" w:leftChars="200" w:firstLine="270" w:firstLineChars="150"/>
    </w:pPr>
    <w:rPr>
      <w:rFonts w:ascii="Times New Roman" w:hAnsi="Times New Roman" w:eastAsia="宋体"/>
      <w:b w:val="0"/>
      <w:color w:val="auto"/>
      <w:kern w:val="2"/>
      <w:szCs w:val="24"/>
    </w:rPr>
  </w:style>
  <w:style w:type="paragraph" w:customStyle="1" w:styleId="81">
    <w:name w:val="_Style 1"/>
    <w:basedOn w:val="1"/>
    <w:qFormat/>
    <w:uiPriority w:val="34"/>
    <w:pPr>
      <w:ind w:firstLine="420" w:firstLineChars="200"/>
    </w:pPr>
    <w:rPr>
      <w:rFonts w:ascii="Calibri" w:hAnsi="Calibri" w:eastAsia="宋体"/>
      <w:b w:val="0"/>
      <w:color w:val="auto"/>
      <w:kern w:val="2"/>
      <w:szCs w:val="22"/>
    </w:rPr>
  </w:style>
  <w:style w:type="paragraph" w:customStyle="1" w:styleId="82">
    <w:name w:val="列出段落2"/>
    <w:basedOn w:val="1"/>
    <w:qFormat/>
    <w:uiPriority w:val="34"/>
    <w:pPr>
      <w:widowControl/>
      <w:ind w:firstLine="420" w:firstLineChars="200"/>
      <w:jc w:val="left"/>
    </w:pPr>
    <w:rPr>
      <w:rFonts w:ascii="Times New Roman" w:hAnsi="Times New Roman" w:eastAsia="宋体"/>
      <w:b w:val="0"/>
      <w:color w:val="auto"/>
    </w:rPr>
  </w:style>
  <w:style w:type="paragraph" w:customStyle="1" w:styleId="83">
    <w:name w:val="Char Char1 Char Char Char Char Char Char"/>
    <w:basedOn w:val="1"/>
    <w:qFormat/>
    <w:uiPriority w:val="0"/>
    <w:pPr>
      <w:widowControl/>
      <w:spacing w:after="160" w:line="240" w:lineRule="exact"/>
      <w:jc w:val="left"/>
    </w:pPr>
  </w:style>
  <w:style w:type="paragraph" w:customStyle="1" w:styleId="84">
    <w:name w:val="Char Char Char Char Char Char Char"/>
    <w:basedOn w:val="1"/>
    <w:qFormat/>
    <w:uiPriority w:val="0"/>
    <w:pPr>
      <w:tabs>
        <w:tab w:val="left" w:pos="432"/>
      </w:tabs>
      <w:ind w:left="432" w:hanging="432"/>
    </w:pPr>
    <w:rPr>
      <w:rFonts w:ascii="Tahoma" w:hAnsi="Tahoma" w:eastAsia="宋体"/>
      <w:b w:val="0"/>
      <w:color w:val="auto"/>
      <w:kern w:val="2"/>
      <w:sz w:val="24"/>
    </w:rPr>
  </w:style>
  <w:style w:type="paragraph" w:customStyle="1" w:styleId="85">
    <w:name w:val="列表段落1"/>
    <w:basedOn w:val="1"/>
    <w:qFormat/>
    <w:uiPriority w:val="0"/>
    <w:pPr>
      <w:widowControl/>
      <w:ind w:firstLine="420" w:firstLineChars="200"/>
      <w:jc w:val="left"/>
    </w:pPr>
    <w:rPr>
      <w:rFonts w:ascii="Times New Roman" w:hAnsi="Times New Roman" w:eastAsia="宋体"/>
      <w:b w:val="0"/>
      <w:color w:val="auto"/>
      <w:sz w:val="24"/>
    </w:rPr>
  </w:style>
  <w:style w:type="paragraph" w:customStyle="1" w:styleId="86">
    <w:name w:val="列表1"/>
    <w:basedOn w:val="1"/>
    <w:qFormat/>
    <w:uiPriority w:val="0"/>
    <w:pPr>
      <w:numPr>
        <w:ilvl w:val="0"/>
        <w:numId w:val="1"/>
      </w:numPr>
      <w:tabs>
        <w:tab w:val="left" w:pos="840"/>
      </w:tabs>
      <w:spacing w:line="360" w:lineRule="auto"/>
      <w:jc w:val="left"/>
    </w:pPr>
    <w:rPr>
      <w:rFonts w:ascii="宋体" w:eastAsia="宋体"/>
      <w:b w:val="0"/>
      <w:color w:val="auto"/>
      <w:kern w:val="2"/>
      <w:sz w:val="24"/>
      <w:szCs w:val="24"/>
    </w:rPr>
  </w:style>
  <w:style w:type="paragraph" w:customStyle="1" w:styleId="87">
    <w:name w:val="表内文字"/>
    <w:basedOn w:val="1"/>
    <w:qFormat/>
    <w:uiPriority w:val="0"/>
    <w:pPr>
      <w:spacing w:line="500" w:lineRule="atLeast"/>
      <w:jc w:val="center"/>
    </w:pPr>
    <w:rPr>
      <w:rFonts w:ascii="Arial" w:hAnsi="Arial" w:eastAsia="楷体_GB2312"/>
      <w:b w:val="0"/>
      <w:color w:val="auto"/>
      <w:kern w:val="2"/>
      <w:sz w:val="28"/>
    </w:rPr>
  </w:style>
  <w:style w:type="paragraph" w:customStyle="1" w:styleId="88">
    <w:name w:val="Char1 Char Char Char1"/>
    <w:basedOn w:val="1"/>
    <w:qFormat/>
    <w:uiPriority w:val="0"/>
    <w:pPr>
      <w:widowControl/>
      <w:snapToGrid w:val="0"/>
      <w:spacing w:before="120" w:after="160" w:line="360" w:lineRule="auto"/>
      <w:ind w:right="-360"/>
      <w:jc w:val="left"/>
    </w:pPr>
  </w:style>
  <w:style w:type="paragraph" w:customStyle="1" w:styleId="89">
    <w:name w:val="RFI Heading 3rd Level"/>
    <w:basedOn w:val="1"/>
    <w:qFormat/>
    <w:uiPriority w:val="0"/>
    <w:pPr>
      <w:widowControl/>
      <w:tabs>
        <w:tab w:val="left" w:pos="720"/>
        <w:tab w:val="left" w:pos="1058"/>
      </w:tabs>
      <w:ind w:left="1058" w:hanging="425"/>
      <w:jc w:val="left"/>
    </w:pPr>
    <w:rPr>
      <w:rFonts w:ascii="Arial (W1)" w:hAnsi="Arial (W1)" w:eastAsia="宋体"/>
      <w:b w:val="0"/>
      <w:sz w:val="24"/>
      <w:szCs w:val="24"/>
      <w:lang w:eastAsia="en-US"/>
    </w:rPr>
  </w:style>
  <w:style w:type="paragraph" w:customStyle="1" w:styleId="90">
    <w:name w:val="RFI Heading 2nd Level"/>
    <w:basedOn w:val="1"/>
    <w:qFormat/>
    <w:uiPriority w:val="0"/>
    <w:pPr>
      <w:widowControl/>
      <w:tabs>
        <w:tab w:val="left" w:pos="720"/>
        <w:tab w:val="left" w:pos="1058"/>
      </w:tabs>
      <w:ind w:left="1058" w:hanging="425"/>
      <w:jc w:val="left"/>
    </w:pPr>
    <w:rPr>
      <w:rFonts w:ascii="Arial (W1)" w:hAnsi="Arial (W1)" w:eastAsia="宋体"/>
      <w:bCs/>
      <w:color w:val="0000FF"/>
      <w:sz w:val="28"/>
      <w:szCs w:val="24"/>
      <w:lang w:eastAsia="en-US"/>
    </w:rPr>
  </w:style>
  <w:style w:type="paragraph" w:customStyle="1" w:styleId="9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olor w:val="auto"/>
      <w:sz w:val="28"/>
    </w:rPr>
  </w:style>
  <w:style w:type="paragraph" w:customStyle="1" w:styleId="92">
    <w:name w:val="Char Char7 Char1"/>
    <w:basedOn w:val="1"/>
    <w:qFormat/>
    <w:uiPriority w:val="0"/>
    <w:pPr>
      <w:tabs>
        <w:tab w:val="left" w:pos="425"/>
      </w:tabs>
      <w:ind w:left="420" w:leftChars="200" w:firstLine="270" w:firstLineChars="150"/>
    </w:pPr>
    <w:rPr>
      <w:rFonts w:ascii="Times New Roman" w:hAnsi="Times New Roman" w:eastAsia="宋体"/>
      <w:b w:val="0"/>
      <w:color w:val="auto"/>
      <w:kern w:val="2"/>
      <w:szCs w:val="24"/>
    </w:rPr>
  </w:style>
  <w:style w:type="paragraph" w:styleId="93">
    <w:name w:val="List Paragraph"/>
    <w:basedOn w:val="1"/>
    <w:qFormat/>
    <w:uiPriority w:val="0"/>
    <w:pPr>
      <w:ind w:firstLine="420" w:firstLineChars="200"/>
    </w:pPr>
    <w:rPr>
      <w:szCs w:val="22"/>
    </w:rPr>
  </w:style>
  <w:style w:type="paragraph" w:customStyle="1" w:styleId="94">
    <w:name w:val="[Normal]"/>
    <w:qFormat/>
    <w:uiPriority w:val="0"/>
    <w:rPr>
      <w:rFonts w:ascii="宋体" w:hAnsi="宋体" w:eastAsia="宋体" w:cs="Times New Roman"/>
      <w:sz w:val="24"/>
      <w:szCs w:val="22"/>
      <w:lang w:val="zh-CN" w:eastAsia="zh-CN" w:bidi="ar-SA"/>
    </w:rPr>
  </w:style>
  <w:style w:type="paragraph" w:customStyle="1" w:styleId="95">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96">
    <w:name w:val="正文5"/>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1" Type="http://schemas.openxmlformats.org/officeDocument/2006/relationships/fontTable" Target="fontTable.xml"/><Relationship Id="rId60" Type="http://schemas.openxmlformats.org/officeDocument/2006/relationships/customXml" Target="../customXml/item2.xml"/><Relationship Id="rId6" Type="http://schemas.openxmlformats.org/officeDocument/2006/relationships/footer" Target="footer2.xml"/><Relationship Id="rId59" Type="http://schemas.openxmlformats.org/officeDocument/2006/relationships/numbering" Target="numbering.xml"/><Relationship Id="rId58" Type="http://schemas.openxmlformats.org/officeDocument/2006/relationships/customXml" Target="../customXml/item1.xml"/><Relationship Id="rId57" Type="http://schemas.openxmlformats.org/officeDocument/2006/relationships/image" Target="media/image46.png"/><Relationship Id="rId56" Type="http://schemas.openxmlformats.org/officeDocument/2006/relationships/image" Target="media/image45.png"/><Relationship Id="rId55" Type="http://schemas.openxmlformats.org/officeDocument/2006/relationships/image" Target="media/image44.png"/><Relationship Id="rId54" Type="http://schemas.openxmlformats.org/officeDocument/2006/relationships/image" Target="media/image43.png"/><Relationship Id="rId53" Type="http://schemas.openxmlformats.org/officeDocument/2006/relationships/image" Target="media/image42.png"/><Relationship Id="rId52" Type="http://schemas.openxmlformats.org/officeDocument/2006/relationships/image" Target="media/image41.png"/><Relationship Id="rId51" Type="http://schemas.openxmlformats.org/officeDocument/2006/relationships/image" Target="media/image40.png"/><Relationship Id="rId50" Type="http://schemas.openxmlformats.org/officeDocument/2006/relationships/image" Target="media/image39.png"/><Relationship Id="rId5" Type="http://schemas.openxmlformats.org/officeDocument/2006/relationships/footer" Target="footer1.xml"/><Relationship Id="rId49" Type="http://schemas.openxmlformats.org/officeDocument/2006/relationships/image" Target="media/image38.png"/><Relationship Id="rId48" Type="http://schemas.openxmlformats.org/officeDocument/2006/relationships/image" Target="media/image37.png"/><Relationship Id="rId47" Type="http://schemas.openxmlformats.org/officeDocument/2006/relationships/image" Target="media/image36.png"/><Relationship Id="rId46" Type="http://schemas.openxmlformats.org/officeDocument/2006/relationships/image" Target="media/image35.png"/><Relationship Id="rId45" Type="http://schemas.openxmlformats.org/officeDocument/2006/relationships/image" Target="media/image34.png"/><Relationship Id="rId44" Type="http://schemas.openxmlformats.org/officeDocument/2006/relationships/image" Target="media/image33.png"/><Relationship Id="rId43" Type="http://schemas.openxmlformats.org/officeDocument/2006/relationships/image" Target="media/image32.png"/><Relationship Id="rId42" Type="http://schemas.openxmlformats.org/officeDocument/2006/relationships/image" Target="media/image31.png"/><Relationship Id="rId41" Type="http://schemas.openxmlformats.org/officeDocument/2006/relationships/image" Target="media/image30.png"/><Relationship Id="rId40" Type="http://schemas.openxmlformats.org/officeDocument/2006/relationships/image" Target="media/image29.png"/><Relationship Id="rId4" Type="http://schemas.openxmlformats.org/officeDocument/2006/relationships/header" Target="header2.xml"/><Relationship Id="rId39" Type="http://schemas.openxmlformats.org/officeDocument/2006/relationships/image" Target="media/image28.png"/><Relationship Id="rId38" Type="http://schemas.openxmlformats.org/officeDocument/2006/relationships/image" Target="media/image27.png"/><Relationship Id="rId37" Type="http://schemas.openxmlformats.org/officeDocument/2006/relationships/image" Target="media/image26.png"/><Relationship Id="rId36" Type="http://schemas.openxmlformats.org/officeDocument/2006/relationships/image" Target="media/image25.png"/><Relationship Id="rId35" Type="http://schemas.openxmlformats.org/officeDocument/2006/relationships/image" Target="media/image24.png"/><Relationship Id="rId34" Type="http://schemas.openxmlformats.org/officeDocument/2006/relationships/image" Target="media/image23.pn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header" Target="head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CF3B50-7CA2-4AF7-BB3E-E730D12D74E5}">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59</Pages>
  <Words>7123</Words>
  <Characters>40604</Characters>
  <Lines>338</Lines>
  <Paragraphs>95</Paragraphs>
  <TotalTime>0</TotalTime>
  <ScaleCrop>false</ScaleCrop>
  <LinksUpToDate>false</LinksUpToDate>
  <CharactersWithSpaces>47632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2019-08-13T09:05:00Z</dcterms:created>
  <dc:creator>微软用户</dc:creator>
  <cp:lastModifiedBy>未知</cp:lastModifiedBy>
  <cp:lastPrinted>2020-03-17T00:31:00Z</cp:lastPrinted>
  <dcterms:modified xsi:type="dcterms:W3CDTF">2020-03-23T09:00:35Z</dcterms:modified>
  <dc:title>洞头县公共资源交易中心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