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ascii="宋体"/>
          <w:b/>
          <w:color w:val="auto"/>
          <w:kern w:val="0"/>
          <w:sz w:val="52"/>
          <w:szCs w:val="52"/>
          <w:highlight w:val="none"/>
        </w:rPr>
      </w:pPr>
    </w:p>
    <w:p>
      <w:pPr>
        <w:jc w:val="center"/>
        <w:rPr>
          <w:rFonts w:ascii="宋体" w:cs="宋体"/>
          <w:color w:val="auto"/>
          <w:sz w:val="36"/>
          <w:szCs w:val="36"/>
          <w:highlight w:val="none"/>
        </w:rPr>
      </w:pPr>
      <w:r>
        <w:rPr>
          <w:color w:val="auto"/>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a:xfrm>
                      <a:off x="0" y="0"/>
                      <a:ext cx="2971800" cy="2091690"/>
                    </a:xfrm>
                    <a:prstGeom prst="rect">
                      <a:avLst/>
                    </a:prstGeom>
                    <a:noFill/>
                    <a:ln>
                      <a:noFill/>
                    </a:ln>
                  </pic:spPr>
                </pic:pic>
              </a:graphicData>
            </a:graphic>
          </wp:anchor>
        </w:drawing>
      </w:r>
    </w:p>
    <w:p>
      <w:pPr>
        <w:jc w:val="center"/>
        <w:rPr>
          <w:rFonts w:ascii="宋体" w:cs="宋体"/>
          <w:color w:val="auto"/>
          <w:sz w:val="52"/>
          <w:szCs w:val="52"/>
          <w:highlight w:val="none"/>
        </w:rPr>
      </w:pPr>
    </w:p>
    <w:p>
      <w:pPr>
        <w:jc w:val="center"/>
        <w:rPr>
          <w:rFonts w:ascii="宋体" w:cs="宋体"/>
          <w:color w:val="auto"/>
          <w:sz w:val="72"/>
          <w:szCs w:val="72"/>
          <w:highlight w:val="none"/>
        </w:rPr>
      </w:pPr>
      <w:r>
        <w:rPr>
          <w:rFonts w:hint="eastAsia" w:ascii="宋体" w:hAnsi="宋体" w:cs="宋体"/>
          <w:color w:val="auto"/>
          <w:sz w:val="72"/>
          <w:szCs w:val="72"/>
          <w:highlight w:val="none"/>
        </w:rPr>
        <w:t xml:space="preserve">         </w:t>
      </w:r>
      <w:r>
        <w:rPr>
          <w:rFonts w:ascii="宋体" w:hAnsi="宋体" w:cs="宋体"/>
          <w:color w:val="auto"/>
          <w:sz w:val="72"/>
          <w:szCs w:val="72"/>
          <w:highlight w:val="none"/>
        </w:rPr>
        <w:t>F-STONE</w:t>
      </w:r>
    </w:p>
    <w:p>
      <w:pPr>
        <w:jc w:val="center"/>
        <w:rPr>
          <w:rFonts w:ascii="宋体" w:cs="宋体"/>
          <w:color w:val="auto"/>
          <w:sz w:val="36"/>
          <w:szCs w:val="36"/>
          <w:highlight w:val="none"/>
        </w:rPr>
      </w:pPr>
    </w:p>
    <w:p>
      <w:pPr>
        <w:jc w:val="center"/>
        <w:rPr>
          <w:rFonts w:ascii="宋体" w:cs="宋体"/>
          <w:b/>
          <w:color w:val="auto"/>
          <w:sz w:val="72"/>
          <w:szCs w:val="72"/>
          <w:highlight w:val="none"/>
        </w:rPr>
      </w:pPr>
    </w:p>
    <w:p>
      <w:pPr>
        <w:shd w:val="clear" w:color="auto" w:fill="FFFFFF"/>
        <w:spacing w:line="360" w:lineRule="auto"/>
        <w:jc w:val="center"/>
        <w:textAlignment w:val="bottom"/>
        <w:rPr>
          <w:rFonts w:ascii="宋体"/>
          <w:b/>
          <w:color w:val="auto"/>
          <w:kern w:val="0"/>
          <w:sz w:val="52"/>
          <w:szCs w:val="52"/>
          <w:highlight w:val="none"/>
        </w:rPr>
      </w:pPr>
      <w:r>
        <w:rPr>
          <w:rFonts w:hint="eastAsia" w:ascii="宋体"/>
          <w:b/>
          <w:color w:val="auto"/>
          <w:kern w:val="0"/>
          <w:sz w:val="52"/>
          <w:szCs w:val="52"/>
          <w:highlight w:val="none"/>
        </w:rPr>
        <w:t>政府采购电子招标文件</w:t>
      </w:r>
    </w:p>
    <w:p>
      <w:pPr>
        <w:shd w:val="clear" w:color="auto" w:fill="FFFFFF"/>
        <w:spacing w:line="360" w:lineRule="auto"/>
        <w:jc w:val="center"/>
        <w:textAlignment w:val="bottom"/>
        <w:rPr>
          <w:rFonts w:ascii="宋体" w:hAnsi="宋体"/>
          <w:color w:val="auto"/>
          <w:sz w:val="28"/>
          <w:szCs w:val="28"/>
          <w:highlight w:val="none"/>
        </w:rPr>
      </w:pPr>
    </w:p>
    <w:p>
      <w:pPr>
        <w:shd w:val="clear" w:color="auto" w:fill="FFFFFF"/>
        <w:spacing w:line="360" w:lineRule="auto"/>
        <w:jc w:val="center"/>
        <w:textAlignment w:val="bottom"/>
        <w:rPr>
          <w:rFonts w:hint="default" w:ascii="宋体" w:eastAsia="宋体"/>
          <w:color w:val="auto"/>
          <w:kern w:val="0"/>
          <w:sz w:val="28"/>
          <w:highlight w:val="none"/>
          <w:lang w:val="en-US" w:eastAsia="zh-CN"/>
        </w:rPr>
      </w:pPr>
      <w:r>
        <w:rPr>
          <w:rFonts w:hint="eastAsia" w:ascii="宋体" w:hAnsi="宋体"/>
          <w:color w:val="auto"/>
          <w:sz w:val="28"/>
          <w:szCs w:val="28"/>
          <w:highlight w:val="none"/>
        </w:rPr>
        <w:t>项目编号：</w:t>
      </w:r>
      <w:r>
        <w:rPr>
          <w:rFonts w:hint="eastAsia" w:ascii="宋体" w:hAnsi="宋体"/>
          <w:color w:val="auto"/>
          <w:sz w:val="28"/>
          <w:szCs w:val="28"/>
          <w:highlight w:val="none"/>
          <w:lang w:val="en-US" w:eastAsia="zh-CN"/>
        </w:rPr>
        <w:t>ZJWS2022-JJ234</w:t>
      </w:r>
    </w:p>
    <w:p>
      <w:pPr>
        <w:shd w:val="clear" w:color="auto" w:fill="FFFFFF"/>
        <w:spacing w:line="360" w:lineRule="auto"/>
        <w:jc w:val="center"/>
        <w:textAlignment w:val="bottom"/>
        <w:rPr>
          <w:rFonts w:ascii="宋体"/>
          <w:color w:val="auto"/>
          <w:kern w:val="0"/>
          <w:sz w:val="28"/>
          <w:highlight w:val="none"/>
        </w:rPr>
      </w:pPr>
    </w:p>
    <w:p>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 xml:space="preserve">     采购项目：“民转刑”防控应用场景综合集成项目</w:t>
      </w:r>
    </w:p>
    <w:p>
      <w:pPr>
        <w:autoSpaceDE w:val="0"/>
        <w:autoSpaceDN w:val="0"/>
        <w:adjustRightInd w:val="0"/>
        <w:spacing w:line="360" w:lineRule="auto"/>
        <w:ind w:firstLine="1400" w:firstLineChars="500"/>
        <w:rPr>
          <w:rFonts w:ascii="宋体" w:hAnsi="宋体" w:cs="宋体"/>
          <w:color w:val="auto"/>
          <w:sz w:val="24"/>
          <w:szCs w:val="32"/>
          <w:highlight w:val="none"/>
        </w:rPr>
      </w:pPr>
      <w:r>
        <w:rPr>
          <w:rFonts w:hint="eastAsia" w:ascii="宋体"/>
          <w:color w:val="auto"/>
          <w:kern w:val="0"/>
          <w:sz w:val="28"/>
          <w:highlight w:val="none"/>
        </w:rPr>
        <w:t>采购单位：中共台州市委政法委员会</w:t>
      </w:r>
    </w:p>
    <w:p>
      <w:pPr>
        <w:spacing w:line="360" w:lineRule="auto"/>
        <w:jc w:val="center"/>
        <w:rPr>
          <w:rStyle w:val="72"/>
          <w:rFonts w:eastAsia="宋体"/>
          <w:color w:val="auto"/>
          <w:highlight w:val="none"/>
        </w:rPr>
      </w:pPr>
      <w:r>
        <w:rPr>
          <w:rFonts w:hint="eastAsia" w:ascii="宋体" w:hAnsi="宋体" w:cs="宋体"/>
          <w:color w:val="auto"/>
          <w:sz w:val="28"/>
          <w:szCs w:val="36"/>
          <w:highlight w:val="none"/>
        </w:rPr>
        <w:t xml:space="preserve">   采购代理机构：浙江五石中正工程咨询有限公司</w:t>
      </w:r>
    </w:p>
    <w:p>
      <w:pPr>
        <w:autoSpaceDE w:val="0"/>
        <w:autoSpaceDN w:val="0"/>
        <w:adjustRightInd w:val="0"/>
        <w:spacing w:line="360" w:lineRule="auto"/>
        <w:jc w:val="center"/>
        <w:rPr>
          <w:rFonts w:ascii="宋体"/>
          <w:color w:val="auto"/>
          <w:kern w:val="0"/>
          <w:sz w:val="28"/>
          <w:highlight w:val="none"/>
        </w:rPr>
      </w:pPr>
    </w:p>
    <w:p>
      <w:pPr>
        <w:autoSpaceDE w:val="0"/>
        <w:autoSpaceDN w:val="0"/>
        <w:adjustRightInd w:val="0"/>
        <w:spacing w:line="360" w:lineRule="auto"/>
        <w:jc w:val="center"/>
        <w:rPr>
          <w:rFonts w:ascii="宋体"/>
          <w:color w:val="auto"/>
          <w:kern w:val="0"/>
          <w:sz w:val="28"/>
          <w:highlight w:val="none"/>
        </w:rPr>
      </w:pPr>
    </w:p>
    <w:p>
      <w:pPr>
        <w:autoSpaceDE w:val="0"/>
        <w:autoSpaceDN w:val="0"/>
        <w:adjustRightInd w:val="0"/>
        <w:spacing w:line="360" w:lineRule="auto"/>
        <w:jc w:val="center"/>
        <w:rPr>
          <w:rFonts w:ascii="宋体"/>
          <w:color w:val="auto"/>
          <w:kern w:val="0"/>
          <w:sz w:val="28"/>
          <w:highlight w:val="none"/>
        </w:rPr>
      </w:pPr>
    </w:p>
    <w:p>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2022年</w:t>
      </w:r>
      <w:r>
        <w:rPr>
          <w:rFonts w:hint="eastAsia" w:ascii="宋体"/>
          <w:color w:val="auto"/>
          <w:kern w:val="0"/>
          <w:sz w:val="28"/>
          <w:highlight w:val="none"/>
          <w:lang w:val="en-US" w:eastAsia="zh-CN"/>
        </w:rPr>
        <w:t>9</w:t>
      </w:r>
      <w:r>
        <w:rPr>
          <w:rFonts w:hint="eastAsia" w:ascii="宋体"/>
          <w:color w:val="auto"/>
          <w:kern w:val="0"/>
          <w:sz w:val="28"/>
          <w:highlight w:val="none"/>
        </w:rPr>
        <w:t>月</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jc w:val="center"/>
        <w:rPr>
          <w:rFonts w:ascii="宋体" w:hAnsi="宋体" w:cs="Arial"/>
          <w:b/>
          <w:bCs/>
          <w:color w:val="auto"/>
          <w:sz w:val="36"/>
          <w:szCs w:val="36"/>
          <w:highlight w:val="none"/>
        </w:rPr>
      </w:pPr>
    </w:p>
    <w:p>
      <w:pPr>
        <w:jc w:val="center"/>
        <w:rPr>
          <w:rFonts w:hint="eastAsia" w:ascii="宋体" w:hAnsi="宋体" w:cs="Arial"/>
          <w:b/>
          <w:bCs/>
          <w:color w:val="auto"/>
          <w:sz w:val="36"/>
          <w:szCs w:val="36"/>
          <w:highlight w:val="none"/>
        </w:rPr>
        <w:sectPr>
          <w:pgSz w:w="11906" w:h="16838"/>
          <w:pgMar w:top="1440" w:right="1800" w:bottom="1440" w:left="1800" w:header="851" w:footer="992" w:gutter="0"/>
          <w:cols w:space="425" w:num="1"/>
          <w:docGrid w:type="lines" w:linePitch="312" w:charSpace="0"/>
        </w:sect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pPr>
        <w:spacing w:line="360" w:lineRule="auto"/>
        <w:rPr>
          <w:rFonts w:ascii="宋体" w:hAnsi="宋体" w:cs="宋体"/>
          <w:color w:val="auto"/>
          <w:sz w:val="24"/>
          <w:szCs w:val="32"/>
          <w:highlight w:val="none"/>
        </w:rPr>
      </w:pPr>
    </w:p>
    <w:p>
      <w:pP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第一章 公开招标采购公告</w:t>
      </w:r>
    </w:p>
    <w:p>
      <w:pP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第二章 投标人须知</w:t>
      </w:r>
    </w:p>
    <w:p>
      <w:pP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第三章 公开招标需求</w:t>
      </w:r>
    </w:p>
    <w:p>
      <w:pP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第四章 评标办法及评分标准</w:t>
      </w:r>
    </w:p>
    <w:p>
      <w:pP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pP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第六章 投标文件格式附件</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jc w:val="center"/>
        <w:rPr>
          <w:rFonts w:hint="eastAsia" w:ascii="宋体" w:hAnsi="宋体" w:cs="宋体"/>
          <w:b/>
          <w:bCs/>
          <w:color w:val="auto"/>
          <w:sz w:val="36"/>
          <w:szCs w:val="44"/>
          <w:highlight w:val="none"/>
        </w:rPr>
      </w:pPr>
    </w:p>
    <w:p>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中共台州市委政法委员会</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rPr>
        <w:t>“民转刑”防控应用场景综合集成项目</w:t>
      </w:r>
      <w:r>
        <w:rPr>
          <w:rFonts w:hint="eastAsia" w:ascii="宋体" w:hAnsi="宋体" w:cs="宋体"/>
          <w:color w:val="auto"/>
          <w:sz w:val="24"/>
          <w:szCs w:val="32"/>
          <w:highlight w:val="none"/>
        </w:rPr>
        <w:t>进行公开招标采购，欢迎合格供应商前来投标。</w:t>
      </w:r>
    </w:p>
    <w:p>
      <w:pPr>
        <w:spacing w:line="360" w:lineRule="auto"/>
        <w:ind w:firstLine="482" w:firstLineChars="200"/>
        <w:rPr>
          <w:rFonts w:hint="default" w:ascii="宋体" w:hAnsi="宋体" w:eastAsia="宋体" w:cs="宋体"/>
          <w:color w:val="auto"/>
          <w:sz w:val="24"/>
          <w:szCs w:val="32"/>
          <w:highlight w:val="none"/>
          <w:lang w:val="en-US" w:eastAsia="zh-CN"/>
        </w:rPr>
      </w:pPr>
      <w:r>
        <w:rPr>
          <w:rFonts w:hint="eastAsia" w:ascii="宋体" w:hAnsi="宋体" w:cs="宋体"/>
          <w:b/>
          <w:bCs/>
          <w:color w:val="auto"/>
          <w:sz w:val="24"/>
          <w:szCs w:val="32"/>
          <w:highlight w:val="none"/>
        </w:rPr>
        <w:t>一、项目编号：</w:t>
      </w:r>
      <w:r>
        <w:rPr>
          <w:rFonts w:hint="eastAsia" w:ascii="宋体" w:hAnsi="宋体" w:cs="宋体"/>
          <w:b/>
          <w:bCs/>
          <w:color w:val="auto"/>
          <w:sz w:val="24"/>
          <w:szCs w:val="32"/>
          <w:highlight w:val="none"/>
          <w:lang w:val="en-US" w:eastAsia="zh-CN"/>
        </w:rPr>
        <w:t>ZJWS2022-JJ234</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27"/>
        <w:tblW w:w="7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396"/>
        <w:gridCol w:w="932"/>
        <w:gridCol w:w="1311"/>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8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标段</w:t>
            </w:r>
          </w:p>
        </w:tc>
        <w:tc>
          <w:tcPr>
            <w:tcW w:w="2396"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93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数 量</w:t>
            </w:r>
          </w:p>
        </w:tc>
        <w:tc>
          <w:tcPr>
            <w:tcW w:w="1311"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预算金额</w:t>
            </w:r>
          </w:p>
        </w:tc>
        <w:tc>
          <w:tcPr>
            <w:tcW w:w="1969"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82"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1</w:t>
            </w:r>
          </w:p>
        </w:tc>
        <w:tc>
          <w:tcPr>
            <w:tcW w:w="2396"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“民转刑”防控应用场景综合集成项目</w:t>
            </w:r>
          </w:p>
        </w:tc>
        <w:tc>
          <w:tcPr>
            <w:tcW w:w="93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1项</w:t>
            </w:r>
          </w:p>
        </w:tc>
        <w:tc>
          <w:tcPr>
            <w:tcW w:w="1311"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7</w:t>
            </w:r>
            <w:r>
              <w:rPr>
                <w:rFonts w:ascii="宋体" w:hAnsi="宋体" w:cs="宋体"/>
                <w:color w:val="auto"/>
                <w:kern w:val="0"/>
                <w:sz w:val="24"/>
                <w:highlight w:val="none"/>
                <w:lang w:val="en"/>
              </w:rPr>
              <w:t>07</w:t>
            </w:r>
            <w:r>
              <w:rPr>
                <w:rFonts w:hint="eastAsia" w:ascii="宋体" w:hAnsi="宋体" w:cs="宋体"/>
                <w:color w:val="auto"/>
                <w:kern w:val="0"/>
                <w:sz w:val="24"/>
                <w:highlight w:val="none"/>
              </w:rPr>
              <w:t xml:space="preserve"> 万元</w:t>
            </w:r>
          </w:p>
        </w:tc>
        <w:tc>
          <w:tcPr>
            <w:tcW w:w="196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详见招标需求</w:t>
            </w:r>
          </w:p>
        </w:tc>
      </w:tr>
    </w:tbl>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①符合《中华人民共和国政府采购法》第二十二条及其他法律、行政法规规定的对投标主体的要求；</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②本项目接受联合体投标。</w:t>
      </w:r>
    </w:p>
    <w:p>
      <w:pPr>
        <w:spacing w:line="360" w:lineRule="auto"/>
        <w:ind w:firstLine="482" w:firstLineChars="200"/>
        <w:rPr>
          <w:rFonts w:asci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、本项目招标文件实行“政府采购云平台”在线获取，不提供招标文件纸质版。供应商获取招标文件前应先完成“政府采购云平台”的账号注册。</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、获取时间：自本公告发布之日起至响应文件递交截止时间止（以供应商完成获取采购文件申请后下载采购文件的时间为准）。</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3</w:t>
      </w:r>
      <w:r>
        <w:rPr>
          <w:rFonts w:hint="eastAsia" w:ascii="宋体" w:hAnsi="宋体" w:cs="宋体"/>
          <w:color w:val="auto"/>
          <w:sz w:val="24"/>
          <w:szCs w:val="32"/>
          <w:highlight w:val="none"/>
        </w:rPr>
        <w:t>、地点：</w:t>
      </w:r>
    </w:p>
    <w:p>
      <w:pPr>
        <w:spacing w:line="360" w:lineRule="auto"/>
        <w:ind w:firstLine="480" w:firstLineChars="200"/>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1</w:t>
      </w:r>
      <w:r>
        <w:rPr>
          <w:rFonts w:hint="eastAsia" w:ascii="宋体" w:hAnsi="宋体" w:cs="宋体"/>
          <w:color w:val="auto"/>
          <w:sz w:val="24"/>
          <w:szCs w:val="32"/>
          <w:highlight w:val="none"/>
        </w:rPr>
        <w:t>）政采云平台（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ascii="宋体" w:hAnsi="宋体" w:cs="宋体"/>
          <w:color w:val="auto"/>
          <w:sz w:val="24"/>
          <w:szCs w:val="32"/>
          <w:highlight w:val="none"/>
        </w:rPr>
        <w:t>http</w:t>
      </w:r>
      <w:r>
        <w:rPr>
          <w:rFonts w:hint="eastAsia" w:ascii="宋体" w:hAnsi="宋体" w:cs="宋体"/>
          <w:color w:val="auto"/>
          <w:sz w:val="24"/>
          <w:szCs w:val="32"/>
          <w:highlight w:val="none"/>
        </w:rPr>
        <w:t>：</w:t>
      </w:r>
      <w:r>
        <w:rPr>
          <w:rFonts w:ascii="宋体" w:hAnsi="宋体" w:cs="宋体"/>
          <w:color w:val="auto"/>
          <w:sz w:val="24"/>
          <w:szCs w:val="32"/>
          <w:highlight w:val="none"/>
        </w:rPr>
        <w:t>//zfcg.czt.zj.gov.cn</w:t>
      </w:r>
      <w:r>
        <w:rPr>
          <w:rFonts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pacing w:line="360" w:lineRule="auto"/>
        <w:ind w:firstLine="480" w:firstLineChars="200"/>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2</w:t>
      </w:r>
      <w:r>
        <w:rPr>
          <w:rFonts w:hint="eastAsia" w:ascii="宋体" w:hAnsi="宋体" w:cs="宋体"/>
          <w:color w:val="auto"/>
          <w:sz w:val="24"/>
          <w:szCs w:val="32"/>
          <w:highlight w:val="none"/>
        </w:rPr>
        <w:t>）供应商网上报名操作指南：“浙江政府采购网</w:t>
      </w:r>
      <w:r>
        <w:rPr>
          <w:rFonts w:ascii="宋体" w:cs="宋体"/>
          <w:color w:val="auto"/>
          <w:sz w:val="24"/>
          <w:szCs w:val="32"/>
          <w:highlight w:val="none"/>
        </w:rPr>
        <w:t>-</w:t>
      </w:r>
      <w:r>
        <w:rPr>
          <w:rFonts w:hint="eastAsia" w:ascii="宋体" w:hAnsi="宋体" w:cs="宋体"/>
          <w:color w:val="auto"/>
          <w:sz w:val="24"/>
          <w:szCs w:val="32"/>
          <w:highlight w:val="none"/>
        </w:rPr>
        <w:t>办事指南</w:t>
      </w:r>
      <w:r>
        <w:rPr>
          <w:rFonts w:ascii="宋体" w:cs="宋体"/>
          <w:color w:val="auto"/>
          <w:sz w:val="24"/>
          <w:szCs w:val="32"/>
          <w:highlight w:val="none"/>
        </w:rPr>
        <w:t>-</w:t>
      </w:r>
      <w:r>
        <w:rPr>
          <w:rFonts w:hint="eastAsia" w:ascii="宋体" w:hAnsi="宋体" w:cs="宋体"/>
          <w:color w:val="auto"/>
          <w:sz w:val="24"/>
          <w:szCs w:val="32"/>
          <w:highlight w:val="none"/>
        </w:rPr>
        <w:t>省采中心</w:t>
      </w:r>
      <w:r>
        <w:rPr>
          <w:rFonts w:ascii="宋体" w:cs="宋体"/>
          <w:color w:val="auto"/>
          <w:sz w:val="24"/>
          <w:szCs w:val="32"/>
          <w:highlight w:val="none"/>
        </w:rPr>
        <w:t>-</w:t>
      </w:r>
      <w:r>
        <w:rPr>
          <w:rFonts w:hint="eastAsia" w:ascii="宋体" w:hAnsi="宋体" w:cs="宋体"/>
          <w:color w:val="auto"/>
          <w:sz w:val="24"/>
          <w:szCs w:val="32"/>
          <w:highlight w:val="none"/>
        </w:rPr>
        <w:t>网上报名”（</w:t>
      </w:r>
      <w:r>
        <w:rPr>
          <w:rFonts w:ascii="宋体" w:hAnsi="宋体" w:cs="宋体"/>
          <w:color w:val="auto"/>
          <w:sz w:val="24"/>
          <w:szCs w:val="32"/>
          <w:highlight w:val="none"/>
        </w:rPr>
        <w:t>http</w:t>
      </w:r>
      <w:r>
        <w:rPr>
          <w:rFonts w:hint="eastAsia" w:ascii="宋体" w:hAnsi="宋体" w:cs="宋体"/>
          <w:color w:val="auto"/>
          <w:sz w:val="24"/>
          <w:szCs w:val="32"/>
          <w:highlight w:val="none"/>
        </w:rPr>
        <w:t>：</w:t>
      </w:r>
      <w:r>
        <w:rPr>
          <w:rFonts w:ascii="宋体" w:hAnsi="宋体" w:cs="宋体"/>
          <w:color w:val="auto"/>
          <w:sz w:val="24"/>
          <w:szCs w:val="32"/>
          <w:highlight w:val="none"/>
        </w:rPr>
        <w:t>//zfcg.czt.zj.gov.cn/bs_other/2018-03-30/12002.html</w:t>
      </w:r>
      <w:r>
        <w:rPr>
          <w:rFonts w:hint="eastAsia" w:ascii="宋体" w:hAnsi="宋体" w:cs="宋体"/>
          <w:color w:val="auto"/>
          <w:sz w:val="24"/>
          <w:szCs w:val="32"/>
          <w:highlight w:val="none"/>
        </w:rPr>
        <w:t>）。</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4</w:t>
      </w:r>
      <w:r>
        <w:rPr>
          <w:rFonts w:hint="eastAsia" w:ascii="宋体" w:hAnsi="宋体" w:cs="宋体"/>
          <w:color w:val="auto"/>
          <w:sz w:val="24"/>
          <w:szCs w:val="32"/>
          <w:highlight w:val="none"/>
        </w:rPr>
        <w:t>、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5</w:t>
      </w:r>
      <w:r>
        <w:rPr>
          <w:rFonts w:hint="eastAsia" w:ascii="宋体" w:hAnsi="宋体" w:cs="宋体"/>
          <w:color w:val="auto"/>
          <w:sz w:val="24"/>
          <w:szCs w:val="32"/>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82" w:firstLineChars="200"/>
        <w:rPr>
          <w:rFonts w:ascii="宋体" w:cs="宋体"/>
          <w:b/>
          <w:bCs/>
          <w:color w:val="auto"/>
          <w:sz w:val="24"/>
          <w:szCs w:val="32"/>
          <w:highlight w:val="none"/>
        </w:rPr>
      </w:pPr>
      <w:r>
        <w:rPr>
          <w:rFonts w:hint="eastAsia" w:ascii="宋体" w:hAnsi="宋体" w:cs="宋体"/>
          <w:b/>
          <w:bCs/>
          <w:color w:val="auto"/>
          <w:sz w:val="24"/>
          <w:szCs w:val="32"/>
          <w:highlight w:val="none"/>
        </w:rPr>
        <w:t>五、投标说明：</w:t>
      </w:r>
    </w:p>
    <w:p>
      <w:pPr>
        <w:spacing w:line="360" w:lineRule="auto"/>
        <w:ind w:firstLine="480" w:firstLineChars="200"/>
        <w:rPr>
          <w:rFonts w:ascii="宋体" w:cs="宋体"/>
          <w:color w:val="auto"/>
          <w:kern w:val="0"/>
          <w:sz w:val="24"/>
          <w:highlight w:val="none"/>
          <w:u w:val="single"/>
        </w:rPr>
      </w:pPr>
      <w:r>
        <w:rPr>
          <w:rFonts w:ascii="宋体" w:hAnsi="宋体" w:cs="宋体"/>
          <w:color w:val="auto"/>
          <w:kern w:val="0"/>
          <w:sz w:val="24"/>
          <w:highlight w:val="none"/>
          <w:u w:val="single"/>
        </w:rPr>
        <w:t>1.</w:t>
      </w:r>
      <w:r>
        <w:rPr>
          <w:rFonts w:hint="eastAsia" w:ascii="宋体" w:hAnsi="宋体" w:cs="宋体"/>
          <w:color w:val="auto"/>
          <w:kern w:val="0"/>
          <w:sz w:val="24"/>
          <w:highlight w:val="none"/>
          <w:u w:val="single"/>
        </w:rPr>
        <w:t>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ascii="宋体" w:hAnsi="宋体" w:cs="宋体"/>
          <w:color w:val="auto"/>
          <w:kern w:val="0"/>
          <w:sz w:val="24"/>
          <w:highlight w:val="none"/>
          <w:u w:val="single"/>
        </w:rPr>
        <w:t>400-881-7190</w:t>
      </w:r>
      <w:r>
        <w:rPr>
          <w:rFonts w:hint="eastAsia" w:ascii="宋体" w:hAnsi="宋体" w:cs="宋体"/>
          <w:color w:val="auto"/>
          <w:kern w:val="0"/>
          <w:sz w:val="24"/>
          <w:highlight w:val="none"/>
          <w:u w:val="single"/>
        </w:rPr>
        <w:t>。</w:t>
      </w:r>
    </w:p>
    <w:p>
      <w:pPr>
        <w:spacing w:line="360" w:lineRule="auto"/>
        <w:ind w:firstLine="480" w:firstLineChars="200"/>
        <w:rPr>
          <w:rFonts w:ascii="宋体" w:cs="宋体"/>
          <w:color w:val="auto"/>
          <w:kern w:val="0"/>
          <w:sz w:val="24"/>
          <w:highlight w:val="none"/>
          <w:u w:val="single"/>
        </w:rPr>
      </w:pP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投标人通过政采云平台电子投标工具制作投标文件，电子投标工具请供应商自行前往浙江政府采购网下载并安装（下载网址：</w:t>
      </w:r>
      <w:r>
        <w:rPr>
          <w:rFonts w:ascii="宋体" w:hAnsi="宋体" w:cs="宋体"/>
          <w:color w:val="auto"/>
          <w:kern w:val="0"/>
          <w:sz w:val="24"/>
          <w:highlight w:val="none"/>
          <w:u w:val="single"/>
        </w:rPr>
        <w:t>http</w:t>
      </w:r>
      <w:r>
        <w:rPr>
          <w:rFonts w:hint="eastAsia" w:ascii="宋体" w:hAnsi="宋体" w:cs="宋体"/>
          <w:color w:val="auto"/>
          <w:kern w:val="0"/>
          <w:sz w:val="24"/>
          <w:highlight w:val="none"/>
          <w:u w:val="single"/>
        </w:rPr>
        <w:t>：</w:t>
      </w:r>
      <w:r>
        <w:rPr>
          <w:rFonts w:ascii="宋体" w:hAnsi="宋体" w:cs="宋体"/>
          <w:color w:val="auto"/>
          <w:kern w:val="0"/>
          <w:sz w:val="24"/>
          <w:highlight w:val="none"/>
          <w:u w:val="single"/>
        </w:rPr>
        <w:t>//www.zjzfcg.gov.cn/bidClientTemplate/2019-05-27/12946.html</w:t>
      </w:r>
      <w:r>
        <w:rPr>
          <w:rFonts w:hint="eastAsia" w:ascii="宋体" w:hAnsi="宋体" w:cs="宋体"/>
          <w:color w:val="auto"/>
          <w:kern w:val="0"/>
          <w:sz w:val="24"/>
          <w:highlight w:val="none"/>
          <w:u w:val="single"/>
        </w:rPr>
        <w:t>）。</w:t>
      </w:r>
    </w:p>
    <w:p>
      <w:pPr>
        <w:spacing w:line="360" w:lineRule="auto"/>
        <w:ind w:firstLine="480" w:firstLineChars="200"/>
        <w:rPr>
          <w:rFonts w:ascii="宋体" w:cs="宋体"/>
          <w:color w:val="auto"/>
          <w:kern w:val="0"/>
          <w:sz w:val="24"/>
          <w:highlight w:val="none"/>
          <w:u w:val="single"/>
        </w:rPr>
      </w:pPr>
      <w:r>
        <w:rPr>
          <w:rFonts w:ascii="宋体" w:hAnsi="宋体" w:cs="宋体"/>
          <w:color w:val="auto"/>
          <w:kern w:val="0"/>
          <w:sz w:val="24"/>
          <w:highlight w:val="none"/>
          <w:u w:val="single"/>
        </w:rPr>
        <w:t>3.</w:t>
      </w:r>
      <w:r>
        <w:rPr>
          <w:rFonts w:hint="eastAsia" w:ascii="宋体" w:hAnsi="宋体" w:cs="宋体"/>
          <w:color w:val="auto"/>
          <w:kern w:val="0"/>
          <w:sz w:val="24"/>
          <w:highlight w:val="none"/>
          <w:u w:val="single"/>
        </w:rPr>
        <w:t>投标人应在开标前完成</w:t>
      </w:r>
      <w:r>
        <w:rPr>
          <w:rFonts w:ascii="宋体" w:hAnsi="宋体" w:cs="宋体"/>
          <w:color w:val="auto"/>
          <w:kern w:val="0"/>
          <w:sz w:val="24"/>
          <w:highlight w:val="none"/>
          <w:u w:val="single"/>
        </w:rPr>
        <w:t>CA</w:t>
      </w:r>
      <w:r>
        <w:rPr>
          <w:rFonts w:hint="eastAsia" w:ascii="宋体" w:hAnsi="宋体" w:cs="宋体"/>
          <w:color w:val="auto"/>
          <w:kern w:val="0"/>
          <w:sz w:val="24"/>
          <w:highlight w:val="none"/>
          <w:u w:val="single"/>
        </w:rPr>
        <w:t>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ascii="宋体" w:hAnsi="宋体" w:cs="宋体"/>
          <w:color w:val="auto"/>
          <w:kern w:val="0"/>
          <w:sz w:val="24"/>
          <w:highlight w:val="none"/>
          <w:u w:val="single"/>
        </w:rPr>
        <w:t>http</w:t>
      </w:r>
      <w:r>
        <w:rPr>
          <w:rFonts w:hint="eastAsia" w:ascii="宋体" w:hAnsi="宋体" w:cs="宋体"/>
          <w:color w:val="auto"/>
          <w:kern w:val="0"/>
          <w:sz w:val="24"/>
          <w:highlight w:val="none"/>
          <w:u w:val="single"/>
        </w:rPr>
        <w:t>：</w:t>
      </w:r>
      <w:r>
        <w:rPr>
          <w:rFonts w:ascii="宋体" w:hAnsi="宋体" w:cs="宋体"/>
          <w:color w:val="auto"/>
          <w:kern w:val="0"/>
          <w:sz w:val="24"/>
          <w:highlight w:val="none"/>
          <w:u w:val="single"/>
        </w:rPr>
        <w:t>//www.zjzfcg.gov.cn/bidClientTemplate/2019-05-27/12945.html</w:t>
      </w:r>
      <w:r>
        <w:rPr>
          <w:rFonts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w:t>
      </w:r>
      <w:r>
        <w:rPr>
          <w:rFonts w:ascii="宋体" w:hAnsi="宋体" w:cs="宋体"/>
          <w:color w:val="auto"/>
          <w:kern w:val="0"/>
          <w:sz w:val="24"/>
          <w:highlight w:val="none"/>
          <w:u w:val="single"/>
        </w:rPr>
        <w:t>CA</w:t>
      </w:r>
      <w:r>
        <w:rPr>
          <w:rFonts w:hint="eastAsia" w:ascii="宋体" w:hAnsi="宋体" w:cs="宋体"/>
          <w:color w:val="auto"/>
          <w:kern w:val="0"/>
          <w:sz w:val="24"/>
          <w:highlight w:val="none"/>
          <w:u w:val="single"/>
        </w:rPr>
        <w:t>数字证书办理预计一周左右，请各投标人自行把握时间）</w:t>
      </w:r>
    </w:p>
    <w:p>
      <w:pPr>
        <w:spacing w:line="360" w:lineRule="auto"/>
        <w:ind w:firstLine="480" w:firstLineChars="200"/>
        <w:rPr>
          <w:rFonts w:ascii="宋体" w:cs="宋体"/>
          <w:color w:val="auto"/>
          <w:kern w:val="0"/>
          <w:sz w:val="24"/>
          <w:highlight w:val="none"/>
          <w:u w:val="single"/>
        </w:rPr>
      </w:pPr>
      <w:r>
        <w:rPr>
          <w:rFonts w:ascii="宋体" w:hAnsi="宋体" w:cs="宋体"/>
          <w:color w:val="auto"/>
          <w:kern w:val="0"/>
          <w:sz w:val="24"/>
          <w:highlight w:val="none"/>
          <w:u w:val="single"/>
        </w:rPr>
        <w:t>4.</w:t>
      </w:r>
      <w:r>
        <w:rPr>
          <w:rFonts w:hint="eastAsia" w:ascii="宋体" w:hAnsi="宋体" w:cs="宋体"/>
          <w:color w:val="auto"/>
          <w:kern w:val="0"/>
          <w:sz w:val="24"/>
          <w:highlight w:val="none"/>
          <w:u w:val="singl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pPr>
        <w:spacing w:line="360" w:lineRule="auto"/>
        <w:ind w:firstLine="480" w:firstLineChars="200"/>
        <w:rPr>
          <w:rFonts w:ascii="宋体" w:cs="宋体"/>
          <w:bCs/>
          <w:color w:val="auto"/>
          <w:sz w:val="24"/>
          <w:highlight w:val="none"/>
        </w:rPr>
      </w:pPr>
      <w:r>
        <w:rPr>
          <w:rFonts w:ascii="宋体" w:hAnsi="宋体" w:cs="宋体"/>
          <w:bCs/>
          <w:color w:val="auto"/>
          <w:sz w:val="24"/>
          <w:highlight w:val="none"/>
        </w:rPr>
        <w:t>5.</w:t>
      </w:r>
      <w:r>
        <w:rPr>
          <w:rFonts w:hint="eastAsia" w:ascii="宋体" w:hAnsi="宋体" w:cs="宋体"/>
          <w:bCs/>
          <w:color w:val="auto"/>
          <w:sz w:val="24"/>
          <w:highlight w:val="none"/>
        </w:rPr>
        <w:t>投标文件的组成、份数、密封、效力</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本项目实行电子投标，供应商应准备电子投标文件、以介质（</w:t>
      </w:r>
      <w:r>
        <w:rPr>
          <w:rFonts w:ascii="宋体" w:hAnsi="宋体" w:cs="宋体"/>
          <w:color w:val="auto"/>
          <w:sz w:val="24"/>
          <w:highlight w:val="none"/>
        </w:rPr>
        <w:t>U</w:t>
      </w:r>
      <w:r>
        <w:rPr>
          <w:rFonts w:hint="eastAsia" w:ascii="宋体" w:hAnsi="宋体" w:cs="宋体"/>
          <w:color w:val="auto"/>
          <w:sz w:val="24"/>
          <w:highlight w:val="none"/>
        </w:rPr>
        <w:t>盘）存储的数据电文形式、纸质备份投标文件三类：</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5.1</w:t>
      </w:r>
      <w:r>
        <w:rPr>
          <w:rFonts w:hint="eastAsia" w:ascii="宋体" w:hAnsi="宋体" w:cs="宋体"/>
          <w:color w:val="auto"/>
          <w:sz w:val="24"/>
          <w:highlight w:val="none"/>
        </w:rPr>
        <w:t>电子投标文件，按政采云平台项目采购</w:t>
      </w:r>
      <w:r>
        <w:rPr>
          <w:rFonts w:ascii="宋体" w:cs="宋体"/>
          <w:color w:val="auto"/>
          <w:sz w:val="24"/>
          <w:highlight w:val="none"/>
        </w:rPr>
        <w:t>--</w:t>
      </w:r>
      <w:r>
        <w:rPr>
          <w:rFonts w:hint="eastAsia" w:ascii="宋体" w:hAnsi="宋体" w:cs="宋体"/>
          <w:color w:val="auto"/>
          <w:sz w:val="24"/>
          <w:highlight w:val="none"/>
        </w:rPr>
        <w:t>电子招投标操作指南及本招标文件要求编制。</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5.2</w:t>
      </w:r>
      <w:bookmarkStart w:id="0" w:name="_Hlk34638143"/>
      <w:r>
        <w:rPr>
          <w:rFonts w:hint="eastAsia" w:ascii="宋体" w:hAnsi="宋体" w:cs="宋体"/>
          <w:color w:val="auto"/>
          <w:sz w:val="24"/>
          <w:highlight w:val="none"/>
        </w:rPr>
        <w:t>纸质</w:t>
      </w:r>
      <w:bookmarkEnd w:id="0"/>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w:t>
      </w:r>
      <w:r>
        <w:rPr>
          <w:rFonts w:ascii="宋体" w:hAnsi="宋体" w:cs="宋体"/>
          <w:b/>
          <w:bCs/>
          <w:color w:val="auto"/>
          <w:sz w:val="24"/>
          <w:highlight w:val="none"/>
        </w:rPr>
        <w:t>2</w:t>
      </w:r>
      <w:r>
        <w:rPr>
          <w:rFonts w:hint="eastAsia" w:ascii="宋体" w:hAnsi="宋体" w:cs="宋体"/>
          <w:b/>
          <w:bCs/>
          <w:color w:val="auto"/>
          <w:sz w:val="24"/>
          <w:highlight w:val="none"/>
        </w:rPr>
        <w:t>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pPr>
        <w:spacing w:line="360" w:lineRule="auto"/>
        <w:ind w:firstLine="480" w:firstLineChars="200"/>
        <w:rPr>
          <w:rFonts w:ascii="宋体" w:cs="宋体"/>
          <w:color w:val="auto"/>
          <w:sz w:val="24"/>
          <w:highlight w:val="none"/>
          <w:u w:val="single"/>
        </w:rPr>
      </w:pPr>
      <w:bookmarkStart w:id="1" w:name="_Hlk34639647"/>
      <w:r>
        <w:rPr>
          <w:rFonts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w:t>
      </w:r>
      <w:r>
        <w:rPr>
          <w:rFonts w:ascii="宋体" w:hAnsi="宋体" w:cs="宋体"/>
          <w:color w:val="auto"/>
          <w:sz w:val="24"/>
          <w:highlight w:val="none"/>
          <w:u w:val="single"/>
        </w:rPr>
        <w:t>U</w:t>
      </w:r>
      <w:r>
        <w:rPr>
          <w:rFonts w:hint="eastAsia" w:ascii="宋体" w:hAnsi="宋体" w:cs="宋体"/>
          <w:color w:val="auto"/>
          <w:sz w:val="24"/>
          <w:highlight w:val="none"/>
          <w:u w:val="single"/>
        </w:rPr>
        <w:t>盘）存储的数据电文形式和纸质形式的“备份投标文件”，“备份投标文件”应当密封包装并在包装上标注投标项目名称、投标单位名称并加盖公章。以介质（</w:t>
      </w:r>
      <w:r>
        <w:rPr>
          <w:rFonts w:ascii="宋体" w:hAnsi="宋体" w:cs="宋体"/>
          <w:color w:val="auto"/>
          <w:sz w:val="24"/>
          <w:highlight w:val="none"/>
          <w:u w:val="single"/>
        </w:rPr>
        <w:t>U</w:t>
      </w:r>
      <w:r>
        <w:rPr>
          <w:rFonts w:hint="eastAsia" w:ascii="宋体" w:hAnsi="宋体" w:cs="宋体"/>
          <w:color w:val="auto"/>
          <w:sz w:val="24"/>
          <w:highlight w:val="none"/>
          <w:u w:val="single"/>
        </w:rPr>
        <w:t>盘）存储的数据电文形式和纸质形式的“备份投标文件”需分别密封，可采用以下两种方式其中一种送达（逾期送达或未密封将被拒收）：</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①在投标截止时间前送交到开标地点；</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②采用邮寄方式，邮寄公司统一采用顺丰（包裹外包装上请注明单位、项目名称、联系电话等信息，以便代理机构作接收登记工作），邮寄接收截止时间为投标截止时间前一个工作日下午</w:t>
      </w:r>
      <w:r>
        <w:rPr>
          <w:rFonts w:ascii="宋体" w:hAnsi="宋体" w:cs="宋体"/>
          <w:color w:val="auto"/>
          <w:sz w:val="24"/>
          <w:highlight w:val="none"/>
        </w:rPr>
        <w:t>16</w:t>
      </w:r>
      <w:r>
        <w:rPr>
          <w:rFonts w:hint="eastAsia" w:ascii="宋体" w:hAnsi="宋体" w:cs="宋体"/>
          <w:color w:val="auto"/>
          <w:sz w:val="24"/>
          <w:highlight w:val="none"/>
        </w:rPr>
        <w:t>：</w:t>
      </w:r>
      <w:r>
        <w:rPr>
          <w:rFonts w:ascii="宋体" w:cs="宋体"/>
          <w:color w:val="auto"/>
          <w:sz w:val="24"/>
          <w:highlight w:val="none"/>
        </w:rPr>
        <w:t>00</w:t>
      </w:r>
      <w:r>
        <w:rPr>
          <w:rFonts w:hint="eastAsia" w:ascii="宋体" w:hAnsi="宋体" w:cs="宋体"/>
          <w:color w:val="auto"/>
          <w:sz w:val="24"/>
          <w:highlight w:val="none"/>
        </w:rPr>
        <w:t>整（邮寄地址：浙江五石中正工程咨询有限公司（浙江省台州市椒江区东环大道</w:t>
      </w:r>
      <w:r>
        <w:rPr>
          <w:rFonts w:ascii="宋体" w:hAnsi="宋体" w:cs="宋体"/>
          <w:color w:val="auto"/>
          <w:sz w:val="24"/>
          <w:highlight w:val="none"/>
        </w:rPr>
        <w:t>576</w:t>
      </w:r>
      <w:r>
        <w:rPr>
          <w:rFonts w:hint="eastAsia" w:ascii="宋体" w:hAnsi="宋体" w:cs="宋体"/>
          <w:color w:val="auto"/>
          <w:sz w:val="24"/>
          <w:highlight w:val="none"/>
        </w:rPr>
        <w:t>号二楼，联系人：金老师，电话：</w:t>
      </w:r>
      <w:r>
        <w:rPr>
          <w:rFonts w:ascii="宋体" w:hAnsi="宋体" w:cs="宋体"/>
          <w:color w:val="auto"/>
          <w:sz w:val="24"/>
          <w:highlight w:val="none"/>
        </w:rPr>
        <w:t>0576-88781913</w:t>
      </w:r>
      <w:r>
        <w:rPr>
          <w:rFonts w:hint="eastAsia" w:ascii="宋体" w:hAnsi="宋体" w:cs="宋体"/>
          <w:color w:val="auto"/>
          <w:sz w:val="24"/>
          <w:highlight w:val="none"/>
        </w:rPr>
        <w:t>。））。</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5.4</w:t>
      </w:r>
      <w:r>
        <w:rPr>
          <w:rFonts w:hint="eastAsia" w:ascii="宋体" w:hAnsi="宋体" w:cs="宋体"/>
          <w:color w:val="auto"/>
          <w:sz w:val="24"/>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1"/>
    <w:p>
      <w:pPr>
        <w:spacing w:line="360" w:lineRule="auto"/>
        <w:ind w:firstLine="480" w:firstLineChars="200"/>
        <w:rPr>
          <w:rFonts w:ascii="宋体" w:cs="宋体"/>
          <w:color w:val="auto"/>
          <w:sz w:val="24"/>
          <w:highlight w:val="none"/>
          <w:u w:val="single"/>
        </w:rPr>
      </w:pPr>
      <w:bookmarkStart w:id="2" w:name="_Hlk34638256"/>
      <w:r>
        <w:rPr>
          <w:rFonts w:ascii="宋体" w:hAnsi="宋体" w:cs="宋体"/>
          <w:color w:val="auto"/>
          <w:sz w:val="24"/>
          <w:highlight w:val="none"/>
          <w:u w:val="single"/>
        </w:rPr>
        <w:t>5.5</w:t>
      </w:r>
      <w:r>
        <w:rPr>
          <w:rFonts w:hint="eastAsia" w:ascii="宋体" w:hAnsi="宋体" w:cs="宋体"/>
          <w:color w:val="auto"/>
          <w:sz w:val="24"/>
          <w:highlight w:val="none"/>
          <w:u w:val="single"/>
        </w:rPr>
        <w:t>投标文件启用顺序和效力：投标文件的启用，按先后顺位分别为</w:t>
      </w:r>
      <w:bookmarkStart w:id="3" w:name="_Hlk34637932"/>
      <w:r>
        <w:rPr>
          <w:rFonts w:hint="eastAsia" w:ascii="宋体" w:hAnsi="宋体" w:cs="宋体"/>
          <w:color w:val="auto"/>
          <w:sz w:val="24"/>
          <w:highlight w:val="none"/>
          <w:u w:val="single"/>
        </w:rPr>
        <w:t>电子投标文件</w:t>
      </w:r>
      <w:bookmarkEnd w:id="3"/>
      <w:r>
        <w:rPr>
          <w:rFonts w:hint="eastAsia" w:ascii="宋体" w:hAnsi="宋体" w:cs="宋体"/>
          <w:color w:val="auto"/>
          <w:sz w:val="24"/>
          <w:highlight w:val="none"/>
          <w:u w:val="single"/>
        </w:rPr>
        <w:t>、以介质（</w:t>
      </w:r>
      <w:r>
        <w:rPr>
          <w:rFonts w:ascii="宋体" w:hAnsi="宋体" w:cs="宋体"/>
          <w:color w:val="auto"/>
          <w:sz w:val="24"/>
          <w:highlight w:val="none"/>
          <w:u w:val="single"/>
        </w:rPr>
        <w:t>U</w:t>
      </w:r>
      <w:r>
        <w:rPr>
          <w:rFonts w:hint="eastAsia" w:ascii="宋体" w:hAnsi="宋体" w:cs="宋体"/>
          <w:color w:val="auto"/>
          <w:sz w:val="24"/>
          <w:highlight w:val="none"/>
          <w:u w:val="single"/>
        </w:rPr>
        <w:t>盘）存储的数据电文形式的备份投标文件和纸质备份投标文件。</w:t>
      </w:r>
      <w:bookmarkStart w:id="4" w:name="_Hlk34637983"/>
      <w:r>
        <w:rPr>
          <w:rFonts w:hint="eastAsia" w:ascii="宋体" w:hAnsi="宋体" w:cs="宋体"/>
          <w:color w:val="auto"/>
          <w:sz w:val="24"/>
          <w:highlight w:val="none"/>
          <w:u w:val="single"/>
        </w:rPr>
        <w:t>全部投标人的</w:t>
      </w:r>
      <w:bookmarkStart w:id="5" w:name="_Hlk34638083"/>
      <w:r>
        <w:rPr>
          <w:rFonts w:hint="eastAsia" w:ascii="宋体" w:hAnsi="宋体" w:cs="宋体"/>
          <w:color w:val="auto"/>
          <w:sz w:val="24"/>
          <w:highlight w:val="none"/>
          <w:u w:val="single"/>
        </w:rPr>
        <w:t>电子投标文件均已按时解密的，</w:t>
      </w:r>
      <w:bookmarkEnd w:id="5"/>
      <w:r>
        <w:rPr>
          <w:rFonts w:hint="eastAsia" w:ascii="宋体" w:hAnsi="宋体" w:cs="宋体"/>
          <w:color w:val="auto"/>
          <w:sz w:val="24"/>
          <w:highlight w:val="none"/>
          <w:u w:val="single"/>
        </w:rPr>
        <w:t>备份投标文件自动失效，全部投标人的电子投标文件均无法按时解密的，</w:t>
      </w:r>
      <w:bookmarkStart w:id="6" w:name="_Hlk34638161"/>
      <w:r>
        <w:rPr>
          <w:rFonts w:hint="eastAsia" w:ascii="宋体" w:hAnsi="宋体" w:cs="宋体"/>
          <w:color w:val="auto"/>
          <w:sz w:val="24"/>
          <w:highlight w:val="none"/>
          <w:u w:val="single"/>
        </w:rPr>
        <w:t>启用纸质备份投标文件进行线下开评标。</w:t>
      </w:r>
      <w:bookmarkEnd w:id="6"/>
      <w:r>
        <w:rPr>
          <w:rFonts w:hint="eastAsia" w:ascii="宋体" w:hAnsi="宋体" w:cs="宋体"/>
          <w:color w:val="auto"/>
          <w:sz w:val="24"/>
          <w:highlight w:val="none"/>
          <w:u w:val="single"/>
        </w:rPr>
        <w:t>如果某位投标人的电子</w:t>
      </w:r>
      <w:bookmarkStart w:id="7" w:name="_Hlk34638115"/>
      <w:r>
        <w:rPr>
          <w:rFonts w:hint="eastAsia" w:ascii="宋体" w:hAnsi="宋体" w:cs="宋体"/>
          <w:color w:val="auto"/>
          <w:sz w:val="24"/>
          <w:highlight w:val="none"/>
          <w:u w:val="single"/>
        </w:rPr>
        <w:t>投标文件</w:t>
      </w:r>
      <w:bookmarkEnd w:id="7"/>
      <w:r>
        <w:rPr>
          <w:rFonts w:hint="eastAsia" w:ascii="宋体" w:hAnsi="宋体" w:cs="宋体"/>
          <w:color w:val="auto"/>
          <w:sz w:val="24"/>
          <w:highlight w:val="none"/>
          <w:u w:val="single"/>
        </w:rPr>
        <w:t>无法按时解密的，其投标文件为无效标，不启用纸质备份投标文件。</w:t>
      </w:r>
      <w:bookmarkEnd w:id="2"/>
      <w:bookmarkEnd w:id="4"/>
    </w:p>
    <w:p>
      <w:pPr>
        <w:spacing w:line="360" w:lineRule="auto"/>
        <w:ind w:firstLine="480" w:firstLineChars="200"/>
        <w:rPr>
          <w:rFonts w:ascii="宋体" w:cs="宋体"/>
          <w:color w:val="auto"/>
          <w:sz w:val="24"/>
          <w:highlight w:val="none"/>
          <w:u w:val="single"/>
        </w:rPr>
      </w:pPr>
      <w:r>
        <w:rPr>
          <w:rFonts w:ascii="宋体" w:hAnsi="宋体" w:cs="宋体"/>
          <w:color w:val="auto"/>
          <w:sz w:val="24"/>
          <w:highlight w:val="none"/>
          <w:u w:val="single"/>
        </w:rPr>
        <w:t>5.6</w:t>
      </w:r>
      <w:r>
        <w:rPr>
          <w:rFonts w:hint="eastAsia" w:ascii="宋体" w:hAnsi="宋体" w:cs="宋体"/>
          <w:color w:val="auto"/>
          <w:sz w:val="24"/>
          <w:highlight w:val="none"/>
          <w:u w:val="single"/>
        </w:rPr>
        <w:t>▲未传输递交电子投标文件的，投标无效。未按规定提供相应的备份投标文件，造成项目开评标活动无法进行下去的，投标无效。</w:t>
      </w:r>
    </w:p>
    <w:p>
      <w:pPr>
        <w:spacing w:line="360" w:lineRule="auto"/>
        <w:ind w:firstLine="482" w:firstLineChars="200"/>
        <w:rPr>
          <w:rFonts w:asci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rPr>
        <w:t>北京时间</w:t>
      </w:r>
      <w:r>
        <w:rPr>
          <w:rFonts w:hint="eastAsia" w:ascii="宋体" w:hAnsi="宋体" w:cs="宋体"/>
          <w:color w:val="auto"/>
          <w:sz w:val="24"/>
          <w:szCs w:val="32"/>
          <w:highlight w:val="none"/>
          <w:lang w:eastAsia="zh-CN"/>
        </w:rPr>
        <w:t>2022年10月9日上午09:00</w:t>
      </w:r>
      <w:r>
        <w:rPr>
          <w:rFonts w:hint="eastAsia" w:ascii="宋体" w:hAnsi="宋体" w:cs="宋体"/>
          <w:color w:val="auto"/>
          <w:sz w:val="24"/>
          <w:szCs w:val="32"/>
          <w:highlight w:val="none"/>
        </w:rPr>
        <w:t>整</w:t>
      </w:r>
    </w:p>
    <w:p>
      <w:pPr>
        <w:spacing w:line="360" w:lineRule="auto"/>
        <w:ind w:firstLine="482" w:firstLineChars="200"/>
        <w:rPr>
          <w:rFonts w:ascii="宋体" w:cs="宋体"/>
          <w:color w:val="auto"/>
          <w:sz w:val="24"/>
          <w:szCs w:val="32"/>
          <w:highlight w:val="none"/>
        </w:rPr>
      </w:pPr>
      <w:r>
        <w:rPr>
          <w:rFonts w:hint="eastAsia" w:ascii="宋体" w:hAnsi="宋体" w:cs="宋体"/>
          <w:b/>
          <w:bCs/>
          <w:color w:val="auto"/>
          <w:sz w:val="24"/>
          <w:szCs w:val="32"/>
          <w:highlight w:val="none"/>
        </w:rPr>
        <w:t>七、开标地址：</w:t>
      </w:r>
      <w:r>
        <w:rPr>
          <w:rFonts w:hint="eastAsia" w:ascii="宋体" w:hAnsi="宋体" w:cs="宋体"/>
          <w:color w:val="auto"/>
          <w:sz w:val="24"/>
          <w:szCs w:val="32"/>
          <w:highlight w:val="none"/>
          <w:lang w:eastAsia="zh-CN"/>
        </w:rPr>
        <w:t>浙江省台州市椒江区椒江区市府大道777号民泰大楼3楼</w:t>
      </w:r>
      <w:r>
        <w:rPr>
          <w:rFonts w:hint="eastAsia" w:ascii="宋体" w:hAnsi="宋体" w:cs="宋体"/>
          <w:color w:val="auto"/>
          <w:sz w:val="24"/>
          <w:szCs w:val="32"/>
          <w:highlight w:val="none"/>
          <w:lang w:val="en-US" w:eastAsia="zh-CN"/>
        </w:rPr>
        <w:t>一号开标室A</w:t>
      </w:r>
      <w:r>
        <w:rPr>
          <w:rFonts w:hint="eastAsia" w:ascii="宋体" w:hAnsi="宋体" w:cs="宋体"/>
          <w:color w:val="auto"/>
          <w:sz w:val="24"/>
          <w:szCs w:val="32"/>
          <w:highlight w:val="none"/>
        </w:rPr>
        <w:t>。</w:t>
      </w:r>
    </w:p>
    <w:p>
      <w:pPr>
        <w:spacing w:line="360" w:lineRule="auto"/>
        <w:ind w:firstLine="482" w:firstLineChars="200"/>
        <w:outlineLvl w:val="0"/>
        <w:rPr>
          <w:rFonts w:ascii="宋体" w:cs="宋体"/>
          <w:b/>
          <w:bCs/>
          <w:color w:val="auto"/>
          <w:sz w:val="24"/>
          <w:szCs w:val="32"/>
          <w:highlight w:val="none"/>
        </w:rPr>
      </w:pPr>
      <w:r>
        <w:rPr>
          <w:rFonts w:hint="eastAsia" w:ascii="宋体" w:hAnsi="宋体" w:cs="宋体"/>
          <w:b/>
          <w:bCs/>
          <w:color w:val="auto"/>
          <w:sz w:val="24"/>
          <w:szCs w:val="32"/>
          <w:highlight w:val="none"/>
        </w:rPr>
        <w:t>八、相关注意事项：</w:t>
      </w:r>
    </w:p>
    <w:p>
      <w:pPr>
        <w:spacing w:line="360" w:lineRule="auto"/>
        <w:ind w:firstLine="480" w:firstLineChars="200"/>
        <w:rPr>
          <w:rFonts w:ascii="宋体" w:cs="宋体"/>
          <w:color w:val="auto"/>
          <w:sz w:val="24"/>
          <w:szCs w:val="32"/>
          <w:highlight w:val="none"/>
        </w:rPr>
      </w:pPr>
      <w:r>
        <w:rPr>
          <w:rFonts w:hint="eastAsia" w:ascii="宋体" w:hAnsi="宋体" w:cs="宋体"/>
          <w:color w:val="auto"/>
          <w:sz w:val="24"/>
          <w:szCs w:val="32"/>
          <w:highlight w:val="none"/>
        </w:rPr>
        <w:t>供应商如对招标文件有异议应按规定的时间提出，逾期提出的，采购组织机构可不予受理、答复。</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潜在供应商认为采购文件使自己的权益受到损害的，可以在依法获取采购文件之日或采购文件公告期限届满之日（公告期限届满后获取采购文件的，以公告期限届满之日为准）起</w:t>
      </w:r>
      <w:r>
        <w:rPr>
          <w:rFonts w:ascii="宋体" w:hAnsi="宋体" w:cs="宋体"/>
          <w:color w:val="auto"/>
          <w:sz w:val="24"/>
          <w:highlight w:val="none"/>
        </w:rPr>
        <w:t>7</w:t>
      </w:r>
      <w:r>
        <w:rPr>
          <w:rFonts w:hint="eastAsia" w:ascii="宋体" w:hAnsi="宋体" w:cs="宋体"/>
          <w:color w:val="auto"/>
          <w:sz w:val="24"/>
          <w:highlight w:val="none"/>
        </w:rPr>
        <w:t>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根据财库</w:t>
      </w:r>
      <w:r>
        <w:rPr>
          <w:rFonts w:ascii="宋体" w:hAnsi="宋体" w:cs="宋体"/>
          <w:color w:val="auto"/>
          <w:sz w:val="24"/>
          <w:szCs w:val="32"/>
          <w:highlight w:val="none"/>
        </w:rPr>
        <w:t>[2016]125</w:t>
      </w:r>
      <w:r>
        <w:rPr>
          <w:rFonts w:hint="eastAsia" w:ascii="宋体" w:hAnsi="宋体" w:cs="宋体"/>
          <w:color w:val="auto"/>
          <w:sz w:val="24"/>
          <w:szCs w:val="32"/>
          <w:highlight w:val="none"/>
        </w:rPr>
        <w:t>号《关于在政府采购活动中查询及使用信用记录有关问题的通知》要求，采购代理机构会对供应商信用记录进行查询并甄别。</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）信用信息查询的截止时点：开标后评标前；</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32"/>
          <w:highlight w:val="none"/>
        </w:rPr>
        <w:t>www.creditchina.gov.cn</w:t>
      </w:r>
      <w:r>
        <w:rPr>
          <w:rFonts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32"/>
          <w:highlight w:val="none"/>
        </w:rPr>
        <w:t>www.ccgp.gov.cn</w:t>
      </w:r>
      <w:r>
        <w:rPr>
          <w:rFonts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32"/>
          <w:highlight w:val="none"/>
        </w:rPr>
        <w:t>www.zjzfcg.gov.cn</w:t>
      </w:r>
      <w:r>
        <w:rPr>
          <w:rFonts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3</w:t>
      </w:r>
      <w:r>
        <w:rPr>
          <w:rFonts w:hint="eastAsia" w:ascii="宋体" w:hAnsi="宋体" w:cs="宋体"/>
          <w:color w:val="auto"/>
          <w:sz w:val="24"/>
          <w:szCs w:val="32"/>
          <w:highlight w:val="none"/>
        </w:rPr>
        <w:t>）信用信息查询记录和证据留存具体方式：采购代理机构经办人将查询网页打印与其他项目相关文件一并保存；</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4</w:t>
      </w:r>
      <w:r>
        <w:rPr>
          <w:rFonts w:hint="eastAsia" w:ascii="宋体" w:hAnsi="宋体" w:cs="宋体"/>
          <w:color w:val="auto"/>
          <w:sz w:val="24"/>
          <w:szCs w:val="32"/>
          <w:highlight w:val="none"/>
        </w:rPr>
        <w:t>）信用信息的使用规则：投标人存在不良信用记录的，其投标将被作为无效投标被拒绝。</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3.</w:t>
      </w:r>
      <w:r>
        <w:rPr>
          <w:rFonts w:hint="eastAsia" w:ascii="宋体" w:hAnsi="宋体" w:cs="宋体"/>
          <w:color w:val="auto"/>
          <w:sz w:val="24"/>
          <w:szCs w:val="32"/>
          <w:highlight w:val="none"/>
        </w:rPr>
        <w:t>不良信用记录指：被列入失信被执行人、重大税收违法案件当事人名单、政府采购严重违法失信行为记录名单或浙江政府采购网曝光台中尚在行政处罚期内的。</w:t>
      </w:r>
    </w:p>
    <w:p>
      <w:pPr>
        <w:spacing w:line="360" w:lineRule="auto"/>
        <w:ind w:firstLine="482" w:firstLineChars="200"/>
        <w:rPr>
          <w:rFonts w:ascii="宋体" w:cs="宋体"/>
          <w:b/>
          <w:bCs/>
          <w:color w:val="auto"/>
          <w:sz w:val="24"/>
          <w:szCs w:val="32"/>
          <w:highlight w:val="none"/>
        </w:rPr>
      </w:pPr>
      <w:r>
        <w:rPr>
          <w:rFonts w:ascii="宋体" w:hAnsi="宋体" w:cs="宋体"/>
          <w:b/>
          <w:bCs/>
          <w:color w:val="auto"/>
          <w:sz w:val="24"/>
          <w:szCs w:val="32"/>
          <w:highlight w:val="none"/>
        </w:rPr>
        <w:t>4.</w:t>
      </w:r>
      <w:r>
        <w:rPr>
          <w:rFonts w:hint="eastAsia" w:ascii="宋体" w:hAnsi="宋体" w:cs="宋体"/>
          <w:b/>
          <w:bCs/>
          <w:color w:val="auto"/>
          <w:sz w:val="24"/>
          <w:szCs w:val="32"/>
          <w:highlight w:val="none"/>
        </w:rPr>
        <w:t>开标时间后</w:t>
      </w:r>
      <w:r>
        <w:rPr>
          <w:rFonts w:ascii="宋体" w:hAnsi="宋体" w:cs="宋体"/>
          <w:b/>
          <w:bCs/>
          <w:color w:val="auto"/>
          <w:sz w:val="24"/>
          <w:szCs w:val="32"/>
          <w:highlight w:val="none"/>
        </w:rPr>
        <w:t>30</w:t>
      </w:r>
      <w:r>
        <w:rPr>
          <w:rFonts w:hint="eastAsia" w:ascii="宋体" w:hAnsi="宋体" w:cs="宋体"/>
          <w:b/>
          <w:bCs/>
          <w:color w:val="auto"/>
          <w:sz w:val="24"/>
          <w:szCs w:val="32"/>
          <w:highlight w:val="none"/>
        </w:rPr>
        <w:t>分钟内，供应商须登录“政采云”平台，用“项目采购</w:t>
      </w:r>
      <w:r>
        <w:rPr>
          <w:rFonts w:ascii="宋体" w:cs="宋体"/>
          <w:b/>
          <w:bCs/>
          <w:color w:val="auto"/>
          <w:sz w:val="24"/>
          <w:szCs w:val="32"/>
          <w:highlight w:val="none"/>
        </w:rPr>
        <w:t>-</w:t>
      </w:r>
      <w:r>
        <w:rPr>
          <w:rFonts w:hint="eastAsia" w:ascii="宋体" w:hAnsi="宋体" w:cs="宋体"/>
          <w:b/>
          <w:bCs/>
          <w:color w:val="auto"/>
          <w:sz w:val="24"/>
          <w:szCs w:val="32"/>
          <w:highlight w:val="none"/>
        </w:rPr>
        <w:t>开标评标”功能解密投标文件，投标人未按时解密或解密失败的，其上传的电子投标文件自动失效。电脑及</w:t>
      </w:r>
      <w:r>
        <w:rPr>
          <w:rFonts w:ascii="宋体" w:hAnsi="宋体" w:cs="宋体"/>
          <w:b/>
          <w:bCs/>
          <w:color w:val="auto"/>
          <w:sz w:val="24"/>
          <w:szCs w:val="32"/>
          <w:highlight w:val="none"/>
        </w:rPr>
        <w:t>CA</w:t>
      </w:r>
      <w:r>
        <w:rPr>
          <w:rFonts w:hint="eastAsia" w:ascii="宋体" w:hAnsi="宋体" w:cs="宋体"/>
          <w:b/>
          <w:bCs/>
          <w:color w:val="auto"/>
          <w:sz w:val="24"/>
          <w:szCs w:val="32"/>
          <w:highlight w:val="none"/>
        </w:rPr>
        <w:t>解密设备自备。</w:t>
      </w:r>
    </w:p>
    <w:p>
      <w:pPr>
        <w:spacing w:line="360" w:lineRule="auto"/>
        <w:ind w:firstLine="482" w:firstLineChars="200"/>
        <w:rPr>
          <w:rFonts w:ascii="宋体" w:cs="宋体"/>
          <w:b/>
          <w:bCs/>
          <w:color w:val="auto"/>
          <w:sz w:val="24"/>
          <w:szCs w:val="32"/>
          <w:highlight w:val="none"/>
        </w:rPr>
      </w:pPr>
      <w:r>
        <w:rPr>
          <w:rFonts w:hint="eastAsia" w:ascii="宋体" w:hAnsi="宋体" w:cs="宋体"/>
          <w:b/>
          <w:bCs/>
          <w:color w:val="auto"/>
          <w:sz w:val="24"/>
          <w:szCs w:val="32"/>
          <w:highlight w:val="none"/>
        </w:rPr>
        <w:t>九、联系方式：</w:t>
      </w:r>
    </w:p>
    <w:p>
      <w:pPr>
        <w:spacing w:line="360" w:lineRule="auto"/>
        <w:ind w:firstLine="482" w:firstLineChars="200"/>
        <w:rPr>
          <w:rFonts w:hint="eastAsia" w:ascii="宋体" w:eastAsia="宋体" w:cs="宋体"/>
          <w:color w:val="auto"/>
          <w:sz w:val="24"/>
          <w:szCs w:val="32"/>
          <w:highlight w:val="none"/>
          <w:lang w:eastAsia="zh-CN"/>
        </w:rPr>
      </w:pPr>
      <w:r>
        <w:rPr>
          <w:rFonts w:ascii="宋体" w:hAnsi="宋体" w:cs="宋体"/>
          <w:b/>
          <w:bCs/>
          <w:color w:val="auto"/>
          <w:sz w:val="24"/>
          <w:szCs w:val="32"/>
          <w:highlight w:val="none"/>
        </w:rPr>
        <w:t>1</w:t>
      </w:r>
      <w:r>
        <w:rPr>
          <w:rFonts w:hint="eastAsia" w:ascii="宋体" w:hAnsi="宋体" w:cs="宋体"/>
          <w:b/>
          <w:bCs/>
          <w:color w:val="auto"/>
          <w:sz w:val="24"/>
          <w:szCs w:val="32"/>
          <w:highlight w:val="none"/>
        </w:rPr>
        <w:t>、采购代理机构：</w:t>
      </w:r>
      <w:r>
        <w:rPr>
          <w:rFonts w:hint="eastAsia" w:ascii="宋体" w:hAnsi="宋体" w:cs="宋体"/>
          <w:color w:val="auto"/>
          <w:sz w:val="24"/>
          <w:szCs w:val="32"/>
          <w:highlight w:val="none"/>
        </w:rPr>
        <w:t>浙江五石中正工程咨询有限公司</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eastAsia="宋体" w:cs="宋体"/>
          <w:color w:val="auto"/>
          <w:sz w:val="24"/>
          <w:szCs w:val="32"/>
          <w:highlight w:val="none"/>
          <w:lang w:eastAsia="zh-CN"/>
        </w:rPr>
      </w:pPr>
      <w:r>
        <w:rPr>
          <w:rFonts w:hint="eastAsia" w:ascii="宋体" w:hAnsi="宋体" w:cs="宋体"/>
          <w:color w:val="auto"/>
          <w:sz w:val="24"/>
          <w:szCs w:val="32"/>
          <w:highlight w:val="none"/>
        </w:rPr>
        <w:t>项目负责人：徐名峰；联系电话：</w:t>
      </w:r>
      <w:r>
        <w:rPr>
          <w:rFonts w:ascii="宋体" w:hAnsi="宋体" w:cs="宋体"/>
          <w:color w:val="auto"/>
          <w:sz w:val="24"/>
          <w:szCs w:val="32"/>
          <w:highlight w:val="none"/>
        </w:rPr>
        <w:t>15088711407</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eastAsia="宋体" w:cs="宋体"/>
          <w:color w:val="auto"/>
          <w:sz w:val="24"/>
          <w:szCs w:val="32"/>
          <w:highlight w:val="none"/>
          <w:lang w:eastAsia="zh-CN"/>
        </w:rPr>
      </w:pPr>
      <w:r>
        <w:rPr>
          <w:rFonts w:hint="eastAsia" w:ascii="宋体" w:hAnsi="宋体" w:cs="宋体"/>
          <w:color w:val="auto"/>
          <w:sz w:val="24"/>
          <w:szCs w:val="32"/>
          <w:highlight w:val="none"/>
        </w:rPr>
        <w:t>质疑接收人：徐少媚；联系电话：</w:t>
      </w:r>
      <w:r>
        <w:rPr>
          <w:rFonts w:ascii="宋体" w:hAnsi="宋体" w:cs="宋体"/>
          <w:color w:val="auto"/>
          <w:sz w:val="24"/>
          <w:szCs w:val="32"/>
          <w:highlight w:val="none"/>
        </w:rPr>
        <w:t>057</w:t>
      </w:r>
      <w:r>
        <w:rPr>
          <w:rFonts w:hint="eastAsia" w:ascii="宋体" w:hAnsi="宋体" w:cs="宋体"/>
          <w:color w:val="auto"/>
          <w:sz w:val="24"/>
          <w:szCs w:val="32"/>
          <w:highlight w:val="none"/>
        </w:rPr>
        <w:t>6</w:t>
      </w:r>
      <w:r>
        <w:rPr>
          <w:rFonts w:ascii="宋体" w:hAnsi="宋体" w:cs="宋体"/>
          <w:color w:val="auto"/>
          <w:sz w:val="24"/>
          <w:szCs w:val="32"/>
          <w:highlight w:val="none"/>
        </w:rPr>
        <w:t>-</w:t>
      </w:r>
      <w:r>
        <w:rPr>
          <w:rFonts w:hint="eastAsia" w:ascii="宋体" w:hAnsi="宋体" w:cs="宋体"/>
          <w:color w:val="auto"/>
          <w:sz w:val="24"/>
          <w:szCs w:val="32"/>
          <w:highlight w:val="none"/>
        </w:rPr>
        <w:t>88785265</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eastAsia="宋体" w:cs="宋体"/>
          <w:color w:val="auto"/>
          <w:sz w:val="24"/>
          <w:szCs w:val="32"/>
          <w:highlight w:val="none"/>
          <w:lang w:eastAsia="zh-CN"/>
        </w:rPr>
      </w:pPr>
      <w:r>
        <w:rPr>
          <w:rFonts w:hint="eastAsia" w:ascii="宋体" w:hAnsi="宋体" w:cs="宋体"/>
          <w:color w:val="auto"/>
          <w:sz w:val="24"/>
          <w:szCs w:val="32"/>
          <w:highlight w:val="none"/>
        </w:rPr>
        <w:t>报名联系人：高女士；联系电话：</w:t>
      </w:r>
      <w:r>
        <w:rPr>
          <w:rFonts w:ascii="宋体" w:hAnsi="宋体" w:cs="宋体"/>
          <w:color w:val="auto"/>
          <w:sz w:val="24"/>
          <w:szCs w:val="32"/>
          <w:highlight w:val="none"/>
        </w:rPr>
        <w:t>0571-85334203</w:t>
      </w:r>
      <w:r>
        <w:rPr>
          <w:rFonts w:hint="eastAsia" w:ascii="宋体" w:hAnsi="宋体" w:cs="宋体"/>
          <w:color w:val="auto"/>
          <w:sz w:val="24"/>
          <w:szCs w:val="32"/>
          <w:highlight w:val="none"/>
        </w:rPr>
        <w:t>；传真：</w:t>
      </w:r>
      <w:r>
        <w:rPr>
          <w:rFonts w:ascii="宋体" w:hAnsi="宋体" w:cs="宋体"/>
          <w:color w:val="auto"/>
          <w:sz w:val="24"/>
          <w:szCs w:val="32"/>
          <w:highlight w:val="none"/>
        </w:rPr>
        <w:t>0571-85342190</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eastAsia="宋体" w:cs="宋体"/>
          <w:color w:val="auto"/>
          <w:sz w:val="24"/>
          <w:szCs w:val="32"/>
          <w:highlight w:val="none"/>
          <w:lang w:eastAsia="zh-CN"/>
        </w:rPr>
      </w:pPr>
      <w:r>
        <w:rPr>
          <w:rFonts w:hint="eastAsia" w:ascii="宋体" w:hAnsi="宋体" w:cs="宋体"/>
          <w:color w:val="auto"/>
          <w:sz w:val="24"/>
          <w:szCs w:val="32"/>
          <w:highlight w:val="none"/>
        </w:rPr>
        <w:t>地点：台州市椒江区东环大道576号二楼</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2、采购人：中共台州市委政法委员会</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项目联系人（询问）：陈先生。 </w:t>
      </w:r>
    </w:p>
    <w:p>
      <w:pP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项目联系方式（询问）：0576-88510532。  </w:t>
      </w:r>
    </w:p>
    <w:p>
      <w:pP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质疑联系人：徐女士。 </w:t>
      </w:r>
    </w:p>
    <w:p>
      <w:pPr>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质疑联系方式：0576-88510532。 </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地址：浙江省台州市市政府大楼十六楼。</w:t>
      </w:r>
    </w:p>
    <w:p>
      <w:pPr>
        <w:spacing w:line="360" w:lineRule="auto"/>
        <w:ind w:firstLine="482" w:firstLineChars="200"/>
        <w:rPr>
          <w:rFonts w:hint="eastAsia" w:ascii="宋体" w:eastAsia="宋体" w:cs="宋体"/>
          <w:color w:val="auto"/>
          <w:sz w:val="24"/>
          <w:szCs w:val="32"/>
          <w:highlight w:val="none"/>
          <w:lang w:eastAsia="zh-CN"/>
        </w:rPr>
      </w:pPr>
      <w:r>
        <w:rPr>
          <w:rFonts w:ascii="宋体" w:hAnsi="宋体" w:cs="宋体"/>
          <w:b/>
          <w:bCs/>
          <w:color w:val="auto"/>
          <w:sz w:val="24"/>
          <w:szCs w:val="32"/>
          <w:highlight w:val="none"/>
        </w:rPr>
        <w:t>3</w:t>
      </w:r>
      <w:r>
        <w:rPr>
          <w:rFonts w:hint="eastAsia" w:ascii="宋体" w:hAnsi="宋体" w:cs="宋体"/>
          <w:b/>
          <w:bCs/>
          <w:color w:val="auto"/>
          <w:sz w:val="24"/>
          <w:szCs w:val="32"/>
          <w:highlight w:val="none"/>
        </w:rPr>
        <w:t>、同级政府采购监管管理部门：</w:t>
      </w:r>
      <w:r>
        <w:rPr>
          <w:rFonts w:hint="eastAsia" w:ascii="宋体" w:hAnsi="宋体" w:cs="宋体"/>
          <w:color w:val="auto"/>
          <w:sz w:val="24"/>
          <w:szCs w:val="32"/>
          <w:highlight w:val="none"/>
        </w:rPr>
        <w:t>台州市财政局政府采购监督管理办公室</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eastAsia="宋体" w:cs="宋体"/>
          <w:color w:val="auto"/>
          <w:sz w:val="24"/>
          <w:szCs w:val="32"/>
          <w:highlight w:val="none"/>
          <w:lang w:eastAsia="zh-CN"/>
        </w:rPr>
      </w:pPr>
      <w:r>
        <w:rPr>
          <w:rFonts w:hint="eastAsia" w:ascii="宋体" w:hAnsi="宋体" w:cs="宋体"/>
          <w:color w:val="auto"/>
          <w:sz w:val="24"/>
          <w:szCs w:val="32"/>
          <w:highlight w:val="none"/>
        </w:rPr>
        <w:t>联系人：陈工、李工；监督投诉电话：</w:t>
      </w:r>
      <w:r>
        <w:rPr>
          <w:rFonts w:ascii="宋体" w:hAnsi="宋体" w:cs="宋体"/>
          <w:color w:val="auto"/>
          <w:sz w:val="24"/>
          <w:szCs w:val="32"/>
          <w:highlight w:val="none"/>
        </w:rPr>
        <w:t>0576-88206705</w:t>
      </w:r>
      <w:r>
        <w:rPr>
          <w:rFonts w:hint="eastAsia" w:ascii="宋体" w:hAnsi="宋体" w:cs="宋体"/>
          <w:color w:val="auto"/>
          <w:sz w:val="24"/>
          <w:szCs w:val="32"/>
          <w:highlight w:val="none"/>
        </w:rPr>
        <w:t>、0576-88206731</w:t>
      </w:r>
      <w:r>
        <w:rPr>
          <w:rFonts w:hint="eastAsia" w:ascii="宋体" w:hAnsi="宋体" w:cs="宋体"/>
          <w:color w:val="auto"/>
          <w:sz w:val="24"/>
          <w:szCs w:val="32"/>
          <w:highlight w:val="none"/>
          <w:lang w:eastAsia="zh-CN"/>
        </w:rPr>
        <w:t>。</w:t>
      </w:r>
    </w:p>
    <w:p>
      <w:pPr>
        <w:spacing w:line="360" w:lineRule="auto"/>
        <w:ind w:firstLine="480" w:firstLineChars="200"/>
        <w:rPr>
          <w:color w:val="auto"/>
          <w:highlight w:val="none"/>
        </w:rPr>
      </w:pPr>
      <w:r>
        <w:rPr>
          <w:rFonts w:hint="eastAsia" w:ascii="宋体" w:hAnsi="宋体" w:cs="宋体"/>
          <w:color w:val="auto"/>
          <w:sz w:val="24"/>
          <w:szCs w:val="32"/>
          <w:highlight w:val="none"/>
        </w:rPr>
        <w:t>地址：台州市椒江区纬一路</w:t>
      </w:r>
      <w:r>
        <w:rPr>
          <w:rFonts w:ascii="宋体" w:hAnsi="宋体" w:cs="宋体"/>
          <w:color w:val="auto"/>
          <w:sz w:val="24"/>
          <w:szCs w:val="32"/>
          <w:highlight w:val="none"/>
        </w:rPr>
        <w:t>66</w:t>
      </w:r>
      <w:r>
        <w:rPr>
          <w:rFonts w:hint="eastAsia" w:ascii="宋体" w:hAnsi="宋体" w:cs="宋体"/>
          <w:color w:val="auto"/>
          <w:sz w:val="24"/>
          <w:szCs w:val="32"/>
          <w:highlight w:val="none"/>
        </w:rPr>
        <w:t>号天元大厦。</w:t>
      </w:r>
    </w:p>
    <w:p>
      <w:pPr>
        <w:spacing w:line="360" w:lineRule="auto"/>
        <w:ind w:firstLine="482" w:firstLineChars="200"/>
        <w:rPr>
          <w:rFonts w:ascii="宋体" w:hAnsi="宋体" w:cs="宋体"/>
          <w:color w:val="auto"/>
          <w:sz w:val="24"/>
          <w:szCs w:val="32"/>
          <w:highlight w:val="none"/>
        </w:rPr>
      </w:pPr>
      <w:r>
        <w:rPr>
          <w:rFonts w:ascii="宋体" w:hAnsi="宋体" w:cs="宋体"/>
          <w:b/>
          <w:bCs/>
          <w:color w:val="auto"/>
          <w:sz w:val="24"/>
          <w:szCs w:val="32"/>
          <w:highlight w:val="none"/>
        </w:rPr>
        <w:t>4</w:t>
      </w:r>
      <w:r>
        <w:rPr>
          <w:rFonts w:hint="eastAsia" w:ascii="宋体" w:hAnsi="宋体" w:cs="宋体"/>
          <w:b/>
          <w:bCs/>
          <w:color w:val="auto"/>
          <w:sz w:val="24"/>
          <w:szCs w:val="32"/>
          <w:highlight w:val="none"/>
        </w:rPr>
        <w:t>、其余事项：</w:t>
      </w:r>
      <w:r>
        <w:rPr>
          <w:rFonts w:hint="eastAsia" w:ascii="宋体" w:hAnsi="宋体" w:cs="宋体"/>
          <w:color w:val="auto"/>
          <w:sz w:val="24"/>
          <w:szCs w:val="32"/>
          <w:highlight w:val="none"/>
        </w:rPr>
        <w:t>中标供应商如有融资需求，可使用以下银行的政采贷服务。</w:t>
      </w:r>
    </w:p>
    <w:tbl>
      <w:tblPr>
        <w:tblStyle w:val="27"/>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67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王霖</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龚盛</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梅晶晶</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任茜</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王渊</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孙瑞华</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周翔宇</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王海玲</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5.6%起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5.8%起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5.1%起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5.6%起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81888982/18957683735</w:t>
            </w:r>
          </w:p>
        </w:tc>
      </w:tr>
    </w:tbl>
    <w:p>
      <w:pPr>
        <w:jc w:val="center"/>
        <w:rPr>
          <w:color w:val="auto"/>
          <w:sz w:val="32"/>
          <w:szCs w:val="32"/>
          <w:highlight w:val="none"/>
        </w:rPr>
      </w:pPr>
      <w:r>
        <w:rPr>
          <w:rFonts w:hint="eastAsia"/>
          <w:color w:val="auto"/>
          <w:sz w:val="32"/>
          <w:szCs w:val="32"/>
          <w:highlight w:val="none"/>
        </w:rPr>
        <w:t>合同履约保函联系方式</w:t>
      </w:r>
    </w:p>
    <w:tbl>
      <w:tblPr>
        <w:tblStyle w:val="28"/>
        <w:tblW w:w="7800" w:type="dxa"/>
        <w:tblInd w:w="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8"/>
        <w:gridCol w:w="2192"/>
        <w:gridCol w:w="1091"/>
        <w:gridCol w:w="1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0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9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0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60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trPr>
        <w:tc>
          <w:tcPr>
            <w:tcW w:w="290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9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0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60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trPr>
        <w:tc>
          <w:tcPr>
            <w:tcW w:w="290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19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10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60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0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19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10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60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0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19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10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60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 w:hRule="atLeast"/>
        </w:trPr>
        <w:tc>
          <w:tcPr>
            <w:tcW w:w="290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9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0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60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0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19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10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60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 w:hRule="atLeast"/>
        </w:trPr>
        <w:tc>
          <w:tcPr>
            <w:tcW w:w="290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19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10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60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0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19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10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60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pPr>
        <w:ind w:firstLine="3220" w:firstLineChars="1150"/>
        <w:rPr>
          <w:rFonts w:ascii="宋体" w:hAnsi="宋体" w:cs="宋体"/>
          <w:color w:val="auto"/>
          <w:sz w:val="28"/>
          <w:szCs w:val="28"/>
          <w:highlight w:val="none"/>
        </w:rPr>
      </w:pPr>
      <w:r>
        <w:rPr>
          <w:rFonts w:hint="eastAsia" w:ascii="宋体" w:hAnsi="宋体" w:cs="宋体"/>
          <w:color w:val="auto"/>
          <w:sz w:val="28"/>
          <w:szCs w:val="28"/>
          <w:highlight w:val="none"/>
        </w:rPr>
        <w:t>预付款保函联系方式</w:t>
      </w:r>
    </w:p>
    <w:tbl>
      <w:tblPr>
        <w:tblStyle w:val="28"/>
        <w:tblW w:w="7800" w:type="dxa"/>
        <w:tblInd w:w="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5"/>
        <w:gridCol w:w="2195"/>
        <w:gridCol w:w="1091"/>
        <w:gridCol w:w="1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290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0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60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 w:hRule="atLeast"/>
        </w:trPr>
        <w:tc>
          <w:tcPr>
            <w:tcW w:w="290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0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60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90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0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60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0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09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60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pPr>
        <w:spacing w:line="360" w:lineRule="auto"/>
        <w:jc w:val="right"/>
        <w:rPr>
          <w:rFonts w:ascii="宋体" w:hAnsi="宋体" w:cs="宋体"/>
          <w:color w:val="auto"/>
          <w:sz w:val="24"/>
          <w:szCs w:val="32"/>
          <w:highlight w:val="none"/>
        </w:rPr>
      </w:pPr>
    </w:p>
    <w:p>
      <w:pPr>
        <w:spacing w:line="360" w:lineRule="auto"/>
        <w:jc w:val="right"/>
        <w:rPr>
          <w:rFonts w:ascii="宋体" w:cs="宋体"/>
          <w:color w:val="auto"/>
          <w:sz w:val="24"/>
          <w:szCs w:val="32"/>
          <w:highlight w:val="none"/>
        </w:rPr>
      </w:pPr>
      <w:r>
        <w:rPr>
          <w:rFonts w:hint="eastAsia" w:ascii="宋体" w:hAnsi="宋体" w:cs="宋体"/>
          <w:color w:val="auto"/>
          <w:sz w:val="24"/>
          <w:szCs w:val="32"/>
          <w:highlight w:val="none"/>
        </w:rPr>
        <w:t>浙江五石中正工程咨询有限公司</w:t>
      </w:r>
    </w:p>
    <w:p>
      <w:pPr>
        <w:spacing w:line="360" w:lineRule="auto"/>
        <w:ind w:firstLine="6240" w:firstLineChars="2600"/>
        <w:rPr>
          <w:rFonts w:ascii="宋体" w:cs="宋体"/>
          <w:color w:val="auto"/>
          <w:sz w:val="24"/>
          <w:szCs w:val="32"/>
          <w:highlight w:val="none"/>
        </w:rPr>
      </w:pPr>
      <w:r>
        <w:rPr>
          <w:rFonts w:hint="eastAsia" w:ascii="宋体" w:hAnsi="宋体" w:cs="宋体"/>
          <w:color w:val="auto"/>
          <w:sz w:val="24"/>
          <w:szCs w:val="32"/>
          <w:highlight w:val="none"/>
        </w:rPr>
        <w:t>2022 年</w:t>
      </w: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月</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p>
    <w:p>
      <w:pPr>
        <w:spacing w:line="360" w:lineRule="auto"/>
        <w:ind w:firstLine="482" w:firstLineChars="200"/>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27"/>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7"/>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jc w:val="center"/>
              <w:rPr>
                <w:rFonts w:ascii="宋体" w:cs="宋体"/>
                <w:color w:val="auto"/>
                <w:sz w:val="24"/>
                <w:highlight w:val="none"/>
              </w:rPr>
            </w:pPr>
            <w:r>
              <w:rPr>
                <w:rFonts w:hint="eastAsia" w:ascii="宋体" w:hAnsi="宋体" w:cs="宋体"/>
                <w:color w:val="auto"/>
                <w:sz w:val="24"/>
                <w:highlight w:val="none"/>
              </w:rPr>
              <w:t>序号</w:t>
            </w:r>
          </w:p>
        </w:tc>
        <w:tc>
          <w:tcPr>
            <w:tcW w:w="2407" w:type="dxa"/>
            <w:vAlign w:val="center"/>
          </w:tcPr>
          <w:p>
            <w:pPr>
              <w:jc w:val="center"/>
              <w:rPr>
                <w:rFonts w:ascii="宋体" w:cs="宋体"/>
                <w:color w:val="auto"/>
                <w:sz w:val="24"/>
                <w:highlight w:val="none"/>
              </w:rPr>
            </w:pPr>
            <w:r>
              <w:rPr>
                <w:rFonts w:hint="eastAsia" w:ascii="宋体" w:hAnsi="宋体" w:cs="宋体"/>
                <w:color w:val="auto"/>
                <w:sz w:val="24"/>
                <w:highlight w:val="none"/>
              </w:rPr>
              <w:t>项</w:t>
            </w:r>
            <w:r>
              <w:rPr>
                <w:rFonts w:ascii="宋体" w:hAnsi="宋体" w:cs="宋体"/>
                <w:color w:val="auto"/>
                <w:sz w:val="24"/>
                <w:highlight w:val="none"/>
              </w:rPr>
              <w:t xml:space="preserve">    </w:t>
            </w:r>
            <w:r>
              <w:rPr>
                <w:rFonts w:hint="eastAsia" w:ascii="宋体" w:hAnsi="宋体" w:cs="宋体"/>
                <w:color w:val="auto"/>
                <w:sz w:val="24"/>
                <w:highlight w:val="none"/>
              </w:rPr>
              <w:t>目</w:t>
            </w:r>
          </w:p>
        </w:tc>
        <w:tc>
          <w:tcPr>
            <w:tcW w:w="7050" w:type="dxa"/>
            <w:vAlign w:val="center"/>
          </w:tcPr>
          <w:p>
            <w:pPr>
              <w:jc w:val="center"/>
              <w:rPr>
                <w:rFonts w:ascii="宋体" w:cs="宋体"/>
                <w:color w:val="auto"/>
                <w:sz w:val="24"/>
                <w:highlight w:val="none"/>
              </w:rPr>
            </w:pPr>
            <w:r>
              <w:rPr>
                <w:rFonts w:hint="eastAsia" w:ascii="宋体" w:hAnsi="宋体" w:cs="宋体"/>
                <w:color w:val="auto"/>
                <w:sz w:val="24"/>
                <w:highlight w:val="none"/>
              </w:rPr>
              <w:t>内</w:t>
            </w:r>
            <w:r>
              <w:rPr>
                <w:rFonts w:ascii="宋体" w:hAnsi="宋体" w:cs="宋体"/>
                <w:color w:val="auto"/>
                <w:sz w:val="24"/>
                <w:highlight w:val="none"/>
              </w:rPr>
              <w:t xml:space="preserve">                 </w:t>
            </w:r>
            <w:r>
              <w:rPr>
                <w:rFonts w:hint="eastAsia" w:ascii="宋体" w:hAnsi="宋体" w:cs="宋体"/>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jc w:val="center"/>
              <w:rPr>
                <w:rFonts w:ascii="宋体" w:cs="宋体"/>
                <w:color w:val="auto"/>
                <w:sz w:val="24"/>
                <w:highlight w:val="none"/>
              </w:rPr>
            </w:pPr>
            <w:r>
              <w:rPr>
                <w:rFonts w:ascii="宋体" w:hAnsi="宋体" w:cs="宋体"/>
                <w:color w:val="auto"/>
                <w:sz w:val="24"/>
                <w:highlight w:val="none"/>
              </w:rPr>
              <w:t>1</w:t>
            </w:r>
          </w:p>
        </w:tc>
        <w:tc>
          <w:tcPr>
            <w:tcW w:w="2407" w:type="dxa"/>
            <w:vAlign w:val="center"/>
          </w:tcPr>
          <w:p>
            <w:pPr>
              <w:jc w:val="center"/>
              <w:rPr>
                <w:rFonts w:ascii="宋体" w:cs="宋体"/>
                <w:color w:val="auto"/>
                <w:sz w:val="24"/>
                <w:highlight w:val="none"/>
              </w:rPr>
            </w:pPr>
            <w:r>
              <w:rPr>
                <w:rFonts w:hint="eastAsia" w:ascii="宋体" w:hAnsi="宋体" w:cs="宋体"/>
                <w:color w:val="auto"/>
                <w:sz w:val="24"/>
                <w:highlight w:val="none"/>
              </w:rPr>
              <w:t>供应商特定资格要求</w:t>
            </w:r>
          </w:p>
        </w:tc>
        <w:tc>
          <w:tcPr>
            <w:tcW w:w="7050" w:type="dxa"/>
            <w:vAlign w:val="center"/>
          </w:tcPr>
          <w:p>
            <w:pPr>
              <w:rPr>
                <w:rFonts w:ascii="宋体" w:cs="宋体"/>
                <w:color w:val="auto"/>
                <w:sz w:val="24"/>
                <w:highlight w:val="none"/>
              </w:rPr>
            </w:pPr>
            <w:r>
              <w:rPr>
                <w:rFonts w:hint="eastAsia" w:ascii="宋体" w:hAnsi="宋体" w:cs="宋体"/>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jc w:val="center"/>
              <w:rPr>
                <w:rFonts w:ascii="宋体" w:cs="宋体"/>
                <w:color w:val="auto"/>
                <w:sz w:val="24"/>
                <w:highlight w:val="none"/>
              </w:rPr>
            </w:pPr>
            <w:r>
              <w:rPr>
                <w:rFonts w:ascii="宋体" w:hAnsi="宋体" w:cs="宋体"/>
                <w:color w:val="auto"/>
                <w:sz w:val="24"/>
                <w:highlight w:val="none"/>
              </w:rPr>
              <w:t>2</w:t>
            </w:r>
          </w:p>
        </w:tc>
        <w:tc>
          <w:tcPr>
            <w:tcW w:w="2407" w:type="dxa"/>
            <w:vAlign w:val="center"/>
          </w:tcPr>
          <w:p>
            <w:pPr>
              <w:jc w:val="center"/>
              <w:rPr>
                <w:rFonts w:asci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50" w:type="dxa"/>
            <w:vAlign w:val="center"/>
          </w:tcPr>
          <w:p>
            <w:pPr>
              <w:rPr>
                <w:rFonts w:ascii="宋体" w:cs="宋体"/>
                <w:color w:val="auto"/>
                <w:sz w:val="24"/>
                <w:highlight w:val="none"/>
              </w:rPr>
            </w:pPr>
            <w:r>
              <w:rPr>
                <w:rFonts w:hint="eastAsia" w:asci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pPr>
              <w:jc w:val="center"/>
              <w:rPr>
                <w:rFonts w:ascii="宋体" w:cs="宋体"/>
                <w:color w:val="auto"/>
                <w:sz w:val="24"/>
                <w:highlight w:val="none"/>
              </w:rPr>
            </w:pPr>
            <w:r>
              <w:rPr>
                <w:rFonts w:ascii="宋体" w:hAnsi="宋体" w:cs="宋体"/>
                <w:color w:val="auto"/>
                <w:sz w:val="24"/>
                <w:highlight w:val="none"/>
              </w:rPr>
              <w:t>3</w:t>
            </w:r>
          </w:p>
        </w:tc>
        <w:tc>
          <w:tcPr>
            <w:tcW w:w="2407" w:type="dxa"/>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投标文件递交要求</w:t>
            </w:r>
          </w:p>
        </w:tc>
        <w:tc>
          <w:tcPr>
            <w:tcW w:w="7050" w:type="dxa"/>
            <w:vAlign w:val="center"/>
          </w:tcPr>
          <w:p>
            <w:pPr>
              <w:rPr>
                <w:rFonts w:ascii="宋体" w:cs="宋体"/>
                <w:color w:val="auto"/>
                <w:sz w:val="24"/>
                <w:highlight w:val="none"/>
              </w:rPr>
            </w:pPr>
            <w:r>
              <w:rPr>
                <w:rFonts w:hint="eastAsia" w:ascii="宋体" w:cs="宋体"/>
                <w:color w:val="auto"/>
                <w:sz w:val="24"/>
                <w:highlight w:val="none"/>
              </w:rPr>
              <w:t>本项目实行</w:t>
            </w:r>
            <w:r>
              <w:rPr>
                <w:rFonts w:hint="eastAsia" w:ascii="宋体" w:cs="宋体"/>
                <w:b/>
                <w:bCs/>
                <w:color w:val="auto"/>
                <w:sz w:val="24"/>
                <w:highlight w:val="none"/>
              </w:rPr>
              <w:t>电子投标</w:t>
            </w:r>
            <w:r>
              <w:rPr>
                <w:rFonts w:hint="eastAsia" w:ascii="宋体" w:cs="宋体"/>
                <w:color w:val="auto"/>
                <w:sz w:val="24"/>
                <w:highlight w:val="none"/>
              </w:rPr>
              <w:t>，供应商应准备电子投标文件、以介质（U盘）存储的数据电文形式的备份投标文件、纸质备份投标文件三类：</w:t>
            </w:r>
          </w:p>
          <w:p>
            <w:pPr>
              <w:ind w:firstLine="480" w:firstLineChars="200"/>
              <w:rPr>
                <w:rFonts w:ascii="宋体" w:cs="宋体"/>
                <w:color w:val="auto"/>
                <w:sz w:val="24"/>
                <w:highlight w:val="none"/>
              </w:rPr>
            </w:pPr>
            <w:r>
              <w:rPr>
                <w:rFonts w:hint="eastAsia" w:ascii="宋体" w:cs="宋体"/>
                <w:color w:val="auto"/>
                <w:sz w:val="24"/>
                <w:highlight w:val="none"/>
              </w:rPr>
              <w:t>1.电子投标文件，按政采云平台项目采购--电子招投标操作指南及本招标文件要求编制、递交。</w:t>
            </w:r>
          </w:p>
          <w:p>
            <w:pPr>
              <w:ind w:firstLine="480" w:firstLineChars="200"/>
              <w:rPr>
                <w:rFonts w:ascii="宋体" w:cs="宋体"/>
                <w:color w:val="auto"/>
                <w:sz w:val="24"/>
                <w:highlight w:val="none"/>
              </w:rPr>
            </w:pPr>
            <w:r>
              <w:rPr>
                <w:rFonts w:hint="eastAsia" w:ascii="宋体" w:cs="宋体"/>
                <w:color w:val="auto"/>
                <w:sz w:val="24"/>
                <w:highlight w:val="none"/>
              </w:rPr>
              <w:t>2.以介质（U盘）存储的数据电文形式的备份投标文件，按政采云平台项目采购-电子招投标操作指南中上传的电子投标文件格式，以U盘形式提供。</w:t>
            </w:r>
          </w:p>
          <w:p>
            <w:pPr>
              <w:ind w:firstLine="480" w:firstLineChars="200"/>
              <w:rPr>
                <w:rFonts w:ascii="宋体" w:cs="宋体"/>
                <w:color w:val="auto"/>
                <w:sz w:val="24"/>
                <w:highlight w:val="none"/>
              </w:rPr>
            </w:pPr>
            <w:r>
              <w:rPr>
                <w:rFonts w:hint="eastAsia" w:ascii="宋体" w:cs="宋体"/>
                <w:color w:val="auto"/>
                <w:sz w:val="24"/>
                <w:highlight w:val="none"/>
              </w:rPr>
              <w:t>3.纸质备份投标文件以纸质文件的形式编制，按</w:t>
            </w:r>
            <w:r>
              <w:rPr>
                <w:rFonts w:hint="eastAsia" w:ascii="宋体" w:hAnsi="宋体" w:cs="宋体"/>
                <w:color w:val="auto"/>
                <w:sz w:val="24"/>
                <w:highlight w:val="none"/>
              </w:rPr>
              <w:t>资格证明文件、商务技术文件、报价文件三部分</w:t>
            </w:r>
            <w:r>
              <w:rPr>
                <w:rFonts w:hint="eastAsia" w:ascii="宋体" w:cs="宋体"/>
                <w:color w:val="auto"/>
                <w:sz w:val="24"/>
                <w:highlight w:val="none"/>
              </w:rPr>
              <w:t>分别编制并单独装订成册，</w:t>
            </w:r>
            <w:r>
              <w:rPr>
                <w:rFonts w:hint="eastAsia" w:ascii="宋体" w:hAnsi="宋体" w:cs="宋体"/>
                <w:b/>
                <w:bCs/>
                <w:color w:val="auto"/>
                <w:sz w:val="24"/>
                <w:highlight w:val="none"/>
              </w:rPr>
              <w:t>数量均为2份（一正一副）</w:t>
            </w:r>
            <w:r>
              <w:rPr>
                <w:rFonts w:hint="eastAsia" w:ascii="宋体" w:cs="宋体"/>
                <w:color w:val="auto"/>
                <w:sz w:val="24"/>
                <w:highlight w:val="none"/>
              </w:rPr>
              <w:t>。</w:t>
            </w:r>
            <w:r>
              <w:rPr>
                <w:rFonts w:hint="eastAsia" w:ascii="宋体" w:hAnsi="宋体" w:cs="宋体"/>
                <w:color w:val="auto"/>
                <w:sz w:val="24"/>
                <w:highlight w:val="none"/>
              </w:rPr>
              <w:t>资格证明文件、商务技术文件、报价文件三部分</w:t>
            </w:r>
            <w:r>
              <w:rPr>
                <w:rFonts w:hint="eastAsia" w:ascii="宋体" w:cs="宋体"/>
                <w:color w:val="auto"/>
                <w:sz w:val="24"/>
                <w:highlight w:val="none"/>
              </w:rPr>
              <w:t>须分别密封封装，</w:t>
            </w:r>
            <w:r>
              <w:rPr>
                <w:rFonts w:hint="eastAsia" w:ascii="宋体" w:hAnsi="宋体" w:cs="宋体"/>
                <w:color w:val="auto"/>
                <w:sz w:val="24"/>
                <w:highlight w:val="none"/>
              </w:rPr>
              <w:t>资格证明文件、商务技术文件、报价文件三部分</w:t>
            </w:r>
            <w:r>
              <w:rPr>
                <w:rFonts w:hint="eastAsia" w:ascii="宋体" w:cs="宋体"/>
                <w:color w:val="auto"/>
                <w:sz w:val="24"/>
                <w:highlight w:val="none"/>
              </w:rPr>
              <w:t>未分别密封的投标文件将为无效。</w:t>
            </w:r>
          </w:p>
          <w:p>
            <w:pPr>
              <w:ind w:firstLine="480" w:firstLineChars="200"/>
              <w:rPr>
                <w:rFonts w:ascii="宋体" w:cs="宋体"/>
                <w:color w:val="auto"/>
                <w:sz w:val="24"/>
                <w:highlight w:val="none"/>
              </w:rPr>
            </w:pPr>
            <w:r>
              <w:rPr>
                <w:rFonts w:hint="eastAsia" w:ascii="宋体" w:cs="宋体"/>
                <w:color w:val="auto"/>
                <w:sz w:val="24"/>
                <w:highlight w:val="none"/>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pPr>
              <w:ind w:firstLine="480" w:firstLineChars="200"/>
              <w:rPr>
                <w:rFonts w:ascii="宋体" w:cs="宋体"/>
                <w:color w:val="auto"/>
                <w:sz w:val="24"/>
                <w:highlight w:val="none"/>
              </w:rPr>
            </w:pPr>
            <w:r>
              <w:rPr>
                <w:rFonts w:hint="eastAsia" w:ascii="宋体" w:cs="宋体"/>
                <w:color w:val="auto"/>
                <w:sz w:val="24"/>
                <w:highlight w:val="none"/>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pPr>
              <w:jc w:val="center"/>
              <w:rPr>
                <w:rFonts w:ascii="宋体" w:cs="宋体"/>
                <w:color w:val="auto"/>
                <w:sz w:val="24"/>
                <w:highlight w:val="none"/>
              </w:rPr>
            </w:pPr>
            <w:r>
              <w:rPr>
                <w:rFonts w:ascii="宋体" w:hAnsi="宋体" w:cs="宋体"/>
                <w:color w:val="auto"/>
                <w:sz w:val="24"/>
                <w:highlight w:val="none"/>
              </w:rPr>
              <w:t>4</w:t>
            </w:r>
          </w:p>
        </w:tc>
        <w:tc>
          <w:tcPr>
            <w:tcW w:w="2407" w:type="dxa"/>
            <w:vAlign w:val="center"/>
          </w:tcPr>
          <w:p>
            <w:pPr>
              <w:jc w:val="center"/>
              <w:rPr>
                <w:rFonts w:ascii="宋体" w:cs="宋体"/>
                <w:color w:val="auto"/>
                <w:sz w:val="24"/>
                <w:highlight w:val="none"/>
              </w:rPr>
            </w:pPr>
            <w:r>
              <w:rPr>
                <w:rFonts w:hint="eastAsia" w:ascii="宋体" w:hAnsi="宋体" w:cs="宋体"/>
                <w:color w:val="auto"/>
                <w:sz w:val="24"/>
                <w:highlight w:val="none"/>
              </w:rPr>
              <w:t>投标有效期</w:t>
            </w:r>
          </w:p>
        </w:tc>
        <w:tc>
          <w:tcPr>
            <w:tcW w:w="7050" w:type="dxa"/>
            <w:vAlign w:val="center"/>
          </w:tcPr>
          <w:p>
            <w:pPr>
              <w:rPr>
                <w:rFonts w:ascii="宋体" w:cs="宋体"/>
                <w:color w:val="auto"/>
                <w:sz w:val="24"/>
                <w:highlight w:val="none"/>
              </w:rPr>
            </w:pPr>
            <w:r>
              <w:rPr>
                <w:rFonts w:hint="eastAsia" w:ascii="宋体" w:hAnsi="宋体" w:cs="宋体"/>
                <w:color w:val="auto"/>
                <w:sz w:val="24"/>
                <w:highlight w:val="none"/>
              </w:rPr>
              <w:t>投标有效期为开标后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pPr>
              <w:jc w:val="center"/>
              <w:rPr>
                <w:rFonts w:ascii="宋体" w:cs="宋体"/>
                <w:color w:val="auto"/>
                <w:sz w:val="24"/>
                <w:highlight w:val="none"/>
              </w:rPr>
            </w:pPr>
            <w:r>
              <w:rPr>
                <w:rFonts w:ascii="宋体" w:hAnsi="宋体" w:cs="宋体"/>
                <w:color w:val="auto"/>
                <w:sz w:val="24"/>
                <w:highlight w:val="none"/>
              </w:rPr>
              <w:t>5</w:t>
            </w:r>
          </w:p>
        </w:tc>
        <w:tc>
          <w:tcPr>
            <w:tcW w:w="2407" w:type="dxa"/>
            <w:vAlign w:val="center"/>
          </w:tcPr>
          <w:p>
            <w:pPr>
              <w:jc w:val="center"/>
              <w:rPr>
                <w:rFonts w:ascii="宋体" w:cs="宋体"/>
                <w:color w:val="auto"/>
                <w:sz w:val="24"/>
                <w:highlight w:val="none"/>
              </w:rPr>
            </w:pPr>
            <w:r>
              <w:rPr>
                <w:rFonts w:hint="eastAsia" w:ascii="宋体" w:hAnsi="宋体" w:cs="宋体"/>
                <w:color w:val="auto"/>
                <w:sz w:val="24"/>
                <w:highlight w:val="none"/>
              </w:rPr>
              <w:t>投标文件递交</w:t>
            </w:r>
          </w:p>
        </w:tc>
        <w:tc>
          <w:tcPr>
            <w:tcW w:w="7050" w:type="dxa"/>
            <w:vAlign w:val="center"/>
          </w:tcPr>
          <w:p>
            <w:pPr>
              <w:rPr>
                <w:rFonts w:ascii="宋体" w:cs="宋体"/>
                <w:color w:val="auto"/>
                <w:sz w:val="24"/>
                <w:highlight w:val="none"/>
              </w:rPr>
            </w:pPr>
            <w:r>
              <w:rPr>
                <w:rFonts w:hint="eastAsia" w:ascii="宋体" w:hAnsi="宋体" w:cs="宋体"/>
                <w:color w:val="auto"/>
                <w:sz w:val="24"/>
                <w:highlight w:val="none"/>
              </w:rPr>
              <w:t>截止时间：北京时间</w:t>
            </w:r>
            <w:r>
              <w:rPr>
                <w:rFonts w:hint="eastAsia" w:ascii="宋体" w:hAnsi="宋体" w:cs="Arial"/>
                <w:color w:val="auto"/>
                <w:sz w:val="24"/>
                <w:highlight w:val="none"/>
                <w:lang w:eastAsia="zh-CN"/>
              </w:rPr>
              <w:t>2022年10月9日上午09:00</w:t>
            </w:r>
            <w:r>
              <w:rPr>
                <w:rFonts w:hint="eastAsia" w:ascii="宋体" w:hAnsi="宋体" w:cs="Arial"/>
                <w:color w:val="auto"/>
                <w:sz w:val="24"/>
                <w:highlight w:val="none"/>
              </w:rPr>
              <w:t>整</w:t>
            </w:r>
          </w:p>
          <w:p>
            <w:pPr>
              <w:rPr>
                <w:rFonts w:ascii="宋体" w:cs="宋体"/>
                <w:color w:val="auto"/>
                <w:sz w:val="24"/>
                <w:highlight w:val="none"/>
              </w:rPr>
            </w:pPr>
            <w:r>
              <w:rPr>
                <w:rFonts w:hint="eastAsia" w:ascii="宋体" w:hAnsi="宋体" w:cs="宋体"/>
                <w:color w:val="auto"/>
                <w:sz w:val="24"/>
                <w:highlight w:val="none"/>
              </w:rPr>
              <w:t>投标供应商应当在投标截止时间前将生成的</w:t>
            </w:r>
            <w:r>
              <w:rPr>
                <w:rFonts w:ascii="宋体" w:hAnsi="宋体" w:cs="宋体"/>
                <w:color w:val="auto"/>
                <w:sz w:val="24"/>
                <w:highlight w:val="none"/>
              </w:rPr>
              <w:t>“</w:t>
            </w:r>
            <w:r>
              <w:rPr>
                <w:rFonts w:hint="eastAsia" w:ascii="宋体" w:hAnsi="宋体" w:cs="宋体"/>
                <w:color w:val="auto"/>
                <w:sz w:val="24"/>
                <w:highlight w:val="none"/>
              </w:rPr>
              <w:t>电子加密投标文件</w:t>
            </w:r>
            <w:r>
              <w:rPr>
                <w:rFonts w:ascii="宋体" w:hAnsi="宋体" w:cs="宋体"/>
                <w:color w:val="auto"/>
                <w:sz w:val="24"/>
                <w:highlight w:val="none"/>
              </w:rPr>
              <w:t>”</w:t>
            </w:r>
            <w:r>
              <w:rPr>
                <w:rFonts w:hint="eastAsia" w:ascii="宋体" w:hAnsi="宋体" w:cs="宋体"/>
                <w:color w:val="auto"/>
                <w:sz w:val="24"/>
                <w:highlight w:val="none"/>
              </w:rPr>
              <w:t>上传递交至</w:t>
            </w:r>
            <w:r>
              <w:rPr>
                <w:rFonts w:ascii="宋体" w:hAnsi="宋体" w:cs="宋体"/>
                <w:color w:val="auto"/>
                <w:sz w:val="24"/>
                <w:highlight w:val="none"/>
              </w:rPr>
              <w:t>“</w:t>
            </w:r>
            <w:r>
              <w:rPr>
                <w:rFonts w:hint="eastAsia" w:ascii="宋体" w:hAnsi="宋体" w:cs="宋体"/>
                <w:color w:val="auto"/>
                <w:sz w:val="24"/>
                <w:highlight w:val="none"/>
              </w:rPr>
              <w:t>政府采购云平台</w:t>
            </w:r>
            <w:r>
              <w:rPr>
                <w:rFonts w:ascii="宋体" w:hAnsi="宋体" w:cs="宋体"/>
                <w:color w:val="auto"/>
                <w:sz w:val="24"/>
                <w:highlight w:val="none"/>
              </w:rPr>
              <w:t>”</w:t>
            </w:r>
            <w:r>
              <w:rPr>
                <w:rFonts w:hint="eastAsia" w:ascii="宋体" w:hAnsi="宋体" w:cs="宋体"/>
                <w:color w:val="auto"/>
                <w:sz w:val="24"/>
                <w:highlight w:val="none"/>
              </w:rPr>
              <w:t>，并在开标当日投标截止时间前提交纸质备份投标文件。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jc w:val="center"/>
              <w:rPr>
                <w:rFonts w:ascii="宋体" w:cs="宋体"/>
                <w:color w:val="auto"/>
                <w:sz w:val="24"/>
                <w:highlight w:val="none"/>
              </w:rPr>
            </w:pPr>
            <w:r>
              <w:rPr>
                <w:rFonts w:ascii="宋体" w:hAnsi="宋体" w:cs="宋体"/>
                <w:color w:val="auto"/>
                <w:sz w:val="24"/>
                <w:highlight w:val="none"/>
              </w:rPr>
              <w:t>6</w:t>
            </w:r>
          </w:p>
        </w:tc>
        <w:tc>
          <w:tcPr>
            <w:tcW w:w="2407" w:type="dxa"/>
            <w:vAlign w:val="center"/>
          </w:tcPr>
          <w:p>
            <w:pPr>
              <w:jc w:val="center"/>
              <w:rPr>
                <w:rFonts w:ascii="宋体" w:cs="宋体"/>
                <w:color w:val="auto"/>
                <w:sz w:val="24"/>
                <w:highlight w:val="none"/>
              </w:rPr>
            </w:pPr>
            <w:r>
              <w:rPr>
                <w:rFonts w:hint="eastAsia" w:ascii="宋体" w:hAnsi="宋体" w:cs="宋体"/>
                <w:color w:val="auto"/>
                <w:sz w:val="24"/>
                <w:highlight w:val="none"/>
              </w:rPr>
              <w:t>开标时间及地点</w:t>
            </w:r>
          </w:p>
        </w:tc>
        <w:tc>
          <w:tcPr>
            <w:tcW w:w="7050" w:type="dxa"/>
            <w:vAlign w:val="center"/>
          </w:tcPr>
          <w:p>
            <w:pPr>
              <w:rPr>
                <w:rFonts w:hint="eastAsia" w:ascii="宋体" w:hAnsi="宋体" w:cs="宋体"/>
                <w:color w:val="auto"/>
                <w:sz w:val="24"/>
                <w:highlight w:val="none"/>
                <w:lang w:eastAsia="zh-CN"/>
              </w:rPr>
            </w:pPr>
            <w:r>
              <w:rPr>
                <w:rFonts w:hint="eastAsia" w:ascii="宋体" w:hAnsi="宋体" w:cs="宋体"/>
                <w:color w:val="auto"/>
                <w:sz w:val="24"/>
                <w:highlight w:val="none"/>
              </w:rPr>
              <w:t>时间：北京时间</w:t>
            </w:r>
            <w:r>
              <w:rPr>
                <w:rFonts w:hint="eastAsia" w:ascii="宋体" w:hAnsi="宋体" w:cs="Arial"/>
                <w:color w:val="auto"/>
                <w:sz w:val="24"/>
                <w:highlight w:val="none"/>
                <w:lang w:eastAsia="zh-CN"/>
              </w:rPr>
              <w:t>2022年10月9日上午09:00</w:t>
            </w:r>
            <w:r>
              <w:rPr>
                <w:rFonts w:hint="eastAsia" w:ascii="宋体" w:hAnsi="宋体" w:cs="Arial"/>
                <w:color w:val="auto"/>
                <w:sz w:val="24"/>
                <w:highlight w:val="none"/>
              </w:rPr>
              <w:t>整</w:t>
            </w:r>
            <w:r>
              <w:rPr>
                <w:rFonts w:hint="eastAsia" w:ascii="宋体" w:hAnsi="宋体" w:cs="宋体"/>
                <w:color w:val="auto"/>
                <w:sz w:val="24"/>
                <w:highlight w:val="none"/>
                <w:lang w:eastAsia="zh-CN"/>
              </w:rPr>
              <w:t>。</w:t>
            </w:r>
          </w:p>
          <w:p>
            <w:pPr>
              <w:rPr>
                <w:rFonts w:asci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highlight w:val="none"/>
              </w:rPr>
              <w:t>浙江省台州市椒江区椒江区市府大道777号民泰大楼3楼</w:t>
            </w:r>
            <w:r>
              <w:rPr>
                <w:rFonts w:hint="eastAsia" w:ascii="宋体" w:hAnsi="宋体" w:cs="宋体"/>
                <w:color w:val="auto"/>
                <w:sz w:val="24"/>
                <w:szCs w:val="32"/>
                <w:highlight w:val="none"/>
                <w:lang w:val="en-US" w:eastAsia="zh-CN"/>
              </w:rPr>
              <w:t>一号开标室A</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jc w:val="center"/>
              <w:rPr>
                <w:rFonts w:ascii="宋体" w:cs="宋体"/>
                <w:color w:val="auto"/>
                <w:sz w:val="24"/>
                <w:highlight w:val="none"/>
              </w:rPr>
            </w:pPr>
            <w:r>
              <w:rPr>
                <w:rFonts w:ascii="宋体" w:hAnsi="宋体" w:cs="宋体"/>
                <w:color w:val="auto"/>
                <w:sz w:val="24"/>
                <w:highlight w:val="none"/>
              </w:rPr>
              <w:t>7</w:t>
            </w:r>
          </w:p>
        </w:tc>
        <w:tc>
          <w:tcPr>
            <w:tcW w:w="2407" w:type="dxa"/>
            <w:vAlign w:val="center"/>
          </w:tcPr>
          <w:p>
            <w:pPr>
              <w:jc w:val="center"/>
              <w:rPr>
                <w:rFonts w:ascii="宋体" w:cs="宋体"/>
                <w:color w:val="auto"/>
                <w:sz w:val="24"/>
                <w:highlight w:val="none"/>
              </w:rPr>
            </w:pPr>
            <w:r>
              <w:rPr>
                <w:rFonts w:hint="eastAsia" w:ascii="宋体" w:hAnsi="宋体" w:cs="宋体"/>
                <w:color w:val="auto"/>
                <w:sz w:val="24"/>
                <w:highlight w:val="none"/>
              </w:rPr>
              <w:t>履约保证金</w:t>
            </w:r>
          </w:p>
        </w:tc>
        <w:tc>
          <w:tcPr>
            <w:tcW w:w="7050" w:type="dxa"/>
            <w:vAlign w:val="center"/>
          </w:tcPr>
          <w:p>
            <w:pPr>
              <w:rPr>
                <w:rFonts w:ascii="宋体" w:hAnsi="宋体" w:cs="宋体"/>
                <w:color w:val="auto"/>
                <w:sz w:val="24"/>
                <w:highlight w:val="none"/>
              </w:rPr>
            </w:pPr>
            <w:r>
              <w:rPr>
                <w:rFonts w:hint="eastAsia" w:ascii="宋体" w:hAnsi="宋体" w:cs="宋体"/>
                <w:bCs/>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jc w:val="center"/>
              <w:rPr>
                <w:rFonts w:ascii="宋体" w:cs="宋体"/>
                <w:color w:val="auto"/>
                <w:sz w:val="24"/>
                <w:highlight w:val="none"/>
              </w:rPr>
            </w:pPr>
            <w:r>
              <w:rPr>
                <w:rFonts w:ascii="宋体" w:hAnsi="宋体" w:cs="宋体"/>
                <w:color w:val="auto"/>
                <w:sz w:val="24"/>
                <w:highlight w:val="none"/>
              </w:rPr>
              <w:t>8</w:t>
            </w:r>
          </w:p>
        </w:tc>
        <w:tc>
          <w:tcPr>
            <w:tcW w:w="2407" w:type="dxa"/>
            <w:vAlign w:val="center"/>
          </w:tcPr>
          <w:p>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7050" w:type="dxa"/>
            <w:vAlign w:val="center"/>
          </w:tcPr>
          <w:p>
            <w:pPr>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2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lang w:val="zh-CN"/>
              </w:rPr>
              <w:t>样品</w:t>
            </w:r>
            <w:r>
              <w:rPr>
                <w:rFonts w:hint="eastAsia" w:ascii="宋体" w:hAnsi="宋体" w:cs="宋体"/>
                <w:color w:val="auto"/>
                <w:sz w:val="24"/>
                <w:highlight w:val="none"/>
              </w:rPr>
              <w:t>及演示</w:t>
            </w:r>
          </w:p>
        </w:tc>
        <w:tc>
          <w:tcPr>
            <w:tcW w:w="70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详见招标文件</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24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11</w:t>
            </w:r>
          </w:p>
        </w:tc>
        <w:tc>
          <w:tcPr>
            <w:tcW w:w="24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highlight w:val="none"/>
              </w:rPr>
            </w:pPr>
            <w:r>
              <w:rPr>
                <w:rFonts w:ascii="Wingdings" w:hAnsi="Wingdings" w:cs="Wingdings"/>
                <w:color w:val="auto"/>
                <w:kern w:val="0"/>
                <w:sz w:val="24"/>
                <w:highlight w:val="none"/>
              </w:rPr>
              <w:t>□</w:t>
            </w:r>
            <w:r>
              <w:rPr>
                <w:rFonts w:hint="eastAsia" w:ascii="宋体" w:hAnsi="宋体" w:cs="宋体"/>
                <w:color w:val="auto"/>
                <w:kern w:val="0"/>
                <w:sz w:val="24"/>
                <w:highlight w:val="none"/>
              </w:rPr>
              <w:t xml:space="preserve">是 </w:t>
            </w:r>
          </w:p>
          <w:p>
            <w:pPr>
              <w:widowControl/>
              <w:jc w:val="left"/>
              <w:rPr>
                <w:rFonts w:ascii="宋体" w:hAnsi="宋体" w:cs="宋体"/>
                <w:color w:val="auto"/>
                <w:highlight w:val="none"/>
              </w:rPr>
            </w:pPr>
            <w:r>
              <w:rPr>
                <w:rFonts w:ascii="Wingdings" w:hAnsi="Wingdings" w:cs="Wingdings"/>
                <w:color w:val="auto"/>
                <w:kern w:val="0"/>
                <w:sz w:val="24"/>
                <w:highlight w:val="none"/>
              </w:rPr>
              <w:t>☑</w:t>
            </w:r>
            <w:r>
              <w:rPr>
                <w:rFonts w:hint="eastAsia" w:ascii="宋体" w:hAnsi="宋体" w:cs="宋体"/>
                <w:color w:val="auto"/>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12</w:t>
            </w:r>
          </w:p>
        </w:tc>
        <w:tc>
          <w:tcPr>
            <w:tcW w:w="24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中小企业划分标准所属行业</w:t>
            </w:r>
          </w:p>
        </w:tc>
        <w:tc>
          <w:tcPr>
            <w:tcW w:w="70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所属行业：软件和信息技术服务业。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13</w:t>
            </w:r>
          </w:p>
        </w:tc>
        <w:tc>
          <w:tcPr>
            <w:tcW w:w="24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其他</w:t>
            </w:r>
          </w:p>
        </w:tc>
        <w:tc>
          <w:tcPr>
            <w:tcW w:w="70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pPr>
              <w:rPr>
                <w:rFonts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2、两家或两家以上供应商提供的投标文件出自同一终端设备的；在相同Internet主机分配地址（相同IP地址）报名或网上投标的，后果由供应商自行承担。</w:t>
            </w:r>
          </w:p>
          <w:p>
            <w:pPr>
              <w:rPr>
                <w:rFonts w:ascii="宋体" w:hAnsi="宋体" w:cs="宋体"/>
                <w:color w:val="auto"/>
                <w:sz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 、总  则</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5、投标文件格式中的表格式样可以根据项目差别做适当调整，但应当保持表格样式基本形态不变。</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highlight w:val="none"/>
        </w:rPr>
        <w:t>7、本项目不允许转让。</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（1）联合体协议（以联合体形式投标的，提供联合体协议；投标人不以联合体形式投标的，则无需提交）；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（2）投标声明书；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（3）授权委托书（法定代表人亲自办理投标事宜的，则无需提交）；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（4）法人或者其他组织的营业执照等证明文件，自然人的身份证明；</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（5）具有良好的商业信誉和健全的财务会计制度的承诺；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（6）依法缴纳税收和社会保障资金的承诺；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（7）参加政府采购活动前三年内，在经营活动中没有重大违法记录；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（8）需要说明的其他资料。</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w:t>
      </w:r>
      <w:r>
        <w:rPr>
          <w:rFonts w:hint="eastAsia" w:ascii="宋体" w:hAnsi="宋体" w:cs="宋体"/>
          <w:color w:val="auto"/>
          <w:sz w:val="24"/>
          <w:szCs w:val="32"/>
          <w:highlight w:val="none"/>
          <w:lang w:val="en-US" w:eastAsia="zh-CN"/>
        </w:rPr>
        <w:t>内容</w:t>
      </w:r>
      <w:r>
        <w:rPr>
          <w:rFonts w:hint="eastAsia" w:ascii="宋体" w:hAnsi="宋体" w:cs="宋体"/>
          <w:color w:val="auto"/>
          <w:sz w:val="24"/>
          <w:szCs w:val="32"/>
          <w:highlight w:val="none"/>
        </w:rPr>
        <w:t>描述及相关资料：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A.清单</w:t>
      </w:r>
      <w:r>
        <w:rPr>
          <w:rFonts w:hint="eastAsia" w:ascii="宋体" w:hAnsi="宋体" w:cs="宋体"/>
          <w:b/>
          <w:bCs/>
          <w:color w:val="auto"/>
          <w:sz w:val="24"/>
          <w:szCs w:val="32"/>
          <w:highlight w:val="none"/>
        </w:rPr>
        <w:t>（均不含报价）</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B.产品品牌及型号、技术参数指标、性能特点、图片资料以及所遵循的技术规范、产品质保期、出厂标准、产品质量相关检测报告等内容。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C.商务及技术响应表。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（5）类似项目的成功案例；</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（6）投标人认为需要提供的其他资料（包括可能影响投标人商务与技术文件评分的各类证明材料）；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（7）售后服务描述及承诺：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pPr>
        <w:spacing w:line="360" w:lineRule="auto"/>
        <w:ind w:firstLine="480" w:firstLineChars="200"/>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1</w:t>
      </w:r>
      <w:r>
        <w:rPr>
          <w:rFonts w:hint="eastAsia" w:ascii="宋体" w:hAnsi="宋体" w:cs="宋体"/>
          <w:color w:val="auto"/>
          <w:sz w:val="24"/>
          <w:szCs w:val="32"/>
          <w:highlight w:val="none"/>
        </w:rPr>
        <w:t>）报价文件由开标一览表、报价明细表、中小企业等声明函（不符合中小企业要求的无需提供）以及投标人认为其他需要说明的内容组成。</w:t>
      </w:r>
    </w:p>
    <w:p>
      <w:pPr>
        <w:spacing w:line="360" w:lineRule="auto"/>
        <w:ind w:firstLine="480" w:firstLineChars="200"/>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2</w:t>
      </w:r>
      <w:r>
        <w:rPr>
          <w:rFonts w:hint="eastAsia" w:ascii="宋体" w:hAnsi="宋体" w:cs="宋体"/>
          <w:color w:val="auto"/>
          <w:sz w:val="24"/>
          <w:szCs w:val="32"/>
          <w:highlight w:val="none"/>
        </w:rPr>
        <w:t>）此报价为投标人一次性报出唯一的最终价格，包含其它一切所要涉及到的费用，有选择的报价将被拒绝。</w:t>
      </w:r>
    </w:p>
    <w:p>
      <w:pPr>
        <w:spacing w:line="360" w:lineRule="auto"/>
        <w:ind w:firstLine="480" w:firstLineChars="200"/>
        <w:rPr>
          <w:rFonts w:ascii="宋体" w:cs="宋体"/>
          <w:color w:val="auto"/>
          <w:sz w:val="24"/>
          <w:szCs w:val="32"/>
          <w:highlight w:val="none"/>
          <w:lang w:val="zh-CN"/>
        </w:rPr>
      </w:pPr>
      <w:r>
        <w:rPr>
          <w:rFonts w:hint="eastAsia" w:ascii="宋体" w:hAnsi="宋体" w:cs="宋体"/>
          <w:color w:val="auto"/>
          <w:sz w:val="24"/>
          <w:szCs w:val="32"/>
          <w:highlight w:val="none"/>
          <w:lang w:val="zh-CN"/>
        </w:rPr>
        <w:t>（</w:t>
      </w:r>
      <w:r>
        <w:rPr>
          <w:rFonts w:ascii="宋体" w:hAnsi="宋体" w:cs="宋体"/>
          <w:color w:val="auto"/>
          <w:sz w:val="24"/>
          <w:szCs w:val="32"/>
          <w:highlight w:val="none"/>
        </w:rPr>
        <w:t>3</w:t>
      </w:r>
      <w:r>
        <w:rPr>
          <w:rFonts w:hint="eastAsia" w:ascii="宋体" w:hAnsi="宋体" w:cs="宋体"/>
          <w:color w:val="auto"/>
          <w:sz w:val="24"/>
          <w:szCs w:val="32"/>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cs="宋体"/>
          <w:color w:val="auto"/>
          <w:sz w:val="24"/>
          <w:szCs w:val="32"/>
          <w:highlight w:val="none"/>
          <w:lang w:val="zh-CN"/>
        </w:rPr>
      </w:pPr>
      <w:r>
        <w:rPr>
          <w:rFonts w:hint="eastAsia" w:ascii="宋体" w:hAnsi="宋体" w:cs="宋体"/>
          <w:color w:val="auto"/>
          <w:sz w:val="24"/>
          <w:szCs w:val="32"/>
          <w:highlight w:val="none"/>
          <w:lang w:val="zh-CN"/>
        </w:rPr>
        <w:t>（</w:t>
      </w:r>
      <w:r>
        <w:rPr>
          <w:rFonts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pPr>
        <w:spacing w:line="360" w:lineRule="auto"/>
        <w:ind w:firstLine="480" w:firstLineChars="200"/>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5</w:t>
      </w:r>
      <w:r>
        <w:rPr>
          <w:rFonts w:hint="eastAsia" w:ascii="宋体" w:hAnsi="宋体" w:cs="宋体"/>
          <w:color w:val="auto"/>
          <w:sz w:val="24"/>
          <w:szCs w:val="32"/>
          <w:highlight w:val="none"/>
        </w:rPr>
        <w:t>）相关报价单需打印或用不退色的墨水填写，</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6</w:t>
      </w:r>
      <w:r>
        <w:rPr>
          <w:rFonts w:hint="eastAsia" w:ascii="宋体" w:hAnsi="宋体" w:cs="宋体"/>
          <w:color w:val="auto"/>
          <w:sz w:val="24"/>
          <w:szCs w:val="32"/>
          <w:highlight w:val="none"/>
        </w:rPr>
        <w:t>）投标报价应按招标文件中相关附表格式填写。</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供应商应准备电子投标文件、以介质（U盘）存储的数据电文形式的备份投标文件、纸质备份投标文件三类</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浙江杭州汇信科技有限公司（400-8884636）、杭州天谷信息科技有限公司（400-0878198）</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r>
        <w:rPr>
          <w:rFonts w:hint="eastAsia" w:ascii="宋体" w:hAnsi="宋体" w:cs="宋体"/>
          <w:color w:val="auto"/>
          <w:sz w:val="24"/>
          <w:highlight w:val="none"/>
          <w:lang w:val="en-GB"/>
        </w:rPr>
        <w:t>▲未按规定提供相应的备份投标文件，造成项目开评标活动无法进行下去的，投标无效。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pPr>
        <w:spacing w:line="360" w:lineRule="auto"/>
        <w:rPr>
          <w:rFonts w:ascii="宋体" w:hAnsi="宋体" w:cs="宋体"/>
          <w:color w:val="auto"/>
          <w:sz w:val="24"/>
          <w:szCs w:val="32"/>
          <w:highlight w:val="none"/>
        </w:rPr>
      </w:pPr>
      <w:r>
        <w:rPr>
          <w:rFonts w:hint="eastAsia" w:ascii="宋体" w:hAnsi="宋体"/>
          <w:b/>
          <w:color w:val="auto"/>
          <w:kern w:val="0"/>
          <w:sz w:val="24"/>
          <w:highlight w:val="none"/>
        </w:rPr>
        <w:t>四、</w:t>
      </w:r>
      <w:r>
        <w:rPr>
          <w:rFonts w:hint="eastAsia" w:ascii="宋体" w:hAnsi="宋体" w:cs="宋体"/>
          <w:b/>
          <w:bCs/>
          <w:color w:val="auto"/>
          <w:sz w:val="24"/>
          <w:szCs w:val="32"/>
          <w:highlight w:val="none"/>
        </w:rPr>
        <w:t>开标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（一）开标事项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（4）病毒导致不能进行正常操作的；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 开标程序：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特别说明：如遇政采云平台电子化开标或评审程序调整的，按调整后程序执行。</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ascii="宋体" w:hAnsi="宋体" w:cs="宋体"/>
          <w:color w:val="auto"/>
          <w:sz w:val="24"/>
          <w:szCs w:val="32"/>
          <w:highlight w:val="none"/>
        </w:rPr>
        <w:tab/>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8、投标文件提供虚假材料的。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10、不符合法律、法规和招标文件中规定的其他实质性要求的（招标文件中打“▲”内容及被拒绝的条款）。</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11、未传输递交电子投标文件的或者未按规定提供相应的备份投标文件，造成项目开评标活动无法进行下去的。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代理费用：向中标单位按照下列类别的70%收取招标代理费，该费用中标方须在中标通知书发出前一次性付清。（户名：浙江五石中正工程咨询有限公司；账号：1202003209900014176；开户银行：中国工商银行杭州市潮王路支行）财务电话：0571-88271625。</w:t>
      </w:r>
    </w:p>
    <w:tbl>
      <w:tblPr>
        <w:tblStyle w:val="27"/>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1568"/>
        <w:gridCol w:w="156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5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5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15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7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5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1.50%</w:t>
            </w:r>
          </w:p>
        </w:tc>
        <w:tc>
          <w:tcPr>
            <w:tcW w:w="15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1.50%</w:t>
            </w:r>
          </w:p>
        </w:tc>
        <w:tc>
          <w:tcPr>
            <w:tcW w:w="15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5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1.10%</w:t>
            </w:r>
          </w:p>
        </w:tc>
        <w:tc>
          <w:tcPr>
            <w:tcW w:w="15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0.80%</w:t>
            </w:r>
          </w:p>
        </w:tc>
        <w:tc>
          <w:tcPr>
            <w:tcW w:w="15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5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0.80%</w:t>
            </w:r>
          </w:p>
        </w:tc>
        <w:tc>
          <w:tcPr>
            <w:tcW w:w="15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0.45%</w:t>
            </w:r>
          </w:p>
        </w:tc>
        <w:tc>
          <w:tcPr>
            <w:tcW w:w="15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5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0.50%</w:t>
            </w:r>
          </w:p>
        </w:tc>
        <w:tc>
          <w:tcPr>
            <w:tcW w:w="15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0.25%</w:t>
            </w:r>
          </w:p>
        </w:tc>
        <w:tc>
          <w:tcPr>
            <w:tcW w:w="15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5000-10000</w:t>
            </w:r>
          </w:p>
        </w:tc>
        <w:tc>
          <w:tcPr>
            <w:tcW w:w="15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0.25%</w:t>
            </w:r>
          </w:p>
        </w:tc>
        <w:tc>
          <w:tcPr>
            <w:tcW w:w="15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0.10%</w:t>
            </w:r>
          </w:p>
        </w:tc>
        <w:tc>
          <w:tcPr>
            <w:tcW w:w="15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10000-100000</w:t>
            </w:r>
          </w:p>
        </w:tc>
        <w:tc>
          <w:tcPr>
            <w:tcW w:w="15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0.05%</w:t>
            </w:r>
          </w:p>
        </w:tc>
        <w:tc>
          <w:tcPr>
            <w:tcW w:w="15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0.05%</w:t>
            </w:r>
          </w:p>
        </w:tc>
        <w:tc>
          <w:tcPr>
            <w:tcW w:w="15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100000以上</w:t>
            </w:r>
          </w:p>
        </w:tc>
        <w:tc>
          <w:tcPr>
            <w:tcW w:w="15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0.01%</w:t>
            </w:r>
          </w:p>
        </w:tc>
        <w:tc>
          <w:tcPr>
            <w:tcW w:w="15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0.01%</w:t>
            </w:r>
          </w:p>
        </w:tc>
        <w:tc>
          <w:tcPr>
            <w:tcW w:w="15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0.01%</w:t>
            </w:r>
          </w:p>
        </w:tc>
      </w:tr>
    </w:tbl>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pPr>
        <w:widowControl/>
        <w:jc w:val="left"/>
        <w:rPr>
          <w:rFonts w:ascii="宋体" w:hAnsi="宋体" w:cs="宋体"/>
          <w:b/>
          <w:bCs/>
          <w:color w:val="auto"/>
          <w:sz w:val="36"/>
          <w:szCs w:val="44"/>
          <w:highlight w:val="none"/>
        </w:rPr>
      </w:pPr>
    </w:p>
    <w:p>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第三章 公开招标需求</w:t>
      </w:r>
    </w:p>
    <w:p>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一、招标项目一览表</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本次招标共</w:t>
      </w:r>
      <w:r>
        <w:rPr>
          <w:rFonts w:hint="eastAsia" w:ascii="宋体" w:hAnsi="宋体" w:cs="宋体"/>
          <w:color w:val="auto"/>
          <w:sz w:val="24"/>
          <w:szCs w:val="32"/>
          <w:highlight w:val="none"/>
          <w:u w:val="single"/>
        </w:rPr>
        <w:t xml:space="preserve"> 1 </w:t>
      </w:r>
      <w:r>
        <w:rPr>
          <w:rFonts w:hint="eastAsia" w:ascii="宋体" w:hAnsi="宋体" w:cs="宋体"/>
          <w:color w:val="auto"/>
          <w:sz w:val="24"/>
          <w:szCs w:val="32"/>
          <w:highlight w:val="none"/>
        </w:rPr>
        <w:t>个标段，具体内容如下表：</w:t>
      </w:r>
    </w:p>
    <w:tbl>
      <w:tblPr>
        <w:tblStyle w:val="27"/>
        <w:tblW w:w="7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794"/>
        <w:gridCol w:w="1133"/>
        <w:gridCol w:w="121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2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标段</w:t>
            </w:r>
          </w:p>
        </w:tc>
        <w:tc>
          <w:tcPr>
            <w:tcW w:w="2794"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133"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数 量</w:t>
            </w:r>
          </w:p>
        </w:tc>
        <w:tc>
          <w:tcPr>
            <w:tcW w:w="1219"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预算金额</w:t>
            </w:r>
          </w:p>
        </w:tc>
        <w:tc>
          <w:tcPr>
            <w:tcW w:w="1789"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20"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1</w:t>
            </w:r>
          </w:p>
        </w:tc>
        <w:tc>
          <w:tcPr>
            <w:tcW w:w="2794"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“民转刑”防控应用场景综合集成项目</w:t>
            </w:r>
          </w:p>
        </w:tc>
        <w:tc>
          <w:tcPr>
            <w:tcW w:w="11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1项</w:t>
            </w:r>
          </w:p>
        </w:tc>
        <w:tc>
          <w:tcPr>
            <w:tcW w:w="1219"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7</w:t>
            </w:r>
            <w:r>
              <w:rPr>
                <w:rFonts w:ascii="宋体" w:hAnsi="宋体" w:cs="宋体"/>
                <w:color w:val="auto"/>
                <w:kern w:val="0"/>
                <w:sz w:val="24"/>
                <w:highlight w:val="none"/>
                <w:lang w:val="en"/>
              </w:rPr>
              <w:t>07</w:t>
            </w:r>
            <w:r>
              <w:rPr>
                <w:rFonts w:hint="eastAsia" w:ascii="宋体" w:hAnsi="宋体" w:cs="宋体"/>
                <w:color w:val="auto"/>
                <w:kern w:val="0"/>
                <w:sz w:val="24"/>
                <w:highlight w:val="none"/>
              </w:rPr>
              <w:t>万元</w:t>
            </w:r>
          </w:p>
        </w:tc>
        <w:tc>
          <w:tcPr>
            <w:tcW w:w="178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详见招标需求</w:t>
            </w:r>
          </w:p>
        </w:tc>
      </w:tr>
    </w:tbl>
    <w:p>
      <w:pPr>
        <w:tabs>
          <w:tab w:val="left" w:pos="425"/>
          <w:tab w:val="left" w:pos="900"/>
        </w:tabs>
        <w:adjustRightInd w:val="0"/>
        <w:snapToGrid w:val="0"/>
        <w:spacing w:line="579" w:lineRule="exact"/>
        <w:outlineLvl w:val="1"/>
        <w:rPr>
          <w:rFonts w:ascii="宋体" w:hAnsi="宋体" w:cs="宋体"/>
          <w:b/>
          <w:color w:val="auto"/>
          <w:sz w:val="24"/>
          <w:highlight w:val="none"/>
        </w:rPr>
      </w:pPr>
      <w:r>
        <w:rPr>
          <w:rFonts w:hint="eastAsia" w:ascii="宋体" w:hAnsi="宋体" w:cs="宋体"/>
          <w:b/>
          <w:bCs/>
          <w:color w:val="auto"/>
          <w:sz w:val="24"/>
          <w:szCs w:val="32"/>
          <w:highlight w:val="none"/>
        </w:rPr>
        <w:t>二、</w:t>
      </w:r>
      <w:r>
        <w:rPr>
          <w:rFonts w:hint="eastAsia" w:ascii="宋体" w:hAnsi="宋体" w:cs="宋体"/>
          <w:b/>
          <w:color w:val="auto"/>
          <w:sz w:val="24"/>
          <w:highlight w:val="none"/>
        </w:rPr>
        <w:t>技术需求</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（一）项目概况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根据《全省数字化改革重大应用“一本账S</w:t>
      </w:r>
      <w:r>
        <w:rPr>
          <w:rFonts w:hint="eastAsia" w:ascii="宋体" w:hAnsi="宋体" w:cs="宋体"/>
          <w:color w:val="auto"/>
          <w:sz w:val="24"/>
          <w:highlight w:val="none"/>
          <w:vertAlign w:val="subscript"/>
        </w:rPr>
        <w:t>1</w:t>
      </w:r>
      <w:r>
        <w:rPr>
          <w:rFonts w:hint="eastAsia" w:ascii="宋体" w:hAnsi="宋体" w:cs="宋体"/>
          <w:color w:val="auto"/>
          <w:sz w:val="24"/>
          <w:highlight w:val="none"/>
        </w:rPr>
        <w:t>”目录》、《关于明确杭州、绍兴、台州等领衔开展重大多跨场景建设的通知》、《2022年全省重大改革（重大应用）“一本账</w:t>
      </w:r>
      <w:r>
        <w:rPr>
          <w:rFonts w:ascii="宋体" w:hAnsi="宋体" w:cs="宋体"/>
          <w:color w:val="auto"/>
          <w:sz w:val="24"/>
          <w:highlight w:val="none"/>
          <w:lang w:val="en"/>
        </w:rPr>
        <w:t>S</w:t>
      </w:r>
      <w:r>
        <w:rPr>
          <w:rFonts w:ascii="宋体" w:hAnsi="宋体" w:cs="宋体"/>
          <w:color w:val="auto"/>
          <w:sz w:val="24"/>
          <w:highlight w:val="none"/>
          <w:vertAlign w:val="subscript"/>
          <w:lang w:val="en"/>
        </w:rPr>
        <w:t>2</w:t>
      </w:r>
      <w:r>
        <w:rPr>
          <w:rFonts w:hint="eastAsia" w:ascii="宋体" w:hAnsi="宋体" w:cs="宋体"/>
          <w:color w:val="auto"/>
          <w:sz w:val="24"/>
          <w:highlight w:val="none"/>
        </w:rPr>
        <w:t>”》等文件要求，开展“民转刑”防控应用场景综合集成项目建设。打造基于“以人为中心、以事件为脉络”的民转刑案件防控重点，以市域社会治理现代化试点为牵引，建设“事前可感知、事中能化解、事后有关注”，构建“案结事了人不忘”的民转刑防控应用。通过台州先行建设，不断探索深化全省“民转刑”案件防控机制，打造“一地创新、全省推广”。</w:t>
      </w:r>
    </w:p>
    <w:p>
      <w:pPr>
        <w:numPr>
          <w:ilvl w:val="0"/>
          <w:numId w:val="2"/>
        </w:numPr>
        <w:spacing w:line="360" w:lineRule="auto"/>
        <w:rPr>
          <w:b/>
          <w:bCs/>
          <w:color w:val="auto"/>
          <w:sz w:val="24"/>
          <w:highlight w:val="none"/>
        </w:rPr>
      </w:pPr>
      <w:r>
        <w:rPr>
          <w:rFonts w:hint="eastAsia"/>
          <w:b/>
          <w:bCs/>
          <w:color w:val="auto"/>
          <w:sz w:val="24"/>
          <w:highlight w:val="none"/>
        </w:rPr>
        <w:t>项目需求一览表</w:t>
      </w:r>
    </w:p>
    <w:tbl>
      <w:tblPr>
        <w:tblStyle w:val="27"/>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6408"/>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4" w:type="dxa"/>
            <w:shd w:val="clear" w:color="auto" w:fill="auto"/>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6408" w:type="dxa"/>
            <w:shd w:val="clear" w:color="auto" w:fill="auto"/>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货物名称</w:t>
            </w:r>
          </w:p>
        </w:tc>
        <w:tc>
          <w:tcPr>
            <w:tcW w:w="1405" w:type="dxa"/>
            <w:shd w:val="clear" w:color="auto" w:fill="auto"/>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4" w:type="dxa"/>
            <w:shd w:val="clear" w:color="auto" w:fill="auto"/>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w:t>
            </w:r>
          </w:p>
        </w:tc>
        <w:tc>
          <w:tcPr>
            <w:tcW w:w="6408" w:type="dxa"/>
            <w:shd w:val="clear" w:color="auto" w:fill="auto"/>
            <w:vAlign w:val="center"/>
          </w:tcPr>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“民转刑”防控应用</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74" w:type="dxa"/>
            <w:shd w:val="clear" w:color="auto" w:fill="auto"/>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1.1</w:t>
            </w:r>
          </w:p>
        </w:tc>
        <w:tc>
          <w:tcPr>
            <w:tcW w:w="6408" w:type="dxa"/>
            <w:shd w:val="clear" w:color="auto" w:fill="auto"/>
            <w:vAlign w:val="center"/>
          </w:tcPr>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应用建设</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lang w:val="en"/>
              </w:rPr>
            </w:pPr>
            <w:r>
              <w:rPr>
                <w:rFonts w:hint="eastAsia" w:ascii="宋体" w:hAnsi="宋体" w:cs="宋体"/>
                <w:b/>
                <w:bCs/>
                <w:color w:val="auto"/>
                <w:sz w:val="24"/>
                <w:highlight w:val="none"/>
                <w:lang w:val="en"/>
              </w:rPr>
              <w:t>（</w:t>
            </w:r>
            <w:r>
              <w:rPr>
                <w:rFonts w:hint="eastAsia" w:ascii="宋体" w:hAnsi="宋体" w:cs="宋体"/>
                <w:b/>
                <w:bCs/>
                <w:color w:val="auto"/>
                <w:sz w:val="24"/>
                <w:highlight w:val="none"/>
              </w:rPr>
              <w:t>1</w:t>
            </w:r>
            <w:r>
              <w:rPr>
                <w:rFonts w:hint="eastAsia" w:ascii="宋体" w:hAnsi="宋体" w:cs="宋体"/>
                <w:b/>
                <w:bCs/>
                <w:color w:val="auto"/>
                <w:sz w:val="24"/>
                <w:highlight w:val="none"/>
                <w:lang w:val="en"/>
              </w:rPr>
              <w:t>）</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b/>
                <w:bCs/>
                <w:color w:val="auto"/>
                <w:sz w:val="24"/>
                <w:highlight w:val="none"/>
              </w:rPr>
              <w:t>业务应用</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1.1.1</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排查识别</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1.1.2</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预警预测</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1.1.3</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化解管控</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1.1.4</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跟踪关注</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1.1.5</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分析监管（责任落实）</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（2）</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b/>
                <w:bCs/>
                <w:color w:val="auto"/>
                <w:sz w:val="24"/>
                <w:highlight w:val="none"/>
              </w:rPr>
              <w:t>组件应用</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1.1.6</w:t>
            </w:r>
          </w:p>
        </w:tc>
        <w:tc>
          <w:tcPr>
            <w:tcW w:w="6408" w:type="dxa"/>
            <w:shd w:val="clear" w:color="auto" w:fill="auto"/>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潜在风险人员信息管控</w:t>
            </w:r>
            <w:r>
              <w:rPr>
                <w:rFonts w:hint="eastAsia" w:ascii="宋体" w:hAnsi="宋体" w:cs="宋体"/>
                <w:color w:val="auto"/>
                <w:sz w:val="24"/>
                <w:highlight w:val="none"/>
                <w:lang w:eastAsia="zh-CN"/>
              </w:rPr>
              <w:t>组件</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1.1.7</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心理健康服务</w:t>
            </w:r>
            <w:r>
              <w:rPr>
                <w:rFonts w:hint="eastAsia" w:ascii="宋体" w:hAnsi="宋体" w:cs="宋体"/>
                <w:color w:val="auto"/>
                <w:sz w:val="24"/>
                <w:highlight w:val="none"/>
                <w:lang w:eastAsia="zh-CN"/>
              </w:rPr>
              <w:t>组件</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1.1.8</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家庭风险评估</w:t>
            </w:r>
            <w:r>
              <w:rPr>
                <w:rFonts w:hint="eastAsia" w:ascii="宋体" w:hAnsi="宋体" w:cs="宋体"/>
                <w:color w:val="auto"/>
                <w:sz w:val="24"/>
                <w:highlight w:val="none"/>
                <w:lang w:eastAsia="zh-CN"/>
              </w:rPr>
              <w:t>组件</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1.1.9</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潜在风险人员风险预警模型</w:t>
            </w:r>
            <w:r>
              <w:rPr>
                <w:rFonts w:hint="eastAsia" w:ascii="宋体" w:hAnsi="宋体" w:cs="宋体"/>
                <w:color w:val="auto"/>
                <w:sz w:val="24"/>
                <w:highlight w:val="none"/>
                <w:lang w:eastAsia="zh-CN"/>
              </w:rPr>
              <w:t>组件</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1.1.10</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潜在风险流动人口</w:t>
            </w:r>
            <w:r>
              <w:rPr>
                <w:rFonts w:hint="eastAsia" w:ascii="宋体" w:hAnsi="宋体" w:cs="宋体"/>
                <w:color w:val="auto"/>
                <w:sz w:val="24"/>
                <w:highlight w:val="none"/>
                <w:lang w:eastAsia="zh-CN"/>
              </w:rPr>
              <w:t>组件</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1.2</w:t>
            </w:r>
          </w:p>
        </w:tc>
        <w:tc>
          <w:tcPr>
            <w:tcW w:w="6408" w:type="dxa"/>
            <w:shd w:val="clear" w:color="auto" w:fill="auto"/>
            <w:vAlign w:val="center"/>
          </w:tcPr>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应用支撑建设</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1.2.1</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统一用户鉴权体系组件集成</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1.2.2</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统一接口建设及系统对接建设</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1.3</w:t>
            </w:r>
          </w:p>
        </w:tc>
        <w:tc>
          <w:tcPr>
            <w:tcW w:w="6408" w:type="dxa"/>
            <w:shd w:val="clear" w:color="auto" w:fill="auto"/>
            <w:vAlign w:val="center"/>
          </w:tcPr>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数据共享及中心数据库建设</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1.3.1</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数据归集接入</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1.3.2</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数据治理服务</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1.3.3</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数据管理服务</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1.3.4</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数据共享及开放服务</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1.3.5</w:t>
            </w:r>
          </w:p>
        </w:tc>
        <w:tc>
          <w:tcPr>
            <w:tcW w:w="6408" w:type="dxa"/>
            <w:shd w:val="clear" w:color="auto" w:fill="auto"/>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中心数据库（动态信息风险库）</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2.</w:t>
            </w:r>
          </w:p>
        </w:tc>
        <w:tc>
          <w:tcPr>
            <w:tcW w:w="6408" w:type="dxa"/>
            <w:shd w:val="clear" w:color="auto" w:fill="auto"/>
            <w:vAlign w:val="center"/>
          </w:tcPr>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第三方系统测评报告</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3.</w:t>
            </w:r>
          </w:p>
        </w:tc>
        <w:tc>
          <w:tcPr>
            <w:tcW w:w="6408" w:type="dxa"/>
            <w:shd w:val="clear" w:color="auto" w:fill="auto"/>
            <w:vAlign w:val="center"/>
          </w:tcPr>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系统运维服务</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4" w:type="dxa"/>
            <w:shd w:val="clear" w:color="auto" w:fill="auto"/>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4.</w:t>
            </w:r>
          </w:p>
        </w:tc>
        <w:tc>
          <w:tcPr>
            <w:tcW w:w="6408" w:type="dxa"/>
            <w:shd w:val="clear" w:color="auto" w:fill="auto"/>
            <w:vAlign w:val="center"/>
          </w:tcPr>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技术培训服务</w:t>
            </w:r>
          </w:p>
        </w:tc>
        <w:tc>
          <w:tcPr>
            <w:tcW w:w="1405"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若干</w:t>
            </w:r>
          </w:p>
        </w:tc>
      </w:tr>
    </w:tbl>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（三）工作条件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1.安全等级：三级等保；</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2.信创适配：根据信创的需求进行适配，系统要求满足信创环境部署需求</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3.网络环境：台州市政务外网和互联网；</w:t>
      </w:r>
    </w:p>
    <w:p>
      <w:pPr>
        <w:pStyle w:val="10"/>
        <w:ind w:firstLine="480" w:firstLineChars="200"/>
        <w:rPr>
          <w:color w:val="auto"/>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lang w:val="en"/>
        </w:rPr>
        <w:t>IPv6</w:t>
      </w:r>
      <w:r>
        <w:rPr>
          <w:rFonts w:hint="eastAsia" w:ascii="宋体" w:hAnsi="宋体" w:cs="宋体"/>
          <w:color w:val="auto"/>
          <w:sz w:val="24"/>
          <w:szCs w:val="24"/>
          <w:highlight w:val="none"/>
          <w:lang w:val="en"/>
        </w:rPr>
        <w:t>：</w:t>
      </w:r>
      <w:r>
        <w:rPr>
          <w:rFonts w:hint="eastAsia" w:ascii="宋体" w:hAnsi="宋体" w:cs="宋体"/>
          <w:color w:val="auto"/>
          <w:sz w:val="24"/>
          <w:szCs w:val="24"/>
          <w:highlight w:val="none"/>
        </w:rPr>
        <w:t>支持</w:t>
      </w:r>
      <w:r>
        <w:rPr>
          <w:rFonts w:hint="eastAsia" w:ascii="宋体" w:hAnsi="宋体" w:cs="宋体"/>
          <w:color w:val="auto"/>
          <w:sz w:val="24"/>
          <w:szCs w:val="24"/>
          <w:highlight w:val="none"/>
          <w:lang w:val="en"/>
        </w:rPr>
        <w:t>部署；</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w:t>
      </w:r>
      <w:r>
        <w:rPr>
          <w:rFonts w:hint="eastAsia" w:ascii="宋体" w:hAnsi="宋体" w:cs="宋体"/>
          <w:color w:val="auto"/>
          <w:sz w:val="24"/>
          <w:highlight w:val="none"/>
        </w:rPr>
        <w:t>5.数据库部署：台州市本地化部署，</w:t>
      </w:r>
      <w:r>
        <w:rPr>
          <w:rFonts w:hint="eastAsia" w:ascii="宋体" w:hAnsi="宋体" w:cs="宋体"/>
          <w:color w:val="auto"/>
          <w:kern w:val="0"/>
          <w:sz w:val="24"/>
          <w:highlight w:val="none"/>
        </w:rPr>
        <w:t>在项目履行过程中形成的所有数据资源的产权均归属于采购人，中标方应积极配合采购人以合法方式取得并行使上述产权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eastAsia="zh-CN"/>
        </w:rPr>
        <w:t>同时相关数据应与市公共数据平台实现共享；</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6.产权归属：</w:t>
      </w:r>
      <w:r>
        <w:rPr>
          <w:rFonts w:hint="eastAsia" w:ascii="宋体" w:hAnsi="宋体" w:cs="宋体"/>
          <w:color w:val="auto"/>
          <w:sz w:val="24"/>
          <w:highlight w:val="none"/>
          <w:lang w:eastAsia="zh-CN"/>
        </w:rPr>
        <w:t>中共</w:t>
      </w:r>
      <w:r>
        <w:rPr>
          <w:rFonts w:hint="eastAsia" w:ascii="宋体" w:hAnsi="宋体" w:cs="宋体"/>
          <w:color w:val="auto"/>
          <w:sz w:val="24"/>
          <w:highlight w:val="none"/>
        </w:rPr>
        <w:t>台州市委政法委</w:t>
      </w:r>
      <w:r>
        <w:rPr>
          <w:rFonts w:hint="eastAsia" w:ascii="宋体" w:hAnsi="宋体" w:cs="宋体"/>
          <w:color w:val="auto"/>
          <w:sz w:val="24"/>
          <w:highlight w:val="none"/>
          <w:lang w:eastAsia="zh-CN"/>
        </w:rPr>
        <w:t>员会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7.全省推广：支持“一地创新、全省共享”，在省内各地市推广，仅限于部署、实施费用，不可重复收取开发费用；</w:t>
      </w:r>
    </w:p>
    <w:p>
      <w:pPr>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szCs w:val="32"/>
          <w:highlight w:val="none"/>
        </w:rPr>
        <w:t>8.承建单位必须承诺</w:t>
      </w:r>
      <w:r>
        <w:rPr>
          <w:rFonts w:hint="eastAsia" w:ascii="宋体" w:hAnsi="宋体" w:cs="宋体"/>
          <w:color w:val="auto"/>
          <w:sz w:val="24"/>
          <w:highlight w:val="none"/>
        </w:rPr>
        <w:t>《浙江省公共数据条例》等相关法律法规要求，并在台州市数字化改革（包括但不限于网络安全、数据安全、保密规定等方面）整体要求下开展工作。</w:t>
      </w:r>
    </w:p>
    <w:p>
      <w:pPr>
        <w:rPr>
          <w:color w:val="auto"/>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（四）“民转刑”防控应用场景综合集成软件技术参数要求、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1.主要包括：应用建设、应用支撑建设和数据共享及中心数据库建设三部分要求。</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技术参数规格要求</w:t>
      </w:r>
    </w:p>
    <w:tbl>
      <w:tblPr>
        <w:tblStyle w:val="27"/>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83"/>
        <w:gridCol w:w="6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37" w:type="dxa"/>
            <w:gridSpan w:val="3"/>
            <w:shd w:val="clear" w:color="auto" w:fill="auto"/>
            <w:vAlign w:val="center"/>
          </w:tcPr>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一、应用建设软件技术参数要求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shd w:val="clear" w:color="auto" w:fill="auto"/>
            <w:vAlign w:val="center"/>
          </w:tcPr>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83" w:type="dxa"/>
            <w:shd w:val="clear" w:color="auto" w:fill="auto"/>
            <w:vAlign w:val="center"/>
          </w:tcPr>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功能</w:t>
            </w:r>
          </w:p>
        </w:tc>
        <w:tc>
          <w:tcPr>
            <w:tcW w:w="6449" w:type="dxa"/>
            <w:shd w:val="clear" w:color="auto" w:fill="auto"/>
            <w:vAlign w:val="center"/>
          </w:tcPr>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37" w:type="dxa"/>
            <w:gridSpan w:val="3"/>
            <w:shd w:val="clear" w:color="auto" w:fill="auto"/>
            <w:vAlign w:val="center"/>
          </w:tcPr>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（一）业务应用—电脑端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b/>
                <w:bCs/>
                <w:color w:val="auto"/>
                <w:kern w:val="0"/>
                <w:sz w:val="24"/>
                <w:highlight w:val="none"/>
              </w:rPr>
              <w:t>1.1排查识别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未定级潜在风险人员管理</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1.支持网格员以新增或批量导入模式，上报疑似潜在风险人员信息，包括姓名、身份证、以及三要素（性格、行为、事件）等信息；</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2.支持乡镇（街道）为疑似潜在风险人员，添加主管/协管等部门，并将数据共享到预警预测子应用或流转至业务部门进行处置；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3.支持自动关联台州市基层治理综合信息平台中已有人员数据；</w:t>
            </w:r>
          </w:p>
          <w:p>
            <w:pPr>
              <w:adjustRightInd w:val="0"/>
              <w:snapToGrid w:val="0"/>
              <w:jc w:val="left"/>
              <w:rPr>
                <w:rFonts w:ascii="宋体" w:hAnsi="宋体" w:cs="宋体"/>
                <w:color w:val="auto"/>
                <w:sz w:val="24"/>
                <w:highlight w:val="none"/>
              </w:rPr>
            </w:pPr>
            <w:r>
              <w:rPr>
                <w:rFonts w:hint="eastAsia" w:ascii="宋体" w:hAnsi="宋体" w:cs="宋体"/>
                <w:color w:val="auto"/>
                <w:kern w:val="0"/>
                <w:sz w:val="24"/>
                <w:highlight w:val="none"/>
              </w:rPr>
              <w:t>4.未定级人员展示内容可根据系统内已有字段自定义配置，包括不限于：姓名、性别、年龄、证件号码、所属网格、联系手机、婚姻状况、文化程度、人口类型、重点人员类型、来源等。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预警信息核查</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1.支持乡镇（街道）根据预警和网格采集信息，核查并设定预警人员的风险等级；</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2.支持将预警人员，纳入潜在风险人员进行管控或纳入无潜在风险人员进行跟踪监管；</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lang w:val="en"/>
              </w:rPr>
              <w:t>3.支持将预警信息核查</w:t>
            </w:r>
            <w:r>
              <w:rPr>
                <w:rFonts w:hint="eastAsia" w:ascii="宋体" w:hAnsi="宋体" w:cs="宋体"/>
                <w:color w:val="auto"/>
                <w:kern w:val="0"/>
                <w:sz w:val="24"/>
                <w:highlight w:val="none"/>
              </w:rPr>
              <w:t>分为待核查和已核查两类，预警信息可根据不同的预警等级以不同的颜色呈现，支持查看当前预警信息、历史预警记录等信息；</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4.支持将</w:t>
            </w:r>
            <w:r>
              <w:rPr>
                <w:rFonts w:hint="eastAsia" w:ascii="宋体" w:hAnsi="宋体" w:cs="宋体"/>
                <w:color w:val="auto"/>
                <w:kern w:val="0"/>
                <w:sz w:val="24"/>
                <w:highlight w:val="none"/>
                <w:lang w:val="en"/>
              </w:rPr>
              <w:t>潜在风险</w:t>
            </w:r>
            <w:r>
              <w:rPr>
                <w:rFonts w:hint="eastAsia" w:ascii="宋体" w:hAnsi="宋体" w:cs="宋体"/>
                <w:color w:val="auto"/>
                <w:kern w:val="0"/>
                <w:sz w:val="24"/>
                <w:highlight w:val="none"/>
              </w:rPr>
              <w:t>人员风险等级分为绿色、黄色、橙色、绿色四个等级。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数据认领</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1.根据被认领人员属地信息的完整情况，支持将数据分派至乡镇、村（社区）、网格层级，支持对属地网格员推送消息提醒，或由网格员自主认领数据；</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2.在实际居住地址分派错误时，支持网格员进行回退操作，由上级重新分派；</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3.支持对数据的导出、回退，以及批量导出、批量回退等功能。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潜在风险人员管理</w:t>
            </w:r>
          </w:p>
        </w:tc>
        <w:tc>
          <w:tcPr>
            <w:tcW w:w="6449" w:type="dxa"/>
            <w:shd w:val="clear" w:color="auto" w:fill="auto"/>
            <w:vAlign w:val="center"/>
          </w:tcPr>
          <w:p>
            <w:pPr>
              <w:numPr>
                <w:ilvl w:val="0"/>
                <w:numId w:val="3"/>
              </w:num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支持对潜在风险人员进行分级管控，并自动同步至台州市基层治理综合信息平台已有的潜在风险人员数据，由网格进行进一步的完善；</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2.支持人员信息管理，包括基本信息、住所与工作信息、人口扩展信息、三要素信息（性格、行为、事件）、家庭成员信息、纠纷信息等；</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3.根据实际管控情况，支持网格转移操作；</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4.支持走访服务，可对潜在风险人员不同的风险等级，进行分级管控。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无潜在风险人员管理</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1.支持网格员进行定期跟踪和监管；</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2.可根据跟踪监管情况，支持对其进行等级调整，可纳入潜在风险人员管理。</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3.支持展示人员清单，可查看人员信息、历史服务记录、历史预警记录等全量信息，风险等级调整、网格转移等。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服务记录</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1.支持展示</w:t>
            </w:r>
            <w:r>
              <w:rPr>
                <w:rFonts w:hint="eastAsia" w:ascii="宋体" w:hAnsi="宋体" w:cs="宋体"/>
                <w:color w:val="auto"/>
                <w:kern w:val="0"/>
                <w:sz w:val="24"/>
                <w:highlight w:val="none"/>
                <w:lang w:val="en"/>
              </w:rPr>
              <w:t>潜在风险</w:t>
            </w:r>
            <w:r>
              <w:rPr>
                <w:rFonts w:hint="eastAsia" w:ascii="宋体" w:hAnsi="宋体" w:cs="宋体"/>
                <w:color w:val="auto"/>
                <w:kern w:val="0"/>
                <w:sz w:val="24"/>
                <w:highlight w:val="none"/>
              </w:rPr>
              <w:t>人员服务和工作情况，展示服务对象姓名、预警等级、是否异常、是否转事件、业务来源、检查人等信息，添加服务记录；</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2.支持查看辖区内所有潜在风险人员的服务记录，包括检查对象信息、检查结果等。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统计分析</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1.支持从人员管理和走访服务两个维度，统计潜在风险人员管控情况，来直观了解管控成效；</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2.支持人员统计按层级、按日/周/月/年（统计周期支持自定义配置）等维度进行统计以及自定义时间段进行统计</w:t>
            </w:r>
            <w:r>
              <w:rPr>
                <w:rFonts w:hint="eastAsia" w:ascii="宋体" w:hAnsi="宋体" w:cs="宋体"/>
                <w:color w:val="auto"/>
                <w:kern w:val="0"/>
                <w:sz w:val="24"/>
                <w:highlight w:val="none"/>
                <w:lang w:val="en"/>
              </w:rPr>
              <w:t>,</w:t>
            </w:r>
            <w:r>
              <w:rPr>
                <w:rFonts w:hint="eastAsia" w:ascii="宋体" w:hAnsi="宋体" w:cs="宋体"/>
                <w:color w:val="auto"/>
                <w:kern w:val="0"/>
                <w:sz w:val="24"/>
                <w:highlight w:val="none"/>
              </w:rPr>
              <w:t>支持当前数据导出；</w:t>
            </w:r>
          </w:p>
          <w:p>
            <w:pPr>
              <w:widowControl/>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3.支持走访统计按/月/季度/年维度进行统计，可按区域分布、类型分布、新增情况统计本层级及下辖层级的</w:t>
            </w:r>
            <w:r>
              <w:rPr>
                <w:rFonts w:hint="eastAsia" w:ascii="宋体" w:hAnsi="宋体" w:cs="宋体"/>
                <w:color w:val="auto"/>
                <w:kern w:val="0"/>
                <w:sz w:val="24"/>
                <w:highlight w:val="none"/>
                <w:lang w:val="en"/>
              </w:rPr>
              <w:t>潜在风险</w:t>
            </w:r>
            <w:r>
              <w:rPr>
                <w:rFonts w:hint="eastAsia" w:ascii="宋体" w:hAnsi="宋体" w:cs="宋体"/>
                <w:color w:val="auto"/>
                <w:kern w:val="0"/>
                <w:sz w:val="24"/>
                <w:highlight w:val="none"/>
              </w:rPr>
              <w:t>人员，支持图形、列表切换展示。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应用入口</w:t>
            </w:r>
          </w:p>
        </w:tc>
        <w:tc>
          <w:tcPr>
            <w:tcW w:w="6449" w:type="dxa"/>
            <w:shd w:val="clear" w:color="auto" w:fill="auto"/>
            <w:vAlign w:val="center"/>
          </w:tcPr>
          <w:p>
            <w:pPr>
              <w:pStyle w:val="10"/>
              <w:adjustRightInd w:val="0"/>
              <w:snapToGrid w:val="0"/>
              <w:ind w:firstLine="0"/>
              <w:rPr>
                <w:rFonts w:ascii="宋体" w:hAnsi="宋体" w:cs="宋体"/>
                <w:color w:val="auto"/>
                <w:kern w:val="0"/>
                <w:sz w:val="24"/>
                <w:szCs w:val="24"/>
                <w:highlight w:val="none"/>
              </w:rPr>
            </w:pPr>
            <w:r>
              <w:rPr>
                <w:rFonts w:hint="eastAsia" w:ascii="宋体" w:hAnsi="宋体" w:cs="宋体"/>
                <w:color w:val="auto"/>
                <w:spacing w:val="-4"/>
                <w:kern w:val="0"/>
                <w:sz w:val="24"/>
                <w:szCs w:val="24"/>
                <w:highlight w:val="none"/>
              </w:rPr>
              <w:t>支持嵌入台州市基层治理综合信息平台。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widowControl/>
              <w:adjustRightInd w:val="0"/>
              <w:snapToGrid w:val="0"/>
              <w:jc w:val="left"/>
              <w:rPr>
                <w:rFonts w:ascii="宋体" w:hAnsi="宋体" w:eastAsia="仿宋_GB2312" w:cs="宋体"/>
                <w:b/>
                <w:bCs/>
                <w:color w:val="auto"/>
                <w:kern w:val="0"/>
                <w:sz w:val="24"/>
                <w:highlight w:val="none"/>
                <w:lang w:val="en"/>
              </w:rPr>
            </w:pPr>
            <w:r>
              <w:rPr>
                <w:rFonts w:hint="eastAsia" w:ascii="宋体" w:hAnsi="宋体" w:cs="宋体"/>
                <w:b/>
                <w:bCs/>
                <w:color w:val="auto"/>
                <w:kern w:val="0"/>
                <w:sz w:val="24"/>
                <w:highlight w:val="none"/>
              </w:rPr>
              <w:t>1.2排查识别-部门协查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线索上报及审核</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1.支持部门管理员可通过人工录入和批量导入两种方式录入将工作中发现的疑似潜在风险人员信息；</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2.支持将新增的</w:t>
            </w:r>
            <w:r>
              <w:rPr>
                <w:rFonts w:hint="eastAsia" w:ascii="宋体" w:hAnsi="宋体" w:cs="宋体"/>
                <w:color w:val="auto"/>
                <w:kern w:val="0"/>
                <w:sz w:val="24"/>
                <w:highlight w:val="none"/>
                <w:lang w:val="en"/>
              </w:rPr>
              <w:t>潜在风险</w:t>
            </w:r>
            <w:r>
              <w:rPr>
                <w:rFonts w:hint="eastAsia" w:ascii="宋体" w:hAnsi="宋体" w:cs="宋体"/>
                <w:color w:val="auto"/>
                <w:kern w:val="0"/>
                <w:sz w:val="24"/>
                <w:highlight w:val="none"/>
              </w:rPr>
              <w:t>人员线索上报至领导审核，部门管理员可上传相应的批示文件，填写工作建议；</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3.支持领导对上报的线索进行审核，审核过程中，可修改相应的送审信息。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人员确认</w:t>
            </w:r>
          </w:p>
        </w:tc>
        <w:tc>
          <w:tcPr>
            <w:tcW w:w="6449" w:type="dxa"/>
            <w:shd w:val="clear" w:color="auto" w:fill="auto"/>
            <w:vAlign w:val="center"/>
          </w:tcPr>
          <w:p>
            <w:pPr>
              <w:numPr>
                <w:ilvl w:val="0"/>
                <w:numId w:val="4"/>
              </w:num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支持对部门上报的潜在风险人员信息，进行签收、商收和拒收。</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2.支持签收后，对应的线索进入本部门的</w:t>
            </w:r>
            <w:r>
              <w:rPr>
                <w:rFonts w:hint="eastAsia" w:ascii="宋体" w:hAnsi="宋体" w:cs="宋体"/>
                <w:color w:val="auto"/>
                <w:kern w:val="0"/>
                <w:sz w:val="24"/>
                <w:highlight w:val="none"/>
                <w:lang w:val="en"/>
              </w:rPr>
              <w:t>潜在风险</w:t>
            </w:r>
            <w:r>
              <w:rPr>
                <w:rFonts w:hint="eastAsia" w:ascii="宋体" w:hAnsi="宋体" w:cs="宋体"/>
                <w:color w:val="auto"/>
                <w:kern w:val="0"/>
                <w:sz w:val="24"/>
                <w:highlight w:val="none"/>
              </w:rPr>
              <w:t>人员关注列表。商收后，对应的线索同时存放于上报部门、上报部门指定的主管部门及协管部门中。拒收，需给出相应的拒收说明。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部门潜在风险人员关注</w:t>
            </w:r>
          </w:p>
        </w:tc>
        <w:tc>
          <w:tcPr>
            <w:tcW w:w="6449" w:type="dxa"/>
            <w:shd w:val="clear" w:color="auto" w:fill="auto"/>
            <w:vAlign w:val="center"/>
          </w:tcPr>
          <w:p>
            <w:pPr>
              <w:numPr>
                <w:ilvl w:val="0"/>
                <w:numId w:val="5"/>
              </w:num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支持潜在风险人员信息展示，部门可按照实际管理要求将人员分成主管、协管、休眠，对非休眠的人员可进行跟踪记录。</w:t>
            </w:r>
          </w:p>
          <w:p>
            <w:pPr>
              <w:numPr>
                <w:ilvl w:val="0"/>
                <w:numId w:val="5"/>
              </w:numPr>
              <w:adjustRightInd w:val="0"/>
              <w:snapToGrid w:val="0"/>
              <w:jc w:val="left"/>
              <w:rPr>
                <w:rFonts w:ascii="宋体" w:hAnsi="宋体" w:cs="宋体"/>
                <w:color w:val="auto"/>
                <w:kern w:val="0"/>
                <w:sz w:val="24"/>
                <w:highlight w:val="none"/>
                <w:lang w:val="en"/>
              </w:rPr>
            </w:pPr>
            <w:r>
              <w:rPr>
                <w:rFonts w:hint="eastAsia" w:ascii="宋体" w:hAnsi="宋体" w:cs="宋体"/>
                <w:color w:val="auto"/>
                <w:kern w:val="0"/>
                <w:sz w:val="24"/>
                <w:highlight w:val="none"/>
              </w:rPr>
              <w:t>支持管理员可发起云会商建群或云会商视频。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预警记录</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1.支持对所关注的潜在风险人员信息变动情况及新增的线索情况进行记录。</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2.支持展示预警对象的风险等级、关注类型、预警时间、预警类型和预警描述等信息。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统计分析</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1.针对部门一般人员，支持展示上报线索、新增关注人员、在库人员及个人跟踪工作的统计分析结果；</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2.针对部门领导，支持展示报线索、新增关注人员、在库人员及部门跟踪工作的统计分析结果。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应用入口</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要求支持浙政钉登录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rPr>
                <w:rFonts w:ascii="宋体" w:hAnsi="宋体" w:eastAsia="仿宋_GB2312" w:cs="宋体"/>
                <w:b/>
                <w:bCs/>
                <w:color w:val="auto"/>
                <w:kern w:val="0"/>
                <w:sz w:val="24"/>
                <w:highlight w:val="none"/>
              </w:rPr>
            </w:pPr>
            <w:r>
              <w:rPr>
                <w:rFonts w:hint="eastAsia" w:ascii="宋体" w:hAnsi="宋体" w:cs="宋体"/>
                <w:b/>
                <w:bCs/>
                <w:color w:val="auto"/>
                <w:sz w:val="24"/>
                <w:highlight w:val="none"/>
              </w:rPr>
              <w:t>2.预警预测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序号</w:t>
            </w:r>
          </w:p>
        </w:tc>
        <w:tc>
          <w:tcPr>
            <w:tcW w:w="1383"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功能</w:t>
            </w:r>
          </w:p>
        </w:tc>
        <w:tc>
          <w:tcPr>
            <w:tcW w:w="6449"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智能分析模型</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1.支持事件的自动分类、找出事件要素、行为要素；</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2.支持提取事件中的人、单位、场所等实体；</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3.支持将相关事件与人员进行关联；</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4.支持事件要素进行综合分析判断，确定事件风险等级。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全位感知模型</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1.支持从行为、性格、事件、环境四个维度指标，通过LIME算法实现赋分，形成人员风险值；</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2.支持赋分规则调整。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多事件关联模型</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支持根据事件描述、事件发生地、事件发生时间、事件主体人、事件主体人相关信息（身份证号、手机号）、事件主体机构、事件类型等特征，对多个事件之间进行关联分析。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重点人识别模型</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支持对不同行业、不同管控重点的人员进行独立分析识别，实现人员的多维度分析赋分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人员数据画像</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1.通过对算法模型的结果、动态信息数据与人员画像知识图谱结合，形成潜在风险人员数据画像。2.支持人员数据画像随着数据的变化实时动态更新。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预警及推送管理</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1.支持根据触发条件，生成</w:t>
            </w:r>
            <w:r>
              <w:rPr>
                <w:rFonts w:hint="eastAsia" w:ascii="宋体" w:hAnsi="宋体" w:cs="宋体"/>
                <w:color w:val="auto"/>
                <w:kern w:val="0"/>
                <w:sz w:val="24"/>
                <w:highlight w:val="none"/>
              </w:rPr>
              <w:t>民转刑</w:t>
            </w:r>
            <w:r>
              <w:rPr>
                <w:rFonts w:hint="eastAsia" w:ascii="宋体" w:hAnsi="宋体" w:cs="宋体"/>
                <w:color w:val="auto"/>
                <w:kern w:val="0"/>
                <w:sz w:val="24"/>
                <w:highlight w:val="none"/>
              </w:rPr>
              <w:t>案件防控工作预警指令，包含“潜在风险人员”和“工作提示”两种指令；</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2.生成指令后通过浙政钉“预警通知”中“潜在风险人员”、“工作提示”，推送给相应的组织机构。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637" w:type="dxa"/>
            <w:gridSpan w:val="3"/>
            <w:shd w:val="clear" w:color="auto" w:fill="auto"/>
            <w:vAlign w:val="center"/>
          </w:tcPr>
          <w:p>
            <w:pPr>
              <w:adjustRightInd w:val="0"/>
              <w:snapToGrid w:val="0"/>
              <w:rPr>
                <w:rFonts w:ascii="宋体" w:hAnsi="宋体" w:eastAsia="仿宋_GB2312" w:cs="宋体"/>
                <w:b/>
                <w:bCs/>
                <w:color w:val="auto"/>
                <w:kern w:val="0"/>
                <w:sz w:val="24"/>
                <w:highlight w:val="none"/>
              </w:rPr>
            </w:pPr>
            <w:r>
              <w:rPr>
                <w:rFonts w:hint="eastAsia" w:ascii="宋体" w:hAnsi="宋体" w:cs="宋体"/>
                <w:b/>
                <w:bCs/>
                <w:color w:val="auto"/>
                <w:sz w:val="24"/>
                <w:highlight w:val="none"/>
              </w:rPr>
              <w:t>3.化解管控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序号</w:t>
            </w:r>
          </w:p>
        </w:tc>
        <w:tc>
          <w:tcPr>
            <w:tcW w:w="1383"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功能</w:t>
            </w:r>
          </w:p>
        </w:tc>
        <w:tc>
          <w:tcPr>
            <w:tcW w:w="6449"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化解工作记录</w:t>
            </w:r>
          </w:p>
        </w:tc>
        <w:tc>
          <w:tcPr>
            <w:tcW w:w="6449" w:type="dxa"/>
            <w:shd w:val="clear" w:color="auto" w:fill="auto"/>
            <w:vAlign w:val="center"/>
          </w:tcPr>
          <w:p>
            <w:pPr>
              <w:adjustRightInd w:val="0"/>
              <w:snapToGrid w:val="0"/>
              <w:rPr>
                <w:rFonts w:ascii="宋体" w:hAnsi="宋体" w:cs="宋体"/>
                <w:color w:val="auto"/>
                <w:kern w:val="0"/>
                <w:sz w:val="24"/>
                <w:highlight w:val="none"/>
                <w:lang w:bidi="ar"/>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bidi="ar"/>
              </w:rPr>
              <w:t>.支持乡镇（街道）指挥室工作人员在预受理事件池中受理</w:t>
            </w:r>
            <w:r>
              <w:rPr>
                <w:rFonts w:hint="eastAsia" w:ascii="宋体" w:hAnsi="宋体" w:cs="宋体"/>
                <w:color w:val="auto"/>
                <w:kern w:val="0"/>
                <w:sz w:val="24"/>
                <w:highlight w:val="none"/>
                <w:lang w:val="en" w:bidi="ar"/>
              </w:rPr>
              <w:t>潜在风险</w:t>
            </w:r>
            <w:r>
              <w:rPr>
                <w:rFonts w:hint="eastAsia" w:ascii="宋体" w:hAnsi="宋体" w:cs="宋体"/>
                <w:color w:val="auto"/>
                <w:kern w:val="0"/>
                <w:sz w:val="24"/>
                <w:highlight w:val="none"/>
                <w:lang w:bidi="ar"/>
              </w:rPr>
              <w:t>人员相关的事件，可根据事件类型、描述等进行分派或流转；</w:t>
            </w:r>
          </w:p>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lang w:bidi="ar"/>
              </w:rPr>
              <w:t>3.支持展示预受理事件超时状态、事件单号、发生时间、描述、发生地点、用户、来源名称、创建部门、创建时间等。可以查看预受理事件详细信息，扩展信息、办理流程进度等。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事件分派</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支持乡镇（街道）根据事件内容，将事件分配到网格或协同至对应部门。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637" w:type="dxa"/>
            <w:gridSpan w:val="3"/>
            <w:shd w:val="clear" w:color="auto" w:fill="auto"/>
            <w:vAlign w:val="center"/>
          </w:tcPr>
          <w:p>
            <w:pPr>
              <w:pStyle w:val="10"/>
              <w:adjustRightInd w:val="0"/>
              <w:snapToGrid w:val="0"/>
              <w:ind w:firstLine="0"/>
              <w:rPr>
                <w:rFonts w:ascii="宋体" w:hAnsi="宋体" w:cs="宋体"/>
                <w:b/>
                <w:bCs/>
                <w:color w:val="auto"/>
                <w:kern w:val="0"/>
                <w:sz w:val="24"/>
                <w:szCs w:val="24"/>
                <w:highlight w:val="none"/>
              </w:rPr>
            </w:pPr>
            <w:r>
              <w:rPr>
                <w:rFonts w:hint="eastAsia" w:ascii="宋体" w:hAnsi="宋体" w:cs="宋体"/>
                <w:b/>
                <w:bCs/>
                <w:color w:val="auto"/>
                <w:sz w:val="24"/>
                <w:szCs w:val="24"/>
                <w:highlight w:val="none"/>
              </w:rPr>
              <w:t>4.跟踪关注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序号</w:t>
            </w:r>
          </w:p>
        </w:tc>
        <w:tc>
          <w:tcPr>
            <w:tcW w:w="1383"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功能</w:t>
            </w:r>
          </w:p>
        </w:tc>
        <w:tc>
          <w:tcPr>
            <w:tcW w:w="6449"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基础数据对接</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支持对基层治理综合信息平台基础数据库人口信息进行迭代升级，以支撑走访巡查时直接调用潜在风险人员数据；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任务中心</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支持对基层治理综合信息平台任务中心进行升级改造，可配置潜在风险任务巡查走访任务，指定巡查组织/人、配置巡查周期等，由网格员根据任务要求开展巡查走访。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巡查走访-人口信息</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支持在人口信息中新增潜在风险人员类型，统计下辖各区域巡查走访情况，包括巡查总量、潜在风险量、潜在风险率。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巡查走访-创建检查</w:t>
            </w:r>
          </w:p>
        </w:tc>
        <w:tc>
          <w:tcPr>
            <w:tcW w:w="6449" w:type="dxa"/>
            <w:shd w:val="clear" w:color="auto" w:fill="auto"/>
            <w:vAlign w:val="center"/>
          </w:tcPr>
          <w:p>
            <w:pPr>
              <w:numPr>
                <w:ilvl w:val="0"/>
                <w:numId w:val="6"/>
              </w:num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支持新增潜在风险人员检查项，满足潜在风险人员数据与基础数据同步。</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2.支持对潜在风险人员配置检查内容，检查对象（潜在风险人员）直接从数据库选定，由网格员检查后上报检查结果。</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3.支持结合实地巡查功能，配置有效检查范围。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巡查走访-巡查配置</w:t>
            </w:r>
          </w:p>
        </w:tc>
        <w:tc>
          <w:tcPr>
            <w:tcW w:w="6449" w:type="dxa"/>
            <w:shd w:val="clear" w:color="auto" w:fill="auto"/>
            <w:vAlign w:val="bottom"/>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1.支持实地巡查配置：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2.支持市级用户为下辖区域配置巡查的有效巡查范围，以落实实地巡查工作要求。</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3.支持对潜在风险人员配置检查表，可查看每一个检查项的详细信息。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widowControl/>
              <w:adjustRightInd w:val="0"/>
              <w:snapToGrid w:val="0"/>
              <w:jc w:val="left"/>
              <w:rPr>
                <w:rFonts w:ascii="宋体" w:hAnsi="宋体" w:cs="宋体"/>
                <w:b/>
                <w:bCs/>
                <w:color w:val="auto"/>
                <w:kern w:val="0"/>
                <w:sz w:val="24"/>
                <w:highlight w:val="none"/>
                <w:lang w:val="en"/>
              </w:rPr>
            </w:pPr>
            <w:r>
              <w:rPr>
                <w:rFonts w:hint="eastAsia" w:ascii="宋体" w:hAnsi="宋体" w:cs="宋体"/>
                <w:b/>
                <w:bCs/>
                <w:color w:val="auto"/>
                <w:sz w:val="24"/>
                <w:highlight w:val="none"/>
              </w:rPr>
              <w:t>5.分析监管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序号</w:t>
            </w:r>
          </w:p>
        </w:tc>
        <w:tc>
          <w:tcPr>
            <w:tcW w:w="1383"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功能</w:t>
            </w:r>
          </w:p>
        </w:tc>
        <w:tc>
          <w:tcPr>
            <w:tcW w:w="6449"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驾驶舱</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1.支持从总览、预警一张图、排查识别、预测预警、警网协同、化解管控、跟踪关注、责任落实6大场景，以及管控成效、统计分析报告等层面展示整个防控工作进展状况和取得成效。</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2.支持从台州市基层治理综合信息平台登录。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分析监管后台管理模块</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支持对预警指令的管理，对预警人员的查看，对工作通知的配置，对数字法治门户和驾驶舱的功能配置功能。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潜在风险人员清单</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支持对潜在风险人员详情展示，包括人员基本信息、人工识别风险级别、最新及历史管控轨迹、三要素（性格、行为、事件）识别情况、关联人和事件及单位、管控预案、管控轨迹历史事件等。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待定级人员</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支持对待定级人员信息的展示，包括基本信息、关联事、管控轨迹。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镇街、区县、地市数据权限分级</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1.支持通过权限，控制不同层级（镇街、区县、地市）人员，查看对应的权限范围内数据；</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2.同时支持个性化页面内容展示。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预警指令推送、展示</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支持对识别出现的“民转刑”防控的人员（潜在风险的信息数据、潜在风险的管控工作）生成预警指令，并通过指令通知、</w:t>
            </w:r>
            <w:r>
              <w:rPr>
                <w:rFonts w:hint="eastAsia" w:ascii="宋体" w:hAnsi="宋体" w:cs="宋体"/>
                <w:color w:val="auto"/>
                <w:kern w:val="0"/>
                <w:sz w:val="24"/>
                <w:highlight w:val="none"/>
                <w:lang w:val="en-US" w:eastAsia="zh-CN"/>
              </w:rPr>
              <w:t>浙政</w:t>
            </w:r>
            <w:r>
              <w:rPr>
                <w:rFonts w:hint="eastAsia" w:ascii="宋体" w:hAnsi="宋体" w:cs="宋体"/>
                <w:color w:val="auto"/>
                <w:kern w:val="0"/>
                <w:sz w:val="24"/>
                <w:highlight w:val="none"/>
              </w:rPr>
              <w:t>钉</w:t>
            </w:r>
            <w:r>
              <w:rPr>
                <w:rFonts w:hint="eastAsia" w:ascii="宋体" w:hAnsi="宋体" w:cs="宋体"/>
                <w:color w:val="auto"/>
                <w:kern w:val="0"/>
                <w:sz w:val="24"/>
                <w:highlight w:val="none"/>
              </w:rPr>
              <w:t>、短信方式通知到对应的工作人员。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统计报表</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1.根据“民转刑”防控工作的5个环节基础数据、业务过程和结果数据，统计分析输出工作流程（5个环节）结果。</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2.支持出具月（周、季度）统计分析报告、评价工作报告、专题分析报告。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b/>
                <w:bCs/>
                <w:color w:val="auto"/>
                <w:kern w:val="0"/>
                <w:sz w:val="24"/>
                <w:highlight w:val="none"/>
              </w:rPr>
              <w:t>6.数字法治门户展示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数字法治门户专题页面</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支持在台州市数字法治门户，搭建台州“民转刑”防控综合集成应用场景，展示</w:t>
            </w:r>
            <w:r>
              <w:rPr>
                <w:rFonts w:hint="eastAsia" w:ascii="宋体" w:hAnsi="宋体" w:cs="宋体"/>
                <w:color w:val="auto"/>
                <w:kern w:val="0"/>
                <w:sz w:val="24"/>
                <w:highlight w:val="none"/>
              </w:rPr>
              <w:t>民转刑</w:t>
            </w:r>
            <w:r>
              <w:rPr>
                <w:rFonts w:hint="eastAsia" w:ascii="宋体" w:hAnsi="宋体" w:cs="宋体"/>
                <w:color w:val="auto"/>
                <w:kern w:val="0"/>
                <w:sz w:val="24"/>
                <w:highlight w:val="none"/>
              </w:rPr>
              <w:t>案件防控综合集成项目的场景介绍、牵头协同单位、核心指标及改革前后变化、多跨协同的子场景、项目计划、政策提示及改革突破点介绍等内容。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637" w:type="dxa"/>
            <w:gridSpan w:val="3"/>
            <w:shd w:val="clear" w:color="auto" w:fill="auto"/>
            <w:vAlign w:val="center"/>
          </w:tcPr>
          <w:p>
            <w:pPr>
              <w:pStyle w:val="10"/>
              <w:adjustRightInd w:val="0"/>
              <w:snapToGrid w:val="0"/>
              <w:ind w:firstLine="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(二)业务应用—移动端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序号</w:t>
            </w:r>
          </w:p>
        </w:tc>
        <w:tc>
          <w:tcPr>
            <w:tcW w:w="1383"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功能</w:t>
            </w:r>
          </w:p>
        </w:tc>
        <w:tc>
          <w:tcPr>
            <w:tcW w:w="6449"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widowControl/>
              <w:adjustRightInd w:val="0"/>
              <w:snapToGrid w:val="0"/>
              <w:jc w:val="left"/>
              <w:rPr>
                <w:rFonts w:ascii="宋体" w:hAnsi="宋体" w:cs="宋体"/>
                <w:color w:val="auto"/>
                <w:kern w:val="0"/>
                <w:sz w:val="24"/>
                <w:highlight w:val="none"/>
              </w:rPr>
            </w:pPr>
            <w:r>
              <w:rPr>
                <w:rFonts w:hint="eastAsia" w:ascii="宋体" w:hAnsi="宋体" w:cs="宋体"/>
                <w:b/>
                <w:bCs/>
                <w:color w:val="auto"/>
                <w:kern w:val="0"/>
                <w:sz w:val="24"/>
                <w:highlight w:val="none"/>
              </w:rPr>
              <w:t>1.排查识别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jc w:val="center"/>
              <w:rPr>
                <w:rFonts w:ascii="宋体" w:hAnsi="宋体" w:cs="宋体"/>
                <w:color w:val="auto"/>
                <w:kern w:val="0"/>
                <w:sz w:val="24"/>
                <w:highlight w:val="none"/>
                <w:lang w:val="en"/>
              </w:rPr>
            </w:pPr>
            <w:r>
              <w:rPr>
                <w:rFonts w:hint="eastAsia" w:ascii="宋体" w:hAnsi="宋体" w:cs="宋体"/>
                <w:color w:val="auto"/>
                <w:kern w:val="0"/>
                <w:sz w:val="24"/>
                <w:highlight w:val="none"/>
                <w:lang w:val="en"/>
              </w:rPr>
              <w:t>潜在风险人员上报</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支持网格员通过移动端上报疑似</w:t>
            </w:r>
            <w:r>
              <w:rPr>
                <w:rFonts w:hint="eastAsia" w:ascii="宋体" w:hAnsi="宋体" w:cs="宋体"/>
                <w:color w:val="auto"/>
                <w:kern w:val="0"/>
                <w:sz w:val="24"/>
                <w:highlight w:val="none"/>
                <w:lang w:val="en"/>
              </w:rPr>
              <w:t>潜在风险</w:t>
            </w:r>
            <w:r>
              <w:rPr>
                <w:rFonts w:hint="eastAsia" w:ascii="宋体" w:hAnsi="宋体" w:cs="宋体"/>
                <w:color w:val="auto"/>
                <w:kern w:val="0"/>
                <w:sz w:val="24"/>
                <w:highlight w:val="none"/>
              </w:rPr>
              <w:t>人员，采集</w:t>
            </w:r>
            <w:r>
              <w:rPr>
                <w:rFonts w:hint="eastAsia" w:ascii="宋体" w:hAnsi="宋体" w:cs="宋体"/>
                <w:color w:val="auto"/>
                <w:kern w:val="0"/>
                <w:sz w:val="24"/>
                <w:highlight w:val="none"/>
                <w:lang w:val="en"/>
              </w:rPr>
              <w:t>潜在风险</w:t>
            </w:r>
            <w:r>
              <w:rPr>
                <w:rFonts w:hint="eastAsia" w:ascii="宋体" w:hAnsi="宋体" w:cs="宋体"/>
                <w:color w:val="auto"/>
                <w:kern w:val="0"/>
                <w:sz w:val="24"/>
                <w:highlight w:val="none"/>
              </w:rPr>
              <w:t>人员信息并上报，包括疑似</w:t>
            </w:r>
            <w:r>
              <w:rPr>
                <w:rFonts w:hint="eastAsia" w:ascii="宋体" w:hAnsi="宋体" w:cs="宋体"/>
                <w:color w:val="auto"/>
                <w:kern w:val="0"/>
                <w:sz w:val="24"/>
                <w:highlight w:val="none"/>
                <w:lang w:val="en"/>
              </w:rPr>
              <w:t>潜在风险</w:t>
            </w:r>
            <w:r>
              <w:rPr>
                <w:rFonts w:hint="eastAsia" w:ascii="宋体" w:hAnsi="宋体" w:cs="宋体"/>
                <w:color w:val="auto"/>
                <w:kern w:val="0"/>
                <w:sz w:val="24"/>
                <w:highlight w:val="none"/>
              </w:rPr>
              <w:t>人员姓名、性别、重点人员类型、三要素信息、来源、证件号码等，可以查看历史上报记录。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lang w:val="en"/>
              </w:rPr>
            </w:pPr>
            <w:r>
              <w:rPr>
                <w:rFonts w:ascii="宋体" w:hAnsi="宋体" w:cs="宋体"/>
                <w:color w:val="auto"/>
                <w:kern w:val="0"/>
                <w:sz w:val="24"/>
                <w:highlight w:val="none"/>
                <w:lang w:val="en"/>
              </w:rPr>
              <w:t>2</w:t>
            </w:r>
          </w:p>
        </w:tc>
        <w:tc>
          <w:tcPr>
            <w:tcW w:w="1383" w:type="dxa"/>
            <w:shd w:val="clear" w:color="auto" w:fill="auto"/>
            <w:vAlign w:val="center"/>
          </w:tcPr>
          <w:p>
            <w:pPr>
              <w:adjustRightInd w:val="0"/>
              <w:snapToGrid w:val="0"/>
              <w:rPr>
                <w:rFonts w:ascii="宋体" w:hAnsi="宋体" w:cs="宋体"/>
                <w:color w:val="auto"/>
                <w:kern w:val="0"/>
                <w:sz w:val="24"/>
                <w:highlight w:val="none"/>
                <w:lang w:val="en"/>
              </w:rPr>
            </w:pPr>
            <w:r>
              <w:rPr>
                <w:rFonts w:hint="eastAsia" w:ascii="宋体" w:hAnsi="宋体" w:cs="宋体"/>
                <w:color w:val="auto"/>
                <w:kern w:val="0"/>
                <w:sz w:val="24"/>
                <w:highlight w:val="none"/>
                <w:lang w:val="en"/>
              </w:rPr>
              <w:t>人员管理</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1.支持对未定级</w:t>
            </w:r>
            <w:r>
              <w:rPr>
                <w:rFonts w:hint="eastAsia" w:ascii="宋体" w:hAnsi="宋体" w:cs="宋体"/>
                <w:color w:val="auto"/>
                <w:kern w:val="0"/>
                <w:sz w:val="24"/>
                <w:highlight w:val="none"/>
                <w:lang w:val="en"/>
              </w:rPr>
              <w:t>潜在风险</w:t>
            </w:r>
            <w:r>
              <w:rPr>
                <w:rFonts w:hint="eastAsia" w:ascii="宋体" w:hAnsi="宋体" w:cs="宋体"/>
                <w:color w:val="auto"/>
                <w:kern w:val="0"/>
                <w:sz w:val="24"/>
                <w:highlight w:val="none"/>
              </w:rPr>
              <w:t>人员、</w:t>
            </w:r>
            <w:r>
              <w:rPr>
                <w:rFonts w:hint="eastAsia" w:ascii="宋体" w:hAnsi="宋体" w:cs="宋体"/>
                <w:color w:val="auto"/>
                <w:kern w:val="0"/>
                <w:sz w:val="24"/>
                <w:highlight w:val="none"/>
                <w:lang w:val="en"/>
              </w:rPr>
              <w:t>潜在风险</w:t>
            </w:r>
            <w:r>
              <w:rPr>
                <w:rFonts w:hint="eastAsia" w:ascii="宋体" w:hAnsi="宋体" w:cs="宋体"/>
                <w:color w:val="auto"/>
                <w:kern w:val="0"/>
                <w:sz w:val="24"/>
                <w:highlight w:val="none"/>
              </w:rPr>
              <w:t>人员、无</w:t>
            </w:r>
            <w:r>
              <w:rPr>
                <w:rFonts w:hint="eastAsia" w:ascii="宋体" w:hAnsi="宋体" w:cs="宋体"/>
                <w:color w:val="auto"/>
                <w:kern w:val="0"/>
                <w:sz w:val="24"/>
                <w:highlight w:val="none"/>
                <w:lang w:val="en"/>
              </w:rPr>
              <w:t>潜在风险</w:t>
            </w:r>
            <w:r>
              <w:rPr>
                <w:rFonts w:hint="eastAsia" w:ascii="宋体" w:hAnsi="宋体" w:cs="宋体"/>
                <w:color w:val="auto"/>
                <w:kern w:val="0"/>
                <w:sz w:val="24"/>
                <w:highlight w:val="none"/>
              </w:rPr>
              <w:t>人员的管理。</w:t>
            </w:r>
          </w:p>
          <w:p>
            <w:pPr>
              <w:adjustRightInd w:val="0"/>
              <w:snapToGrid w:val="0"/>
              <w:jc w:val="left"/>
              <w:rPr>
                <w:rFonts w:ascii="宋体" w:hAnsi="宋体" w:cs="宋体"/>
                <w:color w:val="auto"/>
                <w:kern w:val="0"/>
                <w:sz w:val="24"/>
                <w:highlight w:val="none"/>
              </w:rPr>
            </w:pPr>
            <w:r>
              <w:rPr>
                <w:rFonts w:ascii="宋体" w:hAnsi="宋体" w:cs="宋体"/>
                <w:color w:val="auto"/>
                <w:kern w:val="0"/>
                <w:sz w:val="24"/>
                <w:highlight w:val="none"/>
                <w:lang w:val="en"/>
              </w:rPr>
              <w:t>2.</w:t>
            </w:r>
            <w:r>
              <w:rPr>
                <w:rFonts w:hint="eastAsia" w:ascii="宋体" w:hAnsi="宋体" w:cs="宋体"/>
                <w:color w:val="auto"/>
                <w:kern w:val="0"/>
                <w:sz w:val="24"/>
                <w:highlight w:val="none"/>
                <w:lang w:val="en"/>
              </w:rPr>
              <w:t>支持</w:t>
            </w:r>
            <w:r>
              <w:rPr>
                <w:rFonts w:hint="eastAsia" w:ascii="宋体" w:hAnsi="宋体" w:cs="宋体"/>
                <w:color w:val="auto"/>
                <w:kern w:val="0"/>
                <w:sz w:val="24"/>
                <w:highlight w:val="none"/>
              </w:rPr>
              <w:t>网格员通过移动端，补充完善管控对象的基本信息、家庭信息、工作情况、三要素、纠纷信息等，辅助领导分析决策。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lang w:val="en"/>
              </w:rPr>
            </w:pPr>
            <w:r>
              <w:rPr>
                <w:rFonts w:hint="eastAsia" w:ascii="宋体" w:hAnsi="宋体" w:cs="宋体"/>
                <w:color w:val="auto"/>
                <w:kern w:val="0"/>
                <w:sz w:val="24"/>
                <w:highlight w:val="none"/>
              </w:rPr>
              <w:t>3</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数据认领</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1.支持网格员通过移动端，查看乡镇（街道）分派的潜在风险人员信息，认领本网格的潜在风险人员并纳入本网格管理；</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2.对于不属于本网格的人员，支持将数据回退给乡镇（街道）。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lang w:val="en"/>
              </w:rPr>
            </w:pPr>
            <w:r>
              <w:rPr>
                <w:rFonts w:hint="eastAsia" w:ascii="宋体" w:hAnsi="宋体" w:cs="宋体"/>
                <w:color w:val="auto"/>
                <w:kern w:val="0"/>
                <w:sz w:val="24"/>
                <w:highlight w:val="none"/>
              </w:rPr>
              <w:t>4</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预警核查</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支持乡镇（街道）指挥室工作人员通过移动端，接收预警预测子应用推送的预警信息，并根据预警人员信息、关联事件等综合分析研判，核查并设定该预警人员风险等级。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lang w:val="en"/>
              </w:rPr>
            </w:pPr>
            <w:r>
              <w:rPr>
                <w:rFonts w:hint="eastAsia" w:ascii="宋体" w:hAnsi="宋体" w:cs="宋体"/>
                <w:color w:val="auto"/>
                <w:kern w:val="0"/>
                <w:sz w:val="24"/>
                <w:highlight w:val="none"/>
              </w:rPr>
              <w:t>5</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服务记录</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支持整体展示潜在风险人员服务和工作情况。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lang w:val="en"/>
              </w:rPr>
            </w:pPr>
            <w:r>
              <w:rPr>
                <w:rFonts w:hint="eastAsia" w:ascii="宋体" w:hAnsi="宋体" w:cs="宋体"/>
                <w:color w:val="auto"/>
                <w:kern w:val="0"/>
                <w:sz w:val="24"/>
                <w:highlight w:val="none"/>
              </w:rPr>
              <w:t>6</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统计分析</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支持从人员管理和走访服务两个维度，统计潜在风险人员管控情况，包括人口类型、预警等级、走访情况等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应用入口</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嵌入浙政钉掌上基层APP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b/>
                <w:bCs/>
                <w:color w:val="auto"/>
                <w:kern w:val="0"/>
                <w:sz w:val="24"/>
                <w:highlight w:val="none"/>
              </w:rPr>
              <w:t>2.部门协查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排查登记</w:t>
            </w:r>
          </w:p>
        </w:tc>
        <w:tc>
          <w:tcPr>
            <w:tcW w:w="6449"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支持按性格行为事件三要素，以及排查情况进行信息上报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预警消息提醒</w:t>
            </w:r>
          </w:p>
        </w:tc>
        <w:tc>
          <w:tcPr>
            <w:tcW w:w="6449"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支持有预警发生时，可以查看具体的预警消息内容，并支持钉消息通知。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线索上报</w:t>
            </w:r>
          </w:p>
        </w:tc>
        <w:tc>
          <w:tcPr>
            <w:tcW w:w="6449"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支持在日常工作中，根据三要素标准，实现人员线索上报。包括相关人员姓名，身份证，所属街道，主要纠纷及诉求等。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跟踪反馈</w:t>
            </w:r>
          </w:p>
        </w:tc>
        <w:tc>
          <w:tcPr>
            <w:tcW w:w="6449"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支持对跟踪管控人员情况的反馈，包括信息描述和附件上传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关注人员</w:t>
            </w:r>
          </w:p>
        </w:tc>
        <w:tc>
          <w:tcPr>
            <w:tcW w:w="6449"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支持可查看关注的人员列表，包括具体人员的详细信息，等级情况，三要素情况，以及跟踪关注情况等。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统计分析</w:t>
            </w:r>
          </w:p>
        </w:tc>
        <w:tc>
          <w:tcPr>
            <w:tcW w:w="6449"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支持提供部门相关人员及跟踪关注情况的统计分析。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应用入口</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嵌入浙政钉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b/>
                <w:bCs/>
                <w:color w:val="auto"/>
                <w:kern w:val="0"/>
                <w:sz w:val="24"/>
                <w:highlight w:val="none"/>
              </w:rPr>
              <w:t>3.分析监管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潜在风险人员清单</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支持对潜在风险人员详情展示，包括人员基本信息、人工识别风险级别、最新及历史管控轨迹、三要素（性格、行为、事件）识别情况、关联人和事件及单位、管控预案、管控轨迹历史事件等。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待定级人员</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支持对待定级人员信息的展示，包括基本信息、关联事、管控轨迹。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镇街、区县、地市数据权限分级</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1.支持通过权限，控制不同层级（镇街、区县、地市）人员，查看对应的权限范围内数据；</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2.同时支持个性化页面内容展示。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预警指令推送、展示</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支持对识别出现的</w:t>
            </w:r>
            <w:r>
              <w:rPr>
                <w:rFonts w:hint="eastAsia" w:ascii="宋体" w:hAnsi="宋体" w:cs="宋体"/>
                <w:color w:val="auto"/>
                <w:kern w:val="0"/>
                <w:sz w:val="24"/>
                <w:highlight w:val="none"/>
              </w:rPr>
              <w:t>民转刑</w:t>
            </w:r>
            <w:r>
              <w:rPr>
                <w:rFonts w:hint="eastAsia" w:ascii="宋体" w:hAnsi="宋体" w:cs="宋体"/>
                <w:color w:val="auto"/>
                <w:kern w:val="0"/>
                <w:sz w:val="24"/>
                <w:highlight w:val="none"/>
              </w:rPr>
              <w:t>防控的人员（潜在风险的信息数据、潜在风险的管控工作）生成预警指令，并通过指令通知、</w:t>
            </w:r>
            <w:r>
              <w:rPr>
                <w:rFonts w:hint="eastAsia" w:ascii="宋体" w:hAnsi="宋体" w:cs="宋体"/>
                <w:color w:val="auto"/>
                <w:kern w:val="0"/>
                <w:sz w:val="24"/>
                <w:highlight w:val="none"/>
                <w:lang w:val="en-US" w:eastAsia="zh-CN"/>
              </w:rPr>
              <w:t>浙政</w:t>
            </w:r>
            <w:r>
              <w:rPr>
                <w:rFonts w:hint="eastAsia" w:ascii="宋体" w:hAnsi="宋体" w:cs="宋体"/>
                <w:color w:val="auto"/>
                <w:kern w:val="0"/>
                <w:sz w:val="24"/>
                <w:highlight w:val="none"/>
              </w:rPr>
              <w:t>钉</w:t>
            </w:r>
            <w:r>
              <w:rPr>
                <w:rFonts w:hint="eastAsia" w:ascii="宋体" w:hAnsi="宋体" w:cs="宋体"/>
                <w:color w:val="auto"/>
                <w:kern w:val="0"/>
                <w:sz w:val="24"/>
                <w:highlight w:val="none"/>
              </w:rPr>
              <w:t>、短信方式通知到对应的工作人员。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统计报表</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1.支持对</w:t>
            </w:r>
            <w:r>
              <w:rPr>
                <w:rFonts w:hint="eastAsia" w:ascii="宋体" w:hAnsi="宋体" w:cs="宋体"/>
                <w:color w:val="auto"/>
                <w:kern w:val="0"/>
                <w:sz w:val="24"/>
                <w:highlight w:val="none"/>
              </w:rPr>
              <w:t>民转刑</w:t>
            </w:r>
            <w:r>
              <w:rPr>
                <w:rFonts w:hint="eastAsia" w:ascii="宋体" w:hAnsi="宋体" w:cs="宋体"/>
                <w:color w:val="auto"/>
                <w:kern w:val="0"/>
                <w:sz w:val="24"/>
                <w:highlight w:val="none"/>
              </w:rPr>
              <w:t>防控工作的5个环节基础数据、业务过程和结果数据，进行统计分析输出。</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2.支持出具月（周、季度）统计分析报告、评价工作报告、专题分析报告。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应用入口</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嵌入浙政钉掌上基层APP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37" w:type="dxa"/>
            <w:gridSpan w:val="3"/>
            <w:shd w:val="clear" w:color="auto" w:fill="auto"/>
            <w:vAlign w:val="center"/>
          </w:tcPr>
          <w:p>
            <w:pPr>
              <w:adjustRightInd w:val="0"/>
              <w:snapToGrid w:val="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4.数字法治门户展示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台州市数字法治门户移动端专题页面</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通过手机浙政钉，展示本地相关潜在风险人员的画像变化、变更告警信息。地市政法委、区县监管模块重监管，乡镇综治中心监管模块重业务实操。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展示入口</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嵌入浙政钉台州数字法治门户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b/>
                <w:bCs/>
                <w:color w:val="auto"/>
                <w:kern w:val="0"/>
                <w:sz w:val="24"/>
                <w:highlight w:val="none"/>
              </w:rPr>
              <w:t>5.软件视觉界面要求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界面整体美观，布局合理、字体合适、图标准确、色彩应用分明一致；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b/>
                <w:bCs/>
                <w:color w:val="auto"/>
                <w:kern w:val="0"/>
                <w:sz w:val="24"/>
                <w:highlight w:val="none"/>
              </w:rPr>
              <w:t>6.应用系统安全要求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满足应用与数据解耦的要求，确保应用自身和应用使用的安全，应用系统的安全设计主要涉及访问控制、应用通信加密、应用内容保护、应用攻击防护、应用脆弱性防护和应用特权防护等六个方面的内容；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b/>
                <w:bCs/>
                <w:color w:val="auto"/>
                <w:kern w:val="0"/>
                <w:sz w:val="24"/>
                <w:highlight w:val="none"/>
              </w:rPr>
              <w:t>7.软件运行要求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637" w:type="dxa"/>
            <w:gridSpan w:val="3"/>
            <w:shd w:val="clear" w:color="auto" w:fill="auto"/>
            <w:vAlign w:val="center"/>
          </w:tcPr>
          <w:p>
            <w:pPr>
              <w:pStyle w:val="90"/>
              <w:adjustRightInd w:val="0"/>
              <w:snapToGrid w:val="0"/>
              <w:spacing w:line="240" w:lineRule="auto"/>
              <w:ind w:firstLine="0" w:firstLineChars="0"/>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1.稳定性指标：</w:t>
            </w:r>
            <w:r>
              <w:rPr>
                <w:rFonts w:hint="eastAsia" w:ascii="宋体" w:hAnsi="宋体" w:eastAsia="宋体" w:cs="宋体"/>
                <w:color w:val="auto"/>
                <w:kern w:val="0"/>
                <w:sz w:val="24"/>
                <w:highlight w:val="none"/>
              </w:rPr>
              <w:t>系统有效工作时间：≥99.9%，系统故障恢复时间不超过30分钟，不出现以下情况：无故退出系统；发生系统不可控制的故障提示；因系统故障导致操作系统或机器无法正常操作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637" w:type="dxa"/>
            <w:gridSpan w:val="3"/>
            <w:shd w:val="clear" w:color="auto" w:fill="auto"/>
            <w:vAlign w:val="center"/>
          </w:tcPr>
          <w:p>
            <w:pPr>
              <w:pStyle w:val="90"/>
              <w:adjustRightInd w:val="0"/>
              <w:snapToGrid w:val="0"/>
              <w:spacing w:line="240" w:lineRule="auto"/>
              <w:ind w:firstLine="0" w:firstLineChars="0"/>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2.并发支持指标：</w:t>
            </w:r>
            <w:r>
              <w:rPr>
                <w:rFonts w:hint="eastAsia" w:ascii="宋体" w:hAnsi="宋体" w:eastAsia="宋体" w:cs="宋体"/>
                <w:color w:val="auto"/>
                <w:kern w:val="0"/>
                <w:sz w:val="24"/>
                <w:highlight w:val="none"/>
              </w:rPr>
              <w:t>网格端并发数支持指标：≥500个，治理端（政法及公安等部门用户）系统并发数支持指标：≥100个；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8637" w:type="dxa"/>
            <w:gridSpan w:val="3"/>
            <w:shd w:val="clear" w:color="auto" w:fill="auto"/>
            <w:vAlign w:val="center"/>
          </w:tcPr>
          <w:p>
            <w:pPr>
              <w:pStyle w:val="90"/>
              <w:adjustRightInd w:val="0"/>
              <w:snapToGrid w:val="0"/>
              <w:spacing w:line="240" w:lineRule="auto"/>
              <w:ind w:firstLine="0" w:firstLineChars="0"/>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3.响应指标：</w:t>
            </w:r>
            <w:r>
              <w:rPr>
                <w:rFonts w:hint="eastAsia" w:ascii="宋体" w:hAnsi="宋体" w:eastAsia="宋体" w:cs="宋体"/>
                <w:color w:val="auto"/>
                <w:kern w:val="0"/>
                <w:sz w:val="24"/>
                <w:highlight w:val="none"/>
              </w:rPr>
              <w:t>数据对接接口：平均响应实际≤3s（100名并发用户），简单事务处理(包含各类信息录入、修改、查询业务、主要页面平均响应时间等)≤3s（500名并发用户），复杂事务处理≤5s（100名并发用户），各类固定统计报表形成时间：≤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637" w:type="dxa"/>
            <w:gridSpan w:val="3"/>
            <w:shd w:val="clear" w:color="auto" w:fill="auto"/>
            <w:vAlign w:val="center"/>
          </w:tcPr>
          <w:p>
            <w:pPr>
              <w:pStyle w:val="10"/>
              <w:adjustRightInd w:val="0"/>
              <w:snapToGrid w:val="0"/>
              <w:ind w:firstLine="0"/>
              <w:jc w:val="center"/>
              <w:rPr>
                <w:rFonts w:ascii="宋体" w:hAnsi="宋体" w:cs="宋体"/>
                <w:color w:val="auto"/>
                <w:kern w:val="0"/>
                <w:sz w:val="24"/>
                <w:szCs w:val="24"/>
                <w:highlight w:val="none"/>
              </w:rPr>
            </w:pPr>
            <w:r>
              <w:rPr>
                <w:rFonts w:hint="eastAsia" w:ascii="宋体" w:hAnsi="宋体" w:cs="宋体"/>
                <w:b/>
                <w:bCs/>
                <w:color w:val="auto"/>
                <w:sz w:val="24"/>
                <w:szCs w:val="24"/>
                <w:highlight w:val="none"/>
              </w:rPr>
              <w:t>（三）组件应用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序号</w:t>
            </w:r>
          </w:p>
        </w:tc>
        <w:tc>
          <w:tcPr>
            <w:tcW w:w="1383"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组件名称</w:t>
            </w:r>
          </w:p>
        </w:tc>
        <w:tc>
          <w:tcPr>
            <w:tcW w:w="6449"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潜在风险人员信息管控组件</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包括人员信息同步接口和网格排查接口。</w:t>
            </w:r>
          </w:p>
          <w:p>
            <w:pPr>
              <w:adjustRightInd w:val="0"/>
              <w:snapToGrid w:val="0"/>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1.通过人员信息同步接口，实现预警预测子应用、排查识别子应用之间的业务融合，人员预警信息实时同步；</w:t>
            </w:r>
          </w:p>
          <w:p>
            <w:pPr>
              <w:adjustRightInd w:val="0"/>
              <w:snapToGrid w:val="0"/>
              <w:jc w:val="left"/>
              <w:rPr>
                <w:rFonts w:ascii="宋体" w:hAnsi="宋体" w:eastAsia="仿宋_GB2312" w:cs="宋体"/>
                <w:color w:val="auto"/>
                <w:kern w:val="0"/>
                <w:sz w:val="24"/>
                <w:highlight w:val="none"/>
              </w:rPr>
            </w:pPr>
            <w:r>
              <w:rPr>
                <w:rFonts w:hint="eastAsia" w:ascii="宋体" w:hAnsi="宋体" w:cs="宋体"/>
                <w:color w:val="auto"/>
                <w:kern w:val="0"/>
                <w:sz w:val="24"/>
                <w:highlight w:val="none"/>
                <w:lang w:bidi="ar"/>
              </w:rPr>
              <w:t>2.通过</w:t>
            </w:r>
            <w:r>
              <w:rPr>
                <w:rFonts w:hint="eastAsia" w:ascii="宋体" w:hAnsi="宋体" w:cs="宋体"/>
                <w:color w:val="auto"/>
                <w:kern w:val="0"/>
                <w:sz w:val="24"/>
                <w:highlight w:val="none"/>
              </w:rPr>
              <w:t>网格排查</w:t>
            </w:r>
            <w:r>
              <w:rPr>
                <w:rFonts w:hint="eastAsia" w:ascii="宋体" w:hAnsi="宋体" w:cs="宋体"/>
                <w:color w:val="auto"/>
                <w:kern w:val="0"/>
                <w:sz w:val="24"/>
                <w:highlight w:val="none"/>
                <w:lang w:bidi="ar"/>
              </w:rPr>
              <w:t>接口查询潜在风险人员管控记录，实现</w:t>
            </w:r>
            <w:r>
              <w:rPr>
                <w:rFonts w:hint="eastAsia" w:ascii="宋体" w:hAnsi="宋体" w:cs="宋体"/>
                <w:color w:val="auto"/>
                <w:kern w:val="0"/>
                <w:sz w:val="24"/>
                <w:highlight w:val="none"/>
              </w:rPr>
              <w:t>潜在风险</w:t>
            </w:r>
            <w:r>
              <w:rPr>
                <w:rFonts w:hint="eastAsia" w:ascii="宋体" w:hAnsi="宋体" w:cs="宋体"/>
                <w:color w:val="auto"/>
                <w:kern w:val="0"/>
                <w:sz w:val="24"/>
                <w:highlight w:val="none"/>
                <w:lang w:bidi="ar"/>
              </w:rPr>
              <w:t>人员信息共享和闭环管控。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心理健康服务组件</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根据重点人员的基础数据录入更新、问题隐患上报等信息进行综合分析，给重点人员的心理健康情况进行赋分。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家庭风险评估组件</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1.支持建立全量社会矛盾纠纷风险数据库，分析矛盾纠纷的关联、规律、趋势；</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2.根据家庭成员信息，对家庭风险等级进行赋分赋色。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潜在风险人员风险预警模型组件</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根据数据模型对潜在风险人员的性格要素、行为要素、事件要素、环境影响因素等数据进行分析，预测该潜在风险人员可能发生的事情，并根据预测事件的严重程度做出预警。支持调整数据模型的分析参数和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潜在风险流动人口组件</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根据数据模型对潜在风险人员的性格要素、行为要素、事件要素、环境影响因素等数据进行分析的基础上，结合流动人员的住房情况、职业情况、情感情况、户籍情况、租房情况等信息，预测该流动人员可能发生的事情，并根据预测事件的严重程度做出更加精确的预警。支持调整数据模型的分析参数和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二、应用支撑系统技术参数要求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83" w:type="dxa"/>
            <w:shd w:val="clear" w:color="auto" w:fill="auto"/>
            <w:vAlign w:val="center"/>
          </w:tcPr>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功能</w:t>
            </w:r>
          </w:p>
        </w:tc>
        <w:tc>
          <w:tcPr>
            <w:tcW w:w="6449" w:type="dxa"/>
            <w:shd w:val="clear" w:color="auto" w:fill="auto"/>
            <w:vAlign w:val="center"/>
          </w:tcPr>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b/>
                <w:bCs/>
                <w:color w:val="auto"/>
                <w:kern w:val="0"/>
                <w:sz w:val="24"/>
                <w:highlight w:val="none"/>
              </w:rPr>
              <w:t>1.统一用户鉴权体系建设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统一用户鉴权体系建设</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基于浙政钉用户认证体系，结合基层治理综合信息平台业务权限，为“民转刑”各子应用构建统一的用户鉴权体系，实现用于通过浙政钉掌上基层访问“民转刑”应用场景。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b/>
                <w:bCs/>
                <w:color w:val="auto"/>
                <w:kern w:val="0"/>
                <w:sz w:val="24"/>
                <w:highlight w:val="none"/>
              </w:rPr>
              <w:t>2.统一接口建设及系统对接建设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公安精查融合对接</w:t>
            </w:r>
          </w:p>
        </w:tc>
        <w:tc>
          <w:tcPr>
            <w:tcW w:w="6449" w:type="dxa"/>
            <w:shd w:val="clear" w:color="auto" w:fill="auto"/>
            <w:vAlign w:val="center"/>
          </w:tcPr>
          <w:p>
            <w:pPr>
              <w:adjustRightInd w:val="0"/>
              <w:snapToGrid w:val="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对接台州市公安局“一网一图一机制”系统，实现公安非**类事件流转至</w:t>
            </w:r>
            <w:r>
              <w:rPr>
                <w:rFonts w:hint="eastAsia" w:ascii="宋体" w:hAnsi="宋体" w:cs="宋体"/>
                <w:color w:val="auto"/>
                <w:kern w:val="0"/>
                <w:sz w:val="24"/>
                <w:highlight w:val="none"/>
                <w:lang w:eastAsia="zh-CN"/>
              </w:rPr>
              <w:t>台州市</w:t>
            </w:r>
            <w:r>
              <w:rPr>
                <w:rFonts w:hint="eastAsia" w:ascii="宋体" w:hAnsi="宋体" w:cs="宋体"/>
                <w:color w:val="auto"/>
                <w:kern w:val="0"/>
                <w:sz w:val="24"/>
                <w:highlight w:val="none"/>
              </w:rPr>
              <w:t>基层</w:t>
            </w:r>
            <w:r>
              <w:rPr>
                <w:rFonts w:hint="eastAsia" w:ascii="宋体" w:hAnsi="宋体" w:cs="宋体"/>
                <w:color w:val="auto"/>
                <w:kern w:val="0"/>
                <w:sz w:val="24"/>
                <w:highlight w:val="none"/>
                <w:lang w:eastAsia="zh-CN"/>
              </w:rPr>
              <w:t>治理综合信息</w:t>
            </w:r>
            <w:r>
              <w:rPr>
                <w:rFonts w:hint="eastAsia" w:ascii="宋体" w:hAnsi="宋体" w:cs="宋体"/>
                <w:color w:val="auto"/>
                <w:kern w:val="0"/>
                <w:sz w:val="24"/>
                <w:highlight w:val="none"/>
              </w:rPr>
              <w:t>平台</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预警预测应用融合对接</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实现预测预警结果的推送与接收。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家和智联融合对接</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支持查询指定人员家庭的家和智联指数，用于模型计算。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心理服务融合对接</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支持通过接口调用模式，向心理服务系统请求心理服务，并完成服务闭环。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市一体化智能化公共数据平台对接</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结合浙江省一体化数字资源系统（</w:t>
            </w:r>
            <w:r>
              <w:rPr>
                <w:rFonts w:hint="eastAsia" w:ascii="宋体" w:hAnsi="宋体" w:cs="宋体"/>
                <w:color w:val="auto"/>
                <w:kern w:val="0"/>
                <w:sz w:val="24"/>
                <w:highlight w:val="none"/>
                <w:lang w:val="en-US" w:eastAsia="zh-CN"/>
              </w:rPr>
              <w:t>IRS</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实现数据归集和交互功能，包括目录归集与推送、数据共享目录推送、数据共享申请、数据开放数据对接等。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637" w:type="dxa"/>
            <w:gridSpan w:val="3"/>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b/>
                <w:bCs/>
                <w:color w:val="auto"/>
                <w:kern w:val="0"/>
                <w:sz w:val="24"/>
                <w:highlight w:val="none"/>
              </w:rPr>
              <w:t>三、数据共享及中心数据库建设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b/>
                <w:bCs/>
                <w:color w:val="auto"/>
                <w:kern w:val="0"/>
                <w:sz w:val="24"/>
                <w:highlight w:val="none"/>
              </w:rPr>
              <w:t>1.数据归集接入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数据归集接入</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1.对浙江省、台州市一体化智能化平台上的公共数据进行申请、治理，支持离线同步归集至数据库中；</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2.在政务外网上与相关的数据进行的定时交换；</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3.对暂不能实时交换的数据，支持采用数据导入的方式进行共享。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b/>
                <w:bCs/>
                <w:color w:val="auto"/>
                <w:kern w:val="0"/>
                <w:sz w:val="24"/>
                <w:highlight w:val="none"/>
              </w:rPr>
              <w:t>2.数据治理服务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数据清洗</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对各部门归集的数据进行清洗处理，支持对源数据库中出现二义性、重复、不完整、违反业务或逻辑规则等问题的数据进行统一的处理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数据去重</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支持对结构化数据采用同一时间窗口比对、基于哈希算法比对等方式去除重复数据。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数据补全</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支持通过统计法、模型法、专家补全等方法将缺失的数据补上，形成完整的数据记录。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数据转换</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支持通过设置统一标准（如：国标、地方安全标准等）对字段进行值转换，保证数据格式、命名、编码、标识统一。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数据关联</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支持在不同数据集之间进行关联，实现在不同数据集的联动，为数据治理、业务应用的需求提供支撑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数据比对</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支持对两个数据集中的数据内容、数据格式的比较核查，找出相同的数据或不同的数据。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数据标识</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支持对识别的数据进行标签化，为人工智能算法模型提供支撑。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数据治理分析</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支持围绕准确性、完整性和一致性，对数据值的质量进行分析。剔除原始数据中的不完整（有缺失值）、不一致、数据异常等问题数据。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b/>
                <w:bCs/>
                <w:color w:val="auto"/>
                <w:kern w:val="0"/>
                <w:sz w:val="24"/>
                <w:highlight w:val="none"/>
              </w:rPr>
              <w:t>3.数据管理服务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数据脱敏</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支持通过相关加密算法，对数据库里的重要敏感信息脱敏处理；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分级分类</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支持按不同安全级别，对数据进行分类，实现不同的数据管理要求。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数据血缘管理</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支持依靠ODPS及DataWorks服务或者数据仓相关功能，对多源异构的数据经过清洗，ETL相关操作之后，形成相互关联的数据形态。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b/>
                <w:bCs/>
                <w:color w:val="auto"/>
                <w:kern w:val="0"/>
                <w:sz w:val="24"/>
                <w:highlight w:val="none"/>
              </w:rPr>
              <w:t>4.数据共享及开放服务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数据资源目录整理</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支持对司法、民政、公安、信访等部门，梳理形成事件、人员、实体等类型数据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数据共享对接</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支持通过数据数据服务方式、目录方式、Portlet web组件方式，实现数据共享。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b/>
                <w:bCs/>
                <w:color w:val="auto"/>
                <w:kern w:val="0"/>
                <w:sz w:val="24"/>
                <w:highlight w:val="none"/>
              </w:rPr>
              <w:t>5.中心数据库（动态信息风险库）建设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数据库设计</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1.根据数据中心的整体要求建设数据引入层负责数据汇聚；</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2.建设数据仓库层负责数据清洗、合并、加密；</w:t>
            </w:r>
          </w:p>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3.建设数据应用仓负责完成业务需求。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05" w:type="dxa"/>
            <w:shd w:val="clear" w:color="auto" w:fill="auto"/>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3" w:type="dxa"/>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kern w:val="0"/>
                <w:sz w:val="24"/>
                <w:highlight w:val="none"/>
              </w:rPr>
              <w:t>数据汇聚</w:t>
            </w:r>
          </w:p>
        </w:tc>
        <w:tc>
          <w:tcPr>
            <w:tcW w:w="6449" w:type="dxa"/>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支持通过数据交换技术，实现数据的采集、推送、主题数据库数据加载。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jc w:val="center"/>
              <w:rPr>
                <w:rFonts w:ascii="宋体" w:hAnsi="宋体" w:cs="宋体"/>
                <w:b/>
                <w:bCs/>
                <w:color w:val="auto"/>
                <w:sz w:val="24"/>
                <w:highlight w:val="none"/>
              </w:rPr>
            </w:pPr>
            <w:r>
              <w:rPr>
                <w:rFonts w:hint="eastAsia" w:ascii="宋体" w:hAnsi="宋体" w:cs="宋体"/>
                <w:b/>
                <w:bCs/>
                <w:color w:val="auto"/>
                <w:kern w:val="0"/>
                <w:sz w:val="24"/>
                <w:highlight w:val="none"/>
              </w:rPr>
              <w:t>四、其他要求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b/>
                <w:bCs/>
                <w:color w:val="auto"/>
                <w:sz w:val="24"/>
                <w:highlight w:val="none"/>
              </w:rPr>
              <w:t>1.云资源部署服务要求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sz w:val="24"/>
                <w:highlight w:val="none"/>
              </w:rPr>
              <w:t>本系统涉及的政务云资源，中标方需按大数据发展管理局要求向采购方提出申请需求，由采购方负责资源申请；投标总价包含政务云的各类服务部署。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b/>
                <w:bCs/>
                <w:color w:val="auto"/>
                <w:sz w:val="24"/>
                <w:highlight w:val="none"/>
              </w:rPr>
              <w:t>2.系统维护要求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sz w:val="24"/>
                <w:highlight w:val="none"/>
              </w:rPr>
              <w:t>1.本项目质保期1年，从项目终验通过后开始，主要包含系统建成后的系统运维服务。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sz w:val="24"/>
                <w:highlight w:val="none"/>
              </w:rPr>
              <w:t>2.日常运行维护，日常运行维护主要包含系统维护、定期巡检、软件Bug修复以及重要活动日的技术支持等；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sz w:val="24"/>
                <w:highlight w:val="none"/>
              </w:rPr>
              <w:t>3.在利用地址库成果开展应用场景建设过程中，系统接口对接服务需快速响应；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8637" w:type="dxa"/>
            <w:gridSpan w:val="3"/>
            <w:shd w:val="clear" w:color="auto" w:fill="auto"/>
            <w:vAlign w:val="center"/>
          </w:tcPr>
          <w:p>
            <w:pPr>
              <w:adjustRightInd w:val="0"/>
              <w:snapToGrid w:val="0"/>
              <w:rPr>
                <w:rFonts w:ascii="宋体" w:hAnsi="宋体" w:cs="宋体"/>
                <w:color w:val="auto"/>
                <w:kern w:val="0"/>
                <w:sz w:val="24"/>
                <w:highlight w:val="none"/>
              </w:rPr>
            </w:pPr>
            <w:r>
              <w:rPr>
                <w:rFonts w:hint="eastAsia" w:ascii="宋体" w:hAnsi="宋体" w:cs="宋体"/>
                <w:color w:val="auto"/>
                <w:sz w:val="24"/>
                <w:highlight w:val="none"/>
              </w:rPr>
              <w:t>4.中标方必须明确承诺达到用户的服务响应要求：24小时电话或电子邮件服务，1小时内做出明确响应和安排，4小时内做出故障诊断报告，如需现场服务的，具有解决故障能力的工程师应在6小时内到达现场。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b/>
                <w:bCs/>
                <w:color w:val="auto"/>
                <w:sz w:val="24"/>
                <w:highlight w:val="none"/>
              </w:rPr>
              <w:t>3.技术培训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sz w:val="24"/>
                <w:highlight w:val="none"/>
              </w:rPr>
              <w:t>1.中标方需按采购方要求，提供技术培训；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37" w:type="dxa"/>
            <w:gridSpan w:val="3"/>
            <w:shd w:val="clear" w:color="auto" w:fill="auto"/>
            <w:vAlign w:val="center"/>
          </w:tcPr>
          <w:p>
            <w:pPr>
              <w:adjustRightInd w:val="0"/>
              <w:snapToGrid w:val="0"/>
              <w:jc w:val="left"/>
              <w:rPr>
                <w:rFonts w:ascii="宋体" w:hAnsi="宋体" w:cs="宋体"/>
                <w:color w:val="auto"/>
                <w:kern w:val="0"/>
                <w:sz w:val="24"/>
                <w:highlight w:val="none"/>
              </w:rPr>
            </w:pPr>
            <w:r>
              <w:rPr>
                <w:rFonts w:hint="eastAsia" w:ascii="宋体" w:hAnsi="宋体" w:cs="宋体"/>
                <w:color w:val="auto"/>
                <w:sz w:val="24"/>
                <w:highlight w:val="none"/>
              </w:rPr>
              <w:t>2.中标方提供技术培训内容、要求、进度安排等材料。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637" w:type="dxa"/>
            <w:gridSpan w:val="3"/>
            <w:shd w:val="clear" w:color="auto" w:fill="auto"/>
            <w:vAlign w:val="center"/>
          </w:tcPr>
          <w:p>
            <w:pPr>
              <w:adjustRightInd w:val="0"/>
              <w:snapToGrid w:val="0"/>
              <w:rPr>
                <w:rFonts w:ascii="宋体" w:hAnsi="宋体" w:cs="宋体"/>
                <w:color w:val="auto"/>
                <w:sz w:val="24"/>
                <w:highlight w:val="none"/>
              </w:rPr>
            </w:pPr>
            <w:r>
              <w:rPr>
                <w:rFonts w:hint="eastAsia" w:ascii="宋体" w:hAnsi="宋体" w:cs="宋体"/>
                <w:b/>
                <w:bCs/>
                <w:color w:val="auto"/>
                <w:sz w:val="24"/>
                <w:highlight w:val="none"/>
              </w:rPr>
              <w:t>4.开发团队</w:t>
            </w:r>
            <w:r>
              <w:rPr>
                <w:rFonts w:hint="eastAsia" w:ascii="宋体" w:hAnsi="宋体" w:cs="宋体"/>
                <w:b/>
                <w:bCs/>
                <w:color w:val="auto"/>
                <w:sz w:val="24"/>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8637" w:type="dxa"/>
            <w:gridSpan w:val="3"/>
            <w:shd w:val="clear" w:color="auto" w:fill="auto"/>
            <w:vAlign w:val="center"/>
          </w:tcPr>
          <w:p>
            <w:pPr>
              <w:adjustRightInd w:val="0"/>
              <w:snapToGrid w:val="0"/>
              <w:rPr>
                <w:rFonts w:ascii="宋体" w:hAnsi="宋体" w:cs="宋体"/>
                <w:color w:val="auto"/>
                <w:sz w:val="24"/>
                <w:highlight w:val="none"/>
              </w:rPr>
            </w:pPr>
            <w:r>
              <w:rPr>
                <w:rFonts w:hint="eastAsia" w:ascii="宋体" w:hAnsi="宋体" w:cs="宋体"/>
                <w:color w:val="auto"/>
                <w:kern w:val="0"/>
                <w:sz w:val="24"/>
                <w:highlight w:val="none"/>
              </w:rPr>
              <w:t>除正常的系统开发工程师外，须至少配备8名从事数据治理服务人员，人员类型包括但不限于</w:t>
            </w:r>
            <w:r>
              <w:rPr>
                <w:rFonts w:hint="eastAsia" w:ascii="宋体" w:hAnsi="宋体" w:cs="宋体"/>
                <w:color w:val="auto"/>
                <w:sz w:val="24"/>
                <w:szCs w:val="28"/>
                <w:highlight w:val="none"/>
              </w:rPr>
              <w:t>数据架构分析师、数据治理项目经理、数据分析师、数据开发工程师、数据库工程师、数据质控工程师、数据运维工程师等。</w:t>
            </w:r>
          </w:p>
        </w:tc>
      </w:tr>
    </w:tbl>
    <w:p>
      <w:pPr>
        <w:adjustRightInd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三、商务需求</w:t>
      </w:r>
    </w:p>
    <w:p>
      <w:pPr>
        <w:tabs>
          <w:tab w:val="left" w:pos="567"/>
          <w:tab w:val="left" w:pos="709"/>
          <w:tab w:val="left" w:pos="900"/>
        </w:tabs>
        <w:adjustRightInd w:val="0"/>
        <w:snapToGrid w:val="0"/>
        <w:spacing w:line="360" w:lineRule="auto"/>
        <w:ind w:firstLine="482" w:firstLineChars="200"/>
        <w:outlineLvl w:val="2"/>
        <w:rPr>
          <w:rFonts w:ascii="宋体" w:hAnsi="宋体" w:cs="宋体"/>
          <w:b/>
          <w:color w:val="auto"/>
          <w:sz w:val="24"/>
          <w:highlight w:val="none"/>
        </w:rPr>
      </w:pPr>
      <w:r>
        <w:rPr>
          <w:rFonts w:hint="eastAsia" w:ascii="宋体" w:hAnsi="宋体"/>
          <w:b/>
          <w:color w:val="auto"/>
          <w:sz w:val="24"/>
          <w:highlight w:val="none"/>
        </w:rPr>
        <w:t>（一）</w:t>
      </w:r>
      <w:r>
        <w:rPr>
          <w:rFonts w:hint="eastAsia" w:ascii="宋体" w:hAnsi="宋体" w:cs="宋体"/>
          <w:b/>
          <w:color w:val="auto"/>
          <w:sz w:val="24"/>
          <w:highlight w:val="none"/>
        </w:rPr>
        <w:t>项目建设期</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1.2023 年3月：完成系统开发、数据建库和本地化部署上线，完成项目初验。</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2.2023年6月：完成项目试运行和项目终验，进入运维期。</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3.项目实施过程中，中标方需按照采购方的要求，完成相应的开发任务；</w:t>
      </w:r>
    </w:p>
    <w:p>
      <w:pPr>
        <w:adjustRightInd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4.项目实施至项目终验后1年维保期届满前，安排至少2名技术人员免费驻场支持，更换人员需征得采购方同意。</w:t>
      </w:r>
      <w:r>
        <w:rPr>
          <w:rFonts w:hint="eastAsia" w:ascii="宋体" w:hAnsi="宋体" w:cs="宋体"/>
          <w:color w:val="auto"/>
          <w:kern w:val="0"/>
          <w:sz w:val="24"/>
          <w:highlight w:val="none"/>
        </w:rPr>
        <w:t> </w:t>
      </w:r>
    </w:p>
    <w:p>
      <w:pPr>
        <w:tabs>
          <w:tab w:val="left" w:pos="567"/>
          <w:tab w:val="left" w:pos="709"/>
          <w:tab w:val="left" w:pos="900"/>
        </w:tabs>
        <w:adjustRightInd w:val="0"/>
        <w:snapToGrid w:val="0"/>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（二）付款方式</w:t>
      </w:r>
    </w:p>
    <w:p>
      <w:pPr>
        <w:tabs>
          <w:tab w:val="left" w:pos="567"/>
          <w:tab w:val="left" w:pos="709"/>
          <w:tab w:val="left" w:pos="900"/>
        </w:tabs>
        <w:adjustRightInd w:val="0"/>
        <w:snapToGrid w:val="0"/>
        <w:spacing w:line="360" w:lineRule="auto"/>
        <w:ind w:firstLine="480" w:firstLineChars="200"/>
        <w:rPr>
          <w:rFonts w:ascii="宋体" w:hAnsi="宋体"/>
          <w:bCs/>
          <w:color w:val="auto"/>
          <w:sz w:val="24"/>
          <w:highlight w:val="none"/>
        </w:rPr>
      </w:pPr>
      <w:r>
        <w:rPr>
          <w:rFonts w:hint="eastAsia" w:ascii="宋体" w:hAnsi="宋体" w:cs="宋体"/>
          <w:color w:val="auto"/>
          <w:sz w:val="24"/>
          <w:highlight w:val="none"/>
        </w:rPr>
        <w:t>本项目款项支付分三次支付，第一次支付为合同签订后</w:t>
      </w:r>
      <w:r>
        <w:rPr>
          <w:rFonts w:hint="eastAsia" w:ascii="宋体" w:hAnsi="宋体" w:cs="宋体"/>
          <w:color w:val="auto"/>
          <w:sz w:val="24"/>
          <w:highlight w:val="none"/>
          <w:lang w:val="en-US" w:eastAsia="zh-CN"/>
        </w:rPr>
        <w:t>20个工作日</w:t>
      </w:r>
      <w:r>
        <w:rPr>
          <w:rFonts w:hint="eastAsia" w:ascii="宋体" w:hAnsi="宋体" w:cs="宋体"/>
          <w:color w:val="auto"/>
          <w:sz w:val="24"/>
          <w:highlight w:val="none"/>
        </w:rPr>
        <w:t>内支付合同总金额的40%预付款，第二次支付为项目完成并通过初步验收后</w:t>
      </w:r>
      <w:r>
        <w:rPr>
          <w:rFonts w:hint="eastAsia" w:ascii="宋体" w:hAnsi="宋体" w:cs="宋体"/>
          <w:color w:val="auto"/>
          <w:sz w:val="24"/>
          <w:highlight w:val="none"/>
          <w:lang w:val="en-US" w:eastAsia="zh-CN"/>
        </w:rPr>
        <w:t>20个工作日</w:t>
      </w:r>
      <w:r>
        <w:rPr>
          <w:rFonts w:hint="eastAsia" w:ascii="宋体" w:hAnsi="宋体" w:cs="宋体"/>
          <w:color w:val="auto"/>
          <w:sz w:val="24"/>
          <w:highlight w:val="none"/>
        </w:rPr>
        <w:t>内支付合同总金额的30%，第三次支付为项目通过最终验收后</w:t>
      </w:r>
      <w:r>
        <w:rPr>
          <w:rFonts w:hint="eastAsia" w:ascii="宋体" w:hAnsi="宋体" w:cs="宋体"/>
          <w:color w:val="auto"/>
          <w:sz w:val="24"/>
          <w:highlight w:val="none"/>
          <w:lang w:val="en-US" w:eastAsia="zh-CN"/>
        </w:rPr>
        <w:t>20个工作日</w:t>
      </w:r>
      <w:r>
        <w:rPr>
          <w:rFonts w:hint="eastAsia" w:ascii="宋体" w:hAnsi="宋体" w:cs="宋体"/>
          <w:color w:val="auto"/>
          <w:sz w:val="24"/>
          <w:highlight w:val="none"/>
        </w:rPr>
        <w:t>内支付合同总金额的</w:t>
      </w:r>
      <w:r>
        <w:rPr>
          <w:rFonts w:ascii="宋体" w:hAnsi="宋体" w:cs="宋体"/>
          <w:color w:val="auto"/>
          <w:sz w:val="24"/>
          <w:highlight w:val="none"/>
          <w:lang w:val="en"/>
        </w:rPr>
        <w:t>30</w:t>
      </w:r>
      <w:r>
        <w:rPr>
          <w:rFonts w:hint="eastAsia" w:ascii="宋体" w:hAnsi="宋体" w:cs="宋体"/>
          <w:color w:val="auto"/>
          <w:sz w:val="24"/>
          <w:highlight w:val="none"/>
        </w:rPr>
        <w:t>%。</w:t>
      </w:r>
    </w:p>
    <w:p>
      <w:pPr>
        <w:pStyle w:val="2"/>
        <w:adjustRightInd w:val="0"/>
        <w:snapToGrid w:val="0"/>
        <w:spacing w:line="360" w:lineRule="auto"/>
        <w:ind w:firstLine="482" w:firstLineChars="200"/>
        <w:outlineLvl w:val="2"/>
        <w:rPr>
          <w:rFonts w:ascii="宋体" w:hAnsi="宋体" w:cs="宋体"/>
          <w:b/>
          <w:bCs/>
          <w:color w:val="auto"/>
          <w:highlight w:val="none"/>
        </w:rPr>
      </w:pPr>
      <w:r>
        <w:rPr>
          <w:rFonts w:hint="eastAsia" w:ascii="宋体" w:hAnsi="宋体" w:cs="宋体"/>
          <w:b/>
          <w:bCs/>
          <w:color w:val="auto"/>
          <w:highlight w:val="none"/>
        </w:rPr>
        <w:t>（三）售后服务要求</w:t>
      </w:r>
      <w:bookmarkStart w:id="8" w:name="_GoBack"/>
      <w:bookmarkEnd w:id="8"/>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本项目质保期1年，从项目终验通过后开始，投标总价包含1年质保期。（自项目成果验收通过之日起计）。</w:t>
      </w:r>
    </w:p>
    <w:p>
      <w:pPr>
        <w:pStyle w:val="2"/>
        <w:adjustRightInd w:val="0"/>
        <w:snapToGrid w:val="0"/>
        <w:spacing w:line="360" w:lineRule="auto"/>
        <w:ind w:firstLine="480" w:firstLineChars="200"/>
        <w:rPr>
          <w:rFonts w:ascii="宋体" w:hAnsi="宋体" w:cs="宋体"/>
          <w:color w:val="auto"/>
          <w:kern w:val="0"/>
          <w:highlight w:val="none"/>
        </w:rPr>
      </w:pPr>
      <w:r>
        <w:rPr>
          <w:rFonts w:hint="eastAsia" w:ascii="宋体" w:hAnsi="宋体" w:cs="宋体"/>
          <w:color w:val="auto"/>
          <w:highlight w:val="none"/>
        </w:rPr>
        <w:t>2.服务质量保证期内发生需服务事项，供应商应负责免费提供后续服务。</w:t>
      </w:r>
    </w:p>
    <w:p>
      <w:pPr>
        <w:pStyle w:val="22"/>
        <w:adjustRightInd w:val="0"/>
        <w:snapToGrid w:val="0"/>
        <w:spacing w:before="0" w:beforeAutospacing="0" w:after="0" w:afterAutospacing="0" w:line="360" w:lineRule="auto"/>
        <w:ind w:firstLine="482" w:firstLineChars="200"/>
        <w:outlineLvl w:val="2"/>
        <w:rPr>
          <w:rFonts w:cs="宋体"/>
          <w:b/>
          <w:bCs/>
          <w:color w:val="auto"/>
          <w:kern w:val="2"/>
          <w:highlight w:val="none"/>
        </w:rPr>
      </w:pPr>
      <w:r>
        <w:rPr>
          <w:rFonts w:hint="eastAsia" w:cs="宋体"/>
          <w:b/>
          <w:bCs/>
          <w:color w:val="auto"/>
          <w:kern w:val="2"/>
          <w:highlight w:val="none"/>
        </w:rPr>
        <w:t>（四）验收要求</w:t>
      </w:r>
    </w:p>
    <w:p>
      <w:pPr>
        <w:tabs>
          <w:tab w:val="left" w:pos="567"/>
          <w:tab w:val="left" w:pos="900"/>
        </w:tabs>
        <w:adjustRightInd w:val="0"/>
        <w:snapToGrid w:val="0"/>
        <w:spacing w:line="360" w:lineRule="auto"/>
        <w:ind w:firstLine="480" w:firstLineChars="200"/>
        <w:rPr>
          <w:rFonts w:hAnsi="宋体"/>
          <w:color w:val="auto"/>
          <w:sz w:val="24"/>
          <w:highlight w:val="none"/>
        </w:rPr>
      </w:pPr>
      <w:r>
        <w:rPr>
          <w:rFonts w:hint="eastAsia" w:ascii="宋体" w:hAnsi="宋体" w:cs="宋体"/>
          <w:color w:val="auto"/>
          <w:kern w:val="0"/>
          <w:sz w:val="24"/>
          <w:highlight w:val="none"/>
        </w:rPr>
        <w:t>1.项目验收时，中标方应将系统的所有技术文件资料、用户手册、项目实施的等资料，包括但不限于包括系统描述（系统结构图、系统接口图、网络拓扑图），软件架构图，软件流程图，输入输出接口等内容的软件概要设计说明书、软件详细设计说明书、软件实施方案、数据库设计方案、测试报告、安装维护手册、用户操作手册（PC版和APP版），</w:t>
      </w:r>
      <w:r>
        <w:rPr>
          <w:rFonts w:hint="eastAsia" w:hAnsi="宋体"/>
          <w:color w:val="auto"/>
          <w:sz w:val="24"/>
          <w:highlight w:val="none"/>
        </w:rPr>
        <w:t>以及原代码和模型规则等项目资料整理成册交与采购单位；</w:t>
      </w:r>
    </w:p>
    <w:p>
      <w:pPr>
        <w:pStyle w:val="14"/>
        <w:adjustRightInd w:val="0"/>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.中标方对系统进行全面测试并起草完成对任务进行分解的详尽的项目验收报告，以便考核；</w:t>
      </w:r>
    </w:p>
    <w:p>
      <w:pPr>
        <w:shd w:val="clear" w:color="auto" w:fill="FFFFFF"/>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涉及到应用软件系统建设的市政府投资信息化项目，需经中国合格评定国家认可委员会认可的第三方软件检测机构进行相应的验收测试。通过定量性的测试结果对项目进行评价，作为验收的依据之一。由采购人组织实施，费用由中标供应商支付。</w:t>
      </w:r>
    </w:p>
    <w:p>
      <w:pPr>
        <w:pStyle w:val="2"/>
        <w:adjustRightInd w:val="0"/>
        <w:snapToGrid w:val="0"/>
        <w:spacing w:line="360" w:lineRule="auto"/>
        <w:rPr>
          <w:rFonts w:ascii="宋体" w:hAnsi="宋体" w:cs="宋体"/>
          <w:color w:val="auto"/>
          <w:highlight w:val="none"/>
        </w:rPr>
      </w:pPr>
      <w:r>
        <w:rPr>
          <w:rFonts w:hint="eastAsia"/>
          <w:color w:val="auto"/>
          <w:highlight w:val="none"/>
        </w:rPr>
        <w:t xml:space="preserve"> </w:t>
      </w:r>
      <w:r>
        <w:rPr>
          <w:color w:val="auto"/>
          <w:highlight w:val="none"/>
        </w:rPr>
        <w:t xml:space="preserve"> </w:t>
      </w:r>
      <w:r>
        <w:rPr>
          <w:rFonts w:ascii="宋体" w:hAnsi="宋体" w:cs="宋体"/>
          <w:color w:val="auto"/>
          <w:highlight w:val="none"/>
        </w:rPr>
        <w:t xml:space="preserve"> 4</w:t>
      </w:r>
      <w:r>
        <w:rPr>
          <w:rFonts w:ascii="宋体" w:hAnsi="宋体" w:cs="宋体"/>
          <w:color w:val="auto"/>
          <w:highlight w:val="none"/>
          <w:lang w:val="en"/>
        </w:rPr>
        <w:t>.</w:t>
      </w:r>
      <w:r>
        <w:rPr>
          <w:rFonts w:hint="eastAsia" w:ascii="宋体" w:hAnsi="宋体" w:cs="宋体"/>
          <w:color w:val="auto"/>
          <w:highlight w:val="none"/>
        </w:rPr>
        <w:t>必要时可召开专家验收会议，召开专家验收会议的所有费用由中标方承担。</w:t>
      </w:r>
    </w:p>
    <w:p>
      <w:pPr>
        <w:pStyle w:val="2"/>
        <w:adjustRightInd w:val="0"/>
        <w:snapToGrid w:val="0"/>
        <w:spacing w:line="360" w:lineRule="auto"/>
        <w:ind w:firstLine="240" w:firstLineChars="100"/>
        <w:rPr>
          <w:rFonts w:ascii="宋体" w:hAns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5</w:t>
      </w:r>
      <w:r>
        <w:rPr>
          <w:rFonts w:ascii="宋体" w:hAnsi="宋体" w:cs="宋体"/>
          <w:color w:val="auto"/>
          <w:highlight w:val="none"/>
          <w:lang w:val="en"/>
        </w:rPr>
        <w:t>.</w:t>
      </w:r>
      <w:r>
        <w:rPr>
          <w:rFonts w:hint="eastAsia" w:ascii="宋体" w:hAnsi="宋体" w:cs="宋体"/>
          <w:color w:val="auto"/>
          <w:highlight w:val="none"/>
        </w:rPr>
        <w:t>试运行期限：3个月</w:t>
      </w:r>
    </w:p>
    <w:p>
      <w:pPr>
        <w:pStyle w:val="2"/>
        <w:adjustRightInd w:val="0"/>
        <w:snapToGrid w:val="0"/>
        <w:spacing w:line="360" w:lineRule="auto"/>
        <w:rPr>
          <w:rFonts w:ascii="宋体" w:hAnsi="宋体" w:cs="宋体"/>
          <w:b/>
          <w:color w:val="auto"/>
          <w:highlight w:val="none"/>
        </w:rPr>
      </w:pPr>
      <w:r>
        <w:rPr>
          <w:rFonts w:ascii="宋体" w:hAnsi="宋体" w:cs="宋体"/>
          <w:color w:val="auto"/>
          <w:highlight w:val="none"/>
        </w:rPr>
        <w:t xml:space="preserve"> </w:t>
      </w:r>
      <w:r>
        <w:rPr>
          <w:rFonts w:hint="eastAsia" w:ascii="宋体" w:hAnsi="宋体" w:cs="宋体"/>
          <w:color w:val="auto"/>
          <w:highlight w:val="none"/>
        </w:rPr>
        <w:t xml:space="preserve">  6</w:t>
      </w:r>
      <w:r>
        <w:rPr>
          <w:rFonts w:ascii="宋体" w:hAnsi="宋体" w:cs="宋体"/>
          <w:color w:val="auto"/>
          <w:highlight w:val="none"/>
          <w:lang w:val="en"/>
        </w:rPr>
        <w:t>.</w:t>
      </w:r>
      <w:r>
        <w:rPr>
          <w:rFonts w:hint="eastAsia" w:ascii="宋体" w:hAnsi="宋体" w:cs="宋体"/>
          <w:color w:val="auto"/>
          <w:kern w:val="0"/>
          <w:highlight w:val="none"/>
          <w:shd w:val="clear" w:color="auto" w:fill="FFFFFF"/>
        </w:rPr>
        <w:t>提供基于业务平台的数据库使用说明书以及数据库的最高权限，提供平台部署整体的网络架构图、服务器用途说明列表、服务器root账号权限，项目初验前要移交给采购方；</w:t>
      </w:r>
    </w:p>
    <w:p>
      <w:pPr>
        <w:pStyle w:val="22"/>
        <w:adjustRightInd w:val="0"/>
        <w:snapToGrid w:val="0"/>
        <w:spacing w:before="0" w:beforeAutospacing="0" w:after="0" w:afterAutospacing="0" w:line="360" w:lineRule="auto"/>
        <w:ind w:firstLine="482" w:firstLineChars="200"/>
        <w:outlineLvl w:val="2"/>
        <w:rPr>
          <w:rFonts w:cs="宋体"/>
          <w:b/>
          <w:bCs/>
          <w:color w:val="auto"/>
          <w:kern w:val="2"/>
          <w:highlight w:val="none"/>
        </w:rPr>
      </w:pPr>
      <w:r>
        <w:rPr>
          <w:rFonts w:hint="eastAsia" w:cs="宋体"/>
          <w:b/>
          <w:bCs/>
          <w:color w:val="auto"/>
          <w:kern w:val="2"/>
          <w:highlight w:val="none"/>
        </w:rPr>
        <w:t>（五）其他</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lang w:val="en"/>
        </w:rPr>
        <w:t>.</w:t>
      </w:r>
      <w:r>
        <w:rPr>
          <w:rFonts w:hint="eastAsia" w:ascii="宋体" w:hAnsi="宋体"/>
          <w:color w:val="auto"/>
          <w:sz w:val="24"/>
          <w:highlight w:val="none"/>
        </w:rPr>
        <w:t>本项目属于“交钥匙”工程，中标方需对项目的完整性负责，如相关设施在招标需求中未列出但在实施时必须使用，由中标方提供，所产生的一切费用，均由中标方负责。</w:t>
      </w:r>
    </w:p>
    <w:p>
      <w:pPr>
        <w:widowControl/>
        <w:adjustRightInd w:val="0"/>
        <w:snapToGrid w:val="0"/>
        <w:spacing w:line="360" w:lineRule="auto"/>
        <w:ind w:firstLine="480" w:firstLineChars="200"/>
        <w:contextualSpacing/>
        <w:jc w:val="left"/>
        <w:rPr>
          <w:color w:val="auto"/>
          <w:highlight w:val="none"/>
        </w:rPr>
      </w:pPr>
      <w:r>
        <w:rPr>
          <w:rFonts w:hint="eastAsia" w:ascii="宋体" w:hAnsi="宋体"/>
          <w:color w:val="auto"/>
          <w:sz w:val="24"/>
          <w:highlight w:val="none"/>
        </w:rPr>
        <w:t>2</w:t>
      </w:r>
      <w:r>
        <w:rPr>
          <w:rFonts w:ascii="宋体" w:hAnsi="宋体"/>
          <w:color w:val="auto"/>
          <w:sz w:val="24"/>
          <w:highlight w:val="none"/>
          <w:lang w:val="en"/>
        </w:rPr>
        <w:t>.</w:t>
      </w:r>
      <w:r>
        <w:rPr>
          <w:rFonts w:hint="eastAsia" w:ascii="宋体" w:hAnsi="宋体"/>
          <w:color w:val="auto"/>
          <w:sz w:val="24"/>
          <w:highlight w:val="none"/>
        </w:rPr>
        <w:t>中标方需</w:t>
      </w:r>
      <w:r>
        <w:rPr>
          <w:rFonts w:hint="eastAsia" w:ascii="宋体" w:hAnsi="宋体" w:cs="宋体"/>
          <w:color w:val="auto"/>
          <w:kern w:val="0"/>
          <w:sz w:val="24"/>
          <w:highlight w:val="none"/>
          <w:lang w:bidi="ar"/>
        </w:rPr>
        <w:t>配合采购方，完成三级等保、密评等工作；</w:t>
      </w:r>
    </w:p>
    <w:p>
      <w:pPr>
        <w:pStyle w:val="10"/>
        <w:adjustRightInd w:val="0"/>
        <w:snapToGrid w:val="0"/>
        <w:spacing w:line="360" w:lineRule="auto"/>
        <w:ind w:firstLine="480" w:firstLineChars="200"/>
        <w:rPr>
          <w:rFonts w:ascii="宋体" w:hAnsi="宋体" w:cs="宋体"/>
          <w:color w:val="auto"/>
          <w:kern w:val="0"/>
          <w:sz w:val="24"/>
          <w:szCs w:val="24"/>
          <w:highlight w:val="none"/>
          <w:lang w:bidi="ar"/>
        </w:rPr>
      </w:pPr>
      <w:r>
        <w:rPr>
          <w:rFonts w:ascii="宋体" w:hAnsi="宋体" w:cs="宋体"/>
          <w:color w:val="auto"/>
          <w:kern w:val="0"/>
          <w:sz w:val="24"/>
          <w:szCs w:val="24"/>
          <w:highlight w:val="none"/>
          <w:lang w:val="en" w:bidi="ar"/>
        </w:rPr>
        <w:t>3.</w:t>
      </w:r>
      <w:r>
        <w:rPr>
          <w:rFonts w:hint="eastAsia" w:ascii="宋体" w:hAnsi="宋体" w:cs="宋体"/>
          <w:color w:val="auto"/>
          <w:kern w:val="0"/>
          <w:sz w:val="24"/>
          <w:szCs w:val="24"/>
          <w:highlight w:val="none"/>
          <w:lang w:bidi="ar"/>
        </w:rPr>
        <w:t>建立完善数据安全制度，包括但不限于网络安全、数据安全、保密安全条款。</w:t>
      </w:r>
    </w:p>
    <w:p>
      <w:pPr>
        <w:rPr>
          <w:rFonts w:ascii="宋体" w:hAnsi="宋体" w:cs="宋体"/>
          <w:color w:val="auto"/>
          <w:kern w:val="0"/>
          <w:sz w:val="24"/>
          <w:highlight w:val="none"/>
          <w:lang w:bidi="ar"/>
        </w:rPr>
      </w:pPr>
    </w:p>
    <w:p>
      <w:pPr>
        <w:rPr>
          <w:rFonts w:ascii="宋体" w:hAnsi="宋体" w:cs="宋体"/>
          <w:color w:val="auto"/>
          <w:kern w:val="0"/>
          <w:sz w:val="24"/>
          <w:highlight w:val="none"/>
          <w:lang w:bidi="ar"/>
        </w:rPr>
      </w:pPr>
    </w:p>
    <w:p>
      <w:pPr>
        <w:rPr>
          <w:rFonts w:ascii="宋体" w:hAnsi="宋体" w:cs="宋体"/>
          <w:color w:val="auto"/>
          <w:kern w:val="0"/>
          <w:sz w:val="24"/>
          <w:highlight w:val="none"/>
          <w:lang w:bidi="ar"/>
        </w:rPr>
      </w:pPr>
    </w:p>
    <w:p>
      <w:pPr>
        <w:rPr>
          <w:rFonts w:ascii="宋体" w:hAnsi="宋体" w:cs="宋体"/>
          <w:color w:val="auto"/>
          <w:kern w:val="0"/>
          <w:sz w:val="24"/>
          <w:highlight w:val="none"/>
          <w:lang w:bidi="ar"/>
        </w:rPr>
      </w:pPr>
    </w:p>
    <w:p>
      <w:pPr>
        <w:rPr>
          <w:rFonts w:ascii="宋体" w:hAnsi="宋体" w:cs="宋体"/>
          <w:color w:val="auto"/>
          <w:kern w:val="0"/>
          <w:sz w:val="24"/>
          <w:highlight w:val="none"/>
          <w:lang w:bidi="ar"/>
        </w:rPr>
      </w:pPr>
    </w:p>
    <w:p>
      <w:pPr>
        <w:rPr>
          <w:rFonts w:ascii="宋体" w:hAnsi="宋体" w:cs="宋体"/>
          <w:color w:val="auto"/>
          <w:kern w:val="0"/>
          <w:sz w:val="24"/>
          <w:highlight w:val="none"/>
          <w:lang w:bidi="ar"/>
        </w:rPr>
      </w:pPr>
    </w:p>
    <w:p>
      <w:pPr>
        <w:rPr>
          <w:rFonts w:ascii="宋体" w:hAnsi="宋体" w:cs="宋体"/>
          <w:color w:val="auto"/>
          <w:kern w:val="0"/>
          <w:sz w:val="24"/>
          <w:highlight w:val="none"/>
          <w:lang w:bidi="ar"/>
        </w:rPr>
      </w:pPr>
    </w:p>
    <w:p>
      <w:pPr>
        <w:rPr>
          <w:rFonts w:ascii="宋体" w:hAnsi="宋体" w:cs="宋体"/>
          <w:color w:val="auto"/>
          <w:kern w:val="0"/>
          <w:sz w:val="24"/>
          <w:highlight w:val="none"/>
          <w:lang w:bidi="ar"/>
        </w:rPr>
      </w:pPr>
    </w:p>
    <w:p>
      <w:pPr>
        <w:rPr>
          <w:rFonts w:ascii="宋体" w:hAnsi="宋体" w:cs="宋体"/>
          <w:color w:val="auto"/>
          <w:kern w:val="0"/>
          <w:sz w:val="24"/>
          <w:highlight w:val="none"/>
          <w:lang w:bidi="ar"/>
        </w:rPr>
      </w:pPr>
    </w:p>
    <w:p>
      <w:pPr>
        <w:spacing w:line="360" w:lineRule="auto"/>
        <w:jc w:val="center"/>
        <w:rPr>
          <w:rFonts w:ascii="宋体" w:hAnsi="宋体" w:cs="宋体"/>
          <w:b/>
          <w:bCs/>
          <w:color w:val="auto"/>
          <w:sz w:val="36"/>
          <w:szCs w:val="44"/>
          <w:highlight w:val="none"/>
        </w:rPr>
        <w:sectPr>
          <w:footerReference r:id="rId4" w:type="default"/>
          <w:pgSz w:w="11906" w:h="16838"/>
          <w:pgMar w:top="1440" w:right="1800" w:bottom="1440" w:left="1800" w:header="851" w:footer="992" w:gutter="0"/>
          <w:pgNumType w:start="1"/>
          <w:cols w:space="425" w:num="1"/>
          <w:docGrid w:type="lines" w:linePitch="312" w:charSpace="0"/>
        </w:sectPr>
      </w:pPr>
    </w:p>
    <w:p>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第四章 评标办法及评分标准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（一）商务与技术文件中的客观分由评标委员会讨论后统一打分；其余在规定的分值内单独评定打分。</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pPr>
        <w:spacing w:line="360" w:lineRule="auto"/>
        <w:ind w:firstLine="480" w:firstLineChars="200"/>
        <w:rPr>
          <w:rFonts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投标报价得分=（评标基准价／投标报价）×10%×100 。</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（1）根据财政部、工业和信息化部发布的《政府采购促进中小企业发展管 理办法》(财库〔2020〕46 号 ) 和《财政部关于进一步加大政府 采购支持中小企业力度的通知》(财库〔2022〕19 号 )相关规定，对于经主管预算单位统筹后未预留份额专门面向中小企业采购的采购项目，以及预留份额项目中的非预留部分采购包，采购人、采购代理机构应当对符合本办法规定的小微企业报价给予</w:t>
      </w:r>
      <w:r>
        <w:rPr>
          <w:rFonts w:ascii="宋体" w:hAnsi="宋体" w:cs="宋体"/>
          <w:color w:val="auto"/>
          <w:sz w:val="24"/>
          <w:highlight w:val="none"/>
        </w:rPr>
        <w:t>20</w:t>
      </w:r>
      <w:r>
        <w:rPr>
          <w:rFonts w:hint="eastAsia" w:ascii="宋体" w:hAnsi="宋体" w:cs="宋体"/>
          <w:color w:val="auto"/>
          <w:sz w:val="24"/>
          <w:highlight w:val="none"/>
          <w:lang w:val="zh-CN"/>
        </w:rPr>
        <w:t>%的扣除，用扣除后的价格参加评审。</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 xml:space="preserve">接受大中型企业与小微企业组成联合体或者允许大中型企业向一家或者多家小微企业分包的采购项目，对于联合体协议或者分包意向协议约定小微企业的合同份额占到合同总金额 30%以上的，采购人、采购代理机构应当对联合体或者大中型企业的报价给予 </w:t>
      </w:r>
      <w:r>
        <w:rPr>
          <w:rFonts w:ascii="宋体" w:hAnsi="宋体" w:cs="宋体"/>
          <w:color w:val="auto"/>
          <w:sz w:val="24"/>
          <w:highlight w:val="none"/>
        </w:rPr>
        <w:t>6</w:t>
      </w:r>
      <w:r>
        <w:rPr>
          <w:rFonts w:hint="eastAsia" w:ascii="宋体" w:hAnsi="宋体" w:cs="宋体"/>
          <w:color w:val="auto"/>
          <w:sz w:val="24"/>
          <w:highlight w:val="none"/>
          <w:lang w:val="zh-CN"/>
        </w:rPr>
        <w:t>%的扣除，用扣除后的价格参加评审。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投标文件中须同时出具《政府采购促进中小企业发展管理办法》【财库（2020）46号】规定的《中小企业声明函》，否则不得享受价格扣除。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本项目对符合规定的小微企业（含小型企业）报价给予</w:t>
      </w:r>
      <w:r>
        <w:rPr>
          <w:rFonts w:hint="eastAsia" w:ascii="宋体" w:hAnsi="宋体" w:cs="宋体"/>
          <w:color w:val="auto"/>
          <w:sz w:val="24"/>
          <w:highlight w:val="none"/>
          <w:lang w:val="zh-CN"/>
        </w:rPr>
        <w:t xml:space="preserve"> </w:t>
      </w:r>
      <w:r>
        <w:rPr>
          <w:rFonts w:ascii="宋体" w:hAnsi="宋体" w:cs="宋体"/>
          <w:color w:val="auto"/>
          <w:sz w:val="24"/>
          <w:highlight w:val="none"/>
        </w:rPr>
        <w:t>20</w:t>
      </w:r>
      <w:r>
        <w:rPr>
          <w:rFonts w:hint="eastAsia" w:ascii="宋体" w:hAnsi="宋体" w:cs="宋体"/>
          <w:color w:val="auto"/>
          <w:sz w:val="24"/>
          <w:highlight w:val="none"/>
          <w:lang w:val="zh-CN"/>
        </w:rPr>
        <w:t>%</w:t>
      </w:r>
      <w:r>
        <w:rPr>
          <w:rFonts w:hint="eastAsia" w:ascii="宋体" w:hAnsi="宋体" w:cs="宋体"/>
          <w:color w:val="auto"/>
          <w:sz w:val="24"/>
          <w:highlight w:val="none"/>
        </w:rPr>
        <w:t>的扣除。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对符合规定的联合体或者大中型企业的报价给予</w:t>
      </w:r>
      <w:r>
        <w:rPr>
          <w:rFonts w:ascii="宋体" w:hAnsi="宋体" w:cs="宋体"/>
          <w:color w:val="auto"/>
          <w:sz w:val="24"/>
          <w:highlight w:val="none"/>
        </w:rPr>
        <w:t>6</w:t>
      </w:r>
      <w:r>
        <w:rPr>
          <w:rFonts w:hint="eastAsia" w:ascii="宋体" w:hAnsi="宋体" w:cs="宋体"/>
          <w:color w:val="auto"/>
          <w:sz w:val="24"/>
          <w:highlight w:val="none"/>
          <w:lang w:val="zh-CN"/>
        </w:rPr>
        <w:t>%</w:t>
      </w:r>
      <w:r>
        <w:rPr>
          <w:rFonts w:hint="eastAsia" w:ascii="宋体" w:hAnsi="宋体" w:cs="宋体"/>
          <w:color w:val="auto"/>
          <w:sz w:val="24"/>
          <w:highlight w:val="none"/>
        </w:rPr>
        <w:t>的扣除。（不接受联合体投标的，本条不适用）。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（2）根据《关于政府采购支持监狱企业发展有关问题的通知》（财库[2014]68号）的规定，供应商如为监狱企业且所投产品为小型或微型企业生产的，其投标报价扣除</w:t>
      </w:r>
      <w:r>
        <w:rPr>
          <w:rFonts w:ascii="宋体" w:hAnsi="宋体" w:cs="宋体"/>
          <w:color w:val="auto"/>
          <w:sz w:val="24"/>
          <w:highlight w:val="none"/>
        </w:rPr>
        <w:t>20</w:t>
      </w:r>
      <w:r>
        <w:rPr>
          <w:rFonts w:hint="eastAsia" w:ascii="宋体" w:hAnsi="宋体" w:cs="宋体"/>
          <w:color w:val="auto"/>
          <w:sz w:val="24"/>
          <w:highlight w:val="none"/>
        </w:rPr>
        <w:t>%后参与评审。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①安置的残疾人占本单位在职职工人数的比例不低于25%（含25%），并且安置的残疾人人数不少于10人（含10人）；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②依法与安置的每位残疾人签订了一年以上（含一年）的劳动合同或服务协议；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③为安置的每位残疾人按月足额缴纳了基本养老保险、基本医疗保险、失业保险、工伤保险和生育保险等社会保险费；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④通过银行等金融机构向安置的每位残疾人，按月支付了不低于单位所在区县适用的经省级人民政府批准的月最低工资标准的工资；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注：得分以系统计算为准，保留2位小数。</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w:t>
      </w:r>
      <w:r>
        <w:rPr>
          <w:rFonts w:hint="eastAsia" w:ascii="宋体" w:hAnsi="宋体" w:cs="宋体"/>
          <w:color w:val="auto"/>
          <w:sz w:val="24"/>
          <w:szCs w:val="32"/>
          <w:highlight w:val="none"/>
        </w:rPr>
        <w:t>一</w:t>
      </w:r>
      <w:r>
        <w:rPr>
          <w:rFonts w:hint="eastAsia" w:ascii="宋体" w:hAnsi="宋体" w:cs="宋体"/>
          <w:color w:val="auto"/>
          <w:sz w:val="24"/>
          <w:szCs w:val="32"/>
          <w:highlight w:val="none"/>
          <w:lang w:val="zh-CN"/>
        </w:rPr>
        <w:t>个投标人作为中标候选人，其他同品牌投标人不作为中标候选人。</w:t>
      </w:r>
    </w:p>
    <w:p>
      <w:pPr>
        <w:spacing w:line="360" w:lineRule="auto"/>
        <w:ind w:firstLine="480" w:firstLineChars="200"/>
        <w:rPr>
          <w:color w:val="auto"/>
          <w:highlight w:val="none"/>
          <w:lang w:val="zh-CN"/>
        </w:rPr>
      </w:pPr>
      <w:r>
        <w:rPr>
          <w:rFonts w:hint="eastAsia" w:ascii="宋体" w:hAnsi="宋体" w:cs="宋体"/>
          <w:color w:val="auto"/>
          <w:sz w:val="24"/>
          <w:szCs w:val="32"/>
          <w:highlight w:val="none"/>
          <w:lang w:val="zh-CN"/>
        </w:rPr>
        <w:t>六、本次评分具体分值细化条款如下表：</w:t>
      </w:r>
    </w:p>
    <w:tbl>
      <w:tblPr>
        <w:tblStyle w:val="27"/>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47"/>
        <w:gridCol w:w="6122"/>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12" w:type="dxa"/>
            <w:tcMar>
              <w:top w:w="0" w:type="dxa"/>
              <w:left w:w="57" w:type="dxa"/>
              <w:bottom w:w="0" w:type="dxa"/>
              <w:right w:w="57" w:type="dxa"/>
            </w:tcMar>
            <w:vAlign w:val="center"/>
          </w:tcPr>
          <w:p>
            <w:pPr>
              <w:adjustRightInd w:val="0"/>
              <w:snapToGrid w:val="0"/>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47" w:type="dxa"/>
            <w:tcMar>
              <w:top w:w="0" w:type="dxa"/>
              <w:left w:w="57" w:type="dxa"/>
              <w:bottom w:w="0" w:type="dxa"/>
              <w:right w:w="57" w:type="dxa"/>
            </w:tcMar>
            <w:vAlign w:val="center"/>
          </w:tcPr>
          <w:p>
            <w:pPr>
              <w:adjustRightInd w:val="0"/>
              <w:snapToGrid w:val="0"/>
              <w:jc w:val="center"/>
              <w:rPr>
                <w:rFonts w:ascii="宋体" w:hAnsi="宋体" w:cs="宋体"/>
                <w:b/>
                <w:bCs/>
                <w:color w:val="auto"/>
                <w:sz w:val="24"/>
                <w:highlight w:val="none"/>
              </w:rPr>
            </w:pPr>
            <w:r>
              <w:rPr>
                <w:rFonts w:hint="eastAsia" w:ascii="宋体" w:hAnsi="宋体" w:cs="宋体"/>
                <w:b/>
                <w:bCs/>
                <w:color w:val="auto"/>
                <w:kern w:val="0"/>
                <w:sz w:val="24"/>
                <w:highlight w:val="none"/>
              </w:rPr>
              <w:t>评分项目</w:t>
            </w:r>
          </w:p>
        </w:tc>
        <w:tc>
          <w:tcPr>
            <w:tcW w:w="6122" w:type="dxa"/>
            <w:tcMar>
              <w:top w:w="0" w:type="dxa"/>
              <w:left w:w="57" w:type="dxa"/>
              <w:bottom w:w="0" w:type="dxa"/>
              <w:right w:w="57" w:type="dxa"/>
            </w:tcMar>
            <w:vAlign w:val="center"/>
          </w:tcPr>
          <w:p>
            <w:pPr>
              <w:adjustRightInd w:val="0"/>
              <w:snapToGrid w:val="0"/>
              <w:jc w:val="center"/>
              <w:rPr>
                <w:rFonts w:ascii="宋体" w:hAnsi="宋体" w:cs="宋体"/>
                <w:b/>
                <w:bCs/>
                <w:color w:val="auto"/>
                <w:sz w:val="24"/>
                <w:highlight w:val="none"/>
              </w:rPr>
            </w:pPr>
            <w:r>
              <w:rPr>
                <w:rFonts w:hint="eastAsia" w:ascii="宋体" w:hAnsi="宋体" w:cs="宋体"/>
                <w:b/>
                <w:bCs/>
                <w:color w:val="auto"/>
                <w:sz w:val="24"/>
                <w:highlight w:val="none"/>
              </w:rPr>
              <w:t>评分细则</w:t>
            </w:r>
          </w:p>
        </w:tc>
        <w:tc>
          <w:tcPr>
            <w:tcW w:w="694" w:type="dxa"/>
            <w:tcMar>
              <w:top w:w="0" w:type="dxa"/>
              <w:left w:w="57" w:type="dxa"/>
              <w:bottom w:w="0" w:type="dxa"/>
              <w:right w:w="57" w:type="dxa"/>
            </w:tcMar>
            <w:vAlign w:val="center"/>
          </w:tcPr>
          <w:p>
            <w:pPr>
              <w:adjustRightInd w:val="0"/>
              <w:snapToGrid w:val="0"/>
              <w:jc w:val="center"/>
              <w:rPr>
                <w:rFonts w:ascii="宋体" w:hAnsi="宋体" w:cs="宋体"/>
                <w:b/>
                <w:bCs/>
                <w:color w:val="auto"/>
                <w:sz w:val="24"/>
                <w:highlight w:val="none"/>
              </w:rPr>
            </w:pPr>
            <w:r>
              <w:rPr>
                <w:rFonts w:hint="eastAsia" w:ascii="宋体" w:hAnsi="宋体" w:cs="宋体"/>
                <w:b/>
                <w:bCs/>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47" w:type="dxa"/>
            <w:vMerge w:val="restart"/>
            <w:tcMar>
              <w:top w:w="0" w:type="dxa"/>
              <w:left w:w="57" w:type="dxa"/>
              <w:bottom w:w="0" w:type="dxa"/>
              <w:right w:w="57" w:type="dxa"/>
            </w:tcMar>
            <w:vAlign w:val="center"/>
          </w:tcPr>
          <w:p>
            <w:pPr>
              <w:pStyle w:val="2"/>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技术方案（26分）</w:t>
            </w:r>
          </w:p>
        </w:tc>
        <w:tc>
          <w:tcPr>
            <w:tcW w:w="6122" w:type="dxa"/>
            <w:tcMar>
              <w:top w:w="0" w:type="dxa"/>
              <w:left w:w="57" w:type="dxa"/>
              <w:bottom w:w="0" w:type="dxa"/>
              <w:right w:w="57" w:type="dxa"/>
            </w:tcMar>
            <w:vAlign w:val="center"/>
          </w:tcPr>
          <w:p>
            <w:pPr>
              <w:pStyle w:val="2"/>
              <w:adjustRightInd w:val="0"/>
              <w:snapToGrid w:val="0"/>
              <w:spacing w:line="360" w:lineRule="auto"/>
              <w:rPr>
                <w:rFonts w:ascii="宋体" w:hAnsi="宋体" w:cs="宋体"/>
                <w:color w:val="auto"/>
                <w:highlight w:val="none"/>
              </w:rPr>
            </w:pPr>
            <w:r>
              <w:rPr>
                <w:rFonts w:hint="eastAsia" w:ascii="宋体" w:hAnsi="宋体" w:cs="宋体"/>
                <w:color w:val="auto"/>
                <w:highlight w:val="none"/>
              </w:rPr>
              <w:t>根据投标方对本项目的建设理解打分，从项目背景、用户需求、现状分析、三张清单梳理、</w:t>
            </w:r>
            <w:r>
              <w:rPr>
                <w:rFonts w:ascii="宋体" w:hAnsi="宋体" w:cs="宋体"/>
                <w:color w:val="auto"/>
                <w:highlight w:val="none"/>
                <w:lang w:val="en"/>
              </w:rPr>
              <w:t>V</w:t>
            </w:r>
            <w:r>
              <w:rPr>
                <w:rFonts w:hint="eastAsia" w:ascii="宋体" w:hAnsi="宋体" w:cs="宋体"/>
                <w:color w:val="auto"/>
                <w:highlight w:val="none"/>
                <w:lang w:val="en"/>
              </w:rPr>
              <w:t>字模型分解</w:t>
            </w:r>
            <w:r>
              <w:rPr>
                <w:rFonts w:hint="eastAsia" w:ascii="宋体" w:hAnsi="宋体" w:cs="宋体"/>
                <w:color w:val="auto"/>
                <w:highlight w:val="none"/>
              </w:rPr>
              <w:t>等描述进行酌情打分。理解透彻切实可行的得6-8分；描述基本可行的得3-5.9分；描述不明确或不可行的得0-2.9分。</w:t>
            </w:r>
          </w:p>
        </w:tc>
        <w:tc>
          <w:tcPr>
            <w:tcW w:w="694"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47" w:type="dxa"/>
            <w:vMerge w:val="continue"/>
            <w:tcMar>
              <w:top w:w="0" w:type="dxa"/>
              <w:left w:w="57" w:type="dxa"/>
              <w:bottom w:w="0" w:type="dxa"/>
              <w:right w:w="57" w:type="dxa"/>
            </w:tcMar>
            <w:vAlign w:val="center"/>
          </w:tcPr>
          <w:p>
            <w:pPr>
              <w:adjustRightInd w:val="0"/>
              <w:snapToGrid w:val="0"/>
              <w:spacing w:line="360" w:lineRule="auto"/>
              <w:rPr>
                <w:rFonts w:ascii="宋体" w:hAnsi="宋体" w:cs="宋体"/>
                <w:b/>
                <w:bCs/>
                <w:color w:val="auto"/>
                <w:sz w:val="24"/>
                <w:highlight w:val="none"/>
              </w:rPr>
            </w:pPr>
          </w:p>
        </w:tc>
        <w:tc>
          <w:tcPr>
            <w:tcW w:w="6122" w:type="dxa"/>
            <w:tcMar>
              <w:top w:w="0" w:type="dxa"/>
              <w:left w:w="57" w:type="dxa"/>
              <w:bottom w:w="0" w:type="dxa"/>
              <w:right w:w="57" w:type="dxa"/>
            </w:tcMar>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根据投标方对项目的总体设计打分，包括总体框架、网格架构、应用定位、技术线路等内容进行描述。对于思路明确、针对性强、方法科学合理的得6-8分；对于思路较明确、针对性较强、方法较科学合理的得3-5.9分；对于思路模糊、无针对性、方法不科学合理、无可操作性或技术路线不明确的得0-2.9分。</w:t>
            </w:r>
          </w:p>
        </w:tc>
        <w:tc>
          <w:tcPr>
            <w:tcW w:w="694"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47" w:type="dxa"/>
            <w:vMerge w:val="continue"/>
            <w:tcMar>
              <w:top w:w="0" w:type="dxa"/>
              <w:left w:w="57" w:type="dxa"/>
              <w:bottom w:w="0" w:type="dxa"/>
              <w:right w:w="57" w:type="dxa"/>
            </w:tcMar>
            <w:vAlign w:val="center"/>
          </w:tcPr>
          <w:p>
            <w:pPr>
              <w:adjustRightInd w:val="0"/>
              <w:snapToGrid w:val="0"/>
              <w:spacing w:line="360" w:lineRule="auto"/>
              <w:rPr>
                <w:rFonts w:ascii="宋体" w:hAnsi="宋体" w:cs="宋体"/>
                <w:b/>
                <w:bCs/>
                <w:color w:val="auto"/>
                <w:sz w:val="24"/>
                <w:highlight w:val="none"/>
              </w:rPr>
            </w:pPr>
          </w:p>
        </w:tc>
        <w:tc>
          <w:tcPr>
            <w:tcW w:w="6122" w:type="dxa"/>
            <w:tcMar>
              <w:top w:w="0" w:type="dxa"/>
              <w:left w:w="57" w:type="dxa"/>
              <w:bottom w:w="0" w:type="dxa"/>
              <w:right w:w="57" w:type="dxa"/>
            </w:tcMar>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t>根据投标方对本项目的详细设计打分，从排查识别、预警预测、化解管控、跟踪关注、分析监管（责任落实）以及警网协同（与公安侧对接）、数据治理等方面的设计描述，以及与台州市基层治理综合信息平台、浙江省一体化数字资源系统（</w:t>
            </w:r>
            <w:r>
              <w:rPr>
                <w:rFonts w:ascii="宋体" w:hAnsi="宋体" w:cs="宋体"/>
                <w:color w:val="auto"/>
                <w:kern w:val="0"/>
                <w:sz w:val="24"/>
                <w:highlight w:val="none"/>
                <w:lang w:val="en"/>
              </w:rPr>
              <w:t>IRS</w:t>
            </w:r>
            <w:r>
              <w:rPr>
                <w:rFonts w:hint="eastAsia" w:ascii="宋体" w:hAnsi="宋体" w:cs="宋体"/>
                <w:color w:val="auto"/>
                <w:kern w:val="0"/>
                <w:sz w:val="24"/>
                <w:highlight w:val="none"/>
              </w:rPr>
              <w:t>）等系统对接情况进行打分</w:t>
            </w:r>
            <w:r>
              <w:rPr>
                <w:rFonts w:hint="eastAsia" w:ascii="宋体" w:hAnsi="宋体" w:cs="宋体"/>
                <w:color w:val="auto"/>
                <w:sz w:val="24"/>
                <w:highlight w:val="none"/>
              </w:rPr>
              <w:t>。切实可行的得7-10分；描述基本可行的得4-6.9分；描述不明确或不可行的得0-3.9分。</w:t>
            </w:r>
          </w:p>
        </w:tc>
        <w:tc>
          <w:tcPr>
            <w:tcW w:w="694"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247" w:type="dxa"/>
            <w:vMerge w:val="restart"/>
            <w:tcMar>
              <w:top w:w="0" w:type="dxa"/>
              <w:left w:w="57" w:type="dxa"/>
              <w:bottom w:w="0" w:type="dxa"/>
              <w:right w:w="57" w:type="dxa"/>
            </w:tcMar>
            <w:vAlign w:val="center"/>
          </w:tcPr>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项目实施方案（10分）</w:t>
            </w:r>
          </w:p>
        </w:tc>
        <w:tc>
          <w:tcPr>
            <w:tcW w:w="6122" w:type="dxa"/>
            <w:tcMar>
              <w:top w:w="0" w:type="dxa"/>
              <w:left w:w="57" w:type="dxa"/>
              <w:bottom w:w="0" w:type="dxa"/>
              <w:right w:w="57" w:type="dxa"/>
            </w:tcMar>
            <w:vAlign w:val="center"/>
          </w:tcPr>
          <w:p>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投标方提供符合工期要求的实施方案和计划安排打分，实施方案描述具有科学性、可操作性、计划安排切实可行得3-4分，描述具有较科学性和可操作性，计划安排较可行得1.5-2.9分，科学性和可操作性差或计划安排可行性差的得0-1.4分。</w:t>
            </w:r>
          </w:p>
        </w:tc>
        <w:tc>
          <w:tcPr>
            <w:tcW w:w="694"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247" w:type="dxa"/>
            <w:vMerge w:val="continue"/>
            <w:tcMar>
              <w:top w:w="0" w:type="dxa"/>
              <w:left w:w="57" w:type="dxa"/>
              <w:bottom w:w="0" w:type="dxa"/>
              <w:right w:w="57" w:type="dxa"/>
            </w:tcMar>
            <w:vAlign w:val="center"/>
          </w:tcPr>
          <w:p>
            <w:pPr>
              <w:adjustRightInd w:val="0"/>
              <w:snapToGrid w:val="0"/>
              <w:spacing w:line="360" w:lineRule="auto"/>
              <w:rPr>
                <w:rFonts w:ascii="宋体" w:hAnsi="宋体" w:cs="宋体"/>
                <w:b/>
                <w:bCs/>
                <w:color w:val="auto"/>
                <w:sz w:val="24"/>
                <w:highlight w:val="none"/>
              </w:rPr>
            </w:pPr>
          </w:p>
        </w:tc>
        <w:tc>
          <w:tcPr>
            <w:tcW w:w="6122" w:type="dxa"/>
            <w:tcMar>
              <w:top w:w="0" w:type="dxa"/>
              <w:left w:w="57" w:type="dxa"/>
              <w:bottom w:w="0" w:type="dxa"/>
              <w:right w:w="57" w:type="dxa"/>
            </w:tcMar>
            <w:vAlign w:val="center"/>
          </w:tcPr>
          <w:p>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投标方对本项目的质量保障方案进行打分，质量保证措施和质量控制方案合理先进，并具有详细可行的得1.5-2分；质量保证措施和质量控制方案较合理先进，并具有较可行的得0.9-1.4分；质量保证措施和质量控制方案不合理先进，可行差的得0-0.8分。</w:t>
            </w:r>
          </w:p>
        </w:tc>
        <w:tc>
          <w:tcPr>
            <w:tcW w:w="694"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247" w:type="dxa"/>
            <w:vMerge w:val="continue"/>
            <w:tcMar>
              <w:top w:w="0" w:type="dxa"/>
              <w:left w:w="57" w:type="dxa"/>
              <w:bottom w:w="0" w:type="dxa"/>
              <w:right w:w="57" w:type="dxa"/>
            </w:tcMar>
            <w:vAlign w:val="center"/>
          </w:tcPr>
          <w:p>
            <w:pPr>
              <w:adjustRightInd w:val="0"/>
              <w:snapToGrid w:val="0"/>
              <w:spacing w:line="360" w:lineRule="auto"/>
              <w:rPr>
                <w:rFonts w:ascii="宋体" w:hAnsi="宋体" w:cs="宋体"/>
                <w:b/>
                <w:bCs/>
                <w:color w:val="auto"/>
                <w:sz w:val="24"/>
                <w:highlight w:val="none"/>
              </w:rPr>
            </w:pPr>
          </w:p>
        </w:tc>
        <w:tc>
          <w:tcPr>
            <w:tcW w:w="6122" w:type="dxa"/>
            <w:tcMar>
              <w:top w:w="0" w:type="dxa"/>
              <w:left w:w="57" w:type="dxa"/>
              <w:bottom w:w="0" w:type="dxa"/>
              <w:right w:w="57" w:type="dxa"/>
            </w:tcMar>
            <w:vAlign w:val="center"/>
          </w:tcPr>
          <w:p>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投标方对本项目的进度保障方案进行打分，进度计划和进度保障措施合理先进，并具有详细可行的实施内容得1.5-2分；进度计划和进度保障措施相对合理先进，并具有较好的可行的实施性得0.9-1.4分；进度计划和进度保障措施不太合理先进，可行性差的得0-0.8分。</w:t>
            </w:r>
          </w:p>
        </w:tc>
        <w:tc>
          <w:tcPr>
            <w:tcW w:w="694"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keepNext/>
              <w:keepLines/>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247" w:type="dxa"/>
            <w:vMerge w:val="continue"/>
            <w:tcMar>
              <w:top w:w="0" w:type="dxa"/>
              <w:left w:w="57" w:type="dxa"/>
              <w:bottom w:w="0" w:type="dxa"/>
              <w:right w:w="57" w:type="dxa"/>
            </w:tcMar>
            <w:vAlign w:val="center"/>
          </w:tcPr>
          <w:p>
            <w:pPr>
              <w:keepNext/>
              <w:keepLines/>
              <w:adjustRightInd w:val="0"/>
              <w:snapToGrid w:val="0"/>
              <w:spacing w:line="360" w:lineRule="auto"/>
              <w:rPr>
                <w:rFonts w:ascii="宋体" w:hAnsi="宋体" w:cs="宋体"/>
                <w:b/>
                <w:bCs/>
                <w:color w:val="auto"/>
                <w:sz w:val="24"/>
                <w:highlight w:val="none"/>
              </w:rPr>
            </w:pPr>
          </w:p>
        </w:tc>
        <w:tc>
          <w:tcPr>
            <w:tcW w:w="6122" w:type="dxa"/>
            <w:tcMar>
              <w:top w:w="0" w:type="dxa"/>
              <w:left w:w="57" w:type="dxa"/>
              <w:bottom w:w="0" w:type="dxa"/>
              <w:right w:w="57" w:type="dxa"/>
            </w:tcMar>
            <w:vAlign w:val="center"/>
          </w:tcPr>
          <w:p>
            <w:pPr>
              <w:keepNext/>
              <w:keepLines/>
              <w:adjustRightInd w:val="0"/>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t>根据投标方提出的测试、试运行方案的合理性、可行性情况打分，详细合理得1.5-2分，详细合理得0.9-1.4分，不够详细合理得0-0.8分。</w:t>
            </w:r>
          </w:p>
        </w:tc>
        <w:tc>
          <w:tcPr>
            <w:tcW w:w="694"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247" w:type="dxa"/>
            <w:vMerge w:val="restart"/>
            <w:tcMar>
              <w:top w:w="0" w:type="dxa"/>
              <w:left w:w="57" w:type="dxa"/>
              <w:bottom w:w="0" w:type="dxa"/>
              <w:right w:w="57" w:type="dxa"/>
            </w:tcMar>
            <w:vAlign w:val="center"/>
          </w:tcPr>
          <w:p>
            <w:pPr>
              <w:pStyle w:val="2"/>
              <w:adjustRightInd w:val="0"/>
              <w:snapToGrid w:val="0"/>
              <w:spacing w:line="360" w:lineRule="auto"/>
              <w:jc w:val="center"/>
              <w:rPr>
                <w:rFonts w:ascii="宋体" w:hAnsi="宋体" w:cs="宋体"/>
                <w:b/>
                <w:bCs/>
                <w:color w:val="auto"/>
                <w:kern w:val="0"/>
                <w:highlight w:val="none"/>
              </w:rPr>
            </w:pPr>
            <w:r>
              <w:rPr>
                <w:rFonts w:hint="eastAsia" w:ascii="宋体" w:hAnsi="宋体" w:cs="宋体"/>
                <w:b/>
                <w:bCs/>
                <w:color w:val="auto"/>
                <w:kern w:val="0"/>
                <w:highlight w:val="none"/>
              </w:rPr>
              <w:t>技术指标响应程度</w:t>
            </w:r>
          </w:p>
          <w:p>
            <w:pPr>
              <w:widowControl/>
              <w:adjustRightInd w:val="0"/>
              <w:snapToGrid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（9分）</w:t>
            </w:r>
          </w:p>
        </w:tc>
        <w:tc>
          <w:tcPr>
            <w:tcW w:w="6122" w:type="dxa"/>
            <w:tcMar>
              <w:top w:w="0" w:type="dxa"/>
              <w:left w:w="57" w:type="dxa"/>
              <w:bottom w:w="0" w:type="dxa"/>
              <w:right w:w="57" w:type="dxa"/>
            </w:tcMar>
            <w:vAlign w:val="center"/>
          </w:tcPr>
          <w:p>
            <w:pPr>
              <w:pStyle w:val="2"/>
              <w:adjustRightInd w:val="0"/>
              <w:snapToGrid w:val="0"/>
              <w:spacing w:line="360" w:lineRule="auto"/>
              <w:rPr>
                <w:rFonts w:ascii="宋体" w:hAnsi="宋体" w:cs="宋体"/>
                <w:b/>
                <w:bCs/>
                <w:color w:val="auto"/>
                <w:kern w:val="0"/>
                <w:highlight w:val="none"/>
              </w:rPr>
            </w:pPr>
            <w:r>
              <w:rPr>
                <w:rFonts w:hint="eastAsia" w:ascii="宋体" w:hAnsi="宋体" w:cs="宋体"/>
                <w:color w:val="auto"/>
                <w:kern w:val="0"/>
                <w:highlight w:val="none"/>
              </w:rPr>
              <w:t>根据投标人提供的重要参数（招标文件中带“★”项的参数）响应情况，每负偏离一项扣1分，最多扣完3分。</w:t>
            </w:r>
          </w:p>
        </w:tc>
        <w:tc>
          <w:tcPr>
            <w:tcW w:w="694"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247" w:type="dxa"/>
            <w:vMerge w:val="continue"/>
            <w:tcMar>
              <w:top w:w="0" w:type="dxa"/>
              <w:left w:w="57" w:type="dxa"/>
              <w:bottom w:w="0" w:type="dxa"/>
              <w:right w:w="57" w:type="dxa"/>
            </w:tcMar>
            <w:vAlign w:val="center"/>
          </w:tcPr>
          <w:p>
            <w:pPr>
              <w:widowControl/>
              <w:adjustRightInd w:val="0"/>
              <w:snapToGrid w:val="0"/>
              <w:spacing w:line="360" w:lineRule="auto"/>
              <w:jc w:val="center"/>
              <w:rPr>
                <w:rFonts w:ascii="宋体" w:hAnsi="宋体" w:cs="宋体"/>
                <w:b/>
                <w:bCs/>
                <w:color w:val="auto"/>
                <w:kern w:val="0"/>
                <w:sz w:val="24"/>
                <w:highlight w:val="none"/>
              </w:rPr>
            </w:pPr>
          </w:p>
        </w:tc>
        <w:tc>
          <w:tcPr>
            <w:tcW w:w="6122" w:type="dxa"/>
            <w:tcMar>
              <w:top w:w="0" w:type="dxa"/>
              <w:left w:w="57" w:type="dxa"/>
              <w:bottom w:w="0" w:type="dxa"/>
              <w:right w:w="57" w:type="dxa"/>
            </w:tcMar>
            <w:vAlign w:val="center"/>
          </w:tcPr>
          <w:p>
            <w:pPr>
              <w:pStyle w:val="2"/>
              <w:adjustRightInd w:val="0"/>
              <w:snapToGrid w:val="0"/>
              <w:spacing w:line="360" w:lineRule="auto"/>
              <w:rPr>
                <w:rFonts w:ascii="宋体" w:hAnsi="宋体" w:cs="宋体"/>
                <w:b/>
                <w:bCs/>
                <w:color w:val="auto"/>
                <w:kern w:val="0"/>
                <w:highlight w:val="none"/>
              </w:rPr>
            </w:pPr>
            <w:r>
              <w:rPr>
                <w:rFonts w:hint="eastAsia" w:ascii="宋体" w:hAnsi="宋体" w:cs="宋体"/>
                <w:color w:val="auto"/>
                <w:kern w:val="0"/>
                <w:highlight w:val="none"/>
              </w:rPr>
              <w:t>根据投标人提供的技术参数（招标文件中带“★”项之外的参数）响应程度进行评审给分，负偏离一项扣0.5分，最多扣完6分。</w:t>
            </w:r>
          </w:p>
        </w:tc>
        <w:tc>
          <w:tcPr>
            <w:tcW w:w="694"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keepNext/>
              <w:keepLines/>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247" w:type="dxa"/>
            <w:vMerge w:val="restart"/>
            <w:tcMar>
              <w:top w:w="0" w:type="dxa"/>
              <w:left w:w="57" w:type="dxa"/>
              <w:bottom w:w="0" w:type="dxa"/>
              <w:right w:w="57" w:type="dxa"/>
            </w:tcMar>
            <w:vAlign w:val="center"/>
          </w:tcPr>
          <w:p>
            <w:pPr>
              <w:keepNext/>
              <w:keepLines/>
              <w:adjustRightInd w:val="0"/>
              <w:snapToGrid w:val="0"/>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售后服务</w:t>
            </w:r>
          </w:p>
          <w:p>
            <w:pPr>
              <w:keepNext/>
              <w:keepLines/>
              <w:adjustRightInd w:val="0"/>
              <w:snapToGrid w:val="0"/>
              <w:spacing w:line="360" w:lineRule="auto"/>
              <w:rPr>
                <w:rFonts w:ascii="宋体" w:hAnsi="宋体" w:cs="宋体"/>
                <w:b/>
                <w:bCs/>
                <w:color w:val="auto"/>
                <w:sz w:val="24"/>
                <w:highlight w:val="none"/>
              </w:rPr>
            </w:pPr>
            <w:r>
              <w:rPr>
                <w:rFonts w:hint="eastAsia" w:ascii="宋体" w:hAnsi="宋体" w:cs="宋体"/>
                <w:b/>
                <w:bCs/>
                <w:color w:val="auto"/>
                <w:kern w:val="0"/>
                <w:sz w:val="24"/>
                <w:highlight w:val="none"/>
              </w:rPr>
              <w:t>（5分）</w:t>
            </w:r>
          </w:p>
        </w:tc>
        <w:tc>
          <w:tcPr>
            <w:tcW w:w="6122" w:type="dxa"/>
            <w:tcMar>
              <w:top w:w="0" w:type="dxa"/>
              <w:left w:w="57" w:type="dxa"/>
              <w:bottom w:w="0" w:type="dxa"/>
              <w:right w:w="57" w:type="dxa"/>
            </w:tcMar>
            <w:vAlign w:val="center"/>
          </w:tcPr>
          <w:p>
            <w:pPr>
              <w:keepNext/>
              <w:keepLines/>
              <w:numPr>
                <w:ilvl w:val="0"/>
                <w:numId w:val="7"/>
              </w:num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对售后服务质保期、技术力量、服务方式、服务网点数量、维护修复时间承诺，包括项目维护计划（对用户故障的响应、处理、定期巡检等情况）的有效性进行打分。承诺合理、服务措施明确的、网点数量多的得2-3分。承诺较合理、服务措施较明确的、网点数量较多的得1-1.9分。承诺不合理、服务措施不明确的、网点数量少的得0-0.9分。</w:t>
            </w:r>
          </w:p>
          <w:p>
            <w:pPr>
              <w:keepNext/>
              <w:keepLines/>
              <w:adjustRightInd w:val="0"/>
              <w:snapToGrid w:val="0"/>
              <w:spacing w:line="360" w:lineRule="auto"/>
              <w:rPr>
                <w:rFonts w:ascii="宋体" w:hAnsi="宋体" w:cs="宋体"/>
                <w:color w:val="auto"/>
                <w:kern w:val="0"/>
                <w:sz w:val="24"/>
                <w:highlight w:val="none"/>
              </w:rPr>
            </w:pPr>
            <w:r>
              <w:rPr>
                <w:rFonts w:hint="eastAsia" w:ascii="宋体" w:hAnsi="宋体" w:cs="宋体"/>
                <w:b/>
                <w:bCs/>
                <w:color w:val="auto"/>
                <w:kern w:val="0"/>
                <w:sz w:val="24"/>
                <w:highlight w:val="none"/>
              </w:rPr>
              <w:t>注：承诺的服务网点需提供相关复印件证明，未提供的不得分。</w:t>
            </w:r>
          </w:p>
        </w:tc>
        <w:tc>
          <w:tcPr>
            <w:tcW w:w="694"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247" w:type="dxa"/>
            <w:vMerge w:val="continue"/>
            <w:tcMar>
              <w:top w:w="0" w:type="dxa"/>
              <w:left w:w="57" w:type="dxa"/>
              <w:bottom w:w="0" w:type="dxa"/>
              <w:right w:w="57" w:type="dxa"/>
            </w:tcMar>
            <w:vAlign w:val="center"/>
          </w:tcPr>
          <w:p>
            <w:pPr>
              <w:adjustRightInd w:val="0"/>
              <w:snapToGrid w:val="0"/>
              <w:spacing w:line="360" w:lineRule="auto"/>
              <w:rPr>
                <w:rFonts w:ascii="宋体" w:hAnsi="宋体" w:cs="宋体"/>
                <w:b/>
                <w:bCs/>
                <w:color w:val="auto"/>
                <w:sz w:val="24"/>
                <w:highlight w:val="none"/>
              </w:rPr>
            </w:pPr>
          </w:p>
        </w:tc>
        <w:tc>
          <w:tcPr>
            <w:tcW w:w="6122" w:type="dxa"/>
            <w:tcMar>
              <w:top w:w="0" w:type="dxa"/>
              <w:left w:w="57" w:type="dxa"/>
              <w:bottom w:w="0" w:type="dxa"/>
              <w:right w:w="57" w:type="dxa"/>
            </w:tcMar>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t>根据投标方</w:t>
            </w:r>
            <w:r>
              <w:rPr>
                <w:rFonts w:hint="eastAsia" w:ascii="宋体" w:hAnsi="宋体" w:cs="宋体"/>
                <w:color w:val="auto"/>
                <w:sz w:val="24"/>
                <w:highlight w:val="none"/>
              </w:rPr>
              <w:t>提供的人员驻场情况评价打分，投标方需承诺在服务期能派遣工程师提供驻场服务。承诺提供2名驻厂工程师得2分，每减少一名，扣1分。</w:t>
            </w:r>
          </w:p>
        </w:tc>
        <w:tc>
          <w:tcPr>
            <w:tcW w:w="694"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247" w:type="dxa"/>
            <w:tcMar>
              <w:top w:w="0" w:type="dxa"/>
              <w:left w:w="57" w:type="dxa"/>
              <w:bottom w:w="0" w:type="dxa"/>
              <w:right w:w="57" w:type="dxa"/>
            </w:tcMar>
            <w:vAlign w:val="center"/>
          </w:tcPr>
          <w:p>
            <w:pPr>
              <w:adjustRightInd w:val="0"/>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培训方案</w:t>
            </w:r>
          </w:p>
          <w:p>
            <w:pPr>
              <w:adjustRightInd w:val="0"/>
              <w:snapToGrid w:val="0"/>
              <w:spacing w:line="360" w:lineRule="auto"/>
              <w:jc w:val="center"/>
              <w:rPr>
                <w:rFonts w:ascii="宋体" w:hAnsi="宋体" w:cs="宋体"/>
                <w:b/>
                <w:bCs/>
                <w:color w:val="auto"/>
                <w:kern w:val="0"/>
                <w:sz w:val="24"/>
                <w:highlight w:val="none"/>
              </w:rPr>
            </w:pPr>
            <w:r>
              <w:rPr>
                <w:rFonts w:hint="eastAsia" w:ascii="宋体" w:hAnsi="宋体" w:cs="宋体"/>
                <w:b/>
                <w:bCs/>
                <w:color w:val="auto"/>
                <w:sz w:val="24"/>
                <w:highlight w:val="none"/>
              </w:rPr>
              <w:t>（3分）</w:t>
            </w:r>
          </w:p>
        </w:tc>
        <w:tc>
          <w:tcPr>
            <w:tcW w:w="6122" w:type="dxa"/>
            <w:tcMar>
              <w:top w:w="0" w:type="dxa"/>
              <w:left w:w="57" w:type="dxa"/>
              <w:bottom w:w="0" w:type="dxa"/>
              <w:right w:w="57" w:type="dxa"/>
            </w:tcMar>
            <w:vAlign w:val="center"/>
          </w:tcPr>
          <w:p>
            <w:pPr>
              <w:pStyle w:val="88"/>
              <w:adjustRightInd w:val="0"/>
              <w:snapToGrid w:val="0"/>
              <w:spacing w:line="360" w:lineRule="auto"/>
              <w:ind w:firstLine="0" w:firstLineChars="0"/>
              <w:rPr>
                <w:rFonts w:ascii="宋体" w:hAnsi="宋体" w:cs="宋体"/>
                <w:color w:val="auto"/>
                <w:sz w:val="24"/>
                <w:szCs w:val="24"/>
                <w:highlight w:val="none"/>
              </w:rPr>
            </w:pPr>
            <w:r>
              <w:rPr>
                <w:rFonts w:hint="eastAsia" w:ascii="宋体" w:hAnsi="宋体" w:cs="宋体"/>
                <w:bCs/>
                <w:color w:val="auto"/>
                <w:sz w:val="24"/>
                <w:szCs w:val="24"/>
                <w:highlight w:val="none"/>
              </w:rPr>
              <w:t>根</w:t>
            </w:r>
            <w:r>
              <w:rPr>
                <w:rFonts w:hint="eastAsia" w:ascii="宋体" w:hAnsi="宋体" w:cs="宋体"/>
                <w:color w:val="auto"/>
                <w:sz w:val="24"/>
                <w:szCs w:val="24"/>
                <w:highlight w:val="none"/>
              </w:rPr>
              <w:t>据投标方对本项目制定的培训方案打分，从方案的合理性、科学性、可行性等情况进行评审：</w:t>
            </w:r>
          </w:p>
          <w:p>
            <w:pPr>
              <w:pStyle w:val="88"/>
              <w:adjustRightInd w:val="0"/>
              <w:snapToGrid w:val="0"/>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（1）方案考虑周全、可操作性强得2-3分，</w:t>
            </w:r>
          </w:p>
          <w:p>
            <w:pPr>
              <w:pStyle w:val="88"/>
              <w:adjustRightInd w:val="0"/>
              <w:snapToGrid w:val="0"/>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（2）方案考虑较周全、可操作性较好得1-1.9分。</w:t>
            </w:r>
          </w:p>
          <w:p>
            <w:pPr>
              <w:pStyle w:val="88"/>
              <w:adjustRightInd w:val="0"/>
              <w:snapToGrid w:val="0"/>
              <w:spacing w:line="360" w:lineRule="auto"/>
              <w:ind w:firstLine="0" w:firstLineChars="0"/>
              <w:rPr>
                <w:rFonts w:ascii="宋体" w:hAnsi="宋体" w:cs="宋体"/>
                <w:b/>
                <w:bCs/>
                <w:color w:val="auto"/>
                <w:sz w:val="24"/>
                <w:szCs w:val="24"/>
                <w:highlight w:val="none"/>
              </w:rPr>
            </w:pPr>
            <w:r>
              <w:rPr>
                <w:rFonts w:hint="eastAsia" w:ascii="宋体" w:hAnsi="宋体" w:cs="宋体"/>
                <w:color w:val="auto"/>
                <w:sz w:val="24"/>
                <w:szCs w:val="24"/>
                <w:highlight w:val="none"/>
              </w:rPr>
              <w:t>（3）方案考虑不够周全、可操作性较差得0-0.9分。</w:t>
            </w:r>
          </w:p>
        </w:tc>
        <w:tc>
          <w:tcPr>
            <w:tcW w:w="694"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247" w:type="dxa"/>
            <w:tcMar>
              <w:top w:w="0" w:type="dxa"/>
              <w:left w:w="57" w:type="dxa"/>
              <w:bottom w:w="0" w:type="dxa"/>
              <w:right w:w="57" w:type="dxa"/>
            </w:tcMar>
            <w:vAlign w:val="center"/>
          </w:tcPr>
          <w:p>
            <w:pPr>
              <w:pStyle w:val="2"/>
              <w:adjustRightInd w:val="0"/>
              <w:snapToGrid w:val="0"/>
              <w:spacing w:line="360" w:lineRule="auto"/>
              <w:rPr>
                <w:rFonts w:ascii="宋体" w:hAnsi="宋体" w:cs="宋体"/>
                <w:b/>
                <w:bCs/>
                <w:color w:val="auto"/>
                <w:kern w:val="0"/>
                <w:highlight w:val="none"/>
              </w:rPr>
            </w:pPr>
            <w:r>
              <w:rPr>
                <w:rFonts w:hint="eastAsia" w:ascii="宋体" w:hAnsi="宋体" w:cs="宋体"/>
                <w:b/>
                <w:bCs/>
                <w:color w:val="auto"/>
                <w:kern w:val="0"/>
                <w:highlight w:val="none"/>
              </w:rPr>
              <w:t>系统演示</w:t>
            </w:r>
            <w:r>
              <w:rPr>
                <w:rFonts w:hint="eastAsia" w:ascii="宋体" w:hAnsi="宋体" w:cs="宋体"/>
                <w:b/>
                <w:bCs/>
                <w:color w:val="auto"/>
                <w:kern w:val="0"/>
                <w:highlight w:val="none"/>
              </w:rPr>
              <w:br w:type="textWrapping"/>
            </w:r>
            <w:r>
              <w:rPr>
                <w:rFonts w:hint="eastAsia" w:ascii="宋体" w:hAnsi="宋体" w:cs="宋体"/>
                <w:b/>
                <w:bCs/>
                <w:color w:val="auto"/>
                <w:kern w:val="0"/>
                <w:highlight w:val="none"/>
              </w:rPr>
              <w:t>（24分）</w:t>
            </w:r>
          </w:p>
        </w:tc>
        <w:tc>
          <w:tcPr>
            <w:tcW w:w="6122" w:type="dxa"/>
            <w:tcMar>
              <w:top w:w="0" w:type="dxa"/>
              <w:left w:w="57" w:type="dxa"/>
              <w:bottom w:w="0" w:type="dxa"/>
              <w:right w:w="57" w:type="dxa"/>
            </w:tcMar>
            <w:vAlign w:val="center"/>
          </w:tcPr>
          <w:p>
            <w:pPr>
              <w:adjustRightInd w:val="0"/>
              <w:snapToGrid w:val="0"/>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投标人提供系统演示（0-24分）：系统演示从超级管理员创建角色账号开始（包括创建市级部门管理员、县（市、区）层级管理员、乡镇（街道）层级管理员以及村（社、区）网格员等）</w:t>
            </w:r>
          </w:p>
          <w:p>
            <w:pPr>
              <w:pStyle w:val="12"/>
              <w:adjustRightInd w:val="0"/>
              <w:snapToGrid w:val="0"/>
              <w:spacing w:after="0"/>
              <w:ind w:left="0" w:leftChars="0"/>
              <w:rPr>
                <w:rFonts w:ascii="宋体" w:hAnsi="宋体" w:cs="宋体"/>
                <w:b/>
                <w:bCs/>
                <w:color w:val="auto"/>
                <w:sz w:val="24"/>
                <w:highlight w:val="none"/>
              </w:rPr>
            </w:pPr>
            <w:r>
              <w:rPr>
                <w:rFonts w:hint="eastAsia" w:ascii="宋体" w:hAnsi="宋体" w:cs="宋体"/>
                <w:b/>
                <w:bCs/>
                <w:color w:val="auto"/>
                <w:sz w:val="24"/>
                <w:highlight w:val="none"/>
              </w:rPr>
              <w:t>（一）电脑端功能演示</w:t>
            </w:r>
          </w:p>
          <w:p>
            <w:pPr>
              <w:adjustRightInd w:val="0"/>
              <w:snapToGrid w:val="0"/>
              <w:spacing w:line="360" w:lineRule="auto"/>
              <w:jc w:val="left"/>
              <w:textAlignment w:val="center"/>
              <w:rPr>
                <w:rFonts w:ascii="宋体" w:hAnsi="宋体" w:cs="宋体"/>
                <w:color w:val="auto"/>
                <w:sz w:val="24"/>
                <w:highlight w:val="none"/>
              </w:rPr>
            </w:pPr>
            <w:r>
              <w:rPr>
                <w:rFonts w:hint="eastAsia" w:ascii="宋体" w:hAnsi="宋体" w:cs="宋体"/>
                <w:b/>
                <w:bCs/>
                <w:color w:val="auto"/>
                <w:sz w:val="24"/>
                <w:highlight w:val="none"/>
              </w:rPr>
              <w:t>（1）排查识别功能演示：</w:t>
            </w:r>
            <w:r>
              <w:rPr>
                <w:rFonts w:hint="eastAsia" w:ascii="宋体" w:hAnsi="宋体" w:cs="宋体"/>
                <w:color w:val="auto"/>
                <w:kern w:val="0"/>
                <w:sz w:val="24"/>
                <w:highlight w:val="none"/>
              </w:rPr>
              <w:t>①网格认领潜在风险人员预警信息，指挥室进行风险等级核查，网格员进一步采集补充潜在风险人员</w:t>
            </w:r>
            <w:r>
              <w:rPr>
                <w:rFonts w:hint="eastAsia" w:ascii="宋体" w:hAnsi="宋体" w:cs="宋体"/>
                <w:color w:val="auto"/>
                <w:sz w:val="24"/>
                <w:highlight w:val="none"/>
              </w:rPr>
              <w:t>性格、行为、事件要素信息用于深度研判。</w:t>
            </w:r>
            <w:r>
              <w:rPr>
                <w:rFonts w:hint="eastAsia" w:ascii="宋体" w:hAnsi="宋体" w:cs="宋体"/>
                <w:color w:val="auto"/>
                <w:kern w:val="0"/>
                <w:sz w:val="24"/>
                <w:highlight w:val="none"/>
              </w:rPr>
              <w:t>②按照周、月、季、年，以及四个风险等级，统计全台州市潜在风险人员走访服务情况，按日统计在台州市潜在风险人员管控落实情况。每满足一项得2分，不满足不得分，共4分。</w:t>
            </w:r>
          </w:p>
          <w:p>
            <w:pPr>
              <w:adjustRightInd w:val="0"/>
              <w:snapToGrid w:val="0"/>
              <w:spacing w:line="360" w:lineRule="auto"/>
              <w:jc w:val="left"/>
              <w:textAlignment w:val="center"/>
              <w:rPr>
                <w:rFonts w:ascii="宋体" w:hAnsi="宋体" w:cs="宋体"/>
                <w:b/>
                <w:bCs/>
                <w:color w:val="auto"/>
                <w:sz w:val="24"/>
                <w:highlight w:val="none"/>
              </w:rPr>
            </w:pPr>
            <w:r>
              <w:rPr>
                <w:rFonts w:hint="eastAsia" w:ascii="宋体" w:hAnsi="宋体" w:cs="宋体"/>
                <w:b/>
                <w:bCs/>
                <w:color w:val="auto"/>
                <w:sz w:val="24"/>
                <w:highlight w:val="none"/>
              </w:rPr>
              <w:t>（2）潜在风险人员管理功能演示：</w:t>
            </w:r>
            <w:r>
              <w:rPr>
                <w:rFonts w:hint="eastAsia" w:ascii="宋体" w:hAnsi="宋体" w:cs="宋体"/>
                <w:color w:val="auto"/>
                <w:kern w:val="0"/>
                <w:sz w:val="24"/>
                <w:highlight w:val="none"/>
              </w:rPr>
              <w:t>①查看全台州市潜在风险人员相关基础信息、服务记录、工作情况；②潜在风险人员居住地址跨区县转移后，由市级将该人员数据回退，再由新网格进行认领，或由市级直接将该人员迁移至新网格。每满足一项得2分，不满足不得分，共4分。</w:t>
            </w:r>
          </w:p>
          <w:p>
            <w:pPr>
              <w:adjustRightInd w:val="0"/>
              <w:snapToGrid w:val="0"/>
              <w:spacing w:line="360" w:lineRule="auto"/>
              <w:jc w:val="left"/>
              <w:textAlignment w:val="center"/>
              <w:rPr>
                <w:rFonts w:ascii="宋体" w:hAnsi="宋体" w:cs="宋体"/>
                <w:color w:val="auto"/>
                <w:sz w:val="24"/>
                <w:highlight w:val="none"/>
              </w:rPr>
            </w:pPr>
            <w:r>
              <w:rPr>
                <w:rFonts w:hint="eastAsia" w:ascii="宋体" w:hAnsi="宋体" w:cs="宋体"/>
                <w:b/>
                <w:bCs/>
                <w:color w:val="auto"/>
                <w:sz w:val="24"/>
                <w:highlight w:val="none"/>
              </w:rPr>
              <w:t>（3）分析监管功能演示：</w:t>
            </w:r>
            <w:r>
              <w:rPr>
                <w:rFonts w:hint="eastAsia" w:ascii="宋体" w:hAnsi="宋体" w:cs="宋体"/>
                <w:color w:val="auto"/>
                <w:kern w:val="0"/>
                <w:sz w:val="24"/>
                <w:highlight w:val="none"/>
              </w:rPr>
              <w:t>①展示会商工作相关信息，包括但不限于会商时间、地点、牵头领导、参会人员、未认领研判情况、定级研判情况、需重点关注人员等内容，支持将定级研判情况同步至重点人员的县乡村三级情况。②市县乡三级不同权限的功能展示，市级统筹掌控各县（市、区）上报情况，县（市、区）监督和汇总乡镇（街道）上报，乡镇（街道）落实会商研判、上报。</w:t>
            </w:r>
            <w:r>
              <w:rPr>
                <w:rFonts w:hint="eastAsia" w:ascii="宋体" w:hAnsi="宋体" w:cs="宋体"/>
                <w:color w:val="auto"/>
                <w:sz w:val="24"/>
                <w:highlight w:val="none"/>
              </w:rPr>
              <w:t>每满足一项得2分，不满足不得分，共4分。</w:t>
            </w:r>
          </w:p>
          <w:p>
            <w:pPr>
              <w:pStyle w:val="12"/>
              <w:adjustRightInd w:val="0"/>
              <w:snapToGrid w:val="0"/>
              <w:spacing w:after="0" w:line="360" w:lineRule="auto"/>
              <w:ind w:left="0" w:leftChars="0"/>
              <w:rPr>
                <w:color w:val="auto"/>
                <w:highlight w:val="none"/>
              </w:rPr>
            </w:pPr>
            <w:r>
              <w:rPr>
                <w:rFonts w:hint="eastAsia" w:ascii="宋体" w:hAnsi="宋体" w:cs="宋体"/>
                <w:b/>
                <w:bCs/>
                <w:color w:val="auto"/>
                <w:sz w:val="24"/>
                <w:highlight w:val="none"/>
              </w:rPr>
              <w:t>（4）化解管控和跟踪关注功能演示：</w:t>
            </w:r>
            <w:r>
              <w:rPr>
                <w:rFonts w:hint="eastAsia" w:ascii="宋体" w:hAnsi="宋体" w:cs="宋体"/>
                <w:color w:val="auto"/>
                <w:kern w:val="0"/>
                <w:sz w:val="24"/>
                <w:highlight w:val="none"/>
              </w:rPr>
              <w:t>①根据潜在风险人员风险等级及分级管控机制，县（市、区）、乡镇（街道）、村（社区）三个层级可对不同风险等级的潜在风险人员添加工作开展情况、化解管控的具体措施，支持一键转事件处置，协同至浙江省矛盾纠纷调解系统、五环智控系统；②配置潜在风险人员检查表，包括不限于检查项、字典项、异常扣分、状态等，由网格员进行巡查上报。每满足一项得2分，不满足不得分，共4分。</w:t>
            </w:r>
          </w:p>
          <w:p>
            <w:pPr>
              <w:adjustRightInd w:val="0"/>
              <w:snapToGrid w:val="0"/>
              <w:spacing w:line="360" w:lineRule="auto"/>
              <w:jc w:val="left"/>
              <w:textAlignment w:val="center"/>
              <w:rPr>
                <w:rFonts w:ascii="宋体" w:hAnsi="宋体" w:cs="宋体"/>
                <w:color w:val="auto"/>
                <w:sz w:val="24"/>
                <w:highlight w:val="none"/>
              </w:rPr>
            </w:pPr>
            <w:r>
              <w:rPr>
                <w:rFonts w:hint="eastAsia" w:ascii="宋体" w:hAnsi="宋体" w:cs="宋体"/>
                <w:b/>
                <w:bCs/>
                <w:color w:val="auto"/>
                <w:sz w:val="24"/>
                <w:highlight w:val="none"/>
              </w:rPr>
              <w:t>（5）驾驶舱演示：</w:t>
            </w:r>
            <w:r>
              <w:rPr>
                <w:rFonts w:hint="eastAsia" w:ascii="宋体" w:hAnsi="宋体" w:cs="宋体"/>
                <w:color w:val="auto"/>
                <w:kern w:val="0"/>
                <w:sz w:val="24"/>
                <w:highlight w:val="none"/>
              </w:rPr>
              <w:t>①</w:t>
            </w:r>
            <w:r>
              <w:rPr>
                <w:rFonts w:hint="eastAsia" w:ascii="宋体" w:hAnsi="宋体" w:cs="宋体"/>
                <w:color w:val="auto"/>
                <w:sz w:val="24"/>
                <w:highlight w:val="none"/>
              </w:rPr>
              <w:t>驾驶舱需要体现排查识别、预警预测、警网协同、化解管控、跟踪关注、压实责任等6个子场景运行和指标数据情况，体现县</w:t>
            </w:r>
            <w:r>
              <w:rPr>
                <w:rFonts w:hint="eastAsia" w:ascii="宋体" w:hAnsi="宋体" w:cs="宋体"/>
                <w:color w:val="auto"/>
                <w:kern w:val="0"/>
                <w:sz w:val="24"/>
                <w:highlight w:val="none"/>
              </w:rPr>
              <w:t>乡村网格</w:t>
            </w:r>
            <w:r>
              <w:rPr>
                <w:rFonts w:hint="eastAsia" w:ascii="宋体" w:hAnsi="宋体" w:cs="宋体"/>
                <w:color w:val="auto"/>
                <w:sz w:val="24"/>
                <w:highlight w:val="none"/>
              </w:rPr>
              <w:t>的数据分布和人员管控情况。</w:t>
            </w:r>
            <w:r>
              <w:rPr>
                <w:rFonts w:hint="eastAsia" w:ascii="宋体" w:hAnsi="宋体" w:cs="宋体"/>
                <w:color w:val="auto"/>
                <w:kern w:val="0"/>
                <w:sz w:val="24"/>
                <w:highlight w:val="none"/>
              </w:rPr>
              <w:t>②展示潜在风险人员的管控情况，包括基本信息、系统模型研判和人工复核情况、关联人、关联事、管控轨迹等信息。</w:t>
            </w:r>
            <w:r>
              <w:rPr>
                <w:rFonts w:hint="eastAsia" w:ascii="宋体" w:hAnsi="宋体" w:cs="宋体"/>
                <w:color w:val="auto"/>
                <w:sz w:val="24"/>
                <w:highlight w:val="none"/>
              </w:rPr>
              <w:t>每满足一项得2分，不满足不得分，共4分。</w:t>
            </w:r>
          </w:p>
          <w:p>
            <w:pPr>
              <w:pStyle w:val="12"/>
              <w:adjustRightInd w:val="0"/>
              <w:snapToGrid w:val="0"/>
              <w:spacing w:after="0" w:line="360" w:lineRule="auto"/>
              <w:ind w:left="0" w:leftChars="0"/>
              <w:rPr>
                <w:rFonts w:ascii="宋体" w:hAnsi="宋体" w:cs="宋体"/>
                <w:b/>
                <w:bCs/>
                <w:color w:val="auto"/>
                <w:sz w:val="24"/>
                <w:highlight w:val="none"/>
              </w:rPr>
            </w:pPr>
            <w:r>
              <w:rPr>
                <w:rFonts w:hint="eastAsia" w:ascii="宋体" w:hAnsi="宋体" w:cs="宋体"/>
                <w:b/>
                <w:bCs/>
                <w:color w:val="auto"/>
                <w:sz w:val="24"/>
                <w:highlight w:val="none"/>
              </w:rPr>
              <w:t>（二）移动端功能演示</w:t>
            </w:r>
          </w:p>
          <w:p>
            <w:pPr>
              <w:pStyle w:val="12"/>
              <w:adjustRightInd w:val="0"/>
              <w:snapToGrid w:val="0"/>
              <w:spacing w:after="0" w:line="360" w:lineRule="auto"/>
              <w:ind w:left="0" w:leftChars="0"/>
              <w:rPr>
                <w:rFonts w:ascii="宋体" w:hAnsi="宋体" w:cs="宋体"/>
                <w:color w:val="auto"/>
                <w:kern w:val="0"/>
                <w:sz w:val="24"/>
                <w:highlight w:val="none"/>
              </w:rPr>
            </w:pPr>
            <w:r>
              <w:rPr>
                <w:rFonts w:hint="eastAsia" w:ascii="宋体" w:hAnsi="宋体" w:cs="宋体"/>
                <w:b/>
                <w:bCs/>
                <w:color w:val="auto"/>
                <w:sz w:val="24"/>
                <w:highlight w:val="none"/>
              </w:rPr>
              <w:t>（1）排查识别功能演示：</w:t>
            </w:r>
            <w:r>
              <w:rPr>
                <w:rFonts w:hint="eastAsia" w:ascii="宋体" w:hAnsi="宋体" w:cs="宋体"/>
                <w:color w:val="auto"/>
                <w:kern w:val="0"/>
                <w:sz w:val="24"/>
                <w:highlight w:val="none"/>
              </w:rPr>
              <w:t>①网格员通过移动端完成</w:t>
            </w:r>
            <w:r>
              <w:rPr>
                <w:rFonts w:hint="eastAsia" w:ascii="宋体" w:hAnsi="宋体" w:cs="宋体"/>
                <w:color w:val="auto"/>
                <w:sz w:val="24"/>
                <w:highlight w:val="none"/>
              </w:rPr>
              <w:t>潜在风险人员信息的采集包括性格、行为、事件及相关基础信息，对潜在风险人员添加走访服务情况，可以一键转事件进行处置。</w:t>
            </w:r>
            <w:r>
              <w:rPr>
                <w:rFonts w:hint="eastAsia" w:ascii="宋体" w:hAnsi="宋体" w:cs="宋体"/>
                <w:color w:val="auto"/>
                <w:kern w:val="0"/>
                <w:sz w:val="24"/>
                <w:highlight w:val="none"/>
              </w:rPr>
              <w:t>②通过移动端查看待核查潜在风险人员和已核查人员信息，并对待核查潜在风险人员进行核查风险核查。每满足一项得1分，不满足不得分，共2分。</w:t>
            </w:r>
          </w:p>
          <w:p>
            <w:pPr>
              <w:pStyle w:val="12"/>
              <w:adjustRightInd w:val="0"/>
              <w:snapToGrid w:val="0"/>
              <w:spacing w:after="0" w:line="360" w:lineRule="auto"/>
              <w:ind w:left="0" w:leftChars="0"/>
              <w:rPr>
                <w:color w:val="auto"/>
                <w:highlight w:val="none"/>
              </w:rPr>
            </w:pPr>
            <w:r>
              <w:rPr>
                <w:rFonts w:hint="eastAsia" w:ascii="宋体" w:hAnsi="宋体" w:cs="宋体"/>
                <w:b/>
                <w:bCs/>
                <w:color w:val="auto"/>
                <w:sz w:val="24"/>
                <w:highlight w:val="none"/>
              </w:rPr>
              <w:t>（2）部门协查功能演示：</w:t>
            </w:r>
            <w:r>
              <w:rPr>
                <w:rFonts w:hint="eastAsia" w:ascii="宋体" w:hAnsi="宋体" w:cs="宋体"/>
                <w:color w:val="auto"/>
                <w:kern w:val="0"/>
                <w:sz w:val="24"/>
                <w:highlight w:val="none"/>
              </w:rPr>
              <w:t>市县两级职能部门上报相关信访诉求或案件中的异常人线索，包括但不限于人员基本信息、案事件信息，人员标签、事件标签、三要素信息、趋势评估等，支持由牵头部门主管，其他部门协管，跟踪记录人员异动情况。不满足不得分，共2分。</w:t>
            </w:r>
          </w:p>
          <w:p>
            <w:pPr>
              <w:pStyle w:val="3"/>
              <w:adjustRightInd w:val="0"/>
              <w:snapToGrid w:val="0"/>
              <w:ind w:firstLine="0"/>
              <w:rPr>
                <w:color w:val="auto"/>
                <w:sz w:val="24"/>
                <w:highlight w:val="none"/>
              </w:rPr>
            </w:pPr>
            <w:r>
              <w:rPr>
                <w:rFonts w:hint="eastAsia" w:ascii="宋体" w:hAnsi="宋体" w:cs="宋体"/>
                <w:b/>
                <w:bCs/>
                <w:color w:val="auto"/>
                <w:sz w:val="24"/>
                <w:highlight w:val="none"/>
              </w:rPr>
              <w:t>注：上述功能要求投标方采用系统演示录制U盘于开标前邮寄或送达代理机构，</w:t>
            </w:r>
            <w:r>
              <w:rPr>
                <w:rFonts w:hint="eastAsia" w:ascii="宋体" w:hAnsi="宋体" w:cs="宋体"/>
                <w:b/>
                <w:bCs/>
                <w:color w:val="auto"/>
                <w:kern w:val="0"/>
                <w:sz w:val="24"/>
                <w:highlight w:val="none"/>
              </w:rPr>
              <w:t>演示时间不超过20分钟，PPT演示最多得8分，</w:t>
            </w:r>
            <w:r>
              <w:rPr>
                <w:rFonts w:hint="eastAsia" w:ascii="宋体" w:hAnsi="宋体" w:cs="宋体"/>
                <w:b/>
                <w:bCs/>
                <w:color w:val="auto"/>
                <w:sz w:val="24"/>
                <w:highlight w:val="none"/>
              </w:rPr>
              <w:t>没有提供演示材料的不得分</w:t>
            </w:r>
            <w:r>
              <w:rPr>
                <w:rFonts w:hint="eastAsia" w:ascii="宋体" w:hAnsi="宋体" w:cs="宋体"/>
                <w:b/>
                <w:bCs/>
                <w:color w:val="auto"/>
                <w:kern w:val="0"/>
                <w:sz w:val="24"/>
                <w:highlight w:val="none"/>
              </w:rPr>
              <w:t>。</w:t>
            </w:r>
          </w:p>
        </w:tc>
        <w:tc>
          <w:tcPr>
            <w:tcW w:w="694"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247" w:type="dxa"/>
            <w:vMerge w:val="restart"/>
            <w:tcMar>
              <w:top w:w="0" w:type="dxa"/>
              <w:left w:w="57" w:type="dxa"/>
              <w:bottom w:w="0" w:type="dxa"/>
              <w:right w:w="57" w:type="dxa"/>
            </w:tcMar>
            <w:vAlign w:val="center"/>
          </w:tcPr>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kern w:val="0"/>
                <w:sz w:val="24"/>
                <w:highlight w:val="none"/>
              </w:rPr>
              <w:t>投标方资质（12分）</w:t>
            </w:r>
          </w:p>
        </w:tc>
        <w:tc>
          <w:tcPr>
            <w:tcW w:w="6122" w:type="dxa"/>
            <w:tcMar>
              <w:top w:w="0" w:type="dxa"/>
              <w:left w:w="57" w:type="dxa"/>
              <w:bottom w:w="0" w:type="dxa"/>
              <w:right w:w="57" w:type="dxa"/>
            </w:tcMar>
            <w:vAlign w:val="center"/>
          </w:tcPr>
          <w:p>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1.投标人要求具备具备IS09001质量管理体系认证证书，ISO27001信息安全管理体系认证证书，ISO20000信息技术服务管理体系认证证书，数据管理能力</w:t>
            </w:r>
            <w:r>
              <w:rPr>
                <w:rFonts w:ascii="宋体" w:hAnsi="宋体" w:cs="宋体"/>
                <w:color w:val="auto"/>
                <w:kern w:val="0"/>
                <w:sz w:val="24"/>
                <w:highlight w:val="none"/>
                <w:lang w:val="en"/>
              </w:rPr>
              <w:t>DCMM</w:t>
            </w:r>
            <w:r>
              <w:rPr>
                <w:rFonts w:hint="eastAsia" w:ascii="宋体" w:hAnsi="宋体" w:cs="宋体"/>
                <w:color w:val="auto"/>
                <w:kern w:val="0"/>
                <w:sz w:val="24"/>
                <w:highlight w:val="none"/>
              </w:rPr>
              <w:t>成熟度三级或以上证书，</w:t>
            </w:r>
            <w:r>
              <w:rPr>
                <w:rFonts w:ascii="宋体" w:hAnsi="宋体" w:cs="宋体"/>
                <w:color w:val="auto"/>
                <w:kern w:val="0"/>
                <w:sz w:val="24"/>
                <w:highlight w:val="none"/>
                <w:lang w:val="en"/>
              </w:rPr>
              <w:t>CMMI</w:t>
            </w:r>
            <w:r>
              <w:rPr>
                <w:rFonts w:hint="eastAsia" w:ascii="宋体" w:hAnsi="宋体" w:cs="宋体"/>
                <w:color w:val="auto"/>
                <w:kern w:val="0"/>
                <w:sz w:val="24"/>
                <w:highlight w:val="none"/>
                <w:lang w:val="en"/>
              </w:rPr>
              <w:t>软件能力成熟度三级或以上证书，</w:t>
            </w:r>
            <w:r>
              <w:rPr>
                <w:rFonts w:hint="eastAsia" w:ascii="宋体" w:hAnsi="宋体" w:cs="宋体"/>
                <w:color w:val="auto"/>
                <w:kern w:val="0"/>
                <w:sz w:val="24"/>
                <w:highlight w:val="none"/>
              </w:rPr>
              <w:t>每满足一项得1分，最多得3分；</w:t>
            </w:r>
            <w:r>
              <w:rPr>
                <w:rFonts w:hint="eastAsia" w:ascii="宋体" w:hAnsi="宋体" w:cs="宋体"/>
                <w:color w:val="auto"/>
                <w:kern w:val="0"/>
                <w:sz w:val="24"/>
                <w:highlight w:val="none"/>
              </w:rPr>
              <w:br w:type="textWrapping"/>
            </w:r>
            <w:r>
              <w:rPr>
                <w:rFonts w:hint="eastAsia" w:ascii="宋体" w:hAnsi="宋体" w:cs="宋体"/>
                <w:b/>
                <w:bCs/>
                <w:color w:val="auto"/>
                <w:kern w:val="0"/>
                <w:sz w:val="24"/>
                <w:highlight w:val="none"/>
              </w:rPr>
              <w:t>以上证书提供扫描件并加盖公章，未提供或未加盖公章的不得分。</w:t>
            </w:r>
          </w:p>
        </w:tc>
        <w:tc>
          <w:tcPr>
            <w:tcW w:w="694"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247" w:type="dxa"/>
            <w:vMerge w:val="continue"/>
            <w:tcMar>
              <w:top w:w="0" w:type="dxa"/>
              <w:left w:w="57" w:type="dxa"/>
              <w:bottom w:w="0" w:type="dxa"/>
              <w:right w:w="57" w:type="dxa"/>
            </w:tcMar>
            <w:vAlign w:val="center"/>
          </w:tcPr>
          <w:p>
            <w:pPr>
              <w:pStyle w:val="2"/>
              <w:adjustRightInd w:val="0"/>
              <w:snapToGrid w:val="0"/>
              <w:spacing w:line="360" w:lineRule="auto"/>
              <w:rPr>
                <w:rFonts w:ascii="宋体" w:hAnsi="宋体" w:cs="宋体"/>
                <w:b/>
                <w:bCs/>
                <w:color w:val="auto"/>
                <w:highlight w:val="none"/>
              </w:rPr>
            </w:pPr>
          </w:p>
        </w:tc>
        <w:tc>
          <w:tcPr>
            <w:tcW w:w="6122" w:type="dxa"/>
            <w:tcBorders>
              <w:left w:val="single" w:color="auto" w:sz="4" w:space="0"/>
            </w:tcBorders>
            <w:tcMar>
              <w:top w:w="0" w:type="dxa"/>
              <w:left w:w="57" w:type="dxa"/>
              <w:bottom w:w="0" w:type="dxa"/>
              <w:right w:w="57" w:type="dxa"/>
            </w:tcMar>
            <w:vAlign w:val="center"/>
          </w:tcPr>
          <w:p>
            <w:pPr>
              <w:pStyle w:val="2"/>
              <w:adjustRightInd w:val="0"/>
              <w:snapToGrid w:val="0"/>
              <w:spacing w:line="360" w:lineRule="auto"/>
              <w:rPr>
                <w:rFonts w:ascii="宋体" w:hAnsi="宋体" w:cs="宋体"/>
                <w:color w:val="auto"/>
                <w:kern w:val="0"/>
                <w:highlight w:val="none"/>
              </w:rPr>
            </w:pPr>
            <w:r>
              <w:rPr>
                <w:rFonts w:hint="eastAsia" w:ascii="宋体" w:hAnsi="宋体" w:cs="宋体"/>
                <w:color w:val="auto"/>
                <w:kern w:val="0"/>
                <w:highlight w:val="none"/>
              </w:rPr>
              <w:t>根据投标方提供的项目人员相关职称或认证证书打分。</w:t>
            </w:r>
          </w:p>
          <w:p>
            <w:pPr>
              <w:pStyle w:val="2"/>
              <w:adjustRightInd w:val="0"/>
              <w:snapToGrid w:val="0"/>
              <w:spacing w:line="360" w:lineRule="auto"/>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eastAsia="zh-TW"/>
              </w:rPr>
              <w:t>项目经理具备信息系统项目管理师</w:t>
            </w:r>
            <w:r>
              <w:rPr>
                <w:rFonts w:hint="eastAsia" w:ascii="宋体" w:hAnsi="宋体" w:cs="宋体"/>
                <w:color w:val="auto"/>
                <w:kern w:val="0"/>
                <w:highlight w:val="none"/>
              </w:rPr>
              <w:t>证书、</w:t>
            </w:r>
            <w:r>
              <w:rPr>
                <w:rFonts w:hint="eastAsia" w:ascii="宋体" w:hAnsi="宋体" w:cs="宋体"/>
                <w:color w:val="auto"/>
                <w:kern w:val="0"/>
                <w:highlight w:val="none"/>
                <w:lang w:eastAsia="zh-TW"/>
              </w:rPr>
              <w:t>PMP</w:t>
            </w:r>
            <w:r>
              <w:rPr>
                <w:rFonts w:hint="eastAsia" w:ascii="宋体" w:hAnsi="宋体" w:cs="宋体"/>
                <w:color w:val="auto"/>
                <w:kern w:val="0"/>
                <w:highlight w:val="none"/>
              </w:rPr>
              <w:t>证书、智能化系统集成项目经理</w:t>
            </w:r>
            <w:r>
              <w:rPr>
                <w:rFonts w:hint="eastAsia" w:ascii="宋体" w:hAnsi="宋体" w:cs="宋体"/>
                <w:color w:val="auto"/>
                <w:kern w:val="0"/>
                <w:highlight w:val="none"/>
                <w:lang w:eastAsia="zh-TW"/>
              </w:rPr>
              <w:t>证书</w:t>
            </w:r>
            <w:r>
              <w:rPr>
                <w:rFonts w:hint="eastAsia" w:ascii="宋体" w:hAnsi="宋体" w:cs="宋体"/>
                <w:color w:val="auto"/>
                <w:kern w:val="0"/>
                <w:highlight w:val="none"/>
              </w:rPr>
              <w:t>、国家注册信息安全工程师</w:t>
            </w:r>
            <w:r>
              <w:rPr>
                <w:rFonts w:hint="eastAsia" w:ascii="宋体" w:hAnsi="宋体" w:cs="宋体"/>
                <w:color w:val="auto"/>
                <w:kern w:val="0"/>
                <w:highlight w:val="none"/>
                <w:lang w:eastAsia="zh-TW"/>
              </w:rPr>
              <w:t>CISP证书，</w:t>
            </w:r>
            <w:r>
              <w:rPr>
                <w:rFonts w:hint="eastAsia" w:ascii="宋体" w:hAnsi="宋体" w:cs="宋体"/>
                <w:color w:val="auto"/>
                <w:kern w:val="0"/>
                <w:highlight w:val="none"/>
              </w:rPr>
              <w:t>每满足一项得0.5分，最多得1.5分；</w:t>
            </w:r>
          </w:p>
          <w:p>
            <w:pPr>
              <w:pStyle w:val="2"/>
              <w:adjustRightInd w:val="0"/>
              <w:snapToGrid w:val="0"/>
              <w:spacing w:line="360" w:lineRule="auto"/>
              <w:rPr>
                <w:rFonts w:ascii="宋体" w:hAnsi="宋体" w:cs="宋体"/>
                <w:color w:val="auto"/>
                <w:kern w:val="0"/>
                <w:highlight w:val="none"/>
                <w:lang w:eastAsia="zh-TW"/>
              </w:rPr>
            </w:pPr>
            <w:r>
              <w:rPr>
                <w:rFonts w:hint="eastAsia" w:ascii="宋体" w:hAnsi="宋体" w:cs="宋体"/>
                <w:color w:val="auto"/>
                <w:kern w:val="0"/>
                <w:highlight w:val="none"/>
              </w:rPr>
              <w:t>2.</w:t>
            </w:r>
            <w:r>
              <w:rPr>
                <w:rFonts w:hint="eastAsia" w:ascii="宋体" w:hAnsi="宋体" w:cs="宋体"/>
                <w:color w:val="auto"/>
                <w:kern w:val="0"/>
                <w:highlight w:val="none"/>
                <w:lang w:eastAsia="zh-TW"/>
              </w:rPr>
              <w:t>项目技术负责人具备</w:t>
            </w:r>
            <w:r>
              <w:rPr>
                <w:rFonts w:hint="eastAsia" w:ascii="宋体" w:hAnsi="宋体" w:cs="宋体"/>
                <w:color w:val="auto"/>
                <w:highlight w:val="none"/>
              </w:rPr>
              <w:t>具有</w:t>
            </w:r>
            <w:r>
              <w:rPr>
                <w:rFonts w:hint="eastAsia" w:ascii="宋体" w:hAnsi="宋体" w:cs="宋体"/>
                <w:color w:val="auto"/>
                <w:kern w:val="0"/>
                <w:highlight w:val="none"/>
                <w:lang w:eastAsia="zh-TW"/>
              </w:rPr>
              <w:t>PMP证书</w:t>
            </w:r>
            <w:r>
              <w:rPr>
                <w:rFonts w:hint="eastAsia" w:ascii="宋体" w:hAnsi="宋体" w:cs="宋体"/>
                <w:color w:val="auto"/>
                <w:kern w:val="0"/>
                <w:highlight w:val="none"/>
              </w:rPr>
              <w:t>、国家注册信息安全工程师</w:t>
            </w:r>
            <w:r>
              <w:rPr>
                <w:rFonts w:hint="eastAsia" w:ascii="宋体" w:hAnsi="宋体" w:cs="宋体"/>
                <w:color w:val="auto"/>
                <w:kern w:val="0"/>
                <w:highlight w:val="none"/>
                <w:lang w:eastAsia="zh-TW"/>
              </w:rPr>
              <w:t>CISP证书</w:t>
            </w:r>
            <w:r>
              <w:rPr>
                <w:rFonts w:hint="eastAsia" w:ascii="宋体" w:hAnsi="宋体" w:cs="宋体"/>
                <w:color w:val="auto"/>
                <w:kern w:val="0"/>
                <w:highlight w:val="none"/>
              </w:rPr>
              <w:t>、</w:t>
            </w:r>
            <w:r>
              <w:rPr>
                <w:rFonts w:hint="eastAsia" w:ascii="宋体" w:hAnsi="宋体" w:cs="宋体"/>
                <w:color w:val="auto"/>
                <w:kern w:val="0"/>
                <w:highlight w:val="none"/>
                <w:lang w:eastAsia="zh-TW"/>
              </w:rPr>
              <w:t>信息系统项目管理师</w:t>
            </w:r>
            <w:r>
              <w:rPr>
                <w:rFonts w:hint="eastAsia" w:ascii="宋体" w:hAnsi="宋体" w:cs="宋体"/>
                <w:color w:val="auto"/>
                <w:kern w:val="0"/>
                <w:highlight w:val="none"/>
              </w:rPr>
              <w:t>证书、</w:t>
            </w:r>
            <w:r>
              <w:rPr>
                <w:rFonts w:hint="eastAsia" w:ascii="宋体" w:hAnsi="宋体" w:cs="宋体"/>
                <w:color w:val="auto"/>
                <w:kern w:val="0"/>
                <w:highlight w:val="none"/>
                <w:lang w:eastAsia="zh-TW"/>
              </w:rPr>
              <w:t>系统架构设计师</w:t>
            </w:r>
            <w:r>
              <w:rPr>
                <w:rFonts w:hint="eastAsia" w:ascii="宋体" w:hAnsi="宋体" w:cs="宋体"/>
                <w:color w:val="auto"/>
                <w:kern w:val="0"/>
                <w:highlight w:val="none"/>
              </w:rPr>
              <w:t>证书、系统分析师证书、网络规划设计师证书、系统规划与管理师证书的</w:t>
            </w:r>
            <w:r>
              <w:rPr>
                <w:rFonts w:hint="eastAsia" w:ascii="宋体" w:hAnsi="宋体" w:cs="宋体"/>
                <w:color w:val="auto"/>
                <w:kern w:val="0"/>
                <w:highlight w:val="none"/>
                <w:lang w:eastAsia="zh-TW"/>
              </w:rPr>
              <w:t>，</w:t>
            </w:r>
            <w:r>
              <w:rPr>
                <w:rFonts w:hint="eastAsia" w:ascii="宋体" w:hAnsi="宋体" w:cs="宋体"/>
                <w:color w:val="auto"/>
                <w:kern w:val="0"/>
                <w:highlight w:val="none"/>
              </w:rPr>
              <w:t>每满足一项得0.5分，最多得1.5分；</w:t>
            </w:r>
          </w:p>
          <w:p>
            <w:pPr>
              <w:pStyle w:val="6"/>
              <w:keepNext w:val="0"/>
              <w:keepLines w:val="0"/>
              <w:widowControl/>
              <w:adjustRightInd w:val="0"/>
              <w:snapToGrid w:val="0"/>
              <w:spacing w:before="0" w:after="0"/>
              <w:rPr>
                <w:rFonts w:ascii="宋体" w:hAnsi="宋体" w:cs="宋体"/>
                <w:b w:val="0"/>
                <w:bCs w:val="0"/>
                <w:color w:val="auto"/>
                <w:kern w:val="0"/>
                <w:sz w:val="24"/>
                <w:szCs w:val="24"/>
                <w:highlight w:val="none"/>
                <w:lang w:eastAsia="zh-TW"/>
              </w:rPr>
            </w:pPr>
            <w:r>
              <w:rPr>
                <w:rFonts w:hint="eastAsia" w:ascii="宋体" w:hAnsi="宋体" w:cs="宋体"/>
                <w:b w:val="0"/>
                <w:bCs w:val="0"/>
                <w:color w:val="auto"/>
                <w:kern w:val="0"/>
                <w:sz w:val="24"/>
                <w:szCs w:val="24"/>
                <w:highlight w:val="none"/>
              </w:rPr>
              <w:t>3.</w:t>
            </w:r>
            <w:r>
              <w:rPr>
                <w:rFonts w:hint="eastAsia" w:ascii="宋体" w:hAnsi="宋体" w:cs="宋体"/>
                <w:b w:val="0"/>
                <w:bCs w:val="0"/>
                <w:color w:val="auto"/>
                <w:kern w:val="0"/>
                <w:sz w:val="24"/>
                <w:szCs w:val="24"/>
                <w:highlight w:val="none"/>
                <w:lang w:eastAsia="zh-TW"/>
              </w:rPr>
              <w:t>项目组成员</w:t>
            </w:r>
            <w:r>
              <w:rPr>
                <w:rFonts w:hint="eastAsia" w:ascii="宋体" w:hAnsi="宋体" w:cs="宋体"/>
                <w:b w:val="0"/>
                <w:bCs w:val="0"/>
                <w:color w:val="auto"/>
                <w:kern w:val="0"/>
                <w:sz w:val="24"/>
                <w:szCs w:val="24"/>
                <w:highlight w:val="none"/>
              </w:rPr>
              <w:t>（除项目经理和项目技术负责人外）</w:t>
            </w:r>
            <w:r>
              <w:rPr>
                <w:rFonts w:hint="eastAsia" w:ascii="宋体" w:hAnsi="宋体" w:cs="宋体"/>
                <w:b w:val="0"/>
                <w:bCs w:val="0"/>
                <w:color w:val="auto"/>
                <w:kern w:val="0"/>
                <w:sz w:val="24"/>
                <w:szCs w:val="24"/>
                <w:highlight w:val="none"/>
                <w:lang w:eastAsia="zh-TW"/>
              </w:rPr>
              <w:t>具备PMP证书、</w:t>
            </w:r>
            <w:r>
              <w:rPr>
                <w:rFonts w:ascii="宋体" w:hAnsi="宋体" w:cs="宋体"/>
                <w:b w:val="0"/>
                <w:bCs w:val="0"/>
                <w:color w:val="auto"/>
                <w:kern w:val="0"/>
                <w:sz w:val="24"/>
                <w:szCs w:val="24"/>
                <w:highlight w:val="none"/>
                <w:lang w:eastAsia="zh-TW"/>
              </w:rPr>
              <w:t>全国计算机技术与软件专业技术资格（水平）考试</w:t>
            </w:r>
          </w:p>
          <w:p>
            <w:pPr>
              <w:widowControl/>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中级及以上</w:t>
            </w:r>
            <w:r>
              <w:rPr>
                <w:rFonts w:hint="eastAsia" w:ascii="宋体" w:hAnsi="宋体" w:cs="宋体"/>
                <w:color w:val="auto"/>
                <w:kern w:val="0"/>
                <w:sz w:val="24"/>
                <w:highlight w:val="none"/>
                <w:lang w:eastAsia="zh-TW"/>
              </w:rPr>
              <w:t>证书的，</w:t>
            </w:r>
            <w:r>
              <w:rPr>
                <w:rFonts w:hint="eastAsia" w:ascii="宋体" w:hAnsi="宋体" w:cs="宋体"/>
                <w:color w:val="auto"/>
                <w:kern w:val="0"/>
                <w:sz w:val="24"/>
                <w:highlight w:val="none"/>
              </w:rPr>
              <w:t>每满足一项得0.5分，最多得1分</w:t>
            </w:r>
            <w:r>
              <w:rPr>
                <w:rFonts w:hint="eastAsia" w:ascii="宋体" w:hAnsi="宋体" w:cs="宋体"/>
                <w:color w:val="auto"/>
                <w:kern w:val="0"/>
                <w:sz w:val="24"/>
                <w:highlight w:val="none"/>
                <w:lang w:eastAsia="zh-TW"/>
              </w:rPr>
              <w:t>。</w:t>
            </w:r>
          </w:p>
          <w:p>
            <w:pPr>
              <w:pStyle w:val="2"/>
              <w:adjustRightInd w:val="0"/>
              <w:snapToGrid w:val="0"/>
              <w:spacing w:line="360" w:lineRule="auto"/>
              <w:rPr>
                <w:rFonts w:ascii="宋体" w:hAnsi="宋体" w:cs="宋体"/>
                <w:bCs/>
                <w:color w:val="auto"/>
                <w:highlight w:val="none"/>
              </w:rPr>
            </w:pPr>
            <w:r>
              <w:rPr>
                <w:rFonts w:hint="eastAsia" w:ascii="宋体" w:hAnsi="宋体" w:cs="宋体"/>
                <w:b/>
                <w:bCs/>
                <w:color w:val="auto"/>
                <w:kern w:val="0"/>
                <w:highlight w:val="none"/>
              </w:rPr>
              <w:t>以上证书提供原件扫描件并加盖公章，未提供或未加盖公章的不得分；以上证书人员需提供本公司6个月社保证明，不提供社保证明不得分。</w:t>
            </w:r>
          </w:p>
        </w:tc>
        <w:tc>
          <w:tcPr>
            <w:tcW w:w="694"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9" w:hRule="atLeast"/>
        </w:trPr>
        <w:tc>
          <w:tcPr>
            <w:tcW w:w="712" w:type="dxa"/>
            <w:tcMar>
              <w:top w:w="0" w:type="dxa"/>
              <w:left w:w="57" w:type="dxa"/>
              <w:bottom w:w="0" w:type="dxa"/>
              <w:right w:w="57" w:type="dxa"/>
            </w:tcMar>
            <w:vAlign w:val="center"/>
          </w:tcPr>
          <w:p>
            <w:pPr>
              <w:adjustRightInd w:val="0"/>
              <w:snapToGrid w:val="0"/>
              <w:spacing w:line="360" w:lineRule="auto"/>
              <w:jc w:val="center"/>
              <w:rPr>
                <w:color w:val="auto"/>
                <w:sz w:val="24"/>
                <w:highlight w:val="none"/>
              </w:rPr>
            </w:pPr>
            <w:r>
              <w:rPr>
                <w:rFonts w:hint="eastAsia"/>
                <w:color w:val="auto"/>
                <w:sz w:val="24"/>
                <w:highlight w:val="none"/>
              </w:rPr>
              <w:t>16</w:t>
            </w:r>
          </w:p>
        </w:tc>
        <w:tc>
          <w:tcPr>
            <w:tcW w:w="1247" w:type="dxa"/>
            <w:vMerge w:val="continue"/>
            <w:tcMar>
              <w:top w:w="0" w:type="dxa"/>
              <w:left w:w="57" w:type="dxa"/>
              <w:bottom w:w="0" w:type="dxa"/>
              <w:right w:w="57" w:type="dxa"/>
            </w:tcMar>
            <w:vAlign w:val="center"/>
          </w:tcPr>
          <w:p>
            <w:pPr>
              <w:pStyle w:val="2"/>
              <w:adjustRightInd w:val="0"/>
              <w:snapToGrid w:val="0"/>
              <w:spacing w:line="360" w:lineRule="auto"/>
              <w:rPr>
                <w:color w:val="auto"/>
                <w:highlight w:val="none"/>
              </w:rPr>
            </w:pPr>
          </w:p>
        </w:tc>
        <w:tc>
          <w:tcPr>
            <w:tcW w:w="6122" w:type="dxa"/>
            <w:tcBorders>
              <w:left w:val="single" w:color="auto" w:sz="4" w:space="0"/>
            </w:tcBorders>
            <w:tcMar>
              <w:top w:w="0" w:type="dxa"/>
              <w:left w:w="57" w:type="dxa"/>
              <w:bottom w:w="0" w:type="dxa"/>
              <w:right w:w="57" w:type="dxa"/>
            </w:tcMar>
            <w:vAlign w:val="center"/>
          </w:tcPr>
          <w:p>
            <w:pPr>
              <w:pStyle w:val="2"/>
              <w:adjustRightInd w:val="0"/>
              <w:snapToGrid w:val="0"/>
              <w:spacing w:line="360" w:lineRule="auto"/>
              <w:rPr>
                <w:color w:val="auto"/>
                <w:highlight w:val="none"/>
              </w:rPr>
            </w:pPr>
            <w:r>
              <w:rPr>
                <w:rFonts w:hint="eastAsia"/>
                <w:color w:val="auto"/>
                <w:highlight w:val="none"/>
              </w:rPr>
              <w:t>根据投标方提供的数据治理工作小组打分。</w:t>
            </w:r>
          </w:p>
          <w:p>
            <w:pPr>
              <w:pStyle w:val="2"/>
              <w:adjustRightInd w:val="0"/>
              <w:snapToGrid w:val="0"/>
              <w:spacing w:line="360" w:lineRule="auto"/>
              <w:rPr>
                <w:color w:val="auto"/>
                <w:highlight w:val="none"/>
              </w:rPr>
            </w:pPr>
            <w:r>
              <w:rPr>
                <w:rFonts w:hint="eastAsia"/>
                <w:color w:val="auto"/>
                <w:highlight w:val="none"/>
              </w:rPr>
              <w:t>1.方案合理、分工明确，得2-3分；</w:t>
            </w:r>
          </w:p>
          <w:p>
            <w:pPr>
              <w:pStyle w:val="2"/>
              <w:adjustRightInd w:val="0"/>
              <w:snapToGrid w:val="0"/>
              <w:spacing w:line="360" w:lineRule="auto"/>
              <w:rPr>
                <w:color w:val="auto"/>
                <w:highlight w:val="none"/>
              </w:rPr>
            </w:pPr>
            <w:r>
              <w:rPr>
                <w:rFonts w:hint="eastAsia"/>
                <w:color w:val="auto"/>
                <w:highlight w:val="none"/>
              </w:rPr>
              <w:t>2.方案较合理、分工较明确，得1-1.9分；</w:t>
            </w:r>
          </w:p>
          <w:p>
            <w:pPr>
              <w:rPr>
                <w:color w:val="auto"/>
                <w:sz w:val="24"/>
                <w:highlight w:val="none"/>
              </w:rPr>
            </w:pPr>
            <w:r>
              <w:rPr>
                <w:rFonts w:hint="eastAsia"/>
                <w:color w:val="auto"/>
                <w:sz w:val="24"/>
                <w:highlight w:val="none"/>
              </w:rPr>
              <w:t>3.方案合理性差或分工不明确，得0-0.9分。</w:t>
            </w:r>
          </w:p>
        </w:tc>
        <w:tc>
          <w:tcPr>
            <w:tcW w:w="694"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1247" w:type="dxa"/>
            <w:vMerge w:val="continue"/>
            <w:tcMar>
              <w:top w:w="0" w:type="dxa"/>
              <w:left w:w="57" w:type="dxa"/>
              <w:bottom w:w="0" w:type="dxa"/>
              <w:right w:w="57" w:type="dxa"/>
            </w:tcMar>
            <w:vAlign w:val="center"/>
          </w:tcPr>
          <w:p>
            <w:pPr>
              <w:pStyle w:val="2"/>
              <w:adjustRightInd w:val="0"/>
              <w:snapToGrid w:val="0"/>
              <w:spacing w:line="360" w:lineRule="auto"/>
              <w:rPr>
                <w:rFonts w:ascii="宋体" w:hAnsi="宋体" w:cs="宋体"/>
                <w:b/>
                <w:bCs/>
                <w:color w:val="auto"/>
                <w:highlight w:val="none"/>
              </w:rPr>
            </w:pPr>
          </w:p>
        </w:tc>
        <w:tc>
          <w:tcPr>
            <w:tcW w:w="6122" w:type="dxa"/>
            <w:tcBorders>
              <w:left w:val="single" w:color="auto" w:sz="4" w:space="0"/>
            </w:tcBorders>
            <w:tcMar>
              <w:top w:w="0" w:type="dxa"/>
              <w:left w:w="57" w:type="dxa"/>
              <w:bottom w:w="0" w:type="dxa"/>
              <w:right w:w="57" w:type="dxa"/>
            </w:tcMar>
            <w:vAlign w:val="center"/>
          </w:tcPr>
          <w:p>
            <w:pPr>
              <w:adjustRightInd w:val="0"/>
              <w:snapToGrid w:val="0"/>
              <w:spacing w:line="360" w:lineRule="auto"/>
              <w:rPr>
                <w:rFonts w:ascii="宋体" w:hAnsi="宋体" w:cs="宋体"/>
                <w:b/>
                <w:bCs/>
                <w:color w:val="auto"/>
                <w:kern w:val="0"/>
                <w:sz w:val="24"/>
                <w:highlight w:val="none"/>
              </w:rPr>
            </w:pPr>
            <w:r>
              <w:rPr>
                <w:rFonts w:hint="eastAsia" w:ascii="宋体" w:hAnsi="宋体" w:cs="宋体"/>
                <w:color w:val="auto"/>
                <w:sz w:val="24"/>
                <w:highlight w:val="none"/>
              </w:rPr>
              <w:t>投标方具备数据隐私解决能力的得2分，没有的不得分。</w:t>
            </w:r>
          </w:p>
        </w:tc>
        <w:tc>
          <w:tcPr>
            <w:tcW w:w="694"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1247" w:type="dxa"/>
            <w:tcBorders>
              <w:left w:val="single" w:color="auto" w:sz="4" w:space="0"/>
            </w:tcBorders>
            <w:tcMar>
              <w:top w:w="0" w:type="dxa"/>
              <w:left w:w="57" w:type="dxa"/>
              <w:bottom w:w="0" w:type="dxa"/>
              <w:right w:w="57" w:type="dxa"/>
            </w:tcMar>
            <w:vAlign w:val="center"/>
          </w:tcPr>
          <w:p>
            <w:pPr>
              <w:widowControl/>
              <w:adjustRightInd w:val="0"/>
              <w:snapToGrid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成功案例</w:t>
            </w:r>
          </w:p>
          <w:p>
            <w:pPr>
              <w:widowControl/>
              <w:adjustRightInd w:val="0"/>
              <w:snapToGrid w:val="0"/>
              <w:spacing w:line="360" w:lineRule="auto"/>
              <w:jc w:val="center"/>
              <w:rPr>
                <w:rFonts w:ascii="宋体" w:hAnsi="宋体" w:cs="宋体"/>
                <w:b/>
                <w:bCs/>
                <w:color w:val="auto"/>
                <w:sz w:val="24"/>
                <w:highlight w:val="none"/>
              </w:rPr>
            </w:pPr>
            <w:r>
              <w:rPr>
                <w:rFonts w:hint="eastAsia" w:ascii="宋体" w:hAnsi="宋体" w:cs="宋体"/>
                <w:b/>
                <w:bCs/>
                <w:color w:val="auto"/>
                <w:kern w:val="0"/>
                <w:sz w:val="24"/>
                <w:highlight w:val="none"/>
              </w:rPr>
              <w:t>（1分）</w:t>
            </w:r>
          </w:p>
        </w:tc>
        <w:tc>
          <w:tcPr>
            <w:tcW w:w="6122" w:type="dxa"/>
            <w:tcBorders>
              <w:left w:val="single" w:color="auto" w:sz="4" w:space="0"/>
            </w:tcBorders>
            <w:tcMar>
              <w:top w:w="0" w:type="dxa"/>
              <w:left w:w="57" w:type="dxa"/>
              <w:bottom w:w="0" w:type="dxa"/>
              <w:right w:w="57" w:type="dxa"/>
            </w:tcMar>
            <w:vAlign w:val="center"/>
          </w:tcPr>
          <w:p>
            <w:pPr>
              <w:widowControl/>
              <w:adjustRightInd w:val="0"/>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t>2019年1月1日至今，投标人提供社会治理类或数据治理类相关案例合同，每个项目得0.5分，最多得1分。</w:t>
            </w:r>
            <w:r>
              <w:rPr>
                <w:rFonts w:hint="eastAsia" w:ascii="宋体" w:hAnsi="宋体" w:cs="宋体"/>
                <w:color w:val="auto"/>
                <w:kern w:val="0"/>
                <w:sz w:val="24"/>
                <w:highlight w:val="none"/>
              </w:rPr>
              <w:br w:type="textWrapping"/>
            </w:r>
            <w:r>
              <w:rPr>
                <w:rFonts w:hint="eastAsia" w:ascii="宋体" w:hAnsi="宋体" w:cs="宋体"/>
                <w:b/>
                <w:bCs/>
                <w:color w:val="auto"/>
                <w:kern w:val="0"/>
                <w:sz w:val="24"/>
                <w:highlight w:val="none"/>
              </w:rPr>
              <w:t>以上案例需提供合同原件扫描件并加盖投标人公章，未提供或未加盖公章的不得分。</w:t>
            </w:r>
          </w:p>
        </w:tc>
        <w:tc>
          <w:tcPr>
            <w:tcW w:w="694" w:type="dxa"/>
            <w:tcMar>
              <w:top w:w="0" w:type="dxa"/>
              <w:left w:w="57" w:type="dxa"/>
              <w:bottom w:w="0" w:type="dxa"/>
              <w:right w:w="57" w:type="dxa"/>
            </w:tcMar>
            <w:vAlign w:val="center"/>
          </w:tcPr>
          <w:p>
            <w:pPr>
              <w:widowControl/>
              <w:adjustRightInd w:val="0"/>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tcMar>
              <w:top w:w="0" w:type="dxa"/>
              <w:left w:w="57" w:type="dxa"/>
              <w:bottom w:w="0" w:type="dxa"/>
              <w:right w:w="57" w:type="dxa"/>
            </w:tcMar>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1247" w:type="dxa"/>
            <w:tcBorders>
              <w:left w:val="single" w:color="auto" w:sz="4" w:space="0"/>
            </w:tcBorders>
            <w:tcMar>
              <w:top w:w="0" w:type="dxa"/>
              <w:left w:w="57" w:type="dxa"/>
              <w:bottom w:w="0" w:type="dxa"/>
              <w:right w:w="57" w:type="dxa"/>
            </w:tcMar>
            <w:vAlign w:val="center"/>
          </w:tcPr>
          <w:p>
            <w:pPr>
              <w:adjustRightInd w:val="0"/>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价格</w:t>
            </w:r>
          </w:p>
          <w:p>
            <w:pPr>
              <w:adjustRightInd w:val="0"/>
              <w:snapToGrid w:val="0"/>
              <w:spacing w:line="360" w:lineRule="auto"/>
              <w:jc w:val="center"/>
              <w:rPr>
                <w:rFonts w:ascii="宋体" w:hAnsi="宋体" w:cs="宋体"/>
                <w:color w:val="auto"/>
                <w:kern w:val="0"/>
                <w:sz w:val="24"/>
                <w:highlight w:val="none"/>
              </w:rPr>
            </w:pPr>
            <w:r>
              <w:rPr>
                <w:rFonts w:hint="eastAsia" w:ascii="宋体" w:hAnsi="宋体" w:cs="宋体"/>
                <w:b/>
                <w:bCs/>
                <w:color w:val="auto"/>
                <w:sz w:val="24"/>
                <w:highlight w:val="none"/>
              </w:rPr>
              <w:t>（10分）</w:t>
            </w:r>
          </w:p>
        </w:tc>
        <w:tc>
          <w:tcPr>
            <w:tcW w:w="6122" w:type="dxa"/>
            <w:tcBorders>
              <w:left w:val="single" w:color="auto" w:sz="4" w:space="0"/>
            </w:tcBorders>
            <w:tcMar>
              <w:top w:w="0" w:type="dxa"/>
              <w:left w:w="57" w:type="dxa"/>
              <w:bottom w:w="0" w:type="dxa"/>
              <w:right w:w="57" w:type="dxa"/>
            </w:tcMar>
            <w:vAlign w:val="center"/>
          </w:tcPr>
          <w:p>
            <w:pPr>
              <w:pStyle w:val="11"/>
              <w:tabs>
                <w:tab w:val="left" w:pos="220"/>
              </w:tabs>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以合格投标人有效投标总报价中的最低价为基准价，基准价为10分。投标报价得分＝（评标基准价/投标报价）×</w:t>
            </w:r>
            <w:r>
              <w:rPr>
                <w:rFonts w:hint="eastAsia" w:ascii="宋体" w:hAnsi="宋体" w:cs="宋体"/>
                <w:color w:val="auto"/>
                <w:kern w:val="0"/>
                <w:sz w:val="24"/>
                <w:highlight w:val="none"/>
              </w:rPr>
              <w:t>10%</w:t>
            </w:r>
            <w:r>
              <w:rPr>
                <w:rFonts w:hint="eastAsia" w:ascii="宋体" w:hAnsi="宋体" w:cs="宋体"/>
                <w:color w:val="auto"/>
                <w:sz w:val="24"/>
                <w:highlight w:val="none"/>
              </w:rPr>
              <w:t>×</w:t>
            </w:r>
            <w:r>
              <w:rPr>
                <w:rFonts w:hint="eastAsia" w:ascii="宋体" w:hAnsi="宋体" w:cs="宋体"/>
                <w:color w:val="auto"/>
                <w:kern w:val="0"/>
                <w:sz w:val="24"/>
                <w:highlight w:val="none"/>
              </w:rPr>
              <w:t>100</w:t>
            </w:r>
            <w:r>
              <w:rPr>
                <w:rFonts w:hint="eastAsia" w:ascii="宋体" w:hAnsi="宋体" w:cs="宋体"/>
                <w:color w:val="auto"/>
                <w:sz w:val="24"/>
                <w:highlight w:val="none"/>
              </w:rPr>
              <w:t>（小数点后保留2位小数）。</w:t>
            </w:r>
          </w:p>
        </w:tc>
        <w:tc>
          <w:tcPr>
            <w:tcW w:w="694" w:type="dxa"/>
            <w:tcMar>
              <w:top w:w="0" w:type="dxa"/>
              <w:left w:w="57" w:type="dxa"/>
              <w:bottom w:w="0" w:type="dxa"/>
              <w:right w:w="57" w:type="dxa"/>
            </w:tcMar>
            <w:vAlign w:val="center"/>
          </w:tcPr>
          <w:p>
            <w:pPr>
              <w:widowControl/>
              <w:adjustRightInd w:val="0"/>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bl>
    <w:p>
      <w:pPr>
        <w:rPr>
          <w:rFonts w:ascii="宋体" w:hAnsi="宋体" w:cs="宋体"/>
          <w:color w:val="auto"/>
          <w:kern w:val="0"/>
          <w:sz w:val="24"/>
          <w:highlight w:val="none"/>
          <w:lang w:bidi="ar"/>
        </w:rPr>
      </w:pPr>
    </w:p>
    <w:p>
      <w:pPr>
        <w:rPr>
          <w:rFonts w:ascii="宋体" w:hAnsi="宋体" w:cs="宋体"/>
          <w:color w:val="auto"/>
          <w:kern w:val="0"/>
          <w:sz w:val="24"/>
          <w:highlight w:val="none"/>
          <w:lang w:bidi="ar"/>
        </w:rPr>
      </w:pPr>
    </w:p>
    <w:p>
      <w:pPr>
        <w:rPr>
          <w:rFonts w:ascii="宋体" w:hAnsi="宋体" w:cs="宋体"/>
          <w:color w:val="auto"/>
          <w:kern w:val="0"/>
          <w:sz w:val="24"/>
          <w:highlight w:val="none"/>
          <w:lang w:bidi="ar"/>
        </w:rPr>
      </w:pPr>
    </w:p>
    <w:p>
      <w:pPr>
        <w:pStyle w:val="2"/>
        <w:rPr>
          <w:rFonts w:ascii="宋体" w:hAnsi="宋体" w:cs="宋体"/>
          <w:color w:val="auto"/>
          <w:kern w:val="0"/>
          <w:sz w:val="24"/>
          <w:highlight w:val="none"/>
          <w:lang w:bidi="ar"/>
        </w:rPr>
      </w:pPr>
    </w:p>
    <w:p>
      <w:pPr>
        <w:pStyle w:val="3"/>
        <w:rPr>
          <w:rFonts w:ascii="宋体" w:hAnsi="宋体" w:cs="宋体"/>
          <w:color w:val="auto"/>
          <w:kern w:val="0"/>
          <w:sz w:val="24"/>
          <w:highlight w:val="none"/>
          <w:lang w:bidi="ar"/>
        </w:rPr>
      </w:pPr>
    </w:p>
    <w:p>
      <w:pPr>
        <w:pStyle w:val="4"/>
        <w:rPr>
          <w:rFonts w:ascii="宋体" w:hAnsi="宋体" w:cs="宋体"/>
          <w:color w:val="auto"/>
          <w:kern w:val="0"/>
          <w:sz w:val="24"/>
          <w:highlight w:val="none"/>
          <w:lang w:bidi="ar"/>
        </w:rPr>
      </w:pPr>
    </w:p>
    <w:p>
      <w:pPr>
        <w:rPr>
          <w:rFonts w:ascii="宋体" w:hAnsi="宋体" w:cs="宋体"/>
          <w:color w:val="auto"/>
          <w:kern w:val="0"/>
          <w:sz w:val="24"/>
          <w:highlight w:val="none"/>
          <w:lang w:bidi="ar"/>
        </w:rPr>
      </w:pPr>
    </w:p>
    <w:p>
      <w:pPr>
        <w:pStyle w:val="2"/>
        <w:rPr>
          <w:rFonts w:ascii="宋体" w:hAnsi="宋体" w:cs="宋体"/>
          <w:color w:val="auto"/>
          <w:kern w:val="0"/>
          <w:sz w:val="24"/>
          <w:highlight w:val="none"/>
          <w:lang w:bidi="ar"/>
        </w:rPr>
      </w:pPr>
    </w:p>
    <w:p>
      <w:pPr>
        <w:pStyle w:val="3"/>
        <w:rPr>
          <w:rFonts w:ascii="宋体" w:hAnsi="宋体" w:cs="宋体"/>
          <w:color w:val="auto"/>
          <w:kern w:val="0"/>
          <w:sz w:val="24"/>
          <w:highlight w:val="none"/>
          <w:lang w:bidi="ar"/>
        </w:rPr>
      </w:pPr>
    </w:p>
    <w:p>
      <w:pPr>
        <w:pStyle w:val="4"/>
        <w:rPr>
          <w:rFonts w:ascii="宋体" w:hAnsi="宋体" w:cs="宋体"/>
          <w:color w:val="auto"/>
          <w:kern w:val="0"/>
          <w:sz w:val="24"/>
          <w:highlight w:val="none"/>
          <w:lang w:bidi="ar"/>
        </w:rPr>
      </w:pPr>
    </w:p>
    <w:p>
      <w:pPr>
        <w:rPr>
          <w:rFonts w:ascii="宋体" w:hAnsi="宋体" w:cs="宋体"/>
          <w:color w:val="auto"/>
          <w:kern w:val="0"/>
          <w:sz w:val="24"/>
          <w:highlight w:val="none"/>
          <w:lang w:bidi="ar"/>
        </w:rPr>
      </w:pPr>
    </w:p>
    <w:p>
      <w:pPr>
        <w:pStyle w:val="2"/>
        <w:rPr>
          <w:color w:val="auto"/>
        </w:rPr>
      </w:pPr>
    </w:p>
    <w:p>
      <w:pPr>
        <w:rPr>
          <w:rFonts w:ascii="宋体" w:hAnsi="宋体" w:cs="宋体"/>
          <w:color w:val="auto"/>
          <w:kern w:val="0"/>
          <w:sz w:val="24"/>
          <w:highlight w:val="none"/>
          <w:lang w:bidi="ar"/>
        </w:rPr>
      </w:pPr>
    </w:p>
    <w:p>
      <w:pPr>
        <w:rPr>
          <w:rFonts w:ascii="宋体" w:hAnsi="宋体" w:cs="宋体"/>
          <w:color w:val="auto"/>
          <w:kern w:val="0"/>
          <w:sz w:val="24"/>
          <w:highlight w:val="none"/>
          <w:lang w:bidi="ar"/>
        </w:rPr>
      </w:pPr>
    </w:p>
    <w:p>
      <w:pPr>
        <w:widowControl/>
        <w:numPr>
          <w:ilvl w:val="0"/>
          <w:numId w:val="8"/>
        </w:numPr>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合同主要条款</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以下为成交后签定本项目合同的通用条款，成交供应商不得提出实质性的修改，关于专用条款将由采购人与成交供应商结合本项目具体情况协商后签订。</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“民转刑”防控应用场景综合集成项目</w:t>
      </w:r>
      <w:r>
        <w:rPr>
          <w:rFonts w:hint="eastAsia" w:ascii="宋体" w:hAnsi="宋体" w:cs="宋体"/>
          <w:color w:val="auto"/>
          <w:sz w:val="24"/>
          <w:highlight w:val="none"/>
        </w:rPr>
        <w:t xml:space="preserve">  </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lang w:val="en-US" w:eastAsia="zh-CN"/>
        </w:rPr>
        <w:t>ZJWS2022-JJ234</w:t>
      </w:r>
      <w:r>
        <w:rPr>
          <w:rFonts w:hint="eastAsia" w:ascii="宋体" w:hAnsi="宋体" w:cs="宋体"/>
          <w:color w:val="auto"/>
          <w:sz w:val="24"/>
          <w:highlight w:val="none"/>
        </w:rPr>
        <w:t xml:space="preserve"> </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甲    方：</w:t>
      </w:r>
      <w:r>
        <w:rPr>
          <w:rFonts w:hint="eastAsia" w:ascii="宋体" w:hAnsi="宋体" w:cs="宋体"/>
          <w:color w:val="auto"/>
          <w:sz w:val="24"/>
          <w:highlight w:val="none"/>
          <w:u w:val="single"/>
        </w:rPr>
        <w:t>中共台州市委政法委员会</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u w:val="single"/>
        </w:rPr>
      </w:pPr>
      <w:r>
        <w:rPr>
          <w:rFonts w:hint="eastAsia" w:ascii="宋体" w:hAnsi="宋体" w:cs="宋体"/>
          <w:color w:val="auto"/>
          <w:sz w:val="24"/>
          <w:highlight w:val="none"/>
        </w:rPr>
        <w:t>乙    方：</w:t>
      </w:r>
      <w:r>
        <w:rPr>
          <w:rFonts w:hint="eastAsia" w:ascii="宋体" w:hAnsi="宋体" w:cs="宋体"/>
          <w:color w:val="auto"/>
          <w:sz w:val="24"/>
          <w:highlight w:val="none"/>
          <w:u w:val="single"/>
        </w:rPr>
        <w:t xml:space="preserve">             </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甲、乙双方根据</w:t>
      </w:r>
      <w:r>
        <w:rPr>
          <w:rFonts w:hint="eastAsia" w:ascii="宋体" w:hAnsi="宋体" w:cs="宋体"/>
          <w:color w:val="auto"/>
          <w:sz w:val="24"/>
          <w:highlight w:val="none"/>
          <w:u w:val="single"/>
        </w:rPr>
        <w:t>“民转刑”防控应用场景综合集成项目</w:t>
      </w:r>
      <w:r>
        <w:rPr>
          <w:rFonts w:hint="eastAsia" w:ascii="宋体" w:hAnsi="宋体" w:cs="宋体"/>
          <w:color w:val="auto"/>
          <w:sz w:val="24"/>
          <w:highlight w:val="none"/>
        </w:rPr>
        <w:t>公开招标的结果，签署本合同。</w:t>
      </w:r>
    </w:p>
    <w:p>
      <w:pPr>
        <w:tabs>
          <w:tab w:val="left" w:pos="8280"/>
        </w:tabs>
        <w:autoSpaceDE w:val="0"/>
        <w:autoSpaceDN w:val="0"/>
        <w:adjustRightInd w:val="0"/>
        <w:spacing w:line="360" w:lineRule="auto"/>
        <w:ind w:right="25"/>
        <w:rPr>
          <w:rFonts w:ascii="宋体" w:hAnsi="宋体" w:cs="宋体"/>
          <w:color w:val="auto"/>
          <w:sz w:val="24"/>
          <w:highlight w:val="none"/>
          <w:lang w:val="zh-CN"/>
        </w:rPr>
      </w:pPr>
      <w:r>
        <w:rPr>
          <w:rFonts w:hint="eastAsia" w:ascii="宋体" w:hAnsi="宋体" w:cs="宋体"/>
          <w:color w:val="auto"/>
          <w:sz w:val="24"/>
          <w:highlight w:val="none"/>
          <w:lang w:val="zh-CN"/>
        </w:rPr>
        <w:t xml:space="preserve">一、合同文件： </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1.合同条款。</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2.中标通知书。</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3.更正补充文件。</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4.招标文件。</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5.中标供应商投标文件。</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6.其他。</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上述所指合同文件应认为是互相补充和解释的，但是有模棱两可或互相矛盾之处，以其所列内容顺序为准。</w:t>
      </w:r>
    </w:p>
    <w:p>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二、合同内容及服务标准</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（具体见项目需求）</w:t>
      </w:r>
    </w:p>
    <w:p>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三、合同金额</w:t>
      </w:r>
    </w:p>
    <w:p>
      <w:pPr>
        <w:tabs>
          <w:tab w:val="left" w:pos="8280"/>
        </w:tabs>
        <w:autoSpaceDE w:val="0"/>
        <w:autoSpaceDN w:val="0"/>
        <w:adjustRightInd w:val="0"/>
        <w:spacing w:line="360" w:lineRule="auto"/>
        <w:ind w:right="25"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本合同金额为（大写）：________________元（￥____________元）人民币。</w:t>
      </w:r>
    </w:p>
    <w:p>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四、甲乙双方责任</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（一）甲方责任</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（根据招标结果确定）</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（二）乙方责任</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（根据招标结果确定）</w:t>
      </w:r>
    </w:p>
    <w:p>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五、技术资料</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1.乙方应按招标文件规定的时间向甲方提供有关技术资料。</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六、知识产权</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乙方应保证提供服务过程中不会侵犯任何第三方的知识产权。</w:t>
      </w:r>
    </w:p>
    <w:p>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七、履约保证金</w:t>
      </w:r>
    </w:p>
    <w:p>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本项目无须履约保证金。</w:t>
      </w:r>
    </w:p>
    <w:p>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八：付款方式</w:t>
      </w:r>
    </w:p>
    <w:p>
      <w:pPr>
        <w:tabs>
          <w:tab w:val="left" w:pos="567"/>
          <w:tab w:val="left" w:pos="709"/>
          <w:tab w:val="left" w:pos="900"/>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本项目款项支付分三次支付，第一次支付为合同签订后</w:t>
      </w:r>
      <w:r>
        <w:rPr>
          <w:rFonts w:hint="eastAsia" w:ascii="宋体" w:hAnsi="宋体" w:cs="宋体"/>
          <w:color w:val="auto"/>
          <w:sz w:val="24"/>
          <w:highlight w:val="none"/>
          <w:lang w:val="en-US" w:eastAsia="zh-CN"/>
        </w:rPr>
        <w:t>20个工作日</w:t>
      </w:r>
      <w:r>
        <w:rPr>
          <w:rFonts w:hint="eastAsia" w:ascii="宋体" w:hAnsi="宋体" w:cs="宋体"/>
          <w:color w:val="auto"/>
          <w:sz w:val="24"/>
          <w:highlight w:val="none"/>
        </w:rPr>
        <w:t>内支付合同总金额的40%预付款，第二次支付为项目完成并通过初步验收后</w:t>
      </w:r>
      <w:r>
        <w:rPr>
          <w:rFonts w:hint="eastAsia" w:ascii="宋体" w:hAnsi="宋体" w:cs="宋体"/>
          <w:color w:val="auto"/>
          <w:sz w:val="24"/>
          <w:highlight w:val="none"/>
          <w:lang w:val="en-US" w:eastAsia="zh-CN"/>
        </w:rPr>
        <w:t>20个工作日</w:t>
      </w:r>
      <w:r>
        <w:rPr>
          <w:rFonts w:hint="eastAsia" w:ascii="宋体" w:hAnsi="宋体" w:cs="宋体"/>
          <w:color w:val="auto"/>
          <w:sz w:val="24"/>
          <w:highlight w:val="none"/>
        </w:rPr>
        <w:t>内支付合同总金额的30%，第三次支付为项目通过最终验收后</w:t>
      </w:r>
      <w:r>
        <w:rPr>
          <w:rFonts w:hint="eastAsia" w:ascii="宋体" w:hAnsi="宋体" w:cs="宋体"/>
          <w:color w:val="auto"/>
          <w:sz w:val="24"/>
          <w:highlight w:val="none"/>
          <w:lang w:val="en-US" w:eastAsia="zh-CN"/>
        </w:rPr>
        <w:t>20个工作日</w:t>
      </w:r>
      <w:r>
        <w:rPr>
          <w:rFonts w:hint="eastAsia" w:ascii="宋体" w:hAnsi="宋体" w:cs="宋体"/>
          <w:color w:val="auto"/>
          <w:sz w:val="24"/>
          <w:highlight w:val="none"/>
        </w:rPr>
        <w:t>内支付合同总金额的</w:t>
      </w:r>
      <w:r>
        <w:rPr>
          <w:rFonts w:ascii="宋体" w:hAnsi="宋体" w:cs="宋体"/>
          <w:color w:val="auto"/>
          <w:sz w:val="24"/>
          <w:highlight w:val="none"/>
          <w:lang w:val="en"/>
        </w:rPr>
        <w:t>30</w:t>
      </w:r>
      <w:r>
        <w:rPr>
          <w:rFonts w:hint="eastAsia" w:ascii="宋体" w:hAnsi="宋体" w:cs="宋体"/>
          <w:color w:val="auto"/>
          <w:sz w:val="24"/>
          <w:highlight w:val="none"/>
        </w:rPr>
        <w:t>%。</w:t>
      </w:r>
    </w:p>
    <w:p>
      <w:pPr>
        <w:spacing w:line="460" w:lineRule="exact"/>
        <w:rPr>
          <w:rFonts w:ascii="宋体" w:hAnsi="宋体" w:cs="宋体"/>
          <w:b/>
          <w:bCs/>
          <w:color w:val="auto"/>
          <w:sz w:val="24"/>
          <w:highlight w:val="none"/>
          <w:lang w:val="zh-CN"/>
        </w:rPr>
      </w:pPr>
      <w:r>
        <w:rPr>
          <w:rFonts w:hint="eastAsia" w:ascii="宋体" w:hAnsi="宋体" w:cs="宋体"/>
          <w:b/>
          <w:bCs/>
          <w:color w:val="auto"/>
          <w:sz w:val="24"/>
          <w:highlight w:val="none"/>
        </w:rPr>
        <w:t>九：</w:t>
      </w:r>
      <w:r>
        <w:rPr>
          <w:rFonts w:hint="eastAsia" w:ascii="宋体" w:hAnsi="宋体" w:cs="宋体"/>
          <w:b/>
          <w:bCs/>
          <w:color w:val="auto"/>
          <w:sz w:val="24"/>
          <w:highlight w:val="none"/>
          <w:lang w:val="zh-CN"/>
        </w:rPr>
        <w:t>税费</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本合同执行中相关的一切税费均由乙方负担。 </w:t>
      </w:r>
    </w:p>
    <w:p>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十、分包</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2.除非得到甲方的书面同意，乙方不得将本合同范围的服务全部或部分分包给他人供应；</w:t>
      </w:r>
    </w:p>
    <w:p>
      <w:pPr>
        <w:spacing w:line="460" w:lineRule="exact"/>
        <w:ind w:firstLine="480" w:firstLineChars="200"/>
        <w:rPr>
          <w:color w:val="auto"/>
          <w:highlight w:val="none"/>
        </w:rPr>
      </w:pPr>
      <w:r>
        <w:rPr>
          <w:rFonts w:hint="eastAsia" w:ascii="宋体" w:hAnsi="宋体" w:cs="宋体"/>
          <w:color w:val="auto"/>
          <w:sz w:val="24"/>
          <w:highlight w:val="none"/>
        </w:rPr>
        <w:t>3.如有转让和未经甲方同意的分包行为，甲方有权解除合同，追究乙方的违约责任。</w:t>
      </w:r>
    </w:p>
    <w:p>
      <w:pPr>
        <w:pStyle w:val="8"/>
        <w:spacing w:before="0" w:after="0" w:line="4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十一、保密承诺</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1.乙方承诺按照甲方要求，签订安全保密协议，根据项目需要完善内部安全管理制度，并向甲方提供制度文本；</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2.乙方承诺按照甲方要求，对参与项目人员做好背景审查；项目参与人员应与甲方签订保密工作责任书和数据安全承诺书；</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3.乙方承诺遵守《浙江省公共数据条例》等相关法律法规要求，并在台州市数字化改革（包括但不限于网络安全、数据安全、保密规定等方面）整体要求下开展工作，如有冲突承诺配合整改。</w:t>
      </w:r>
    </w:p>
    <w:p>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十二、违约责任</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1.甲方无正当理由拒收服务的，甲方向乙方偿付拒收合同金额的万分之五违约金。</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2.甲方无故逾期验收和支付手续的,甲方应按逾期付款总额每日万分之五向乙方支付违约金。</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4.若发生纠纷，由违约方赔偿守约方因纠纷所支付的费用（包括但不限于律师费、差旅费、诉讼费、保全费、鉴定费、评估费等）；</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5.如果出现网络安全事件，尤其是基于乙方内部管理问题导致数据泄漏问题，由乙方承担；</w:t>
      </w:r>
    </w:p>
    <w:p>
      <w:pPr>
        <w:rPr>
          <w:color w:val="auto"/>
          <w:highlight w:val="none"/>
        </w:rPr>
      </w:pPr>
    </w:p>
    <w:p>
      <w:pPr>
        <w:spacing w:line="460" w:lineRule="exact"/>
        <w:rPr>
          <w:rFonts w:ascii="宋体" w:hAnsi="宋体" w:cs="宋体"/>
          <w:b/>
          <w:bCs/>
          <w:color w:val="auto"/>
          <w:sz w:val="24"/>
          <w:highlight w:val="none"/>
          <w:lang w:val="zh-CN"/>
        </w:rPr>
      </w:pPr>
      <w:r>
        <w:rPr>
          <w:rFonts w:hint="eastAsia" w:ascii="宋体" w:hAnsi="宋体" w:cs="宋体"/>
          <w:b/>
          <w:bCs/>
          <w:color w:val="auto"/>
          <w:sz w:val="24"/>
          <w:highlight w:val="none"/>
        </w:rPr>
        <w:t>十三、</w:t>
      </w:r>
      <w:r>
        <w:rPr>
          <w:rFonts w:hint="eastAsia" w:ascii="宋体" w:hAnsi="宋体" w:cs="宋体"/>
          <w:b/>
          <w:bCs/>
          <w:color w:val="auto"/>
          <w:sz w:val="24"/>
          <w:highlight w:val="none"/>
          <w:lang w:val="zh-CN"/>
        </w:rPr>
        <w:t>质量保证及后续服务</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1.乙方应按招标文件规定向甲方提供服务。</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2.乙方提供的服务成果在服务期内出现问题，乙方应负责免费提供后续服务。对达不到要求者，根据实际情况，经双方协商，可按以下办法处理：</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⑴重做：由乙方承担所发生的全部费用。</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⑵贬值处理：由甲乙双方合议定价。</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⑶解除合同。</w:t>
      </w:r>
    </w:p>
    <w:p>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十四、不可抗力事件处理</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十五、解决争议的方法</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如双方在履行合同时发生纠纷，应协商解决；协商不成时，可依法向甲方所在地人民法院提起诉讼。 </w:t>
      </w:r>
    </w:p>
    <w:p>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十六、合同生效及其它</w:t>
      </w:r>
      <w:r>
        <w:rPr>
          <w:rFonts w:hint="eastAsia" w:ascii="宋体" w:hAnsi="宋体" w:cs="宋体"/>
          <w:b/>
          <w:bCs/>
          <w:color w:val="auto"/>
          <w:sz w:val="24"/>
          <w:highlight w:val="none"/>
        </w:rPr>
        <w:tab/>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2.本合同未尽事宜，遵照《中华人民共和国民法典》有关条文执行。</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3.本合同一式陆份。甲、乙双方各执贰份，采购组织机构及同级人民政府财政采购监管部门各执壹份。</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4.本项目未尽事宜以招标文件、投标文件及澄清文件等为准，本合同中如有未尽事宜，由双方协商另行解决。</w:t>
      </w:r>
    </w:p>
    <w:p>
      <w:pPr>
        <w:spacing w:line="460" w:lineRule="exact"/>
        <w:jc w:val="left"/>
        <w:rPr>
          <w:rFonts w:ascii="宋体" w:hAnsi="宋体" w:cs="宋体"/>
          <w:color w:val="auto"/>
          <w:sz w:val="24"/>
          <w:highlight w:val="none"/>
        </w:rPr>
      </w:pPr>
      <w:r>
        <w:rPr>
          <w:rFonts w:hint="eastAsia" w:ascii="宋体" w:hAnsi="宋体" w:cs="宋体"/>
          <w:color w:val="auto"/>
          <w:sz w:val="24"/>
          <w:highlight w:val="none"/>
        </w:rPr>
        <w:t>甲     方（公章）：　　                乙     方（公章）：</w:t>
      </w:r>
    </w:p>
    <w:p>
      <w:pPr>
        <w:spacing w:line="460" w:lineRule="exact"/>
        <w:jc w:val="left"/>
        <w:rPr>
          <w:rFonts w:ascii="宋体" w:hAnsi="宋体" w:cs="宋体"/>
          <w:color w:val="auto"/>
          <w:sz w:val="24"/>
          <w:highlight w:val="none"/>
        </w:rPr>
      </w:pPr>
      <w:r>
        <w:rPr>
          <w:rFonts w:hint="eastAsia" w:ascii="宋体" w:hAnsi="宋体" w:cs="宋体"/>
          <w:color w:val="auto"/>
          <w:sz w:val="24"/>
          <w:highlight w:val="none"/>
        </w:rPr>
        <w:t>法定代表人（签章）：　                 法定代表人（签章）：</w:t>
      </w:r>
    </w:p>
    <w:p>
      <w:pPr>
        <w:spacing w:line="460" w:lineRule="exact"/>
        <w:jc w:val="left"/>
        <w:rPr>
          <w:rFonts w:ascii="宋体" w:hAnsi="宋体" w:cs="宋体"/>
          <w:color w:val="auto"/>
          <w:sz w:val="24"/>
          <w:highlight w:val="none"/>
        </w:rPr>
      </w:pPr>
      <w:r>
        <w:rPr>
          <w:rFonts w:hint="eastAsia" w:ascii="宋体" w:hAnsi="宋体" w:cs="宋体"/>
          <w:color w:val="auto"/>
          <w:sz w:val="24"/>
          <w:highlight w:val="none"/>
        </w:rPr>
        <w:t>委托代理人（签章）：　　               委托代理人（签章）：</w:t>
      </w:r>
    </w:p>
    <w:p>
      <w:pPr>
        <w:spacing w:line="460" w:lineRule="exact"/>
        <w:jc w:val="left"/>
        <w:rPr>
          <w:rFonts w:ascii="宋体" w:hAnsi="宋体" w:cs="宋体"/>
          <w:color w:val="auto"/>
          <w:sz w:val="24"/>
          <w:highlight w:val="none"/>
        </w:rPr>
      </w:pPr>
      <w:r>
        <w:rPr>
          <w:rFonts w:hint="eastAsia" w:ascii="宋体" w:hAnsi="宋体" w:cs="宋体"/>
          <w:color w:val="auto"/>
          <w:sz w:val="24"/>
          <w:highlight w:val="none"/>
        </w:rPr>
        <w:t>经办人（签章）：                       经办人（签章）：</w:t>
      </w:r>
    </w:p>
    <w:p>
      <w:pPr>
        <w:spacing w:line="460" w:lineRule="exact"/>
        <w:jc w:val="left"/>
        <w:rPr>
          <w:rFonts w:ascii="宋体" w:hAnsi="宋体" w:cs="宋体"/>
          <w:color w:val="auto"/>
          <w:sz w:val="24"/>
          <w:highlight w:val="none"/>
        </w:rPr>
      </w:pPr>
      <w:r>
        <w:rPr>
          <w:rFonts w:hint="eastAsia" w:ascii="宋体" w:hAnsi="宋体" w:cs="宋体"/>
          <w:color w:val="auto"/>
          <w:sz w:val="24"/>
          <w:highlight w:val="none"/>
        </w:rPr>
        <w:t>电     话：                            电     话：</w:t>
      </w:r>
    </w:p>
    <w:p>
      <w:pPr>
        <w:spacing w:line="460" w:lineRule="exact"/>
        <w:jc w:val="left"/>
        <w:rPr>
          <w:rFonts w:ascii="宋体" w:hAnsi="宋体" w:cs="宋体"/>
          <w:color w:val="auto"/>
          <w:sz w:val="24"/>
          <w:highlight w:val="none"/>
        </w:rPr>
      </w:pPr>
      <w:r>
        <w:rPr>
          <w:rFonts w:hint="eastAsia" w:ascii="宋体" w:hAnsi="宋体" w:cs="宋体"/>
          <w:color w:val="auto"/>
          <w:sz w:val="24"/>
          <w:highlight w:val="none"/>
        </w:rPr>
        <w:t>传     真：                            传     真：</w:t>
      </w:r>
    </w:p>
    <w:p>
      <w:pPr>
        <w:spacing w:line="460" w:lineRule="exact"/>
        <w:jc w:val="left"/>
        <w:rPr>
          <w:rFonts w:ascii="宋体" w:hAnsi="宋体" w:cs="宋体"/>
          <w:color w:val="auto"/>
          <w:sz w:val="24"/>
          <w:highlight w:val="none"/>
        </w:rPr>
      </w:pPr>
      <w:r>
        <w:rPr>
          <w:rFonts w:hint="eastAsia" w:ascii="宋体" w:hAnsi="宋体" w:cs="宋体"/>
          <w:color w:val="auto"/>
          <w:sz w:val="24"/>
          <w:highlight w:val="none"/>
        </w:rPr>
        <w:t xml:space="preserve">开户 银行：                            开户 银行（必填）： </w:t>
      </w:r>
    </w:p>
    <w:p>
      <w:pPr>
        <w:spacing w:line="460" w:lineRule="exact"/>
        <w:jc w:val="left"/>
        <w:rPr>
          <w:rFonts w:ascii="宋体" w:hAnsi="宋体" w:cs="宋体"/>
          <w:color w:val="auto"/>
          <w:sz w:val="24"/>
          <w:highlight w:val="none"/>
        </w:rPr>
      </w:pPr>
      <w:r>
        <w:rPr>
          <w:rFonts w:hint="eastAsia" w:ascii="宋体" w:hAnsi="宋体" w:cs="宋体"/>
          <w:color w:val="auto"/>
          <w:sz w:val="24"/>
          <w:highlight w:val="none"/>
        </w:rPr>
        <w:t>账     号：                            账     号（必填）：</w:t>
      </w:r>
    </w:p>
    <w:p>
      <w:pPr>
        <w:spacing w:line="460" w:lineRule="exact"/>
        <w:jc w:val="left"/>
        <w:rPr>
          <w:rFonts w:ascii="宋体" w:hAnsi="宋体" w:cs="宋体"/>
          <w:color w:val="auto"/>
          <w:sz w:val="24"/>
          <w:highlight w:val="none"/>
        </w:rPr>
      </w:pPr>
      <w:r>
        <w:rPr>
          <w:rFonts w:hint="eastAsia" w:ascii="宋体" w:hAnsi="宋体" w:cs="宋体"/>
          <w:color w:val="auto"/>
          <w:sz w:val="24"/>
          <w:highlight w:val="none"/>
        </w:rPr>
        <w:t>日     期：                            日     期：</w:t>
      </w:r>
    </w:p>
    <w:p>
      <w:pPr>
        <w:spacing w:line="360" w:lineRule="auto"/>
        <w:jc w:val="center"/>
        <w:rPr>
          <w:rFonts w:ascii="宋体" w:hAnsi="宋体" w:cs="宋体"/>
          <w:b/>
          <w:bCs/>
          <w:color w:val="auto"/>
          <w:sz w:val="36"/>
          <w:szCs w:val="44"/>
          <w:highlight w:val="none"/>
        </w:rPr>
      </w:pPr>
    </w:p>
    <w:p>
      <w:pPr>
        <w:spacing w:line="360" w:lineRule="auto"/>
        <w:jc w:val="center"/>
        <w:rPr>
          <w:rFonts w:ascii="宋体" w:hAnsi="宋体" w:cs="宋体"/>
          <w:b/>
          <w:bCs/>
          <w:color w:val="auto"/>
          <w:sz w:val="36"/>
          <w:szCs w:val="44"/>
          <w:highlight w:val="none"/>
        </w:rPr>
      </w:pPr>
    </w:p>
    <w:p>
      <w:pPr>
        <w:spacing w:line="360" w:lineRule="auto"/>
        <w:jc w:val="center"/>
        <w:rPr>
          <w:rFonts w:ascii="宋体" w:hAnsi="宋体" w:cs="宋体"/>
          <w:b/>
          <w:bCs/>
          <w:color w:val="auto"/>
          <w:sz w:val="36"/>
          <w:szCs w:val="44"/>
          <w:highlight w:val="none"/>
        </w:rPr>
      </w:pPr>
    </w:p>
    <w:p>
      <w:pPr>
        <w:spacing w:line="360" w:lineRule="auto"/>
        <w:jc w:val="center"/>
        <w:rPr>
          <w:rFonts w:ascii="宋体" w:hAnsi="宋体" w:cs="宋体"/>
          <w:b/>
          <w:bCs/>
          <w:color w:val="auto"/>
          <w:sz w:val="36"/>
          <w:szCs w:val="44"/>
          <w:highlight w:val="none"/>
        </w:rPr>
      </w:pPr>
    </w:p>
    <w:p>
      <w:pPr>
        <w:pStyle w:val="2"/>
        <w:rPr>
          <w:rFonts w:ascii="宋体" w:hAnsi="宋体" w:cs="宋体"/>
          <w:color w:val="auto"/>
          <w:highlight w:val="none"/>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合同鉴证方（鉴证章）：</w:t>
      </w:r>
    </w:p>
    <w:p>
      <w:pPr>
        <w:spacing w:line="360" w:lineRule="auto"/>
        <w:rPr>
          <w:rFonts w:ascii="宋体" w:hAnsi="宋体" w:cs="宋体"/>
          <w:color w:val="auto"/>
          <w:sz w:val="24"/>
          <w:highlight w:val="none"/>
        </w:rPr>
      </w:pPr>
      <w:r>
        <w:rPr>
          <w:rFonts w:hint="eastAsia" w:ascii="宋体" w:hAnsi="宋体" w:cs="宋体"/>
          <w:color w:val="auto"/>
          <w:sz w:val="24"/>
          <w:szCs w:val="32"/>
          <w:highlight w:val="none"/>
        </w:rPr>
        <w:t>鉴证日期：   年   月    日</w:t>
      </w:r>
    </w:p>
    <w:p>
      <w:pPr>
        <w:spacing w:line="360" w:lineRule="auto"/>
        <w:rPr>
          <w:rFonts w:ascii="宋体" w:hAnsi="宋体" w:cs="宋体"/>
          <w:b/>
          <w:bCs/>
          <w:color w:val="auto"/>
          <w:sz w:val="36"/>
          <w:szCs w:val="44"/>
          <w:highlight w:val="none"/>
        </w:rPr>
      </w:pPr>
    </w:p>
    <w:p>
      <w:pPr>
        <w:spacing w:line="360" w:lineRule="auto"/>
        <w:jc w:val="center"/>
        <w:rPr>
          <w:rFonts w:ascii="宋体" w:hAnsi="宋体" w:cs="宋体"/>
          <w:b/>
          <w:bCs/>
          <w:color w:val="auto"/>
          <w:sz w:val="36"/>
          <w:szCs w:val="44"/>
          <w:highlight w:val="none"/>
        </w:rPr>
      </w:pPr>
    </w:p>
    <w:p>
      <w:pPr>
        <w:spacing w:line="360" w:lineRule="auto"/>
        <w:jc w:val="center"/>
        <w:rPr>
          <w:rFonts w:ascii="宋体" w:hAnsi="宋体" w:cs="宋体"/>
          <w:b/>
          <w:bCs/>
          <w:color w:val="auto"/>
          <w:sz w:val="36"/>
          <w:szCs w:val="44"/>
          <w:highlight w:val="none"/>
        </w:rPr>
      </w:pPr>
    </w:p>
    <w:p>
      <w:pPr>
        <w:spacing w:line="360" w:lineRule="auto"/>
        <w:jc w:val="center"/>
        <w:rPr>
          <w:rFonts w:ascii="宋体" w:hAnsi="宋体" w:cs="宋体"/>
          <w:b/>
          <w:bCs/>
          <w:color w:val="auto"/>
          <w:sz w:val="36"/>
          <w:szCs w:val="44"/>
          <w:highlight w:val="none"/>
        </w:rPr>
      </w:pPr>
    </w:p>
    <w:p>
      <w:pPr>
        <w:spacing w:line="360" w:lineRule="auto"/>
        <w:jc w:val="center"/>
        <w:rPr>
          <w:rFonts w:ascii="宋体" w:hAnsi="宋体" w:cs="宋体"/>
          <w:b/>
          <w:bCs/>
          <w:color w:val="auto"/>
          <w:sz w:val="36"/>
          <w:szCs w:val="44"/>
          <w:highlight w:val="none"/>
        </w:rPr>
      </w:pPr>
    </w:p>
    <w:p>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pPr>
        <w:spacing w:line="360" w:lineRule="auto"/>
        <w:rPr>
          <w:rFonts w:ascii="宋体" w:hAnsi="宋体" w:cs="宋体"/>
          <w:b/>
          <w:color w:val="auto"/>
          <w:sz w:val="30"/>
          <w:szCs w:val="30"/>
          <w:highlight w:val="none"/>
        </w:rPr>
      </w:pPr>
    </w:p>
    <w:p>
      <w:pPr>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pPr>
        <w:autoSpaceDE w:val="0"/>
        <w:autoSpaceDN w:val="0"/>
        <w:adjustRightInd w:val="0"/>
        <w:spacing w:line="360" w:lineRule="auto"/>
        <w:rPr>
          <w:rFonts w:ascii="宋体" w:hAnsi="宋体"/>
          <w:color w:val="auto"/>
          <w:sz w:val="36"/>
          <w:szCs w:val="36"/>
          <w:highlight w:val="none"/>
        </w:rPr>
      </w:pPr>
    </w:p>
    <w:p>
      <w:pP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6"/>
          <w:szCs w:val="36"/>
          <w:highlight w:val="none"/>
        </w:rPr>
        <w:t>：</w:t>
      </w:r>
    </w:p>
    <w:p>
      <w:pP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地址：</w:t>
      </w:r>
    </w:p>
    <w:p>
      <w:pP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时间：</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b/>
          <w:bCs/>
          <w:color w:val="auto"/>
          <w:sz w:val="28"/>
          <w:szCs w:val="36"/>
          <w:highlight w:val="none"/>
          <w:lang w:val="zh-CN"/>
        </w:rPr>
      </w:pPr>
      <w:r>
        <w:rPr>
          <w:rFonts w:hint="eastAsia" w:ascii="宋体" w:hAnsi="宋体" w:cs="宋体"/>
          <w:b/>
          <w:bCs/>
          <w:color w:val="auto"/>
          <w:sz w:val="28"/>
          <w:szCs w:val="36"/>
          <w:highlight w:val="none"/>
        </w:rPr>
        <w:t xml:space="preserve">附件2                     </w:t>
      </w:r>
      <w:r>
        <w:rPr>
          <w:rFonts w:hint="eastAsia" w:ascii="宋体" w:hAnsi="宋体" w:cs="宋体"/>
          <w:b/>
          <w:bCs/>
          <w:color w:val="auto"/>
          <w:sz w:val="28"/>
          <w:szCs w:val="36"/>
          <w:highlight w:val="none"/>
          <w:lang w:val="zh-CN"/>
        </w:rPr>
        <w:t>联合体协议</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u w:val="single"/>
        </w:rPr>
        <w:t xml:space="preserve"> “民转刑”防控应用场景综合集成项目 </w:t>
      </w:r>
      <w:r>
        <w:rPr>
          <w:rFonts w:hint="eastAsia" w:ascii="宋体" w:hAnsi="宋体" w:cs="宋体"/>
          <w:color w:val="auto"/>
          <w:sz w:val="24"/>
          <w:highlight w:val="none"/>
        </w:rPr>
        <w:t>（项目名称）【招标编号：</w:t>
      </w:r>
      <w:r>
        <w:rPr>
          <w:rFonts w:hint="eastAsia" w:ascii="宋体" w:hAnsi="宋体" w:cs="宋体"/>
          <w:color w:val="auto"/>
          <w:sz w:val="24"/>
          <w:highlight w:val="none"/>
          <w:u w:val="single"/>
        </w:rPr>
        <w:t>ZJWS2022-JJ167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4080" w:firstLineChars="1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4080" w:firstLineChars="1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color w:val="auto"/>
          <w:highlight w:val="none"/>
        </w:rPr>
      </w:pPr>
      <w:r>
        <w:rPr>
          <w:rFonts w:hint="eastAsia" w:ascii="宋体" w:hAnsi="宋体" w:cs="宋体"/>
          <w:color w:val="auto"/>
          <w:kern w:val="0"/>
          <w:sz w:val="24"/>
          <w:highlight w:val="none"/>
          <w:lang w:val="zh-CN"/>
        </w:rPr>
        <w:t xml:space="preserve">                                               日期：  年  月   日</w:t>
      </w:r>
    </w:p>
    <w:p>
      <w:pPr>
        <w:spacing w:line="380" w:lineRule="exact"/>
        <w:ind w:firstLine="3120" w:firstLineChars="1300"/>
        <w:rPr>
          <w:rFonts w:ascii="宋体" w:hAnsi="宋体" w:cs="宋体"/>
          <w:color w:val="auto"/>
          <w:sz w:val="24"/>
          <w:szCs w:val="32"/>
          <w:highlight w:val="none"/>
        </w:rPr>
      </w:pP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注：协议书中须明确联合体各方在项目招投标、项目合同签订、项目实施等所有阶段中涉及到的工作分工。</w:t>
      </w:r>
    </w:p>
    <w:p>
      <w:pPr>
        <w:spacing w:line="360" w:lineRule="auto"/>
        <w:rPr>
          <w:rFonts w:ascii="宋体" w:hAnsi="宋体" w:cs="宋体"/>
          <w:b/>
          <w:bCs/>
          <w:color w:val="auto"/>
          <w:sz w:val="28"/>
          <w:szCs w:val="36"/>
          <w:highlight w:val="none"/>
        </w:rPr>
      </w:pPr>
      <w:r>
        <w:rPr>
          <w:rFonts w:hint="eastAsia" w:ascii="宋体" w:hAnsi="宋体" w:cs="宋体"/>
          <w:b/>
          <w:bCs/>
          <w:color w:val="auto"/>
          <w:sz w:val="28"/>
          <w:szCs w:val="36"/>
          <w:highlight w:val="none"/>
        </w:rPr>
        <w:t>附件3</w:t>
      </w:r>
    </w:p>
    <w:p>
      <w:pP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投标声明书</w:t>
      </w:r>
    </w:p>
    <w:p>
      <w:pPr>
        <w:spacing w:line="460" w:lineRule="exac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pP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pP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rPr>
        <w:t>“民转刑”防控应用场景综合集成项目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ZJWS2022-JJ167 </w:t>
      </w:r>
      <w:r>
        <w:rPr>
          <w:rFonts w:hint="eastAsia" w:ascii="宋体" w:hAnsi="宋体" w:cs="宋体"/>
          <w:color w:val="auto"/>
          <w:sz w:val="24"/>
          <w:szCs w:val="32"/>
          <w:highlight w:val="none"/>
        </w:rPr>
        <w:t>）的公开招标，为此，我公司就本次投标有关事项郑重声明如下：</w:t>
      </w:r>
    </w:p>
    <w:p>
      <w:pP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参加政府采购活动过程中无任何不良行为记录；无重大违法记录（重大违法记录是指供应商因违法经营受到刑事处罚或者责令停产停业、吊销许可证或者执照、较大数额罚款等行政处罚）。</w:t>
      </w:r>
    </w:p>
    <w:p>
      <w:pP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pP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pP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pPr>
        <w:spacing w:line="460" w:lineRule="exac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r>
        <w:rPr>
          <w:rFonts w:hint="eastAsia" w:ascii="宋体" w:hAnsi="宋体" w:cs="宋体"/>
          <w:color w:val="auto"/>
          <w:sz w:val="24"/>
          <w:szCs w:val="32"/>
          <w:highlight w:val="none"/>
          <w:u w:val="single"/>
          <w:lang w:val="zh-CN"/>
        </w:rPr>
        <w:t xml:space="preserve">         </w:t>
      </w:r>
    </w:p>
    <w:p>
      <w:pPr>
        <w:spacing w:line="460" w:lineRule="exac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w:t>
      </w:r>
      <w:r>
        <w:rPr>
          <w:rFonts w:hint="eastAsia" w:ascii="宋体" w:hAnsi="宋体" w:cs="宋体"/>
          <w:color w:val="auto"/>
          <w:sz w:val="24"/>
          <w:szCs w:val="32"/>
          <w:highlight w:val="none"/>
        </w:rPr>
        <w:t>签字或盖章</w:t>
      </w:r>
      <w:r>
        <w:rPr>
          <w:rFonts w:hint="eastAsia" w:ascii="宋体" w:hAnsi="宋体" w:cs="宋体"/>
          <w:color w:val="auto"/>
          <w:sz w:val="24"/>
          <w:szCs w:val="32"/>
          <w:highlight w:val="none"/>
          <w:lang w:val="zh-CN"/>
        </w:rPr>
        <w:t>）或授权委托代理人（签字</w:t>
      </w:r>
      <w:r>
        <w:rPr>
          <w:rFonts w:hint="eastAsia" w:ascii="宋体" w:hAnsi="宋体" w:cs="宋体"/>
          <w:color w:val="auto"/>
          <w:sz w:val="24"/>
          <w:szCs w:val="32"/>
          <w:highlight w:val="none"/>
        </w:rPr>
        <w:t>或盖章</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u w:val="single"/>
          <w:lang w:val="zh-CN"/>
        </w:rPr>
        <w:t xml:space="preserve">         </w:t>
      </w:r>
    </w:p>
    <w:p>
      <w:pPr>
        <w:spacing w:line="460" w:lineRule="exac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pPr>
        <w:spacing w:line="360" w:lineRule="auto"/>
        <w:rPr>
          <w:rFonts w:ascii="宋体" w:hAnsi="宋体" w:cs="宋体"/>
          <w:b/>
          <w:bCs/>
          <w:color w:val="auto"/>
          <w:sz w:val="28"/>
          <w:szCs w:val="36"/>
          <w:highlight w:val="none"/>
        </w:rPr>
      </w:pPr>
      <w:r>
        <w:rPr>
          <w:rFonts w:hint="eastAsia" w:ascii="宋体" w:hAnsi="宋体" w:cs="宋体"/>
          <w:b/>
          <w:bCs/>
          <w:color w:val="auto"/>
          <w:sz w:val="28"/>
          <w:szCs w:val="36"/>
          <w:highlight w:val="none"/>
        </w:rPr>
        <w:t>附件4</w:t>
      </w:r>
    </w:p>
    <w:p>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授权委托书</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（采购代理机构名称）：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（投标人全称）</w:t>
      </w:r>
      <w:r>
        <w:rPr>
          <w:rFonts w:hint="eastAsia" w:ascii="宋体" w:hAnsi="宋体" w:cs="宋体"/>
          <w:color w:val="auto"/>
          <w:sz w:val="24"/>
          <w:highlight w:val="none"/>
        </w:rPr>
        <w:t>法定代表人（或营业执照中单位负责人）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（法定代表人或营业执照中单位负责人姓名） </w:t>
      </w:r>
      <w:r>
        <w:rPr>
          <w:rFonts w:hint="eastAsia" w:ascii="宋体" w:hAnsi="宋体" w:cs="宋体"/>
          <w:color w:val="auto"/>
          <w:sz w:val="24"/>
          <w:highlight w:val="none"/>
        </w:rPr>
        <w:t>授权</w:t>
      </w:r>
      <w:r>
        <w:rPr>
          <w:rFonts w:hint="eastAsia" w:ascii="宋体" w:hAnsi="宋体" w:cs="宋体"/>
          <w:color w:val="auto"/>
          <w:sz w:val="24"/>
          <w:highlight w:val="none"/>
          <w:u w:val="single"/>
        </w:rPr>
        <w:t xml:space="preserve"> （授权委托代理人姓名） </w:t>
      </w:r>
      <w:r>
        <w:rPr>
          <w:rFonts w:hint="eastAsia" w:ascii="宋体" w:hAnsi="宋体" w:cs="宋体"/>
          <w:color w:val="auto"/>
          <w:sz w:val="24"/>
          <w:highlight w:val="none"/>
        </w:rPr>
        <w:t>为授权委托代理人，参加贵单位组织的</w:t>
      </w:r>
      <w:r>
        <w:rPr>
          <w:rFonts w:hint="eastAsia" w:ascii="宋体" w:hAnsi="宋体" w:cs="宋体"/>
          <w:color w:val="auto"/>
          <w:sz w:val="24"/>
          <w:highlight w:val="none"/>
          <w:u w:val="single"/>
        </w:rPr>
        <w:t xml:space="preserve"> “民转刑”防控应用场景综合集成项目 </w:t>
      </w:r>
      <w:r>
        <w:rPr>
          <w:rFonts w:hint="eastAsia" w:ascii="宋体" w:hAnsi="宋体" w:cs="宋体"/>
          <w:color w:val="auto"/>
          <w:sz w:val="24"/>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授权委托代理人无转委托权，特此委托。</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法定代表人签字或盖章：</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投标人全称（公章）：                      </w:t>
      </w: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w:t>
      </w:r>
    </w:p>
    <w:p>
      <w:pPr>
        <w:spacing w:line="360" w:lineRule="auto"/>
        <w:ind w:firstLine="480" w:firstLineChars="200"/>
        <w:rPr>
          <w:rFonts w:ascii="宋体" w:hAnsi="宋体" w:cs="宋体"/>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法定代表人姓名：</w:t>
      </w:r>
    </w:p>
    <w:p>
      <w:pPr>
        <w:spacing w:line="360" w:lineRule="auto"/>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rPr>
          <w:rFonts w:ascii="宋体" w:hAnsi="宋体" w:cs="宋体"/>
          <w:color w:val="auto"/>
          <w:sz w:val="24"/>
          <w:highlight w:val="none"/>
        </w:rPr>
      </w:pPr>
      <w:r>
        <w:rPr>
          <w:rFonts w:hint="eastAsia" w:ascii="宋体" w:hAnsi="宋体" w:cs="宋体"/>
          <w:color w:val="auto"/>
          <w:sz w:val="24"/>
          <w:highlight w:val="none"/>
        </w:rPr>
        <w:t>手机：</w:t>
      </w:r>
    </w:p>
    <w:p>
      <w:pP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pPr>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p>
      <w:pPr>
        <w:spacing w:line="360" w:lineRule="auto"/>
        <w:rPr>
          <w:rFonts w:ascii="宋体" w:hAnsi="宋体" w:cs="宋体"/>
          <w:b/>
          <w:color w:val="auto"/>
          <w:sz w:val="24"/>
          <w:highlight w:val="none"/>
        </w:rPr>
      </w:pP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授权委托代理人姓名：</w:t>
      </w:r>
    </w:p>
    <w:p>
      <w:pPr>
        <w:spacing w:line="360" w:lineRule="auto"/>
        <w:rPr>
          <w:rFonts w:ascii="宋体" w:hAnsi="宋体" w:cs="宋体"/>
          <w:color w:val="auto"/>
          <w:sz w:val="24"/>
          <w:highlight w:val="none"/>
        </w:rPr>
      </w:pPr>
      <w:r>
        <w:rPr>
          <w:rFonts w:hint="eastAsia" w:ascii="宋体" w:hAnsi="宋体" w:cs="宋体"/>
          <w:color w:val="auto"/>
          <w:sz w:val="24"/>
          <w:highlight w:val="none"/>
        </w:rPr>
        <w:t>职务：</w:t>
      </w:r>
    </w:p>
    <w:p>
      <w:pPr>
        <w:spacing w:line="360" w:lineRule="auto"/>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rPr>
          <w:rFonts w:ascii="宋体" w:hAnsi="宋体" w:cs="宋体"/>
          <w:color w:val="auto"/>
          <w:sz w:val="24"/>
          <w:highlight w:val="none"/>
        </w:rPr>
      </w:pPr>
      <w:r>
        <w:rPr>
          <w:rFonts w:hint="eastAsia" w:ascii="宋体" w:hAnsi="宋体" w:cs="宋体"/>
          <w:color w:val="auto"/>
          <w:sz w:val="24"/>
          <w:highlight w:val="none"/>
        </w:rPr>
        <w:t>手机：</w:t>
      </w:r>
    </w:p>
    <w:p>
      <w:pP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pPr>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附件5</w:t>
      </w:r>
    </w:p>
    <w:p>
      <w:pP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有效的法人或者其他组织的营业执照等证明文件（复印件），自然人的身份证明</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说明：</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1.如供应商是企业（包括合伙企业），提供在工商部门注册的有效“企业法人营业执照”或“营业执照”；</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2.如供应商是事业单位，提供有效的“事业单位法人证书”；</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3.如供应商是非企业专业服务机构的，提供执业许可证等证明文件；</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4.如供应商是个体工商户，提供有效的“个体工商户营业执照”；</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5.如供应商是自然人，提供有效的自然人身份证明。</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附件6</w:t>
      </w:r>
    </w:p>
    <w:p>
      <w:pP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无税收缴纳、社会保障等方面的失信记录的承诺函</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中共台州市委政法委员会、浙江五石中正工程咨询有限公司</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rPr>
        <w:t>“民转刑”防控应用场景综合集成项目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ZJWS2022-JJ167</w:t>
      </w:r>
      <w:r>
        <w:rPr>
          <w:rFonts w:hint="eastAsia" w:ascii="宋体" w:hAnsi="宋体" w:cs="宋体"/>
          <w:color w:val="auto"/>
          <w:sz w:val="24"/>
          <w:szCs w:val="32"/>
          <w:highlight w:val="none"/>
        </w:rPr>
        <w:t>）的投标活动，作如下承诺：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日</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附件7</w:t>
      </w:r>
    </w:p>
    <w:p>
      <w:pP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具备健全的财务会计制度的承诺函</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中共台州市委政法委员会、浙江五石中正工程咨询有限公司</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rPr>
        <w:t>“民转刑”防控应用场景综合集成项目</w:t>
      </w:r>
      <w:r>
        <w:rPr>
          <w:rFonts w:hint="eastAsia" w:ascii="宋体" w:hAnsi="宋体" w:cs="宋体"/>
          <w:color w:val="auto"/>
          <w:sz w:val="24"/>
          <w:szCs w:val="32"/>
          <w:highlight w:val="none"/>
        </w:rPr>
        <w:t>（编号为ZJWS2022-JJ167）的投标活动，作如下承诺：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我公司在参加本项目政府采购活动前，没有处于被责令停产、财产被接管、冻结或破产状态，具有足够的流动资金，有能力履行合同；我公司具有良好的商业信誉和健全的财务会计制度。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pPr>
        <w:spacing w:line="360" w:lineRule="auto"/>
        <w:rPr>
          <w:rFonts w:ascii="宋体" w:hAnsi="宋体" w:cs="宋体"/>
          <w:color w:val="auto"/>
          <w:sz w:val="24"/>
          <w:szCs w:val="32"/>
          <w:highlight w:val="none"/>
          <w:u w:val="singl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日</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附件8</w:t>
      </w:r>
    </w:p>
    <w:p>
      <w:pP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参加政府采购活动前3年内在经营活动中没有重大违法记录的书面声明</w:t>
      </w:r>
    </w:p>
    <w:p>
      <w:pPr>
        <w:spacing w:line="360" w:lineRule="auto"/>
        <w:rPr>
          <w:rFonts w:ascii="宋体" w:hAnsi="宋体" w:cs="宋体"/>
          <w:color w:val="auto"/>
          <w:sz w:val="24"/>
          <w:szCs w:val="32"/>
          <w:highlight w:val="none"/>
        </w:rPr>
      </w:pPr>
    </w:p>
    <w:p>
      <w:pP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声明函</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中共台州市委政法委员会、浙江五石中正工程咨询有限公司</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我公司郑重承诺在参加本项目政府采购活动前三年内，在经营活动中</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b/>
          <w:bCs/>
          <w:color w:val="auto"/>
          <w:sz w:val="24"/>
          <w:szCs w:val="32"/>
          <w:highlight w:val="none"/>
        </w:rPr>
        <w:t>填写“有”或“没有”，如实填写，如不填写视同未提供本声明函</w:t>
      </w:r>
      <w:r>
        <w:rPr>
          <w:rFonts w:hint="eastAsia" w:ascii="宋体" w:hAnsi="宋体" w:cs="宋体"/>
          <w:color w:val="auto"/>
          <w:sz w:val="24"/>
          <w:szCs w:val="32"/>
          <w:highlight w:val="none"/>
        </w:rPr>
        <w:t>）重大违法记录，重大违法记录是指供应商因违法经营受到刑事处罚或者责令停产停业、吊销许可证或者执照、较大数额罚款等行政处罚。</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以上事项如有虚假或隐瞒，我方愿意承担一切后果和责任。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特此声明。</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日</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t xml:space="preserve">附件9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pPr>
        <w:spacing w:line="360" w:lineRule="auto"/>
        <w:rPr>
          <w:rFonts w:ascii="宋体" w:hAnsi="宋体" w:cs="宋体"/>
          <w:color w:val="auto"/>
          <w:sz w:val="24"/>
          <w:szCs w:val="32"/>
          <w:highlight w:val="none"/>
        </w:rPr>
      </w:pPr>
    </w:p>
    <w:p>
      <w:pPr>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hAnsi="宋体"/>
          <w:b/>
          <w:bCs/>
          <w:color w:val="auto"/>
          <w:spacing w:val="40"/>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z w:val="28"/>
          <w:szCs w:val="28"/>
          <w:highlight w:val="none"/>
          <w:lang w:val="zh-CN"/>
        </w:rPr>
        <w:t>商务与技术文件</w:t>
      </w:r>
      <w:r>
        <w:rPr>
          <w:rFonts w:hint="eastAsia" w:ascii="宋体" w:hAnsi="宋体"/>
          <w:b/>
          <w:bCs/>
          <w:color w:val="auto"/>
          <w:spacing w:val="40"/>
          <w:sz w:val="28"/>
          <w:szCs w:val="28"/>
          <w:highlight w:val="none"/>
        </w:rPr>
        <w:t>）</w:t>
      </w:r>
    </w:p>
    <w:p>
      <w:pPr>
        <w:autoSpaceDE w:val="0"/>
        <w:autoSpaceDN w:val="0"/>
        <w:adjustRightInd w:val="0"/>
        <w:spacing w:line="360" w:lineRule="auto"/>
        <w:rPr>
          <w:rFonts w:ascii="宋体" w:hAnsi="宋体"/>
          <w:color w:val="auto"/>
          <w:sz w:val="36"/>
          <w:szCs w:val="36"/>
          <w:highlight w:val="none"/>
        </w:rPr>
      </w:pPr>
    </w:p>
    <w:p>
      <w:pP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6"/>
          <w:szCs w:val="36"/>
          <w:highlight w:val="none"/>
        </w:rPr>
        <w:t>：</w:t>
      </w:r>
    </w:p>
    <w:p>
      <w:pP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地址：</w:t>
      </w:r>
    </w:p>
    <w:p>
      <w:pP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时间：</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jc w:val="center"/>
        <w:rPr>
          <w:rFonts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pPr>
        <w:spacing w:line="360" w:lineRule="auto"/>
        <w:jc w:val="left"/>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第一部分</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zh-CN"/>
        </w:rPr>
        <w:t>技术方案描述部分</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1、投标人情况介绍（附件10）；</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2、项目需求的理解与分析；</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 xml:space="preserve">3、项目组织实施方案(可视情选用附件11、附件12)； </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4、安装、调试及验收方案；</w:t>
      </w:r>
    </w:p>
    <w:p>
      <w:pPr>
        <w:spacing w:line="360" w:lineRule="auto"/>
        <w:jc w:val="left"/>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第二部分</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zh-CN"/>
        </w:rPr>
        <w:t>投标产品描述部分</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1、投标产品描述及相关资料（可视情选用附件13、附件14）；</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2、投标人需要说明的其他内容（包括可能影响投标人技术性能评分项的各类证明材料）；</w:t>
      </w:r>
    </w:p>
    <w:p>
      <w:pPr>
        <w:spacing w:line="360" w:lineRule="auto"/>
        <w:jc w:val="left"/>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第三部分</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zh-CN"/>
        </w:rPr>
        <w:t>商务响应部分</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1、证书一览表（附件15）；</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2、近三年来类似项目的成功案例（附件16）；</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3、售后服务描述及承诺（可视情选用附件17，附件18）；</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4、投标人需要说明的其他内容（包括可能影响投标人企业实力及信誉评分项以及售后服务评分项的各类证明材料）。</w:t>
      </w: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480" w:lineRule="exac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10</w:t>
      </w:r>
    </w:p>
    <w:p>
      <w:pP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7"/>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pPr>
              <w:pStyle w:val="66"/>
              <w:shd w:val="clear" w:color="auto" w:fill="FFFFFF"/>
              <w:spacing w:line="360" w:lineRule="auto"/>
              <w:jc w:val="both"/>
              <w:rPr>
                <w:bCs/>
                <w:color w:val="auto"/>
                <w:highlight w:val="none"/>
              </w:rPr>
            </w:pPr>
            <w:r>
              <w:rPr>
                <w:rFonts w:hint="eastAsia"/>
                <w:bCs/>
                <w:color w:val="auto"/>
                <w:spacing w:val="27"/>
                <w:highlight w:val="none"/>
              </w:rPr>
              <w:t>企业名称</w:t>
            </w:r>
          </w:p>
        </w:tc>
        <w:tc>
          <w:tcPr>
            <w:tcW w:w="3765" w:type="dxa"/>
            <w:gridSpan w:val="6"/>
            <w:vAlign w:val="center"/>
          </w:tcPr>
          <w:p>
            <w:pPr>
              <w:pStyle w:val="66"/>
              <w:shd w:val="clear" w:color="auto" w:fill="FFFFFF"/>
              <w:spacing w:line="360" w:lineRule="auto"/>
              <w:jc w:val="both"/>
              <w:rPr>
                <w:bCs/>
                <w:color w:val="auto"/>
                <w:highlight w:val="none"/>
              </w:rPr>
            </w:pPr>
          </w:p>
        </w:tc>
        <w:tc>
          <w:tcPr>
            <w:tcW w:w="1560" w:type="dxa"/>
            <w:vAlign w:val="center"/>
          </w:tcPr>
          <w:p>
            <w:pPr>
              <w:pStyle w:val="66"/>
              <w:shd w:val="clear" w:color="auto" w:fill="FFFFFF"/>
              <w:spacing w:line="360" w:lineRule="auto"/>
              <w:jc w:val="center"/>
              <w:rPr>
                <w:bCs/>
                <w:color w:val="auto"/>
                <w:highlight w:val="none"/>
              </w:rPr>
            </w:pPr>
            <w:r>
              <w:rPr>
                <w:rFonts w:hint="eastAsia"/>
                <w:bCs/>
                <w:color w:val="auto"/>
                <w:spacing w:val="16"/>
                <w:highlight w:val="none"/>
              </w:rPr>
              <w:t>法人代表</w:t>
            </w:r>
          </w:p>
        </w:tc>
        <w:tc>
          <w:tcPr>
            <w:tcW w:w="2608" w:type="dxa"/>
            <w:gridSpan w:val="3"/>
            <w:vAlign w:val="center"/>
          </w:tcPr>
          <w:p>
            <w:pPr>
              <w:pStyle w:val="66"/>
              <w:shd w:val="clear" w:color="auto" w:fill="FFFFFF"/>
              <w:spacing w:line="360" w:lineRule="auto"/>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pPr>
              <w:pStyle w:val="66"/>
              <w:shd w:val="clear" w:color="auto" w:fill="FFFFFF"/>
              <w:spacing w:line="360" w:lineRule="auto"/>
              <w:jc w:val="both"/>
              <w:rPr>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vAlign w:val="center"/>
          </w:tcPr>
          <w:p>
            <w:pPr>
              <w:pStyle w:val="66"/>
              <w:shd w:val="clear" w:color="auto" w:fill="FFFFFF"/>
              <w:spacing w:line="360" w:lineRule="auto"/>
              <w:jc w:val="both"/>
              <w:rPr>
                <w:bCs/>
                <w:color w:val="auto"/>
                <w:spacing w:val="16"/>
                <w:highlight w:val="none"/>
              </w:rPr>
            </w:pPr>
          </w:p>
        </w:tc>
        <w:tc>
          <w:tcPr>
            <w:tcW w:w="1560" w:type="dxa"/>
            <w:vAlign w:val="center"/>
          </w:tcPr>
          <w:p>
            <w:pPr>
              <w:pStyle w:val="66"/>
              <w:shd w:val="clear" w:color="auto" w:fill="FFFFFF"/>
              <w:spacing w:line="360" w:lineRule="auto"/>
              <w:jc w:val="center"/>
              <w:rPr>
                <w:bCs/>
                <w:color w:val="auto"/>
                <w:spacing w:val="16"/>
                <w:highlight w:val="none"/>
              </w:rPr>
            </w:pPr>
            <w:r>
              <w:rPr>
                <w:rFonts w:hint="eastAsia"/>
                <w:bCs/>
                <w:color w:val="auto"/>
                <w:spacing w:val="16"/>
                <w:highlight w:val="none"/>
              </w:rPr>
              <w:t>企业性质</w:t>
            </w:r>
          </w:p>
        </w:tc>
        <w:tc>
          <w:tcPr>
            <w:tcW w:w="2608" w:type="dxa"/>
            <w:gridSpan w:val="3"/>
            <w:vAlign w:val="center"/>
          </w:tcPr>
          <w:p>
            <w:pPr>
              <w:pStyle w:val="66"/>
              <w:shd w:val="clear" w:color="auto" w:fill="FFFFFF"/>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pPr>
              <w:pStyle w:val="66"/>
              <w:shd w:val="clear" w:color="auto" w:fill="FFFFFF"/>
              <w:spacing w:line="360" w:lineRule="auto"/>
              <w:jc w:val="both"/>
              <w:rPr>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vAlign w:val="center"/>
          </w:tcPr>
          <w:p>
            <w:pPr>
              <w:pStyle w:val="66"/>
              <w:shd w:val="clear" w:color="auto" w:fill="FFFFFF"/>
              <w:spacing w:before="0" w:beforeAutospacing="0" w:after="0" w:afterAutospacing="0" w:line="360" w:lineRule="auto"/>
              <w:jc w:val="both"/>
              <w:rPr>
                <w:bCs/>
                <w:color w:val="auto"/>
                <w:spacing w:val="16"/>
                <w:highlight w:val="none"/>
              </w:rPr>
            </w:pPr>
          </w:p>
        </w:tc>
        <w:tc>
          <w:tcPr>
            <w:tcW w:w="960" w:type="dxa"/>
            <w:gridSpan w:val="2"/>
            <w:tcBorders>
              <w:bottom w:val="single" w:color="auto" w:sz="4" w:space="0"/>
            </w:tcBorders>
            <w:vAlign w:val="center"/>
          </w:tcPr>
          <w:p>
            <w:pPr>
              <w:pStyle w:val="66"/>
              <w:shd w:val="clear" w:color="auto" w:fill="FFFFFF"/>
              <w:spacing w:line="360" w:lineRule="auto"/>
              <w:jc w:val="both"/>
              <w:rPr>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vAlign w:val="center"/>
          </w:tcPr>
          <w:p>
            <w:pPr>
              <w:widowControl/>
              <w:spacing w:line="360" w:lineRule="auto"/>
              <w:rPr>
                <w:rFonts w:ascii="宋体" w:hAnsi="宋体" w:cs="宋体"/>
                <w:bCs/>
                <w:color w:val="auto"/>
                <w:spacing w:val="16"/>
                <w:kern w:val="0"/>
                <w:sz w:val="24"/>
                <w:highlight w:val="none"/>
              </w:rPr>
            </w:pPr>
          </w:p>
          <w:p>
            <w:pPr>
              <w:pStyle w:val="66"/>
              <w:shd w:val="clear" w:color="auto" w:fill="FFFFFF"/>
              <w:spacing w:line="360" w:lineRule="auto"/>
              <w:jc w:val="both"/>
              <w:rPr>
                <w:bCs/>
                <w:color w:val="auto"/>
                <w:spacing w:val="16"/>
                <w:highlight w:val="none"/>
              </w:rPr>
            </w:pPr>
          </w:p>
        </w:tc>
        <w:tc>
          <w:tcPr>
            <w:tcW w:w="1560" w:type="dxa"/>
            <w:vAlign w:val="center"/>
          </w:tcPr>
          <w:p>
            <w:pPr>
              <w:pStyle w:val="66"/>
              <w:shd w:val="clear" w:color="auto" w:fill="FFFFFF"/>
              <w:spacing w:line="360" w:lineRule="auto"/>
              <w:ind w:left="107"/>
              <w:jc w:val="center"/>
              <w:rPr>
                <w:bCs/>
                <w:color w:val="auto"/>
                <w:spacing w:val="16"/>
                <w:highlight w:val="none"/>
              </w:rPr>
            </w:pPr>
            <w:r>
              <w:rPr>
                <w:rFonts w:hint="eastAsia"/>
                <w:bCs/>
                <w:color w:val="auto"/>
                <w:spacing w:val="16"/>
                <w:highlight w:val="none"/>
              </w:rPr>
              <w:t>股东关系</w:t>
            </w:r>
          </w:p>
        </w:tc>
        <w:tc>
          <w:tcPr>
            <w:tcW w:w="2608" w:type="dxa"/>
            <w:gridSpan w:val="3"/>
            <w:vAlign w:val="center"/>
          </w:tcPr>
          <w:p>
            <w:pPr>
              <w:pStyle w:val="66"/>
              <w:shd w:val="clear" w:color="auto" w:fill="FFFFFF"/>
              <w:spacing w:line="360" w:lineRule="auto"/>
              <w:ind w:left="107"/>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pPr>
              <w:pStyle w:val="66"/>
              <w:shd w:val="clear" w:color="auto" w:fill="FFFFFF"/>
              <w:spacing w:line="360" w:lineRule="auto"/>
              <w:jc w:val="both"/>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pPr>
              <w:pStyle w:val="66"/>
              <w:shd w:val="clear" w:color="auto" w:fill="FFFFFF"/>
              <w:spacing w:line="360" w:lineRule="auto"/>
              <w:jc w:val="both"/>
              <w:rPr>
                <w:bCs/>
                <w:color w:val="auto"/>
                <w:spacing w:val="16"/>
                <w:highlight w:val="none"/>
              </w:rPr>
            </w:pPr>
          </w:p>
        </w:tc>
        <w:tc>
          <w:tcPr>
            <w:tcW w:w="960" w:type="dxa"/>
            <w:gridSpan w:val="2"/>
            <w:tcBorders>
              <w:top w:val="nil"/>
              <w:bottom w:val="single" w:color="auto" w:sz="4" w:space="0"/>
            </w:tcBorders>
            <w:vAlign w:val="center"/>
          </w:tcPr>
          <w:p>
            <w:pPr>
              <w:pStyle w:val="66"/>
              <w:shd w:val="clear" w:color="auto" w:fill="FFFFFF"/>
              <w:spacing w:line="360" w:lineRule="auto"/>
              <w:jc w:val="both"/>
              <w:rPr>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vAlign w:val="center"/>
          </w:tcPr>
          <w:p>
            <w:pPr>
              <w:widowControl/>
              <w:spacing w:line="360" w:lineRule="auto"/>
              <w:rPr>
                <w:rFonts w:ascii="宋体" w:hAnsi="宋体" w:cs="宋体"/>
                <w:bCs/>
                <w:color w:val="auto"/>
                <w:spacing w:val="16"/>
                <w:kern w:val="0"/>
                <w:sz w:val="24"/>
                <w:highlight w:val="none"/>
              </w:rPr>
            </w:pPr>
          </w:p>
          <w:p>
            <w:pPr>
              <w:pStyle w:val="66"/>
              <w:shd w:val="clear" w:color="auto" w:fill="FFFFFF"/>
              <w:spacing w:line="360" w:lineRule="auto"/>
              <w:jc w:val="both"/>
              <w:rPr>
                <w:bCs/>
                <w:color w:val="auto"/>
                <w:spacing w:val="16"/>
                <w:highlight w:val="none"/>
              </w:rPr>
            </w:pPr>
          </w:p>
        </w:tc>
        <w:tc>
          <w:tcPr>
            <w:tcW w:w="1560" w:type="dxa"/>
            <w:vMerge w:val="restart"/>
            <w:vAlign w:val="center"/>
          </w:tcPr>
          <w:p>
            <w:pPr>
              <w:pStyle w:val="66"/>
              <w:shd w:val="clear" w:color="auto" w:fill="FFFFFF"/>
              <w:spacing w:before="0" w:beforeAutospacing="0" w:after="0" w:afterAutospacing="0" w:line="360" w:lineRule="auto"/>
              <w:jc w:val="center"/>
              <w:rPr>
                <w:bCs/>
                <w:color w:val="auto"/>
                <w:spacing w:val="16"/>
                <w:highlight w:val="none"/>
              </w:rPr>
            </w:pPr>
            <w:r>
              <w:rPr>
                <w:rFonts w:hint="eastAsia"/>
                <w:bCs/>
                <w:color w:val="auto"/>
                <w:spacing w:val="16"/>
                <w:highlight w:val="none"/>
              </w:rPr>
              <w:t>传真</w:t>
            </w:r>
          </w:p>
        </w:tc>
        <w:tc>
          <w:tcPr>
            <w:tcW w:w="2608" w:type="dxa"/>
            <w:gridSpan w:val="3"/>
            <w:vMerge w:val="restart"/>
            <w:vAlign w:val="center"/>
          </w:tcPr>
          <w:p>
            <w:pPr>
              <w:pStyle w:val="66"/>
              <w:shd w:val="clear" w:color="auto" w:fill="FFFFFF"/>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pPr>
              <w:pStyle w:val="66"/>
              <w:shd w:val="clear" w:color="auto" w:fill="FFFFFF"/>
              <w:spacing w:line="360" w:lineRule="auto"/>
              <w:ind w:left="107"/>
              <w:jc w:val="both"/>
              <w:rPr>
                <w:bCs/>
                <w:color w:val="auto"/>
                <w:highlight w:val="none"/>
              </w:rPr>
            </w:pPr>
          </w:p>
        </w:tc>
        <w:tc>
          <w:tcPr>
            <w:tcW w:w="690" w:type="dxa"/>
            <w:vMerge w:val="continue"/>
            <w:tcBorders>
              <w:bottom w:val="single" w:color="auto" w:sz="4" w:space="0"/>
            </w:tcBorders>
            <w:vAlign w:val="center"/>
          </w:tcPr>
          <w:p>
            <w:pPr>
              <w:pStyle w:val="66"/>
              <w:shd w:val="clear" w:color="auto" w:fill="FFFFFF"/>
              <w:spacing w:line="360" w:lineRule="auto"/>
              <w:jc w:val="both"/>
              <w:rPr>
                <w:bCs/>
                <w:color w:val="auto"/>
                <w:spacing w:val="16"/>
                <w:highlight w:val="none"/>
              </w:rPr>
            </w:pPr>
          </w:p>
        </w:tc>
        <w:tc>
          <w:tcPr>
            <w:tcW w:w="960" w:type="dxa"/>
            <w:gridSpan w:val="2"/>
            <w:tcBorders>
              <w:bottom w:val="single" w:color="auto" w:sz="4" w:space="0"/>
            </w:tcBorders>
            <w:vAlign w:val="center"/>
          </w:tcPr>
          <w:p>
            <w:pPr>
              <w:pStyle w:val="66"/>
              <w:shd w:val="clear" w:color="auto" w:fill="FFFFFF"/>
              <w:spacing w:line="360" w:lineRule="auto"/>
              <w:jc w:val="both"/>
              <w:rPr>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vAlign w:val="center"/>
          </w:tcPr>
          <w:p>
            <w:pPr>
              <w:pStyle w:val="66"/>
              <w:shd w:val="clear" w:color="auto" w:fill="FFFFFF"/>
              <w:spacing w:line="360" w:lineRule="auto"/>
              <w:jc w:val="both"/>
              <w:rPr>
                <w:bCs/>
                <w:color w:val="auto"/>
                <w:spacing w:val="16"/>
                <w:highlight w:val="none"/>
              </w:rPr>
            </w:pPr>
          </w:p>
        </w:tc>
        <w:tc>
          <w:tcPr>
            <w:tcW w:w="1560" w:type="dxa"/>
            <w:vMerge w:val="continue"/>
            <w:vAlign w:val="center"/>
          </w:tcPr>
          <w:p>
            <w:pPr>
              <w:pStyle w:val="66"/>
              <w:shd w:val="clear" w:color="auto" w:fill="FFFFFF"/>
              <w:spacing w:line="360" w:lineRule="auto"/>
              <w:jc w:val="center"/>
              <w:rPr>
                <w:bCs/>
                <w:color w:val="auto"/>
                <w:spacing w:val="16"/>
                <w:highlight w:val="none"/>
              </w:rPr>
            </w:pPr>
          </w:p>
        </w:tc>
        <w:tc>
          <w:tcPr>
            <w:tcW w:w="2608" w:type="dxa"/>
            <w:gridSpan w:val="3"/>
            <w:vMerge w:val="continue"/>
            <w:vAlign w:val="center"/>
          </w:tcPr>
          <w:p>
            <w:pPr>
              <w:pStyle w:val="66"/>
              <w:shd w:val="clear" w:color="auto" w:fill="FFFFFF"/>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pPr>
              <w:pStyle w:val="66"/>
              <w:shd w:val="clear" w:color="auto" w:fill="FFFFFF"/>
              <w:spacing w:line="360" w:lineRule="auto"/>
              <w:ind w:left="107"/>
              <w:jc w:val="both"/>
              <w:rPr>
                <w:bCs/>
                <w:color w:val="auto"/>
                <w:highlight w:val="none"/>
              </w:rPr>
            </w:pPr>
            <w:r>
              <w:rPr>
                <w:rFonts w:hint="eastAsia"/>
                <w:bCs/>
                <w:color w:val="auto"/>
                <w:highlight w:val="none"/>
              </w:rPr>
              <w:t>1.</w:t>
            </w:r>
          </w:p>
          <w:p>
            <w:pPr>
              <w:pStyle w:val="66"/>
              <w:shd w:val="clear" w:color="auto" w:fill="FFFFFF"/>
              <w:spacing w:line="360" w:lineRule="auto"/>
              <w:ind w:left="107"/>
              <w:jc w:val="both"/>
              <w:rPr>
                <w:bCs/>
                <w:color w:val="auto"/>
                <w:highlight w:val="none"/>
              </w:rPr>
            </w:pPr>
            <w:r>
              <w:rPr>
                <w:rFonts w:hint="eastAsia"/>
                <w:bCs/>
                <w:color w:val="auto"/>
                <w:highlight w:val="none"/>
              </w:rPr>
              <w:t>企</w:t>
            </w:r>
          </w:p>
          <w:p>
            <w:pPr>
              <w:pStyle w:val="66"/>
              <w:shd w:val="clear" w:color="auto" w:fill="FFFFFF"/>
              <w:spacing w:line="360" w:lineRule="auto"/>
              <w:ind w:left="107"/>
              <w:jc w:val="both"/>
              <w:rPr>
                <w:bCs/>
                <w:color w:val="auto"/>
                <w:highlight w:val="none"/>
              </w:rPr>
            </w:pPr>
            <w:r>
              <w:rPr>
                <w:rFonts w:hint="eastAsia"/>
                <w:bCs/>
                <w:color w:val="auto"/>
                <w:highlight w:val="none"/>
              </w:rPr>
              <w:t>业</w:t>
            </w:r>
          </w:p>
          <w:p>
            <w:pPr>
              <w:pStyle w:val="66"/>
              <w:shd w:val="clear" w:color="auto" w:fill="FFFFFF"/>
              <w:spacing w:line="360" w:lineRule="auto"/>
              <w:ind w:left="107"/>
              <w:jc w:val="both"/>
              <w:rPr>
                <w:bCs/>
                <w:color w:val="auto"/>
                <w:spacing w:val="27"/>
                <w:highlight w:val="none"/>
              </w:rPr>
            </w:pPr>
            <w:r>
              <w:rPr>
                <w:rFonts w:hint="eastAsia"/>
                <w:bCs/>
                <w:color w:val="auto"/>
                <w:spacing w:val="27"/>
                <w:highlight w:val="none"/>
              </w:rPr>
              <w:t>概</w:t>
            </w:r>
          </w:p>
          <w:p>
            <w:pPr>
              <w:pStyle w:val="66"/>
              <w:shd w:val="clear" w:color="auto" w:fill="FFFFFF"/>
              <w:spacing w:line="360" w:lineRule="auto"/>
              <w:ind w:left="107"/>
              <w:jc w:val="both"/>
              <w:rPr>
                <w:bCs/>
                <w:color w:val="auto"/>
                <w:highlight w:val="none"/>
              </w:rPr>
            </w:pPr>
            <w:r>
              <w:rPr>
                <w:rFonts w:hint="eastAsia"/>
                <w:bCs/>
                <w:color w:val="auto"/>
                <w:spacing w:val="27"/>
                <w:highlight w:val="none"/>
              </w:rPr>
              <w:t>况</w:t>
            </w:r>
          </w:p>
        </w:tc>
        <w:tc>
          <w:tcPr>
            <w:tcW w:w="690" w:type="dxa"/>
            <w:tcBorders>
              <w:top w:val="nil"/>
            </w:tcBorders>
            <w:vAlign w:val="center"/>
          </w:tcPr>
          <w:p>
            <w:pPr>
              <w:pStyle w:val="66"/>
              <w:shd w:val="clear" w:color="auto" w:fill="FFFFFF"/>
              <w:spacing w:line="360" w:lineRule="auto"/>
              <w:jc w:val="both"/>
              <w:rPr>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pPr>
              <w:pStyle w:val="66"/>
              <w:shd w:val="clear" w:color="auto" w:fill="FFFFFF"/>
              <w:spacing w:line="360" w:lineRule="auto"/>
              <w:jc w:val="both"/>
              <w:rPr>
                <w:bCs/>
                <w:color w:val="auto"/>
                <w:spacing w:val="16"/>
                <w:highlight w:val="none"/>
              </w:rPr>
            </w:pPr>
          </w:p>
        </w:tc>
        <w:tc>
          <w:tcPr>
            <w:tcW w:w="926" w:type="dxa"/>
            <w:tcBorders>
              <w:top w:val="nil"/>
            </w:tcBorders>
            <w:vAlign w:val="center"/>
          </w:tcPr>
          <w:p>
            <w:pPr>
              <w:pStyle w:val="66"/>
              <w:shd w:val="clear" w:color="auto" w:fill="FFFFFF"/>
              <w:spacing w:before="0" w:beforeAutospacing="0" w:after="0" w:afterAutospacing="0" w:line="360" w:lineRule="auto"/>
              <w:jc w:val="both"/>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pPr>
              <w:widowControl/>
              <w:spacing w:line="360" w:lineRule="auto"/>
              <w:rPr>
                <w:rFonts w:ascii="宋体" w:hAnsi="宋体" w:cs="宋体"/>
                <w:bCs/>
                <w:color w:val="auto"/>
                <w:spacing w:val="16"/>
                <w:kern w:val="0"/>
                <w:sz w:val="24"/>
                <w:highlight w:val="none"/>
              </w:rPr>
            </w:pPr>
          </w:p>
          <w:p>
            <w:pPr>
              <w:widowControl/>
              <w:spacing w:line="360" w:lineRule="auto"/>
              <w:rPr>
                <w:rFonts w:ascii="宋体" w:hAnsi="宋体" w:cs="宋体"/>
                <w:bCs/>
                <w:color w:val="auto"/>
                <w:spacing w:val="16"/>
                <w:kern w:val="0"/>
                <w:sz w:val="24"/>
                <w:highlight w:val="none"/>
              </w:rPr>
            </w:pPr>
          </w:p>
          <w:p>
            <w:pPr>
              <w:pStyle w:val="66"/>
              <w:shd w:val="clear" w:color="auto" w:fill="FFFFFF"/>
              <w:spacing w:line="360" w:lineRule="auto"/>
              <w:jc w:val="both"/>
              <w:rPr>
                <w:bCs/>
                <w:color w:val="auto"/>
                <w:spacing w:val="16"/>
                <w:highlight w:val="none"/>
              </w:rPr>
            </w:pPr>
          </w:p>
        </w:tc>
        <w:tc>
          <w:tcPr>
            <w:tcW w:w="1560" w:type="dxa"/>
            <w:vAlign w:val="center"/>
          </w:tcPr>
          <w:p>
            <w:pPr>
              <w:pStyle w:val="66"/>
              <w:shd w:val="clear" w:color="auto" w:fill="FFFFFF"/>
              <w:spacing w:line="360" w:lineRule="auto"/>
              <w:jc w:val="center"/>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pPr>
              <w:widowControl/>
              <w:spacing w:line="360" w:lineRule="auto"/>
              <w:rPr>
                <w:rFonts w:ascii="宋体" w:hAnsi="宋体" w:cs="宋体"/>
                <w:bCs/>
                <w:color w:val="auto"/>
                <w:spacing w:val="16"/>
                <w:kern w:val="0"/>
                <w:sz w:val="24"/>
                <w:highlight w:val="none"/>
              </w:rPr>
            </w:pPr>
          </w:p>
          <w:p>
            <w:pPr>
              <w:pStyle w:val="66"/>
              <w:shd w:val="clear" w:color="auto" w:fill="FFFFFF"/>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pPr>
              <w:pStyle w:val="66"/>
              <w:shd w:val="clear" w:color="auto" w:fill="FFFFFF"/>
              <w:spacing w:line="360" w:lineRule="auto"/>
              <w:ind w:left="107"/>
              <w:jc w:val="both"/>
              <w:rPr>
                <w:bCs/>
                <w:color w:val="auto"/>
                <w:highlight w:val="none"/>
              </w:rPr>
            </w:pPr>
          </w:p>
        </w:tc>
        <w:tc>
          <w:tcPr>
            <w:tcW w:w="690" w:type="dxa"/>
            <w:vAlign w:val="center"/>
          </w:tcPr>
          <w:p>
            <w:pPr>
              <w:pStyle w:val="66"/>
              <w:shd w:val="clear" w:color="auto" w:fill="FFFFFF"/>
              <w:spacing w:line="360" w:lineRule="auto"/>
              <w:jc w:val="both"/>
              <w:rPr>
                <w:bCs/>
                <w:color w:val="auto"/>
                <w:highlight w:val="none"/>
              </w:rPr>
            </w:pPr>
            <w:r>
              <w:rPr>
                <w:rFonts w:hint="eastAsia"/>
                <w:bCs/>
                <w:color w:val="auto"/>
                <w:spacing w:val="16"/>
                <w:highlight w:val="none"/>
              </w:rPr>
              <w:t>占地面积</w:t>
            </w:r>
          </w:p>
        </w:tc>
        <w:tc>
          <w:tcPr>
            <w:tcW w:w="960" w:type="dxa"/>
            <w:gridSpan w:val="2"/>
            <w:vAlign w:val="center"/>
          </w:tcPr>
          <w:p>
            <w:pPr>
              <w:pStyle w:val="66"/>
              <w:shd w:val="clear" w:color="auto" w:fill="FFFFFF"/>
              <w:spacing w:line="360" w:lineRule="auto"/>
              <w:jc w:val="both"/>
              <w:rPr>
                <w:bCs/>
                <w:color w:val="auto"/>
                <w:highlight w:val="none"/>
              </w:rPr>
            </w:pPr>
          </w:p>
        </w:tc>
        <w:tc>
          <w:tcPr>
            <w:tcW w:w="926" w:type="dxa"/>
            <w:vAlign w:val="center"/>
          </w:tcPr>
          <w:p>
            <w:pPr>
              <w:pStyle w:val="66"/>
              <w:shd w:val="clear" w:color="auto" w:fill="FFFFFF"/>
              <w:spacing w:line="360" w:lineRule="auto"/>
              <w:jc w:val="both"/>
              <w:rPr>
                <w:bCs/>
                <w:color w:val="auto"/>
                <w:highlight w:val="none"/>
              </w:rPr>
            </w:pPr>
            <w:r>
              <w:rPr>
                <w:rFonts w:hint="eastAsia"/>
                <w:bCs/>
                <w:color w:val="auto"/>
                <w:spacing w:val="16"/>
                <w:highlight w:val="none"/>
              </w:rPr>
              <w:t>建筑面积</w:t>
            </w:r>
          </w:p>
        </w:tc>
        <w:tc>
          <w:tcPr>
            <w:tcW w:w="1189" w:type="dxa"/>
            <w:gridSpan w:val="2"/>
            <w:vAlign w:val="center"/>
          </w:tcPr>
          <w:p>
            <w:pPr>
              <w:pStyle w:val="66"/>
              <w:shd w:val="clear" w:color="auto" w:fill="FFFFFF"/>
              <w:spacing w:line="360" w:lineRule="auto"/>
              <w:jc w:val="both"/>
              <w:rPr>
                <w:bCs/>
                <w:color w:val="auto"/>
                <w:highlight w:val="none"/>
              </w:rPr>
            </w:pPr>
            <w:r>
              <w:rPr>
                <w:rFonts w:hint="eastAsia"/>
                <w:bCs/>
                <w:color w:val="auto"/>
                <w:highlight w:val="none"/>
              </w:rPr>
              <w:t>平方米</w:t>
            </w:r>
          </w:p>
          <w:p>
            <w:pPr>
              <w:pStyle w:val="66"/>
              <w:shd w:val="clear" w:color="auto" w:fill="FFFFFF"/>
              <w:spacing w:line="360" w:lineRule="auto"/>
              <w:jc w:val="both"/>
              <w:rPr>
                <w:bCs/>
                <w:color w:val="auto"/>
                <w:highlight w:val="none"/>
              </w:rPr>
            </w:pPr>
            <w:r>
              <w:rPr>
                <w:rFonts w:hint="eastAsia"/>
                <w:bCs/>
                <w:color w:val="auto"/>
                <w:spacing w:val="16"/>
                <w:highlight w:val="none"/>
              </w:rPr>
              <w:t>□自有□租赁</w:t>
            </w:r>
          </w:p>
        </w:tc>
        <w:tc>
          <w:tcPr>
            <w:tcW w:w="1560" w:type="dxa"/>
            <w:vAlign w:val="center"/>
          </w:tcPr>
          <w:p>
            <w:pPr>
              <w:pStyle w:val="66"/>
              <w:shd w:val="clear" w:color="auto" w:fill="FFFFFF"/>
              <w:spacing w:line="360" w:lineRule="auto"/>
              <w:jc w:val="center"/>
              <w:rPr>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pPr>
              <w:pStyle w:val="66"/>
              <w:shd w:val="clear" w:color="auto" w:fill="FFFFFF"/>
              <w:spacing w:before="0" w:beforeAutospacing="0" w:after="0" w:afterAutospacing="0"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pPr>
              <w:pStyle w:val="66"/>
              <w:shd w:val="clear" w:color="auto" w:fill="FFFFFF"/>
              <w:spacing w:line="360" w:lineRule="auto"/>
              <w:ind w:left="107"/>
              <w:jc w:val="both"/>
              <w:rPr>
                <w:bCs/>
                <w:color w:val="auto"/>
                <w:highlight w:val="none"/>
              </w:rPr>
            </w:pPr>
          </w:p>
        </w:tc>
        <w:tc>
          <w:tcPr>
            <w:tcW w:w="690" w:type="dxa"/>
            <w:vAlign w:val="center"/>
          </w:tcPr>
          <w:p>
            <w:pPr>
              <w:pStyle w:val="66"/>
              <w:shd w:val="clear" w:color="auto" w:fill="FFFFFF"/>
              <w:spacing w:line="360" w:lineRule="auto"/>
              <w:ind w:left="2"/>
              <w:jc w:val="both"/>
              <w:rPr>
                <w:bCs/>
                <w:color w:val="auto"/>
                <w:spacing w:val="16"/>
                <w:highlight w:val="none"/>
              </w:rPr>
            </w:pPr>
            <w:r>
              <w:rPr>
                <w:rFonts w:hint="eastAsia"/>
                <w:bCs/>
                <w:color w:val="auto"/>
                <w:spacing w:val="16"/>
                <w:highlight w:val="none"/>
              </w:rPr>
              <w:t>注册资金</w:t>
            </w:r>
          </w:p>
        </w:tc>
        <w:tc>
          <w:tcPr>
            <w:tcW w:w="960" w:type="dxa"/>
            <w:gridSpan w:val="2"/>
            <w:vAlign w:val="center"/>
          </w:tcPr>
          <w:p>
            <w:pPr>
              <w:pStyle w:val="66"/>
              <w:shd w:val="clear" w:color="auto" w:fill="FFFFFF"/>
              <w:spacing w:line="360" w:lineRule="auto"/>
              <w:ind w:left="2"/>
              <w:jc w:val="both"/>
              <w:rPr>
                <w:bCs/>
                <w:color w:val="auto"/>
                <w:highlight w:val="none"/>
              </w:rPr>
            </w:pPr>
          </w:p>
        </w:tc>
        <w:tc>
          <w:tcPr>
            <w:tcW w:w="926" w:type="dxa"/>
            <w:vAlign w:val="center"/>
          </w:tcPr>
          <w:p>
            <w:pPr>
              <w:pStyle w:val="66"/>
              <w:shd w:val="clear" w:color="auto" w:fill="FFFFFF"/>
              <w:spacing w:line="360" w:lineRule="auto"/>
              <w:ind w:left="107"/>
              <w:jc w:val="both"/>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pPr>
              <w:widowControl/>
              <w:spacing w:line="360" w:lineRule="auto"/>
              <w:rPr>
                <w:rFonts w:ascii="宋体" w:hAnsi="宋体" w:cs="宋体"/>
                <w:bCs/>
                <w:color w:val="auto"/>
                <w:kern w:val="0"/>
                <w:sz w:val="24"/>
                <w:highlight w:val="none"/>
              </w:rPr>
            </w:pPr>
          </w:p>
          <w:p>
            <w:pPr>
              <w:pStyle w:val="66"/>
              <w:shd w:val="clear" w:color="auto" w:fill="FFFFFF"/>
              <w:spacing w:line="360" w:lineRule="auto"/>
              <w:ind w:left="107"/>
              <w:jc w:val="both"/>
              <w:rPr>
                <w:bCs/>
                <w:color w:val="auto"/>
                <w:highlight w:val="none"/>
              </w:rPr>
            </w:pPr>
          </w:p>
        </w:tc>
        <w:tc>
          <w:tcPr>
            <w:tcW w:w="1675" w:type="dxa"/>
            <w:gridSpan w:val="2"/>
            <w:vAlign w:val="center"/>
          </w:tcPr>
          <w:p>
            <w:pPr>
              <w:pStyle w:val="66"/>
              <w:shd w:val="clear" w:color="auto" w:fill="FFFFFF"/>
              <w:spacing w:line="360" w:lineRule="auto"/>
              <w:ind w:left="107"/>
              <w:jc w:val="both"/>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pPr>
              <w:pStyle w:val="66"/>
              <w:shd w:val="clear" w:color="auto" w:fill="FFFFFF"/>
              <w:spacing w:line="360" w:lineRule="auto"/>
              <w:ind w:left="107"/>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pPr>
              <w:pStyle w:val="66"/>
              <w:shd w:val="clear" w:color="auto" w:fill="FFFFFF"/>
              <w:spacing w:line="360" w:lineRule="auto"/>
              <w:ind w:left="107"/>
              <w:jc w:val="both"/>
              <w:rPr>
                <w:bCs/>
                <w:color w:val="auto"/>
                <w:highlight w:val="none"/>
              </w:rPr>
            </w:pPr>
          </w:p>
        </w:tc>
        <w:tc>
          <w:tcPr>
            <w:tcW w:w="690" w:type="dxa"/>
            <w:vAlign w:val="center"/>
          </w:tcPr>
          <w:p>
            <w:pPr>
              <w:pStyle w:val="66"/>
              <w:shd w:val="clear" w:color="auto" w:fill="FFFFFF"/>
              <w:spacing w:line="360" w:lineRule="auto"/>
              <w:ind w:left="2"/>
              <w:jc w:val="both"/>
              <w:rPr>
                <w:bCs/>
                <w:color w:val="auto"/>
                <w:highlight w:val="none"/>
              </w:rPr>
            </w:pPr>
            <w:r>
              <w:rPr>
                <w:rFonts w:hint="eastAsia"/>
                <w:bCs/>
                <w:color w:val="auto"/>
                <w:highlight w:val="none"/>
              </w:rPr>
              <w:t>核准经营范围</w:t>
            </w:r>
          </w:p>
        </w:tc>
        <w:tc>
          <w:tcPr>
            <w:tcW w:w="7243" w:type="dxa"/>
            <w:gridSpan w:val="9"/>
            <w:vAlign w:val="center"/>
          </w:tcPr>
          <w:p>
            <w:pPr>
              <w:pStyle w:val="66"/>
              <w:shd w:val="clear" w:color="auto" w:fill="FFFFFF"/>
              <w:spacing w:line="360" w:lineRule="auto"/>
              <w:ind w:left="107"/>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pPr>
              <w:pStyle w:val="66"/>
              <w:shd w:val="clear" w:color="auto" w:fill="FFFFFF"/>
              <w:spacing w:line="360" w:lineRule="auto"/>
              <w:ind w:left="107"/>
              <w:jc w:val="both"/>
              <w:rPr>
                <w:bCs/>
                <w:color w:val="auto"/>
                <w:highlight w:val="none"/>
              </w:rPr>
            </w:pPr>
          </w:p>
        </w:tc>
        <w:tc>
          <w:tcPr>
            <w:tcW w:w="7933" w:type="dxa"/>
            <w:gridSpan w:val="10"/>
            <w:vAlign w:val="center"/>
          </w:tcPr>
          <w:p>
            <w:pPr>
              <w:pStyle w:val="66"/>
              <w:shd w:val="clear" w:color="auto" w:fill="FFFFFF"/>
              <w:spacing w:line="360" w:lineRule="auto"/>
              <w:jc w:val="both"/>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pPr>
              <w:pStyle w:val="66"/>
              <w:shd w:val="clear" w:color="auto" w:fill="FFFFFF"/>
              <w:spacing w:line="360" w:lineRule="auto"/>
              <w:ind w:left="107"/>
              <w:jc w:val="both"/>
              <w:rPr>
                <w:bCs/>
                <w:color w:val="auto"/>
                <w:highlight w:val="none"/>
              </w:rPr>
            </w:pPr>
            <w:r>
              <w:rPr>
                <w:rFonts w:hint="eastAsia"/>
                <w:bCs/>
                <w:color w:val="auto"/>
                <w:highlight w:val="none"/>
              </w:rPr>
              <w:t>2．</w:t>
            </w:r>
          </w:p>
          <w:p>
            <w:pPr>
              <w:pStyle w:val="66"/>
              <w:shd w:val="clear" w:color="auto" w:fill="FFFFFF"/>
              <w:spacing w:line="360" w:lineRule="auto"/>
              <w:ind w:left="107"/>
              <w:jc w:val="both"/>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pPr>
              <w:pStyle w:val="66"/>
              <w:shd w:val="clear" w:color="auto" w:fill="FFFFFF"/>
              <w:spacing w:before="0" w:beforeAutospacing="0" w:after="0" w:afterAutospacing="0" w:line="360" w:lineRule="auto"/>
              <w:jc w:val="both"/>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pPr>
              <w:pStyle w:val="66"/>
              <w:shd w:val="clear" w:color="auto" w:fill="FFFFFF"/>
              <w:spacing w:line="360" w:lineRule="auto"/>
              <w:ind w:right="-78" w:rightChars="-37"/>
              <w:jc w:val="both"/>
              <w:rPr>
                <w:bCs/>
                <w:color w:val="auto"/>
                <w:spacing w:val="16"/>
                <w:highlight w:val="none"/>
              </w:rPr>
            </w:pPr>
            <w:r>
              <w:rPr>
                <w:rFonts w:hint="eastAsia"/>
                <w:bCs/>
                <w:color w:val="auto"/>
                <w:spacing w:val="16"/>
                <w:highlight w:val="none"/>
              </w:rPr>
              <w:t>产品名称</w:t>
            </w:r>
          </w:p>
        </w:tc>
        <w:tc>
          <w:tcPr>
            <w:tcW w:w="1077" w:type="dxa"/>
            <w:vAlign w:val="center"/>
          </w:tcPr>
          <w:p>
            <w:pPr>
              <w:pStyle w:val="66"/>
              <w:shd w:val="clear" w:color="auto" w:fill="FFFFFF"/>
              <w:spacing w:before="0" w:beforeAutospacing="0" w:after="0" w:afterAutospacing="0" w:line="360" w:lineRule="auto"/>
              <w:jc w:val="both"/>
              <w:rPr>
                <w:bCs/>
                <w:color w:val="auto"/>
                <w:highlight w:val="none"/>
              </w:rPr>
            </w:pPr>
            <w:r>
              <w:rPr>
                <w:rFonts w:hint="eastAsia"/>
                <w:bCs/>
                <w:color w:val="auto"/>
                <w:spacing w:val="16"/>
                <w:highlight w:val="none"/>
              </w:rPr>
              <w:t>发证机关</w:t>
            </w:r>
          </w:p>
        </w:tc>
        <w:tc>
          <w:tcPr>
            <w:tcW w:w="1617" w:type="dxa"/>
            <w:gridSpan w:val="2"/>
            <w:vAlign w:val="center"/>
          </w:tcPr>
          <w:p>
            <w:pPr>
              <w:pStyle w:val="66"/>
              <w:shd w:val="clear" w:color="auto" w:fill="FFFFFF"/>
              <w:spacing w:line="360" w:lineRule="auto"/>
              <w:jc w:val="both"/>
              <w:rPr>
                <w:bCs/>
                <w:color w:val="auto"/>
                <w:highlight w:val="none"/>
              </w:rPr>
            </w:pPr>
            <w:r>
              <w:rPr>
                <w:rFonts w:hint="eastAsia"/>
                <w:bCs/>
                <w:color w:val="auto"/>
                <w:spacing w:val="27"/>
                <w:highlight w:val="none"/>
              </w:rPr>
              <w:t>编号</w:t>
            </w:r>
          </w:p>
        </w:tc>
        <w:tc>
          <w:tcPr>
            <w:tcW w:w="1618" w:type="dxa"/>
            <w:vAlign w:val="center"/>
          </w:tcPr>
          <w:p>
            <w:pPr>
              <w:pStyle w:val="66"/>
              <w:shd w:val="clear" w:color="auto" w:fill="FFFFFF"/>
              <w:spacing w:line="360" w:lineRule="auto"/>
              <w:jc w:val="both"/>
              <w:rPr>
                <w:bCs/>
                <w:color w:val="auto"/>
                <w:highlight w:val="none"/>
              </w:rPr>
            </w:pPr>
            <w:r>
              <w:rPr>
                <w:rFonts w:hint="eastAsia"/>
                <w:bCs/>
                <w:color w:val="auto"/>
                <w:spacing w:val="16"/>
                <w:highlight w:val="none"/>
              </w:rPr>
              <w:t>发证时间</w:t>
            </w:r>
          </w:p>
        </w:tc>
        <w:tc>
          <w:tcPr>
            <w:tcW w:w="933" w:type="dxa"/>
            <w:vAlign w:val="center"/>
          </w:tcPr>
          <w:p>
            <w:pPr>
              <w:pStyle w:val="66"/>
              <w:shd w:val="clear" w:color="auto" w:fill="FFFFFF"/>
              <w:spacing w:before="0" w:beforeAutospacing="0" w:after="0" w:afterAutospacing="0" w:line="360" w:lineRule="auto"/>
              <w:jc w:val="both"/>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pPr>
              <w:pStyle w:val="66"/>
              <w:shd w:val="clear" w:color="auto" w:fill="FFFFFF"/>
              <w:spacing w:line="360" w:lineRule="auto"/>
              <w:ind w:left="107"/>
              <w:jc w:val="both"/>
              <w:rPr>
                <w:bCs/>
                <w:color w:val="auto"/>
                <w:highlight w:val="none"/>
              </w:rPr>
            </w:pPr>
          </w:p>
        </w:tc>
        <w:tc>
          <w:tcPr>
            <w:tcW w:w="1355" w:type="dxa"/>
            <w:gridSpan w:val="2"/>
            <w:vMerge w:val="continue"/>
            <w:vAlign w:val="center"/>
          </w:tcPr>
          <w:p>
            <w:pPr>
              <w:pStyle w:val="66"/>
              <w:shd w:val="clear" w:color="auto" w:fill="FFFFFF"/>
              <w:spacing w:line="360" w:lineRule="auto"/>
              <w:jc w:val="both"/>
              <w:rPr>
                <w:bCs/>
                <w:color w:val="auto"/>
                <w:highlight w:val="none"/>
              </w:rPr>
            </w:pPr>
          </w:p>
        </w:tc>
        <w:tc>
          <w:tcPr>
            <w:tcW w:w="1333" w:type="dxa"/>
            <w:gridSpan w:val="3"/>
            <w:vAlign w:val="center"/>
          </w:tcPr>
          <w:p>
            <w:pPr>
              <w:pStyle w:val="66"/>
              <w:shd w:val="clear" w:color="auto" w:fill="FFFFFF"/>
              <w:spacing w:line="360" w:lineRule="auto"/>
              <w:jc w:val="both"/>
              <w:rPr>
                <w:bCs/>
                <w:color w:val="auto"/>
                <w:highlight w:val="none"/>
              </w:rPr>
            </w:pPr>
          </w:p>
        </w:tc>
        <w:tc>
          <w:tcPr>
            <w:tcW w:w="1077" w:type="dxa"/>
            <w:vAlign w:val="center"/>
          </w:tcPr>
          <w:p>
            <w:pPr>
              <w:pStyle w:val="66"/>
              <w:shd w:val="clear" w:color="auto" w:fill="FFFFFF"/>
              <w:spacing w:line="360" w:lineRule="auto"/>
              <w:jc w:val="both"/>
              <w:rPr>
                <w:bCs/>
                <w:color w:val="auto"/>
                <w:highlight w:val="none"/>
              </w:rPr>
            </w:pPr>
          </w:p>
        </w:tc>
        <w:tc>
          <w:tcPr>
            <w:tcW w:w="1617" w:type="dxa"/>
            <w:gridSpan w:val="2"/>
            <w:vAlign w:val="center"/>
          </w:tcPr>
          <w:p>
            <w:pPr>
              <w:pStyle w:val="66"/>
              <w:shd w:val="clear" w:color="auto" w:fill="FFFFFF"/>
              <w:spacing w:line="360" w:lineRule="auto"/>
              <w:jc w:val="both"/>
              <w:rPr>
                <w:bCs/>
                <w:color w:val="auto"/>
                <w:highlight w:val="none"/>
              </w:rPr>
            </w:pPr>
          </w:p>
        </w:tc>
        <w:tc>
          <w:tcPr>
            <w:tcW w:w="2551" w:type="dxa"/>
            <w:gridSpan w:val="2"/>
            <w:vAlign w:val="center"/>
          </w:tcPr>
          <w:p>
            <w:pPr>
              <w:pStyle w:val="66"/>
              <w:shd w:val="clear" w:color="auto" w:fill="FFFFFF"/>
              <w:spacing w:line="360" w:lineRule="auto"/>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pPr>
              <w:pStyle w:val="66"/>
              <w:shd w:val="clear" w:color="auto" w:fill="FFFFFF"/>
              <w:spacing w:line="360" w:lineRule="auto"/>
              <w:ind w:left="107"/>
              <w:jc w:val="both"/>
              <w:rPr>
                <w:bCs/>
                <w:color w:val="auto"/>
                <w:spacing w:val="16"/>
                <w:highlight w:val="none"/>
              </w:rPr>
            </w:pPr>
          </w:p>
        </w:tc>
        <w:tc>
          <w:tcPr>
            <w:tcW w:w="1355" w:type="dxa"/>
            <w:gridSpan w:val="2"/>
            <w:vAlign w:val="center"/>
          </w:tcPr>
          <w:p>
            <w:pPr>
              <w:pStyle w:val="66"/>
              <w:shd w:val="clear" w:color="auto" w:fill="FFFFFF"/>
              <w:spacing w:before="0" w:beforeAutospacing="0" w:after="0" w:afterAutospacing="0" w:line="360" w:lineRule="auto"/>
              <w:ind w:right="-107" w:rightChars="-51"/>
              <w:jc w:val="both"/>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pPr>
              <w:pStyle w:val="66"/>
              <w:shd w:val="clear" w:color="auto" w:fill="FFFFFF"/>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pPr>
              <w:pStyle w:val="66"/>
              <w:shd w:val="clear" w:color="auto" w:fill="FFFFFF"/>
              <w:spacing w:line="360" w:lineRule="auto"/>
              <w:ind w:left="107"/>
              <w:jc w:val="both"/>
              <w:rPr>
                <w:bCs/>
                <w:color w:val="auto"/>
                <w:spacing w:val="27"/>
                <w:highlight w:val="none"/>
              </w:rPr>
            </w:pPr>
          </w:p>
        </w:tc>
        <w:tc>
          <w:tcPr>
            <w:tcW w:w="1355" w:type="dxa"/>
            <w:gridSpan w:val="2"/>
            <w:vAlign w:val="center"/>
          </w:tcPr>
          <w:p>
            <w:pPr>
              <w:pStyle w:val="66"/>
              <w:shd w:val="clear" w:color="auto" w:fill="FFFFFF"/>
              <w:spacing w:line="360" w:lineRule="auto"/>
              <w:jc w:val="both"/>
              <w:rPr>
                <w:bCs/>
                <w:color w:val="auto"/>
                <w:spacing w:val="16"/>
                <w:highlight w:val="none"/>
              </w:rPr>
            </w:pPr>
            <w:r>
              <w:rPr>
                <w:rFonts w:hint="eastAsia"/>
                <w:bCs/>
                <w:color w:val="auto"/>
                <w:spacing w:val="10"/>
                <w:highlight w:val="none"/>
              </w:rPr>
              <w:t>企业获得专利情况</w:t>
            </w:r>
          </w:p>
        </w:tc>
        <w:tc>
          <w:tcPr>
            <w:tcW w:w="6578" w:type="dxa"/>
            <w:gridSpan w:val="8"/>
            <w:vAlign w:val="center"/>
          </w:tcPr>
          <w:p>
            <w:pPr>
              <w:pStyle w:val="66"/>
              <w:shd w:val="clear" w:color="auto" w:fill="FFFFFF"/>
              <w:spacing w:line="360" w:lineRule="auto"/>
              <w:jc w:val="both"/>
              <w:rPr>
                <w:bCs/>
                <w:color w:val="auto"/>
                <w:spacing w:val="16"/>
                <w:highlight w:val="none"/>
              </w:rPr>
            </w:pPr>
          </w:p>
        </w:tc>
      </w:tr>
    </w:tbl>
    <w:p>
      <w:pPr>
        <w:spacing w:line="360" w:lineRule="auto"/>
        <w:rPr>
          <w:rFonts w:ascii="宋体" w:hAnsi="宋体" w:cs="宋体"/>
          <w:color w:val="auto"/>
          <w:sz w:val="24"/>
          <w:szCs w:val="32"/>
          <w:highlight w:val="none"/>
        </w:rPr>
      </w:pPr>
    </w:p>
    <w:p>
      <w:pPr>
        <w:spacing w:line="360" w:lineRule="auto"/>
        <w:rPr>
          <w:b/>
          <w:bCs/>
          <w:color w:val="auto"/>
          <w:sz w:val="24"/>
          <w:szCs w:val="32"/>
          <w:highlight w:val="none"/>
        </w:rPr>
      </w:pPr>
      <w:r>
        <w:rPr>
          <w:rFonts w:hint="eastAsia"/>
          <w:b/>
          <w:bCs/>
          <w:color w:val="auto"/>
          <w:sz w:val="24"/>
          <w:szCs w:val="32"/>
          <w:highlight w:val="none"/>
        </w:rPr>
        <w:t>要求：</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pPr>
        <w:spacing w:line="360" w:lineRule="auto"/>
        <w:rPr>
          <w:rFonts w:ascii="宋体" w:hAnsi="宋体" w:cs="宋体"/>
          <w:color w:val="auto"/>
          <w:sz w:val="24"/>
          <w:szCs w:val="32"/>
          <w:highlight w:val="none"/>
        </w:rPr>
      </w:pPr>
    </w:p>
    <w:p>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480" w:lineRule="exact"/>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11</w:t>
      </w:r>
    </w:p>
    <w:p>
      <w:pP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项目实施人员一览表（标段）</w:t>
      </w:r>
    </w:p>
    <w:p>
      <w:pPr>
        <w:spacing w:line="360" w:lineRule="auto"/>
        <w:jc w:val="center"/>
        <w:rPr>
          <w:color w:val="auto"/>
          <w:sz w:val="24"/>
          <w:szCs w:val="32"/>
          <w:highlight w:val="none"/>
        </w:rPr>
      </w:pPr>
      <w:r>
        <w:rPr>
          <w:rFonts w:hint="eastAsia"/>
          <w:color w:val="auto"/>
          <w:sz w:val="24"/>
          <w:szCs w:val="32"/>
          <w:highlight w:val="none"/>
        </w:rPr>
        <w:t>（主要从业人员及其技术资格）</w:t>
      </w:r>
    </w:p>
    <w:tbl>
      <w:tblPr>
        <w:tblStyle w:val="27"/>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5"/>
              <w:snapToGrid w:val="0"/>
              <w:spacing w:before="156"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5"/>
              <w:snapToGrid w:val="0"/>
              <w:spacing w:before="156"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5"/>
              <w:spacing w:line="360" w:lineRule="auto"/>
              <w:ind w:left="5250"/>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bl>
    <w:p>
      <w:pPr>
        <w:spacing w:line="360" w:lineRule="auto"/>
        <w:jc w:val="left"/>
        <w:rPr>
          <w:b/>
          <w:bCs/>
          <w:color w:val="auto"/>
          <w:sz w:val="24"/>
          <w:szCs w:val="32"/>
          <w:highlight w:val="none"/>
        </w:rPr>
      </w:pPr>
      <w:r>
        <w:rPr>
          <w:rFonts w:hint="eastAsia"/>
          <w:b/>
          <w:bCs/>
          <w:color w:val="auto"/>
          <w:sz w:val="24"/>
          <w:szCs w:val="32"/>
          <w:highlight w:val="none"/>
        </w:rPr>
        <w:t>要求：</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3.出具上述人员在本单位服务的外部证明，如：投标截止日之前六个月以内的代缴个税税单或参加社会保险的《投保单》或《社会保险参保人员证明》等。</w:t>
      </w:r>
    </w:p>
    <w:p>
      <w:pPr>
        <w:spacing w:line="360" w:lineRule="auto"/>
        <w:rPr>
          <w:rFonts w:ascii="宋体" w:hAnsi="宋体" w:cs="宋体"/>
          <w:color w:val="auto"/>
          <w:sz w:val="24"/>
          <w:szCs w:val="32"/>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widowControl/>
        <w:jc w:val="left"/>
        <w:rPr>
          <w:rFonts w:ascii="宋体" w:hAnsi="宋体"/>
          <w:b/>
          <w:color w:val="auto"/>
          <w:sz w:val="28"/>
          <w:highlight w:val="none"/>
        </w:rPr>
      </w:pPr>
      <w:r>
        <w:rPr>
          <w:rFonts w:ascii="宋体" w:hAnsi="宋体"/>
          <w:b/>
          <w:color w:val="auto"/>
          <w:sz w:val="28"/>
          <w:highlight w:val="none"/>
        </w:rPr>
        <w:br w:type="page"/>
      </w:r>
    </w:p>
    <w:p>
      <w:pPr>
        <w:spacing w:line="480" w:lineRule="exact"/>
        <w:rPr>
          <w:rFonts w:ascii="宋体" w:hAnsi="宋体"/>
          <w:b/>
          <w:color w:val="auto"/>
          <w:sz w:val="28"/>
          <w:highlight w:val="none"/>
        </w:rPr>
      </w:pPr>
      <w:r>
        <w:rPr>
          <w:rFonts w:hint="eastAsia" w:ascii="宋体" w:hAnsi="宋体"/>
          <w:b/>
          <w:color w:val="auto"/>
          <w:sz w:val="28"/>
          <w:highlight w:val="none"/>
        </w:rPr>
        <w:t>附件12</w:t>
      </w:r>
    </w:p>
    <w:p>
      <w:pPr>
        <w:spacing w:before="156" w:beforeLines="50" w:after="156" w:afterLines="50" w:line="480" w:lineRule="exact"/>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ascii="宋体" w:hAnsi="宋体"/>
          <w:color w:val="auto"/>
          <w:sz w:val="24"/>
          <w:szCs w:val="32"/>
          <w:highlight w:val="none"/>
        </w:rPr>
      </w:pPr>
      <w:r>
        <w:rPr>
          <w:rFonts w:hint="eastAsia" w:ascii="宋体" w:hAnsi="宋体"/>
          <w:color w:val="auto"/>
          <w:sz w:val="24"/>
          <w:szCs w:val="32"/>
          <w:highlight w:val="none"/>
        </w:rPr>
        <w:t>采购项目：                                        采购编号：</w:t>
      </w:r>
    </w:p>
    <w:tbl>
      <w:tblPr>
        <w:tblStyle w:val="27"/>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jc w:val="center"/>
              <w:rPr>
                <w:b/>
                <w:bCs/>
                <w:color w:val="auto"/>
                <w:sz w:val="24"/>
                <w:highlight w:val="none"/>
                <w:lang w:val="zh-CN"/>
              </w:rPr>
            </w:pPr>
            <w:r>
              <w:rPr>
                <w:rFonts w:hint="eastAsia"/>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jc w:val="center"/>
              <w:rPr>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jc w:val="center"/>
              <w:rPr>
                <w:b/>
                <w:bCs/>
                <w:color w:val="auto"/>
                <w:sz w:val="24"/>
                <w:highlight w:val="none"/>
                <w:lang w:val="zh-CN"/>
              </w:rPr>
            </w:pPr>
            <w:r>
              <w:rPr>
                <w:rFonts w:hint="eastAsia"/>
                <w:b/>
                <w:bCs/>
                <w:color w:val="auto"/>
                <w:sz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color w:val="auto"/>
                <w:sz w:val="24"/>
                <w:highlight w:val="none"/>
                <w:lang w:val="zh-CN"/>
              </w:rPr>
            </w:pPr>
            <w:r>
              <w:rPr>
                <w:rFonts w:hint="eastAsia"/>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jc w:val="center"/>
              <w:rPr>
                <w:b/>
                <w:bCs/>
                <w:color w:val="auto"/>
                <w:sz w:val="24"/>
                <w:highlight w:val="none"/>
              </w:rPr>
            </w:pPr>
            <w:r>
              <w:rPr>
                <w:rFonts w:hint="eastAsia"/>
                <w:b/>
                <w:bCs/>
                <w:color w:val="auto"/>
                <w:sz w:val="24"/>
                <w:highlight w:val="none"/>
              </w:rPr>
              <w:t>注：业绩证明应提供旁证材料</w:t>
            </w:r>
          </w:p>
          <w:p>
            <w:pPr>
              <w:jc w:val="center"/>
              <w:rPr>
                <w:b/>
                <w:bCs/>
                <w:color w:val="auto"/>
                <w:sz w:val="24"/>
                <w:highlight w:val="none"/>
                <w:lang w:val="zh-CN"/>
              </w:rPr>
            </w:pPr>
            <w:r>
              <w:rPr>
                <w:rFonts w:hint="eastAsia"/>
                <w:b/>
                <w:bCs/>
                <w:color w:val="auto"/>
                <w:sz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color w:val="auto"/>
                <w:sz w:val="24"/>
                <w:highlight w:val="none"/>
                <w:lang w:val="zh-CN"/>
              </w:rPr>
            </w:pPr>
            <w:r>
              <w:rPr>
                <w:rFonts w:hint="eastAsia"/>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color w:val="auto"/>
                <w:sz w:val="24"/>
                <w:highlight w:val="none"/>
                <w:lang w:val="zh-CN"/>
              </w:rPr>
            </w:pPr>
            <w:r>
              <w:rPr>
                <w:rFonts w:hint="eastAsia"/>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color w:val="auto"/>
                <w:sz w:val="24"/>
                <w:highlight w:val="none"/>
                <w:lang w:val="zh-CN"/>
              </w:rPr>
            </w:pPr>
            <w:r>
              <w:rPr>
                <w:rFonts w:hint="eastAsia"/>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color w:val="auto"/>
                <w:sz w:val="24"/>
                <w:highlight w:val="none"/>
                <w:lang w:val="zh-CN"/>
              </w:rPr>
            </w:pPr>
            <w:r>
              <w:rPr>
                <w:rFonts w:hint="eastAsia"/>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color w:val="auto"/>
                <w:sz w:val="24"/>
                <w:highlight w:val="none"/>
                <w:lang w:val="zh-CN"/>
              </w:rPr>
            </w:pPr>
            <w:r>
              <w:rPr>
                <w:rFonts w:hint="eastAsia"/>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color w:val="auto"/>
                <w:sz w:val="24"/>
                <w:highlight w:val="none"/>
                <w:lang w:val="zh-CN"/>
              </w:rPr>
            </w:pPr>
            <w:r>
              <w:rPr>
                <w:rFonts w:hint="eastAsia"/>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jc w:val="center"/>
              <w:rPr>
                <w:b/>
                <w:bCs/>
                <w:color w:val="auto"/>
                <w:sz w:val="24"/>
                <w:highlight w:val="none"/>
                <w:lang w:val="zh-CN"/>
              </w:rPr>
            </w:pPr>
            <w:r>
              <w:rPr>
                <w:rFonts w:hint="eastAsia"/>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jc w:val="center"/>
              <w:rPr>
                <w:b/>
                <w:bCs/>
                <w:color w:val="auto"/>
                <w:sz w:val="24"/>
                <w:highlight w:val="none"/>
                <w:lang w:val="zh-CN"/>
              </w:rPr>
            </w:pPr>
          </w:p>
        </w:tc>
      </w:tr>
    </w:tbl>
    <w:p>
      <w:pPr>
        <w:spacing w:line="360" w:lineRule="auto"/>
        <w:rPr>
          <w:rFonts w:ascii="宋体" w:hAnsi="宋体"/>
          <w:color w:val="auto"/>
          <w:sz w:val="24"/>
          <w:highlight w:val="none"/>
        </w:rPr>
      </w:pPr>
    </w:p>
    <w:p>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widowControl/>
        <w:jc w:val="left"/>
        <w:rPr>
          <w:rFonts w:ascii="宋体" w:hAnsi="宋体" w:cs="宋体"/>
          <w:b/>
          <w:bCs/>
          <w:color w:val="auto"/>
          <w:sz w:val="28"/>
          <w:szCs w:val="36"/>
          <w:highlight w:val="none"/>
          <w:lang w:val="zh-CN"/>
        </w:rPr>
      </w:pPr>
      <w:r>
        <w:rPr>
          <w:rFonts w:ascii="宋体" w:hAnsi="宋体" w:cs="宋体"/>
          <w:b/>
          <w:bCs/>
          <w:color w:val="auto"/>
          <w:sz w:val="28"/>
          <w:szCs w:val="36"/>
          <w:highlight w:val="none"/>
          <w:lang w:val="zh-CN"/>
        </w:rPr>
        <w:br w:type="page"/>
      </w:r>
    </w:p>
    <w:p>
      <w:pPr>
        <w:spacing w:line="480" w:lineRule="exact"/>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pP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 (第 标)</w:t>
      </w:r>
    </w:p>
    <w:p>
      <w:pPr>
        <w:spacing w:line="480" w:lineRule="auto"/>
        <w:rPr>
          <w:rFonts w:ascii="宋体" w:hAnsi="宋体"/>
          <w:color w:val="auto"/>
          <w:sz w:val="24"/>
          <w:highlight w:val="none"/>
        </w:rPr>
      </w:pPr>
      <w:r>
        <w:rPr>
          <w:rFonts w:hint="eastAsia" w:ascii="宋体" w:hAnsi="宋体"/>
          <w:color w:val="auto"/>
          <w:sz w:val="24"/>
          <w:highlight w:val="none"/>
        </w:rPr>
        <w:t>项目编号：</w:t>
      </w:r>
    </w:p>
    <w:tbl>
      <w:tblPr>
        <w:tblStyle w:val="27"/>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1.本表中的名称、数量应与报价明细表中相对应的报价名称、数量一致。</w:t>
      </w:r>
    </w:p>
    <w:p>
      <w:pPr>
        <w:spacing w:line="360" w:lineRule="auto"/>
        <w:rPr>
          <w:rFonts w:ascii="宋体" w:hAnsi="宋体"/>
          <w:color w:val="auto"/>
          <w:sz w:val="24"/>
          <w:highlight w:val="none"/>
        </w:rPr>
      </w:pPr>
    </w:p>
    <w:p>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480" w:lineRule="exact"/>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14</w:t>
      </w:r>
    </w:p>
    <w:p>
      <w:pPr>
        <w:spacing w:line="480" w:lineRule="exact"/>
        <w:ind w:left="480"/>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r>
        <w:rPr>
          <w:rFonts w:ascii="宋体" w:hAnsi="宋体"/>
          <w:b/>
          <w:bCs/>
          <w:color w:val="auto"/>
          <w:sz w:val="32"/>
          <w:szCs w:val="32"/>
          <w:highlight w:val="none"/>
        </w:rPr>
        <w:t>(</w:t>
      </w:r>
      <w:r>
        <w:rPr>
          <w:rFonts w:hint="eastAsia" w:ascii="宋体" w:hAnsi="宋体"/>
          <w:b/>
          <w:bCs/>
          <w:color w:val="auto"/>
          <w:sz w:val="32"/>
          <w:szCs w:val="32"/>
          <w:highlight w:val="none"/>
        </w:rPr>
        <w:t>第</w:t>
      </w:r>
      <w:r>
        <w:rPr>
          <w:rFonts w:ascii="宋体" w:hAnsi="宋体"/>
          <w:b/>
          <w:bCs/>
          <w:color w:val="auto"/>
          <w:sz w:val="32"/>
          <w:szCs w:val="32"/>
          <w:highlight w:val="none"/>
        </w:rPr>
        <w:t xml:space="preserve"> </w:t>
      </w:r>
      <w:r>
        <w:rPr>
          <w:rFonts w:hint="eastAsia" w:ascii="宋体" w:hAnsi="宋体"/>
          <w:b/>
          <w:bCs/>
          <w:color w:val="auto"/>
          <w:sz w:val="32"/>
          <w:szCs w:val="32"/>
          <w:highlight w:val="none"/>
        </w:rPr>
        <w:t>标</w:t>
      </w:r>
      <w:r>
        <w:rPr>
          <w:rFonts w:ascii="宋体" w:hAnsi="宋体"/>
          <w:b/>
          <w:bCs/>
          <w:color w:val="auto"/>
          <w:sz w:val="32"/>
          <w:szCs w:val="32"/>
          <w:highlight w:val="none"/>
        </w:rPr>
        <w:t>)</w:t>
      </w:r>
    </w:p>
    <w:tbl>
      <w:tblPr>
        <w:tblStyle w:val="2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pP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pP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pP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pPr>
              <w:spacing w:line="360" w:lineRule="auto"/>
              <w:rPr>
                <w:rFonts w:asci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bl>
    <w:p>
      <w:pPr>
        <w:spacing w:line="360" w:lineRule="auto"/>
        <w:rPr>
          <w:rFonts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1.本表的名称须与《报价明细表》一致。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2.本表参照本招标文件第四章“招标需求”内第二条“具体技术需求”填制，投标人应根据投标设备的性能指标、服务指标，对照招标文件要求在“偏离情况”栏注明“正偏离”、“负偏离”或“无偏离”。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auto"/>
          <w:sz w:val="24"/>
          <w:highlight w:val="none"/>
        </w:rPr>
      </w:pPr>
    </w:p>
    <w:p>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widowControl/>
        <w:jc w:val="left"/>
        <w:rPr>
          <w:rFonts w:ascii="宋体" w:hAnsi="宋体" w:cs="宋体"/>
          <w:b/>
          <w:bCs/>
          <w:color w:val="auto"/>
          <w:sz w:val="28"/>
          <w:szCs w:val="36"/>
          <w:highlight w:val="none"/>
          <w:lang w:val="zh-CN"/>
        </w:rPr>
      </w:pPr>
      <w:r>
        <w:rPr>
          <w:rFonts w:ascii="宋体" w:hAnsi="宋体" w:cs="宋体"/>
          <w:b/>
          <w:bCs/>
          <w:color w:val="auto"/>
          <w:sz w:val="28"/>
          <w:szCs w:val="36"/>
          <w:highlight w:val="none"/>
          <w:lang w:val="zh-CN"/>
        </w:rPr>
        <w:br w:type="page"/>
      </w:r>
    </w:p>
    <w:p>
      <w:pPr>
        <w:spacing w:line="480" w:lineRule="exact"/>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15</w:t>
      </w:r>
    </w:p>
    <w:p>
      <w:pP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tbl>
      <w:tblPr>
        <w:tblStyle w:val="27"/>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double" w:color="auto" w:sz="4" w:space="0"/>
            </w:tcBorders>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double" w:color="auto" w:sz="4" w:space="0"/>
            </w:tcBorders>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double" w:color="auto" w:sz="4" w:space="0"/>
              <w:right w:val="single" w:color="auto" w:sz="4" w:space="0"/>
            </w:tcBorders>
          </w:tcPr>
          <w:p>
            <w:pPr>
              <w:pStyle w:val="56"/>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6"/>
              <w:spacing w:line="360" w:lineRule="auto"/>
              <w:jc w:val="center"/>
              <w:rPr>
                <w:rFonts w:ascii="宋体" w:cs="Arial"/>
                <w:color w:val="auto"/>
                <w:szCs w:val="21"/>
                <w:highlight w:val="none"/>
              </w:rPr>
            </w:pPr>
          </w:p>
        </w:tc>
        <w:tc>
          <w:tcPr>
            <w:tcW w:w="2258" w:type="dxa"/>
          </w:tcPr>
          <w:p>
            <w:pPr>
              <w:pStyle w:val="56"/>
              <w:spacing w:line="360" w:lineRule="auto"/>
              <w:jc w:val="center"/>
              <w:rPr>
                <w:rFonts w:ascii="宋体" w:cs="Arial"/>
                <w:color w:val="auto"/>
                <w:szCs w:val="21"/>
                <w:highlight w:val="none"/>
              </w:rPr>
            </w:pPr>
          </w:p>
        </w:tc>
        <w:tc>
          <w:tcPr>
            <w:tcW w:w="2260" w:type="dxa"/>
          </w:tcPr>
          <w:p>
            <w:pPr>
              <w:pStyle w:val="56"/>
              <w:spacing w:line="360" w:lineRule="auto"/>
              <w:jc w:val="center"/>
              <w:rPr>
                <w:rFonts w:ascii="宋体" w:cs="Arial"/>
                <w:color w:val="auto"/>
                <w:szCs w:val="21"/>
                <w:highlight w:val="none"/>
              </w:rPr>
            </w:pPr>
          </w:p>
        </w:tc>
        <w:tc>
          <w:tcPr>
            <w:tcW w:w="2047" w:type="dxa"/>
            <w:tcBorders>
              <w:right w:val="single" w:color="auto" w:sz="4" w:space="0"/>
            </w:tcBorders>
          </w:tcPr>
          <w:p>
            <w:pPr>
              <w:pStyle w:val="56"/>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6"/>
              <w:spacing w:line="360" w:lineRule="auto"/>
              <w:jc w:val="center"/>
              <w:rPr>
                <w:rFonts w:ascii="宋体" w:cs="Arial"/>
                <w:color w:val="auto"/>
                <w:szCs w:val="21"/>
                <w:highlight w:val="none"/>
              </w:rPr>
            </w:pPr>
          </w:p>
        </w:tc>
        <w:tc>
          <w:tcPr>
            <w:tcW w:w="2258" w:type="dxa"/>
            <w:tcBorders>
              <w:bottom w:val="double" w:color="auto" w:sz="4" w:space="0"/>
            </w:tcBorders>
          </w:tcPr>
          <w:p>
            <w:pPr>
              <w:pStyle w:val="56"/>
              <w:spacing w:line="360" w:lineRule="auto"/>
              <w:jc w:val="center"/>
              <w:rPr>
                <w:rFonts w:ascii="宋体" w:cs="Arial"/>
                <w:color w:val="auto"/>
                <w:szCs w:val="21"/>
                <w:highlight w:val="none"/>
              </w:rPr>
            </w:pPr>
          </w:p>
        </w:tc>
        <w:tc>
          <w:tcPr>
            <w:tcW w:w="2260" w:type="dxa"/>
            <w:tcBorders>
              <w:bottom w:val="double" w:color="auto" w:sz="4" w:space="0"/>
            </w:tcBorders>
          </w:tcPr>
          <w:p>
            <w:pPr>
              <w:pStyle w:val="56"/>
              <w:spacing w:line="360" w:lineRule="auto"/>
              <w:jc w:val="center"/>
              <w:rPr>
                <w:rFonts w:ascii="宋体" w:cs="Arial"/>
                <w:color w:val="auto"/>
                <w:szCs w:val="21"/>
                <w:highlight w:val="none"/>
              </w:rPr>
            </w:pPr>
          </w:p>
        </w:tc>
        <w:tc>
          <w:tcPr>
            <w:tcW w:w="2047" w:type="dxa"/>
            <w:tcBorders>
              <w:bottom w:val="double" w:color="auto" w:sz="4" w:space="0"/>
              <w:right w:val="single" w:color="auto" w:sz="4" w:space="0"/>
            </w:tcBorders>
          </w:tcPr>
          <w:p>
            <w:pPr>
              <w:pStyle w:val="56"/>
              <w:spacing w:line="360" w:lineRule="auto"/>
              <w:jc w:val="center"/>
              <w:rPr>
                <w:rFonts w:ascii="宋体" w:cs="Arial"/>
                <w:color w:val="auto"/>
                <w:szCs w:val="21"/>
                <w:highlight w:val="none"/>
              </w:rPr>
            </w:pPr>
          </w:p>
        </w:tc>
      </w:tr>
    </w:tbl>
    <w:p>
      <w:pPr>
        <w:spacing w:line="360" w:lineRule="auto"/>
        <w:jc w:val="left"/>
        <w:rPr>
          <w:rFonts w:ascii="宋体" w:hAnsi="宋体" w:cs="宋体"/>
          <w:b/>
          <w:bCs/>
          <w:color w:val="auto"/>
          <w:sz w:val="24"/>
          <w:szCs w:val="32"/>
          <w:highlight w:val="none"/>
          <w:lang w:val="zh-CN"/>
        </w:rPr>
      </w:pPr>
    </w:p>
    <w:p>
      <w:pPr>
        <w:spacing w:line="360" w:lineRule="auto"/>
        <w:rPr>
          <w:rFonts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1.填写投标人获得资质、认证或企业信誉证书；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2.附所列证书复印件或其他证明材料。</w:t>
      </w:r>
    </w:p>
    <w:p>
      <w:pPr>
        <w:spacing w:line="360" w:lineRule="auto"/>
        <w:jc w:val="left"/>
        <w:rPr>
          <w:rFonts w:ascii="宋体" w:hAnsi="宋体" w:cs="宋体"/>
          <w:b/>
          <w:bCs/>
          <w:color w:val="auto"/>
          <w:sz w:val="24"/>
          <w:szCs w:val="32"/>
          <w:highlight w:val="none"/>
          <w:lang w:val="zh-CN"/>
        </w:rPr>
      </w:pPr>
    </w:p>
    <w:p>
      <w:pPr>
        <w:spacing w:line="360" w:lineRule="auto"/>
        <w:jc w:val="left"/>
        <w:rPr>
          <w:rFonts w:ascii="宋体" w:hAnsi="宋体" w:cs="宋体"/>
          <w:b/>
          <w:bCs/>
          <w:color w:val="auto"/>
          <w:sz w:val="24"/>
          <w:szCs w:val="32"/>
          <w:highlight w:val="none"/>
          <w:lang w:val="zh-CN"/>
        </w:rPr>
      </w:pPr>
    </w:p>
    <w:p>
      <w:pPr>
        <w:spacing w:line="360" w:lineRule="auto"/>
        <w:jc w:val="left"/>
        <w:rPr>
          <w:rFonts w:ascii="宋体" w:hAnsi="宋体" w:cs="宋体"/>
          <w:b/>
          <w:bCs/>
          <w:color w:val="auto"/>
          <w:sz w:val="24"/>
          <w:szCs w:val="32"/>
          <w:highlight w:val="none"/>
          <w:lang w:val="zh-CN"/>
        </w:rPr>
      </w:pPr>
    </w:p>
    <w:p>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pacing w:line="360" w:lineRule="auto"/>
        <w:rPr>
          <w:rFonts w:ascii="宋体" w:hAnsi="宋体"/>
          <w:b/>
          <w:bCs/>
          <w:color w:val="auto"/>
          <w:sz w:val="24"/>
          <w:highlight w:val="none"/>
        </w:rPr>
      </w:pPr>
    </w:p>
    <w:p>
      <w:pPr>
        <w:spacing w:line="360" w:lineRule="auto"/>
        <w:rPr>
          <w:rFonts w:ascii="宋体" w:hAnsi="宋体"/>
          <w:b/>
          <w:bCs/>
          <w:color w:val="auto"/>
          <w:sz w:val="24"/>
          <w:highlight w:val="none"/>
        </w:rPr>
      </w:pPr>
    </w:p>
    <w:p>
      <w:pPr>
        <w:spacing w:line="360" w:lineRule="auto"/>
        <w:rPr>
          <w:rFonts w:ascii="宋体" w:hAnsi="宋体"/>
          <w:b/>
          <w:bCs/>
          <w:color w:val="auto"/>
          <w:sz w:val="24"/>
          <w:highlight w:val="none"/>
        </w:rPr>
      </w:pPr>
    </w:p>
    <w:p>
      <w:pPr>
        <w:spacing w:line="360" w:lineRule="auto"/>
        <w:rPr>
          <w:rFonts w:ascii="宋体" w:hAnsi="宋体"/>
          <w:b/>
          <w:bCs/>
          <w:color w:val="auto"/>
          <w:sz w:val="24"/>
          <w:highlight w:val="none"/>
        </w:rPr>
      </w:pPr>
    </w:p>
    <w:p>
      <w:pPr>
        <w:spacing w:line="360" w:lineRule="auto"/>
        <w:rPr>
          <w:rFonts w:ascii="宋体" w:hAnsi="宋体"/>
          <w:b/>
          <w:bCs/>
          <w:color w:val="auto"/>
          <w:sz w:val="24"/>
          <w:highlight w:val="none"/>
        </w:rPr>
      </w:pPr>
    </w:p>
    <w:p>
      <w:pPr>
        <w:spacing w:line="360" w:lineRule="auto"/>
        <w:rPr>
          <w:rFonts w:ascii="宋体" w:hAnsi="宋体"/>
          <w:b/>
          <w:bCs/>
          <w:color w:val="auto"/>
          <w:sz w:val="24"/>
          <w:highlight w:val="none"/>
        </w:rPr>
      </w:pPr>
    </w:p>
    <w:p>
      <w:pPr>
        <w:widowControl/>
        <w:jc w:val="left"/>
        <w:rPr>
          <w:rFonts w:ascii="宋体" w:hAnsi="宋体" w:cs="宋体"/>
          <w:b/>
          <w:bCs/>
          <w:color w:val="auto"/>
          <w:sz w:val="28"/>
          <w:szCs w:val="36"/>
          <w:highlight w:val="none"/>
          <w:lang w:val="zh-CN"/>
        </w:rPr>
      </w:pPr>
      <w:r>
        <w:rPr>
          <w:rFonts w:ascii="宋体" w:hAnsi="宋体" w:cs="宋体"/>
          <w:b/>
          <w:bCs/>
          <w:color w:val="auto"/>
          <w:sz w:val="28"/>
          <w:szCs w:val="36"/>
          <w:highlight w:val="none"/>
          <w:lang w:val="zh-CN"/>
        </w:rPr>
        <w:br w:type="page"/>
      </w:r>
    </w:p>
    <w:p>
      <w:pPr>
        <w:spacing w:line="480" w:lineRule="exact"/>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rPr>
        <w:t>6</w:t>
      </w:r>
    </w:p>
    <w:p>
      <w:pP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tbl>
      <w:tblPr>
        <w:tblStyle w:val="2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2"/>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jc w:val="center"/>
              <w:rPr>
                <w:rFonts w:ascii="宋体" w:cs="Arial"/>
                <w:color w:val="auto"/>
                <w:sz w:val="24"/>
                <w:highlight w:val="none"/>
              </w:rPr>
            </w:pPr>
            <w:r>
              <w:rPr>
                <w:rFonts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jc w:val="center"/>
              <w:rPr>
                <w:rFonts w:ascii="宋体" w:cs="Arial"/>
                <w:color w:val="auto"/>
                <w:sz w:val="24"/>
                <w:highlight w:val="none"/>
              </w:rPr>
            </w:pPr>
            <w:r>
              <w:rPr>
                <w:rFonts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jc w:val="center"/>
              <w:rPr>
                <w:rFonts w:ascii="宋体" w:cs="Arial"/>
                <w:color w:val="auto"/>
                <w:sz w:val="24"/>
                <w:highlight w:val="none"/>
              </w:rPr>
            </w:pPr>
            <w:r>
              <w:rPr>
                <w:rFonts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2"/>
              <w:spacing w:line="360" w:lineRule="auto"/>
              <w:rPr>
                <w:rFonts w:ascii="宋体" w:cs="Arial"/>
                <w:color w:val="auto"/>
                <w:sz w:val="24"/>
                <w:highlight w:val="none"/>
              </w:rPr>
            </w:pPr>
          </w:p>
        </w:tc>
      </w:tr>
    </w:tbl>
    <w:p>
      <w:pPr>
        <w:spacing w:line="360" w:lineRule="auto"/>
        <w:rPr>
          <w:rFonts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1.业绩证明应提供证明材料（合同复印件可只提供首页、含金额页、盖章页并加盖投标人公章）；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2.报价供应商可按此表格式复制。</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widowControl/>
        <w:jc w:val="left"/>
        <w:rPr>
          <w:rFonts w:ascii="宋体" w:hAnsi="宋体" w:cs="宋体"/>
          <w:b/>
          <w:bCs/>
          <w:color w:val="auto"/>
          <w:sz w:val="28"/>
          <w:szCs w:val="36"/>
          <w:highlight w:val="none"/>
          <w:lang w:val="zh-CN"/>
        </w:rPr>
      </w:pPr>
      <w:r>
        <w:rPr>
          <w:rFonts w:ascii="宋体" w:hAnsi="宋体" w:cs="宋体"/>
          <w:b/>
          <w:bCs/>
          <w:color w:val="auto"/>
          <w:sz w:val="28"/>
          <w:szCs w:val="36"/>
          <w:highlight w:val="none"/>
          <w:lang w:val="zh-CN"/>
        </w:rPr>
        <w:br w:type="page"/>
      </w:r>
    </w:p>
    <w:p>
      <w:pPr>
        <w:spacing w:line="480" w:lineRule="exact"/>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rPr>
        <w:t>7</w:t>
      </w:r>
    </w:p>
    <w:p>
      <w:pP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资信及商务需求响应表(第 标)</w:t>
      </w:r>
    </w:p>
    <w:tbl>
      <w:tblPr>
        <w:tblStyle w:val="2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pP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r>
              <w:rPr>
                <w:rFonts w:hint="eastAsia" w:ascii="宋体" w:hAnsi="宋体"/>
                <w:color w:val="auto"/>
                <w:sz w:val="24"/>
                <w:highlight w:val="none"/>
              </w:rPr>
              <w:t>质保期</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r>
              <w:rPr>
                <w:rFonts w:hint="eastAsia" w:ascii="宋体" w:hAnsi="宋体"/>
                <w:color w:val="auto"/>
                <w:sz w:val="24"/>
                <w:highlight w:val="none"/>
              </w:rPr>
              <w:t>交货和服务</w:t>
            </w:r>
          </w:p>
          <w:p>
            <w:pPr>
              <w:snapToGrid w:val="0"/>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r>
              <w:rPr>
                <w:rFonts w:hint="eastAsia" w:ascii="宋体" w:hAnsi="宋体"/>
                <w:color w:val="auto"/>
                <w:sz w:val="24"/>
                <w:highlight w:val="none"/>
              </w:rPr>
              <w:t>……</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bl>
    <w:p>
      <w:pPr>
        <w:spacing w:line="360" w:lineRule="auto"/>
        <w:rPr>
          <w:rFonts w:ascii="宋体"/>
          <w:b/>
          <w:color w:val="auto"/>
          <w:sz w:val="24"/>
          <w:highlight w:val="none"/>
        </w:rPr>
      </w:pPr>
    </w:p>
    <w:p>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widowControl/>
        <w:jc w:val="left"/>
        <w:rPr>
          <w:rFonts w:ascii="宋体" w:hAnsi="宋体"/>
          <w:b/>
          <w:color w:val="auto"/>
          <w:sz w:val="28"/>
          <w:highlight w:val="none"/>
        </w:rPr>
      </w:pPr>
      <w:r>
        <w:rPr>
          <w:rFonts w:ascii="宋体" w:hAnsi="宋体"/>
          <w:b/>
          <w:color w:val="auto"/>
          <w:sz w:val="28"/>
          <w:highlight w:val="none"/>
        </w:rPr>
        <w:br w:type="page"/>
      </w:r>
    </w:p>
    <w:p>
      <w:pPr>
        <w:tabs>
          <w:tab w:val="left" w:pos="2460"/>
        </w:tabs>
        <w:spacing w:line="480" w:lineRule="exact"/>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8</w:t>
      </w:r>
    </w:p>
    <w:p>
      <w:pPr>
        <w:spacing w:line="480" w:lineRule="exact"/>
        <w:ind w:firstLine="435"/>
        <w:jc w:val="center"/>
        <w:rPr>
          <w:rFonts w:ascii="宋体"/>
          <w:b/>
          <w:color w:val="auto"/>
          <w:sz w:val="32"/>
          <w:szCs w:val="32"/>
          <w:highlight w:val="none"/>
        </w:rPr>
      </w:pPr>
      <w:r>
        <w:rPr>
          <w:rFonts w:hint="eastAsia" w:ascii="宋体" w:hAnsi="宋体"/>
          <w:b/>
          <w:color w:val="auto"/>
          <w:sz w:val="32"/>
          <w:szCs w:val="32"/>
          <w:highlight w:val="none"/>
        </w:rPr>
        <w:t>售后服务情况表</w:t>
      </w:r>
    </w:p>
    <w:tbl>
      <w:tblPr>
        <w:tblStyle w:val="27"/>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5"/>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pPr>
              <w:pStyle w:val="55"/>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pPr>
              <w:pStyle w:val="55"/>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pPr>
              <w:pStyle w:val="55"/>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5"/>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pPr>
              <w:pStyle w:val="55"/>
              <w:widowControl/>
              <w:spacing w:line="360" w:lineRule="auto"/>
              <w:jc w:val="left"/>
              <w:rPr>
                <w:rFonts w:asci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w:t>
            </w:r>
            <w:r>
              <w:rPr>
                <w:rFonts w:hint="eastAsia" w:ascii="宋体" w:hAnsi="宋体" w:cs="Arial"/>
                <w:bCs/>
                <w:color w:val="auto"/>
                <w:sz w:val="24"/>
                <w:highlight w:val="none"/>
              </w:rPr>
              <w:t>服务方式、服务网点、售后服务的内容和措施等等，可用附页和宣传材料</w:t>
            </w:r>
            <w:r>
              <w:rPr>
                <w:rFonts w:ascii="宋体" w:hAnsi="宋体" w:cs="Arial"/>
                <w:bCs/>
                <w:color w:val="auto"/>
                <w:sz w:val="24"/>
                <w:highlight w:val="none"/>
              </w:rPr>
              <w:t>)</w:t>
            </w:r>
          </w:p>
        </w:tc>
        <w:tc>
          <w:tcPr>
            <w:tcW w:w="4061" w:type="dxa"/>
          </w:tcPr>
          <w:p>
            <w:pPr>
              <w:pStyle w:val="55"/>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55"/>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5"/>
              <w:widowControl/>
              <w:spacing w:line="360" w:lineRule="auto"/>
              <w:jc w:val="left"/>
              <w:rPr>
                <w:rFonts w:ascii="宋体" w:cs="Arial"/>
                <w:bCs/>
                <w:color w:val="auto"/>
                <w:sz w:val="24"/>
                <w:highlight w:val="none"/>
              </w:rPr>
            </w:pPr>
          </w:p>
        </w:tc>
        <w:tc>
          <w:tcPr>
            <w:tcW w:w="2355" w:type="dxa"/>
            <w:vMerge w:val="continue"/>
            <w:vAlign w:val="center"/>
          </w:tcPr>
          <w:p>
            <w:pPr>
              <w:pStyle w:val="55"/>
              <w:widowControl/>
              <w:spacing w:line="360" w:lineRule="auto"/>
              <w:jc w:val="left"/>
              <w:rPr>
                <w:rFonts w:ascii="宋体" w:cs="Arial"/>
                <w:bCs/>
                <w:color w:val="auto"/>
                <w:sz w:val="24"/>
                <w:highlight w:val="none"/>
              </w:rPr>
            </w:pPr>
          </w:p>
        </w:tc>
        <w:tc>
          <w:tcPr>
            <w:tcW w:w="4061" w:type="dxa"/>
          </w:tcPr>
          <w:p>
            <w:pPr>
              <w:pStyle w:val="55"/>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55"/>
              <w:spacing w:line="360" w:lineRule="auto"/>
              <w:jc w:val="left"/>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5"/>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pPr>
              <w:pStyle w:val="55"/>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55"/>
              <w:widowControl/>
              <w:spacing w:line="360" w:lineRule="auto"/>
              <w:jc w:val="left"/>
              <w:rPr>
                <w:rFonts w:ascii="宋体" w:cs="Arial"/>
                <w:bCs/>
                <w:color w:val="auto"/>
                <w:sz w:val="24"/>
                <w:highlight w:val="none"/>
              </w:rPr>
            </w:pPr>
          </w:p>
          <w:p>
            <w:pPr>
              <w:pStyle w:val="55"/>
              <w:widowControl/>
              <w:spacing w:line="360" w:lineRule="auto"/>
              <w:jc w:val="left"/>
              <w:rPr>
                <w:rFonts w:ascii="宋体" w:cs="Arial"/>
                <w:bCs/>
                <w:color w:val="auto"/>
                <w:sz w:val="24"/>
                <w:highlight w:val="none"/>
              </w:rPr>
            </w:pPr>
          </w:p>
          <w:p>
            <w:pPr>
              <w:pStyle w:val="55"/>
              <w:spacing w:line="360" w:lineRule="auto"/>
              <w:rPr>
                <w:rFonts w:ascii="宋体" w:cs="Arial"/>
                <w:bCs/>
                <w:color w:val="auto"/>
                <w:sz w:val="24"/>
                <w:highlight w:val="none"/>
              </w:rPr>
            </w:pPr>
          </w:p>
        </w:tc>
        <w:tc>
          <w:tcPr>
            <w:tcW w:w="1373" w:type="dxa"/>
          </w:tcPr>
          <w:p>
            <w:pPr>
              <w:pStyle w:val="55"/>
              <w:widowControl/>
              <w:spacing w:line="360" w:lineRule="auto"/>
              <w:jc w:val="left"/>
              <w:rPr>
                <w:rFonts w:ascii="宋体" w:cs="Arial"/>
                <w:bCs/>
                <w:color w:val="auto"/>
                <w:sz w:val="24"/>
                <w:highlight w:val="none"/>
              </w:rPr>
            </w:pPr>
          </w:p>
          <w:p>
            <w:pPr>
              <w:pStyle w:val="55"/>
              <w:widowControl/>
              <w:spacing w:line="360" w:lineRule="auto"/>
              <w:jc w:val="left"/>
              <w:rPr>
                <w:rFonts w:ascii="宋体" w:cs="Arial"/>
                <w:bCs/>
                <w:color w:val="auto"/>
                <w:sz w:val="24"/>
                <w:highlight w:val="none"/>
              </w:rPr>
            </w:pPr>
          </w:p>
          <w:p>
            <w:pPr>
              <w:pStyle w:val="55"/>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5"/>
              <w:widowControl/>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pPr>
              <w:pStyle w:val="55"/>
              <w:widowControl/>
              <w:spacing w:line="360" w:lineRule="auto"/>
              <w:jc w:val="left"/>
              <w:rPr>
                <w:rFonts w:asci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pPr>
              <w:pStyle w:val="55"/>
              <w:widowControl/>
              <w:spacing w:line="360" w:lineRule="auto"/>
              <w:jc w:val="left"/>
              <w:rPr>
                <w:rFonts w:ascii="宋体" w:cs="Arial"/>
                <w:bCs/>
                <w:i/>
                <w:color w:val="auto"/>
                <w:sz w:val="24"/>
                <w:highlight w:val="none"/>
              </w:rPr>
            </w:pPr>
          </w:p>
          <w:p>
            <w:pPr>
              <w:pStyle w:val="55"/>
              <w:widowControl/>
              <w:spacing w:line="360" w:lineRule="auto"/>
              <w:jc w:val="left"/>
              <w:rPr>
                <w:rFonts w:ascii="宋体" w:cs="Arial"/>
                <w:bCs/>
                <w:i/>
                <w:color w:val="auto"/>
                <w:sz w:val="24"/>
                <w:highlight w:val="none"/>
              </w:rPr>
            </w:pPr>
          </w:p>
        </w:tc>
        <w:tc>
          <w:tcPr>
            <w:tcW w:w="1373" w:type="dxa"/>
          </w:tcPr>
          <w:p>
            <w:pPr>
              <w:pStyle w:val="55"/>
              <w:widowControl/>
              <w:spacing w:line="360" w:lineRule="auto"/>
              <w:jc w:val="left"/>
              <w:rPr>
                <w:rFonts w:ascii="宋体" w:cs="Arial"/>
                <w:bCs/>
                <w:i/>
                <w:color w:val="auto"/>
                <w:sz w:val="24"/>
                <w:highlight w:val="none"/>
              </w:rPr>
            </w:pPr>
          </w:p>
          <w:p>
            <w:pPr>
              <w:pStyle w:val="55"/>
              <w:widowControl/>
              <w:spacing w:line="360" w:lineRule="auto"/>
              <w:jc w:val="left"/>
              <w:rPr>
                <w:rFonts w:ascii="宋体" w:cs="Arial"/>
                <w:bCs/>
                <w:i/>
                <w:color w:val="auto"/>
                <w:sz w:val="24"/>
                <w:highlight w:val="none"/>
              </w:rPr>
            </w:pPr>
          </w:p>
          <w:p>
            <w:pPr>
              <w:pStyle w:val="55"/>
              <w:widowControl/>
              <w:spacing w:line="360" w:lineRule="auto"/>
              <w:jc w:val="left"/>
              <w:rPr>
                <w:rFonts w:asci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5"/>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pPr>
              <w:pStyle w:val="55"/>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pPr>
              <w:pStyle w:val="55"/>
              <w:widowControl/>
              <w:spacing w:line="360" w:lineRule="auto"/>
              <w:jc w:val="left"/>
              <w:rPr>
                <w:rFonts w:ascii="宋体" w:cs="Arial"/>
                <w:bCs/>
                <w:color w:val="auto"/>
                <w:sz w:val="24"/>
                <w:highlight w:val="none"/>
              </w:rPr>
            </w:pPr>
          </w:p>
        </w:tc>
        <w:tc>
          <w:tcPr>
            <w:tcW w:w="1373" w:type="dxa"/>
            <w:tcBorders>
              <w:bottom w:val="single" w:color="auto" w:sz="4" w:space="0"/>
            </w:tcBorders>
          </w:tcPr>
          <w:p>
            <w:pPr>
              <w:pStyle w:val="55"/>
              <w:widowControl/>
              <w:spacing w:line="360" w:lineRule="auto"/>
              <w:jc w:val="left"/>
              <w:rPr>
                <w:rFonts w:ascii="宋体" w:cs="Arial"/>
                <w:bCs/>
                <w:color w:val="auto"/>
                <w:sz w:val="24"/>
                <w:highlight w:val="none"/>
              </w:rPr>
            </w:pPr>
          </w:p>
        </w:tc>
      </w:tr>
    </w:tbl>
    <w:p>
      <w:pPr>
        <w:spacing w:line="360" w:lineRule="auto"/>
        <w:rPr>
          <w:rFonts w:ascii="宋体"/>
          <w:b/>
          <w:color w:val="auto"/>
          <w:sz w:val="24"/>
          <w:highlight w:val="none"/>
        </w:rPr>
      </w:pPr>
    </w:p>
    <w:p>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widowControl/>
        <w:jc w:val="left"/>
        <w:rPr>
          <w:rFonts w:ascii="宋体" w:hAnsi="宋体" w:cs="宋体"/>
          <w:b/>
          <w:bCs/>
          <w:color w:val="auto"/>
          <w:sz w:val="28"/>
          <w:szCs w:val="36"/>
          <w:highlight w:val="none"/>
        </w:rPr>
      </w:pPr>
      <w:r>
        <w:rPr>
          <w:rFonts w:ascii="宋体" w:hAnsi="宋体" w:cs="宋体"/>
          <w:b/>
          <w:bCs/>
          <w:color w:val="auto"/>
          <w:sz w:val="28"/>
          <w:szCs w:val="36"/>
          <w:highlight w:val="none"/>
        </w:rPr>
        <w:br w:type="page"/>
      </w:r>
    </w:p>
    <w:p>
      <w:pPr>
        <w:spacing w:line="360" w:lineRule="auto"/>
        <w:rPr>
          <w:rFonts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pPr>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jc w:val="center"/>
        <w:rPr>
          <w:rFonts w:ascii="宋体" w:hAnsi="宋体"/>
          <w:b/>
          <w:color w:val="auto"/>
          <w:spacing w:val="40"/>
          <w:sz w:val="84"/>
          <w:szCs w:val="84"/>
          <w:highlight w:val="none"/>
        </w:rPr>
      </w:pP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jc w:val="center"/>
        <w:rPr>
          <w:rFonts w:ascii="宋体" w:hAnsi="宋体"/>
          <w:color w:val="auto"/>
          <w:sz w:val="36"/>
          <w:szCs w:val="36"/>
          <w:highlight w:val="none"/>
        </w:rPr>
      </w:pPr>
    </w:p>
    <w:p>
      <w:pPr>
        <w:jc w:val="center"/>
        <w:rPr>
          <w:rFonts w:ascii="宋体" w:hAnsi="宋体"/>
          <w:color w:val="auto"/>
          <w:sz w:val="36"/>
          <w:szCs w:val="36"/>
          <w:highlight w:val="none"/>
        </w:rPr>
      </w:pPr>
    </w:p>
    <w:p>
      <w:pPr>
        <w:jc w:val="center"/>
        <w:rPr>
          <w:rFonts w:ascii="宋体" w:hAnsi="宋体"/>
          <w:color w:val="auto"/>
          <w:sz w:val="36"/>
          <w:szCs w:val="36"/>
          <w:highlight w:val="none"/>
        </w:rPr>
      </w:pPr>
    </w:p>
    <w:p>
      <w:pPr>
        <w:rPr>
          <w:rFonts w:ascii="宋体" w:hAnsi="宋体"/>
          <w:color w:val="auto"/>
          <w:sz w:val="36"/>
          <w:szCs w:val="36"/>
          <w:highlight w:val="none"/>
        </w:rPr>
      </w:pPr>
      <w:r>
        <w:rPr>
          <w:rFonts w:hint="eastAsia" w:ascii="宋体" w:hAnsi="宋体"/>
          <w:color w:val="auto"/>
          <w:sz w:val="36"/>
          <w:szCs w:val="36"/>
          <w:highlight w:val="none"/>
        </w:rPr>
        <w:t>供应商全称</w:t>
      </w:r>
      <w:r>
        <w:rPr>
          <w:rFonts w:hint="eastAsia" w:ascii="宋体" w:hAnsi="宋体"/>
          <w:color w:val="auto"/>
          <w:sz w:val="32"/>
          <w:szCs w:val="32"/>
          <w:highlight w:val="none"/>
        </w:rPr>
        <w:t>（加盖公章，如为联合体，则为联合体牵头人）</w:t>
      </w:r>
      <w:r>
        <w:rPr>
          <w:rFonts w:hint="eastAsia" w:ascii="宋体" w:hAnsi="宋体"/>
          <w:color w:val="auto"/>
          <w:sz w:val="36"/>
          <w:szCs w:val="36"/>
          <w:highlight w:val="none"/>
        </w:rPr>
        <w:t>：</w:t>
      </w:r>
    </w:p>
    <w:p>
      <w:pPr>
        <w:rPr>
          <w:rFonts w:ascii="宋体" w:hAnsi="宋体"/>
          <w:color w:val="auto"/>
          <w:sz w:val="36"/>
          <w:szCs w:val="36"/>
          <w:highlight w:val="none"/>
        </w:rPr>
      </w:pPr>
      <w:r>
        <w:rPr>
          <w:rFonts w:hint="eastAsia" w:ascii="宋体" w:hAnsi="宋体"/>
          <w:color w:val="auto"/>
          <w:sz w:val="36"/>
          <w:szCs w:val="36"/>
          <w:highlight w:val="none"/>
        </w:rPr>
        <w:t>地址：</w:t>
      </w:r>
    </w:p>
    <w:p>
      <w:pPr>
        <w:rPr>
          <w:rFonts w:ascii="宋体" w:hAnsi="宋体"/>
          <w:color w:val="auto"/>
          <w:sz w:val="36"/>
          <w:szCs w:val="36"/>
          <w:highlight w:val="none"/>
        </w:rPr>
      </w:pPr>
      <w:r>
        <w:rPr>
          <w:rFonts w:hint="eastAsia" w:ascii="宋体" w:hAnsi="宋体"/>
          <w:color w:val="auto"/>
          <w:sz w:val="36"/>
          <w:szCs w:val="36"/>
          <w:highlight w:val="none"/>
        </w:rPr>
        <w:t>时间：</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pPr>
        <w:spacing w:line="360" w:lineRule="auto"/>
        <w:rPr>
          <w:rFonts w:ascii="宋体" w:hAnsi="宋体"/>
          <w:color w:val="auto"/>
          <w:sz w:val="24"/>
          <w:highlight w:val="none"/>
        </w:rPr>
      </w:pPr>
    </w:p>
    <w:p>
      <w:pPr>
        <w:spacing w:line="360" w:lineRule="auto"/>
        <w:ind w:firstLine="560" w:firstLineChars="200"/>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1、开标一览表（附件20）；</w:t>
      </w:r>
    </w:p>
    <w:p>
      <w:pPr>
        <w:spacing w:line="360" w:lineRule="auto"/>
        <w:ind w:firstLine="560" w:firstLineChars="200"/>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2、报价明细表（附件21）；</w:t>
      </w:r>
    </w:p>
    <w:p>
      <w:pPr>
        <w:spacing w:line="360" w:lineRule="auto"/>
        <w:ind w:firstLine="560" w:firstLineChars="200"/>
        <w:jc w:val="left"/>
        <w:rPr>
          <w:rFonts w:ascii="宋体" w:hAnsi="宋体" w:cs="宋体"/>
          <w:color w:val="auto"/>
          <w:sz w:val="28"/>
          <w:szCs w:val="36"/>
          <w:highlight w:val="none"/>
        </w:rPr>
      </w:pPr>
      <w:r>
        <w:rPr>
          <w:rFonts w:hint="eastAsia" w:ascii="宋体" w:hAnsi="宋体" w:cs="宋体"/>
          <w:color w:val="auto"/>
          <w:sz w:val="28"/>
          <w:szCs w:val="36"/>
          <w:highlight w:val="none"/>
        </w:rPr>
        <w:t>3、针对报价投标人认为其他需要说明的；</w:t>
      </w:r>
    </w:p>
    <w:p>
      <w:pPr>
        <w:spacing w:line="360" w:lineRule="auto"/>
        <w:ind w:firstLine="560" w:firstLineChars="200"/>
        <w:jc w:val="left"/>
        <w:rPr>
          <w:rFonts w:ascii="宋体" w:hAnsi="宋体" w:cs="宋体"/>
          <w:color w:val="auto"/>
          <w:sz w:val="28"/>
          <w:szCs w:val="36"/>
          <w:highlight w:val="none"/>
        </w:rPr>
      </w:pPr>
      <w:r>
        <w:rPr>
          <w:rFonts w:hint="eastAsia" w:ascii="宋体" w:hAnsi="宋体" w:cs="宋体"/>
          <w:color w:val="auto"/>
          <w:sz w:val="28"/>
          <w:szCs w:val="36"/>
          <w:highlight w:val="none"/>
        </w:rPr>
        <w:t>4、中小企业等声明函（附件22）。（如有需提供）</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中小企业等声明函填表说明：</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（1）标的设备分别由不同制造商制造的，请按序号填写齐全所有标的</w:t>
      </w:r>
      <w:r>
        <w:rPr>
          <w:rFonts w:hint="eastAsia" w:ascii="宋体" w:hAnsi="宋体" w:cs="宋体"/>
          <w:b/>
          <w:bCs/>
          <w:color w:val="auto"/>
          <w:sz w:val="28"/>
          <w:szCs w:val="28"/>
          <w:highlight w:val="none"/>
          <w:u w:val="single"/>
        </w:rPr>
        <w:t>货物制造商</w:t>
      </w:r>
      <w:r>
        <w:rPr>
          <w:rFonts w:hint="eastAsia" w:ascii="宋体" w:hAnsi="宋体" w:cs="宋体"/>
          <w:color w:val="auto"/>
          <w:sz w:val="28"/>
          <w:szCs w:val="28"/>
          <w:highlight w:val="none"/>
        </w:rPr>
        <w:t>的信息。</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（2）从业人员、营业收入、资产总额填报上一年度数据，无上一年度数据的新成立企业可不填报。</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（3）为了更加准确判定制造商是否为小微企业，请供应商根据工业和信息化部官方网站---中小企业规模类型自测小程序来辨别制造商企业规模类型，中小企业规模类型自测小程序链接网址为</w:t>
      </w:r>
    </w:p>
    <w:p>
      <w:pPr>
        <w:spacing w:line="360" w:lineRule="auto"/>
        <w:ind w:firstLine="420" w:firstLineChars="20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"http://202.106.120.146/baosong/appweb/orgScale.html" </w:instrText>
      </w:r>
      <w:r>
        <w:rPr>
          <w:color w:val="auto"/>
          <w:highlight w:val="none"/>
        </w:rPr>
        <w:fldChar w:fldCharType="separate"/>
      </w:r>
      <w:r>
        <w:rPr>
          <w:rStyle w:val="32"/>
          <w:rFonts w:hint="eastAsia" w:ascii="宋体" w:hAnsi="宋体" w:cs="宋体"/>
          <w:color w:val="auto"/>
          <w:sz w:val="28"/>
          <w:szCs w:val="28"/>
          <w:highlight w:val="none"/>
        </w:rPr>
        <w:t>http://202.106.120.146/baosong/appweb/orgScale.html</w:t>
      </w:r>
      <w:r>
        <w:rPr>
          <w:rStyle w:val="32"/>
          <w:rFonts w:hint="eastAsia" w:ascii="宋体" w:hAnsi="宋体" w:cs="宋体"/>
          <w:color w:val="auto"/>
          <w:sz w:val="28"/>
          <w:szCs w:val="28"/>
          <w:highlight w:val="none"/>
        </w:rPr>
        <w:fldChar w:fldCharType="end"/>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（4）供应商未提供《中小企业声明函》的、《中小企业声明函》中内容应填写而未进行填写或未如实填写的，将不给予供应商小微企业报价优惠扣除。</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预成交供应商享受小微企业报价优惠扣除的，将按规定公开预成交供应商的《中小企业声明函》。</w:t>
      </w:r>
    </w:p>
    <w:p>
      <w:pPr>
        <w:spacing w:line="360" w:lineRule="auto"/>
        <w:ind w:firstLine="560" w:firstLineChars="200"/>
        <w:rPr>
          <w:rFonts w:ascii="宋体" w:hAnsi="宋体" w:cs="宋体"/>
          <w:color w:val="auto"/>
          <w:sz w:val="24"/>
          <w:szCs w:val="32"/>
          <w:highlight w:val="none"/>
        </w:rPr>
      </w:pPr>
      <w:r>
        <w:rPr>
          <w:rFonts w:hint="eastAsia" w:ascii="宋体" w:hAnsi="宋体" w:cs="宋体"/>
          <w:color w:val="auto"/>
          <w:sz w:val="28"/>
          <w:szCs w:val="28"/>
          <w:highlight w:val="none"/>
        </w:rPr>
        <w:t>（5）如国家对中小企业划型标准有新的规定的，从其规定。</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b/>
          <w:bCs/>
          <w:color w:val="auto"/>
          <w:sz w:val="28"/>
          <w:szCs w:val="36"/>
          <w:highlight w:val="none"/>
        </w:rPr>
      </w:pPr>
      <w:r>
        <w:rPr>
          <w:rFonts w:hint="eastAsia" w:ascii="宋体" w:hAnsi="宋体" w:cs="宋体"/>
          <w:b/>
          <w:bCs/>
          <w:color w:val="auto"/>
          <w:sz w:val="28"/>
          <w:szCs w:val="36"/>
          <w:highlight w:val="none"/>
        </w:rPr>
        <w:t>附件20</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pPr>
        <w:spacing w:line="360" w:lineRule="auto"/>
        <w:ind w:left="-2" w:hanging="2"/>
        <w:jc w:val="center"/>
        <w:rPr>
          <w:rFonts w:ascii="宋体" w:hAnsi="宋体"/>
          <w:b/>
          <w:color w:val="auto"/>
          <w:sz w:val="32"/>
          <w:szCs w:val="32"/>
          <w:highlight w:val="none"/>
        </w:rPr>
      </w:pP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7"/>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ascii="宋体"/>
                <w:color w:val="auto"/>
                <w:sz w:val="24"/>
                <w:highlight w:val="none"/>
              </w:rPr>
            </w:pPr>
            <w:r>
              <w:rPr>
                <w:rFonts w:hint="eastAsia" w:ascii="宋体" w:hAnsi="宋体"/>
                <w:color w:val="auto"/>
                <w:sz w:val="24"/>
                <w:highlight w:val="none"/>
              </w:rPr>
              <w:t>投标总报价（元）</w:t>
            </w:r>
          </w:p>
        </w:tc>
        <w:tc>
          <w:tcPr>
            <w:tcW w:w="1349" w:type="dxa"/>
            <w:vAlign w:val="center"/>
          </w:tcPr>
          <w:p>
            <w:pPr>
              <w:autoSpaceDE w:val="0"/>
              <w:autoSpaceDN w:val="0"/>
              <w:spacing w:line="450" w:lineRule="exact"/>
              <w:jc w:val="center"/>
              <w:textAlignment w:val="bottom"/>
              <w:rPr>
                <w:rFonts w:ascii="宋体"/>
                <w:color w:val="auto"/>
                <w:sz w:val="24"/>
                <w:highlight w:val="none"/>
              </w:rPr>
            </w:pPr>
            <w:r>
              <w:rPr>
                <w:rFonts w:hint="eastAsia" w:ascii="宋体" w:hAnsi="宋体"/>
                <w:color w:val="auto"/>
                <w:sz w:val="24"/>
                <w:highlight w:val="none"/>
              </w:rPr>
              <w:t>大写</w:t>
            </w:r>
          </w:p>
        </w:tc>
        <w:tc>
          <w:tcPr>
            <w:tcW w:w="4629" w:type="dxa"/>
            <w:vAlign w:val="center"/>
          </w:tcPr>
          <w:p>
            <w:pPr>
              <w:autoSpaceDE w:val="0"/>
              <w:autoSpaceDN w:val="0"/>
              <w:spacing w:line="450" w:lineRule="exact"/>
              <w:jc w:val="center"/>
              <w:textAlignment w:val="bottom"/>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rPr>
                <w:rFonts w:ascii="宋体"/>
                <w:color w:val="auto"/>
                <w:sz w:val="24"/>
                <w:highlight w:val="none"/>
              </w:rPr>
            </w:pPr>
          </w:p>
        </w:tc>
        <w:tc>
          <w:tcPr>
            <w:tcW w:w="1349" w:type="dxa"/>
            <w:vAlign w:val="center"/>
          </w:tcPr>
          <w:p>
            <w:pPr>
              <w:autoSpaceDE w:val="0"/>
              <w:autoSpaceDN w:val="0"/>
              <w:spacing w:line="450" w:lineRule="exact"/>
              <w:jc w:val="center"/>
              <w:textAlignment w:val="bottom"/>
              <w:rPr>
                <w:rFonts w:ascii="宋体"/>
                <w:color w:val="auto"/>
                <w:sz w:val="24"/>
                <w:highlight w:val="none"/>
              </w:rPr>
            </w:pPr>
            <w:r>
              <w:rPr>
                <w:rFonts w:hint="eastAsia" w:ascii="宋体" w:hAnsi="宋体"/>
                <w:color w:val="auto"/>
                <w:sz w:val="24"/>
                <w:highlight w:val="none"/>
              </w:rPr>
              <w:t>小写</w:t>
            </w:r>
          </w:p>
        </w:tc>
        <w:tc>
          <w:tcPr>
            <w:tcW w:w="4629" w:type="dxa"/>
            <w:vAlign w:val="center"/>
          </w:tcPr>
          <w:p>
            <w:pPr>
              <w:autoSpaceDE w:val="0"/>
              <w:autoSpaceDN w:val="0"/>
              <w:spacing w:line="450" w:lineRule="exact"/>
              <w:jc w:val="center"/>
              <w:textAlignment w:val="bottom"/>
              <w:rPr>
                <w:rFonts w:ascii="宋体"/>
                <w:color w:val="auto"/>
                <w:sz w:val="24"/>
                <w:highlight w:val="none"/>
              </w:rPr>
            </w:pPr>
          </w:p>
        </w:tc>
      </w:tr>
    </w:tbl>
    <w:p>
      <w:pPr>
        <w:spacing w:line="360" w:lineRule="auto"/>
        <w:ind w:firstLine="480" w:firstLineChars="200"/>
        <w:jc w:val="left"/>
        <w:rPr>
          <w:rFonts w:ascii="宋体" w:hAnsi="宋体" w:cs="宋体"/>
          <w:color w:val="auto"/>
          <w:sz w:val="24"/>
          <w:szCs w:val="32"/>
          <w:highlight w:val="none"/>
        </w:rPr>
      </w:pPr>
    </w:p>
    <w:p>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1.投标总报价包括货款、标准附件、备品备件、专用工具、包装、运输、装卸、保险、税金、货到就位以及安装、调试、培训、保修、合同包含的所有风险责任等各项费用及不可预见费等所需的全部费用。</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pPr>
        <w:spacing w:line="360" w:lineRule="auto"/>
        <w:rPr>
          <w:rFonts w:ascii="宋体" w:hAnsi="宋体"/>
          <w:color w:val="auto"/>
          <w:sz w:val="24"/>
          <w:highlight w:val="none"/>
        </w:rPr>
      </w:pPr>
    </w:p>
    <w:p>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pacing w:line="360" w:lineRule="auto"/>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rPr>
          <w:rFonts w:ascii="宋体" w:hAnsi="宋体" w:cs="宋体"/>
          <w:b/>
          <w:bCs/>
          <w:color w:val="auto"/>
          <w:sz w:val="28"/>
          <w:szCs w:val="36"/>
          <w:highlight w:val="none"/>
        </w:rPr>
      </w:pPr>
      <w:r>
        <w:rPr>
          <w:rFonts w:hint="eastAsia" w:ascii="宋体" w:hAnsi="宋体" w:cs="宋体"/>
          <w:b/>
          <w:bCs/>
          <w:color w:val="auto"/>
          <w:sz w:val="28"/>
          <w:szCs w:val="36"/>
          <w:highlight w:val="none"/>
        </w:rPr>
        <w:t>附件21</w:t>
      </w:r>
    </w:p>
    <w:p>
      <w:pPr>
        <w:spacing w:line="360" w:lineRule="auto"/>
        <w:jc w:val="center"/>
        <w:rPr>
          <w:rFonts w:ascii="宋体" w:hAnsi="宋体"/>
          <w:color w:val="auto"/>
          <w:highlight w:val="none"/>
        </w:rPr>
      </w:pPr>
      <w:r>
        <w:rPr>
          <w:rFonts w:hint="eastAsia" w:ascii="宋体" w:hAnsi="宋体"/>
          <w:b/>
          <w:color w:val="auto"/>
          <w:sz w:val="32"/>
          <w:szCs w:val="32"/>
          <w:highlight w:val="none"/>
        </w:rPr>
        <w:t>报价明细表</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7"/>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序号</w:t>
            </w:r>
          </w:p>
        </w:tc>
        <w:tc>
          <w:tcPr>
            <w:tcW w:w="1460" w:type="dxa"/>
            <w:vAlign w:val="center"/>
          </w:tcPr>
          <w:p>
            <w:pP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品牌、产地</w:t>
            </w:r>
          </w:p>
        </w:tc>
        <w:tc>
          <w:tcPr>
            <w:tcW w:w="1559" w:type="dxa"/>
            <w:vAlign w:val="center"/>
          </w:tcPr>
          <w:p>
            <w:pPr>
              <w:spacing w:line="360" w:lineRule="auto"/>
              <w:ind w:left="52"/>
              <w:jc w:val="center"/>
              <w:rPr>
                <w:rFonts w:ascii="宋体"/>
                <w:b/>
                <w:color w:val="auto"/>
                <w:sz w:val="24"/>
                <w:highlight w:val="none"/>
              </w:rPr>
            </w:pPr>
            <w:r>
              <w:rPr>
                <w:rFonts w:hint="eastAsia" w:ascii="宋体" w:hAnsi="宋体"/>
                <w:b/>
                <w:color w:val="auto"/>
                <w:sz w:val="24"/>
                <w:highlight w:val="none"/>
              </w:rPr>
              <w:t>型号规格</w:t>
            </w:r>
          </w:p>
        </w:tc>
        <w:tc>
          <w:tcPr>
            <w:tcW w:w="851" w:type="dxa"/>
            <w:vAlign w:val="center"/>
          </w:tcPr>
          <w:p>
            <w:pPr>
              <w:spacing w:line="360" w:lineRule="auto"/>
              <w:ind w:left="152"/>
              <w:jc w:val="center"/>
              <w:rPr>
                <w:rFonts w:ascii="宋体"/>
                <w:b/>
                <w:color w:val="auto"/>
                <w:sz w:val="24"/>
                <w:highlight w:val="none"/>
              </w:rPr>
            </w:pPr>
            <w:r>
              <w:rPr>
                <w:rFonts w:hint="eastAsia" w:ascii="宋体" w:hAnsi="宋体"/>
                <w:b/>
                <w:color w:val="auto"/>
                <w:sz w:val="24"/>
                <w:highlight w:val="none"/>
              </w:rPr>
              <w:t>数量</w:t>
            </w:r>
          </w:p>
        </w:tc>
        <w:tc>
          <w:tcPr>
            <w:tcW w:w="992"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单价</w:t>
            </w:r>
          </w:p>
        </w:tc>
        <w:tc>
          <w:tcPr>
            <w:tcW w:w="992"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小计</w:t>
            </w:r>
          </w:p>
        </w:tc>
        <w:tc>
          <w:tcPr>
            <w:tcW w:w="709" w:type="dxa"/>
            <w:vAlign w:val="center"/>
          </w:tcPr>
          <w:p>
            <w:pPr>
              <w:spacing w:line="360" w:lineRule="auto"/>
              <w:jc w:val="center"/>
              <w:rPr>
                <w:rFonts w:asci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pPr>
              <w:spacing w:line="360" w:lineRule="auto"/>
              <w:jc w:val="center"/>
              <w:rPr>
                <w:rFonts w:ascii="宋体"/>
                <w:color w:val="auto"/>
                <w:sz w:val="24"/>
                <w:highlight w:val="none"/>
              </w:rPr>
            </w:pPr>
          </w:p>
        </w:tc>
        <w:tc>
          <w:tcPr>
            <w:tcW w:w="1460"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851"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pPr>
              <w:spacing w:line="360" w:lineRule="auto"/>
              <w:jc w:val="center"/>
              <w:rPr>
                <w:rFonts w:ascii="宋体"/>
                <w:color w:val="auto"/>
                <w:sz w:val="24"/>
                <w:highlight w:val="none"/>
              </w:rPr>
            </w:pPr>
          </w:p>
        </w:tc>
        <w:tc>
          <w:tcPr>
            <w:tcW w:w="1460"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851"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color w:val="auto"/>
                <w:sz w:val="24"/>
                <w:highlight w:val="none"/>
              </w:rPr>
            </w:pPr>
          </w:p>
        </w:tc>
        <w:tc>
          <w:tcPr>
            <w:tcW w:w="1460"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851"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color w:val="auto"/>
                <w:sz w:val="24"/>
                <w:highlight w:val="none"/>
              </w:rPr>
            </w:pPr>
          </w:p>
        </w:tc>
        <w:tc>
          <w:tcPr>
            <w:tcW w:w="1460"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851"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pPr>
              <w:spacing w:line="360" w:lineRule="auto"/>
              <w:jc w:val="center"/>
              <w:rPr>
                <w:rFonts w:ascii="宋体"/>
                <w:color w:val="auto"/>
                <w:sz w:val="24"/>
                <w:highlight w:val="none"/>
              </w:rPr>
            </w:pPr>
          </w:p>
        </w:tc>
        <w:tc>
          <w:tcPr>
            <w:tcW w:w="1460"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1559" w:type="dxa"/>
            <w:vAlign w:val="center"/>
          </w:tcPr>
          <w:p>
            <w:pPr>
              <w:spacing w:line="360" w:lineRule="auto"/>
              <w:jc w:val="center"/>
              <w:rPr>
                <w:rFonts w:ascii="宋体"/>
                <w:color w:val="auto"/>
                <w:sz w:val="24"/>
                <w:highlight w:val="none"/>
              </w:rPr>
            </w:pPr>
          </w:p>
        </w:tc>
        <w:tc>
          <w:tcPr>
            <w:tcW w:w="851"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992" w:type="dxa"/>
            <w:vAlign w:val="center"/>
          </w:tcPr>
          <w:p>
            <w:pPr>
              <w:spacing w:line="360" w:lineRule="auto"/>
              <w:jc w:val="center"/>
              <w:rPr>
                <w:rFonts w:ascii="宋体"/>
                <w:color w:val="auto"/>
                <w:sz w:val="24"/>
                <w:highlight w:val="none"/>
              </w:rPr>
            </w:pPr>
          </w:p>
        </w:tc>
        <w:tc>
          <w:tcPr>
            <w:tcW w:w="709"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pPr>
              <w:spacing w:line="360" w:lineRule="auto"/>
              <w:rPr>
                <w:rFonts w:ascii="宋体"/>
                <w:b/>
                <w:color w:val="auto"/>
                <w:sz w:val="24"/>
                <w:highlight w:val="none"/>
              </w:rPr>
            </w:pPr>
            <w:r>
              <w:rPr>
                <w:rFonts w:hint="eastAsia" w:ascii="宋体" w:hAnsi="宋体"/>
                <w:b/>
                <w:color w:val="auto"/>
                <w:sz w:val="24"/>
                <w:highlight w:val="none"/>
              </w:rPr>
              <w:t>合计人民币：大写</w:t>
            </w:r>
            <w:r>
              <w:rPr>
                <w:rFonts w:ascii="宋体" w:hAnsi="宋体"/>
                <w:b/>
                <w:color w:val="auto"/>
                <w:sz w:val="24"/>
                <w:highlight w:val="none"/>
              </w:rPr>
              <w:t xml:space="preserve">                               </w:t>
            </w:r>
            <w:r>
              <w:rPr>
                <w:rFonts w:hint="eastAsia" w:ascii="宋体" w:hAnsi="宋体"/>
                <w:b/>
                <w:color w:val="auto"/>
                <w:sz w:val="24"/>
                <w:highlight w:val="none"/>
              </w:rPr>
              <w:t>小写</w:t>
            </w:r>
          </w:p>
        </w:tc>
      </w:tr>
    </w:tbl>
    <w:p>
      <w:pPr>
        <w:spacing w:line="360" w:lineRule="auto"/>
        <w:jc w:val="left"/>
        <w:rPr>
          <w:rFonts w:ascii="宋体" w:hAnsi="宋体" w:cs="宋体"/>
          <w:b/>
          <w:bCs/>
          <w:color w:val="auto"/>
          <w:sz w:val="24"/>
          <w:szCs w:val="32"/>
          <w:highlight w:val="none"/>
        </w:rPr>
      </w:pPr>
    </w:p>
    <w:p>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1.本表为《开标一览表》的报价明细表，如有缺项、漏项，视为投标报价中已包含相关费用，采购人无需另外支付任何费用。</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“报价明细表”中的报价合计应与“开标一览表”中的投标总报价相一致，不一致时，以开标一览表为准。</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投标报价明细表所填内容按招标文件采购设备清单要求为准。如有漏报的，视同已包含在投标总价内或已作优惠处理。有重大缺项的将作无效标处理。</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4.本表中的型号规格必须明确，招标文件中明确要求定制的除外。</w:t>
      </w:r>
    </w:p>
    <w:p>
      <w:pPr>
        <w:spacing w:line="360" w:lineRule="auto"/>
        <w:ind w:firstLine="480" w:firstLineChars="200"/>
        <w:jc w:val="left"/>
        <w:rPr>
          <w:rFonts w:ascii="宋体" w:hAnsi="宋体" w:cs="宋体"/>
          <w:color w:val="auto"/>
          <w:sz w:val="24"/>
          <w:szCs w:val="32"/>
          <w:highlight w:val="none"/>
        </w:rPr>
      </w:pPr>
    </w:p>
    <w:p>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pacing w:line="360" w:lineRule="auto"/>
        <w:rPr>
          <w:rFonts w:ascii="宋体" w:hAnsi="宋体" w:cs="宋体"/>
          <w:color w:val="auto"/>
          <w:sz w:val="24"/>
          <w:szCs w:val="32"/>
          <w:highlight w:val="none"/>
        </w:rPr>
      </w:pPr>
    </w:p>
    <w:p>
      <w:pPr>
        <w:pStyle w:val="10"/>
        <w:rPr>
          <w:color w:val="auto"/>
          <w:highlight w:val="none"/>
        </w:rPr>
      </w:pPr>
    </w:p>
    <w:p>
      <w:pPr>
        <w:spacing w:line="360" w:lineRule="auto"/>
        <w:rPr>
          <w:rFonts w:ascii="宋体" w:hAnsi="宋体" w:cs="宋体"/>
          <w:b/>
          <w:bCs/>
          <w:color w:val="auto"/>
          <w:sz w:val="28"/>
          <w:szCs w:val="36"/>
          <w:highlight w:val="none"/>
        </w:rPr>
      </w:pPr>
      <w:r>
        <w:rPr>
          <w:rFonts w:hint="eastAsia" w:ascii="宋体" w:hAnsi="宋体" w:cs="宋体"/>
          <w:b/>
          <w:bCs/>
          <w:color w:val="auto"/>
          <w:sz w:val="28"/>
          <w:szCs w:val="36"/>
          <w:highlight w:val="none"/>
        </w:rPr>
        <w:t>附件22</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中小企业声明函（货物）</w:t>
      </w:r>
    </w:p>
    <w:p>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本公司郑重声明，根据《政府采购促进中小企业发展管理办法》（财库﹝2020﹞46 号）的规定，本公司参加</w:t>
      </w:r>
      <w:r>
        <w:rPr>
          <w:rFonts w:hint="eastAsia" w:ascii="宋体" w:hAnsi="宋体"/>
          <w:bCs/>
          <w:color w:val="auto"/>
          <w:sz w:val="24"/>
          <w:highlight w:val="none"/>
          <w:u w:val="single"/>
        </w:rPr>
        <w:t>（单位名称）</w:t>
      </w:r>
      <w:r>
        <w:rPr>
          <w:rFonts w:hint="eastAsia" w:ascii="宋体" w:hAnsi="宋体"/>
          <w:bCs/>
          <w:color w:val="auto"/>
          <w:sz w:val="24"/>
          <w:highlight w:val="none"/>
        </w:rPr>
        <w:t>的</w:t>
      </w:r>
      <w:r>
        <w:rPr>
          <w:rFonts w:hint="eastAsia" w:ascii="宋体" w:hAnsi="宋体"/>
          <w:bCs/>
          <w:color w:val="auto"/>
          <w:sz w:val="24"/>
          <w:highlight w:val="none"/>
          <w:u w:val="single"/>
        </w:rPr>
        <w:t>（项目名称）</w:t>
      </w:r>
      <w:r>
        <w:rPr>
          <w:rFonts w:hint="eastAsia" w:ascii="宋体" w:hAnsi="宋体"/>
          <w:bCs/>
          <w:color w:val="auto"/>
          <w:sz w:val="24"/>
          <w:highlight w:val="none"/>
        </w:rPr>
        <w:t xml:space="preserve">采购活动，提供的货物全部由符合政策要求的中小企业制造。相关企业的具体情况如下： </w:t>
      </w:r>
    </w:p>
    <w:p>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u w:val="single"/>
        </w:rPr>
        <w:t>（标的名称）</w:t>
      </w:r>
      <w:r>
        <w:rPr>
          <w:rFonts w:hint="eastAsia" w:ascii="宋体" w:hAnsi="宋体"/>
          <w:bCs/>
          <w:color w:val="auto"/>
          <w:sz w:val="24"/>
          <w:highlight w:val="none"/>
        </w:rPr>
        <w:t>，属于</w:t>
      </w:r>
      <w:r>
        <w:rPr>
          <w:rFonts w:hint="eastAsia" w:ascii="宋体" w:hAnsi="宋体"/>
          <w:bCs/>
          <w:color w:val="auto"/>
          <w:sz w:val="24"/>
          <w:highlight w:val="none"/>
          <w:u w:val="single"/>
        </w:rPr>
        <w:t>（采购文件中明确的所属行业）</w:t>
      </w:r>
      <w:r>
        <w:rPr>
          <w:rFonts w:hint="eastAsia" w:ascii="宋体" w:hAnsi="宋体"/>
          <w:bCs/>
          <w:color w:val="auto"/>
          <w:sz w:val="24"/>
          <w:highlight w:val="none"/>
        </w:rPr>
        <w:t>行业；制造商为</w:t>
      </w:r>
      <w:r>
        <w:rPr>
          <w:rFonts w:hint="eastAsia" w:ascii="宋体" w:hAnsi="宋体"/>
          <w:bCs/>
          <w:color w:val="auto"/>
          <w:sz w:val="24"/>
          <w:highlight w:val="none"/>
          <w:u w:val="single"/>
        </w:rPr>
        <w:t>（企业名称）</w:t>
      </w:r>
      <w:r>
        <w:rPr>
          <w:rFonts w:hint="eastAsia" w:ascii="宋体" w:hAnsi="宋体"/>
          <w:bCs/>
          <w:color w:val="auto"/>
          <w:sz w:val="24"/>
          <w:highlight w:val="none"/>
        </w:rPr>
        <w:t>，从业人员</w:t>
      </w:r>
      <w:r>
        <w:rPr>
          <w:rFonts w:hint="eastAsia" w:ascii="宋体" w:hAnsi="宋体"/>
          <w:bCs/>
          <w:color w:val="auto"/>
          <w:sz w:val="24"/>
          <w:highlight w:val="none"/>
          <w:u w:val="single"/>
        </w:rPr>
        <w:t xml:space="preserve">     </w:t>
      </w:r>
      <w:r>
        <w:rPr>
          <w:rFonts w:hint="eastAsia" w:ascii="宋体" w:hAnsi="宋体"/>
          <w:bCs/>
          <w:color w:val="auto"/>
          <w:sz w:val="24"/>
          <w:highlight w:val="none"/>
        </w:rPr>
        <w:t>人，营业收入为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万元，资产总额为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w:t>
      </w:r>
      <w:r>
        <w:rPr>
          <w:rStyle w:val="34"/>
          <w:rFonts w:hint="eastAsia" w:ascii="宋体" w:hAnsi="宋体"/>
          <w:bCs/>
          <w:color w:val="auto"/>
          <w:sz w:val="24"/>
          <w:highlight w:val="none"/>
        </w:rPr>
        <w:footnoteReference w:id="0"/>
      </w:r>
      <w:r>
        <w:rPr>
          <w:rFonts w:hint="eastAsia" w:ascii="宋体" w:hAnsi="宋体"/>
          <w:bCs/>
          <w:color w:val="auto"/>
          <w:sz w:val="24"/>
          <w:highlight w:val="none"/>
        </w:rPr>
        <w:t>，属于</w:t>
      </w:r>
      <w:r>
        <w:rPr>
          <w:rFonts w:hint="eastAsia" w:ascii="宋体" w:hAnsi="宋体"/>
          <w:bCs/>
          <w:color w:val="auto"/>
          <w:sz w:val="24"/>
          <w:highlight w:val="none"/>
          <w:u w:val="single"/>
        </w:rPr>
        <w:t>（中型企业、小型企业、微型企业）</w:t>
      </w:r>
      <w:r>
        <w:rPr>
          <w:rFonts w:hint="eastAsia" w:ascii="宋体" w:hAnsi="宋体"/>
          <w:bCs/>
          <w:color w:val="auto"/>
          <w:sz w:val="24"/>
          <w:highlight w:val="none"/>
        </w:rPr>
        <w:t>；</w:t>
      </w:r>
    </w:p>
    <w:p>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u w:val="single"/>
        </w:rPr>
        <w:t>（标的名称）</w:t>
      </w:r>
      <w:r>
        <w:rPr>
          <w:rFonts w:hint="eastAsia" w:ascii="宋体" w:hAnsi="宋体"/>
          <w:bCs/>
          <w:color w:val="auto"/>
          <w:sz w:val="24"/>
          <w:highlight w:val="none"/>
        </w:rPr>
        <w:t>，属于</w:t>
      </w:r>
      <w:r>
        <w:rPr>
          <w:rFonts w:hint="eastAsia" w:ascii="宋体" w:hAnsi="宋体"/>
          <w:bCs/>
          <w:color w:val="auto"/>
          <w:sz w:val="24"/>
          <w:highlight w:val="none"/>
          <w:u w:val="single"/>
        </w:rPr>
        <w:t>（采购文件中明确的所属行业）</w:t>
      </w:r>
      <w:r>
        <w:rPr>
          <w:rFonts w:hint="eastAsia" w:ascii="宋体" w:hAnsi="宋体"/>
          <w:bCs/>
          <w:color w:val="auto"/>
          <w:sz w:val="24"/>
          <w:highlight w:val="none"/>
        </w:rPr>
        <w:t>行业；制造商为</w:t>
      </w:r>
      <w:r>
        <w:rPr>
          <w:rFonts w:hint="eastAsia" w:ascii="宋体" w:hAnsi="宋体"/>
          <w:bCs/>
          <w:color w:val="auto"/>
          <w:sz w:val="24"/>
          <w:highlight w:val="none"/>
          <w:u w:val="single"/>
        </w:rPr>
        <w:t>（企业名称）</w:t>
      </w:r>
      <w:r>
        <w:rPr>
          <w:rFonts w:hint="eastAsia" w:ascii="宋体" w:hAnsi="宋体"/>
          <w:bCs/>
          <w:color w:val="auto"/>
          <w:sz w:val="24"/>
          <w:highlight w:val="none"/>
        </w:rPr>
        <w:t>，从业人员</w:t>
      </w:r>
      <w:r>
        <w:rPr>
          <w:rFonts w:hint="eastAsia" w:ascii="宋体" w:hAnsi="宋体"/>
          <w:bCs/>
          <w:color w:val="auto"/>
          <w:sz w:val="24"/>
          <w:highlight w:val="none"/>
          <w:u w:val="single"/>
        </w:rPr>
        <w:t xml:space="preserve">     </w:t>
      </w:r>
      <w:r>
        <w:rPr>
          <w:rFonts w:hint="eastAsia" w:ascii="宋体" w:hAnsi="宋体"/>
          <w:bCs/>
          <w:color w:val="auto"/>
          <w:sz w:val="24"/>
          <w:highlight w:val="none"/>
        </w:rPr>
        <w:t>人，营业收入为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万元，资产总额为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万元，属于</w:t>
      </w:r>
      <w:r>
        <w:rPr>
          <w:rFonts w:hint="eastAsia" w:ascii="宋体" w:hAnsi="宋体"/>
          <w:bCs/>
          <w:color w:val="auto"/>
          <w:sz w:val="24"/>
          <w:highlight w:val="none"/>
          <w:u w:val="single"/>
        </w:rPr>
        <w:t>（中型企业、小型企业、微型企业）</w:t>
      </w:r>
      <w:r>
        <w:rPr>
          <w:rFonts w:hint="eastAsia" w:ascii="宋体" w:hAnsi="宋体"/>
          <w:bCs/>
          <w:color w:val="auto"/>
          <w:sz w:val="24"/>
          <w:highlight w:val="none"/>
        </w:rPr>
        <w:t>；</w:t>
      </w:r>
    </w:p>
    <w:p>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w:t>
      </w:r>
    </w:p>
    <w:p>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 xml:space="preserve">本企业对上述声明内容的真实性负责。如有虚假，将依法承担相应责任。 </w:t>
      </w:r>
    </w:p>
    <w:p>
      <w:pPr>
        <w:spacing w:line="360" w:lineRule="auto"/>
        <w:jc w:val="left"/>
        <w:rPr>
          <w:rFonts w:ascii="宋体" w:hAnsi="宋体"/>
          <w:bCs/>
          <w:color w:val="auto"/>
          <w:sz w:val="24"/>
          <w:highlight w:val="none"/>
        </w:rPr>
      </w:pPr>
    </w:p>
    <w:p>
      <w:pPr>
        <w:spacing w:line="360" w:lineRule="auto"/>
        <w:ind w:firstLine="4800" w:firstLineChars="2000"/>
        <w:jc w:val="left"/>
        <w:rPr>
          <w:rFonts w:ascii="宋体" w:hAnsi="宋体"/>
          <w:bCs/>
          <w:color w:val="auto"/>
          <w:sz w:val="24"/>
          <w:highlight w:val="none"/>
        </w:rPr>
      </w:pPr>
      <w:r>
        <w:rPr>
          <w:rFonts w:hint="eastAsia" w:ascii="宋体" w:hAnsi="宋体"/>
          <w:bCs/>
          <w:color w:val="auto"/>
          <w:sz w:val="24"/>
          <w:highlight w:val="none"/>
        </w:rPr>
        <w:t>企业名称（盖章）：</w:t>
      </w:r>
    </w:p>
    <w:p>
      <w:pPr>
        <w:spacing w:line="360" w:lineRule="auto"/>
        <w:ind w:firstLine="4800" w:firstLineChars="2000"/>
        <w:jc w:val="left"/>
        <w:rPr>
          <w:rFonts w:ascii="宋体" w:hAnsi="宋体"/>
          <w:bCs/>
          <w:color w:val="auto"/>
          <w:sz w:val="24"/>
          <w:highlight w:val="none"/>
        </w:rPr>
      </w:pPr>
      <w:r>
        <w:rPr>
          <w:rFonts w:hint="eastAsia" w:ascii="宋体" w:hAnsi="宋体"/>
          <w:bCs/>
          <w:color w:val="auto"/>
          <w:sz w:val="24"/>
          <w:highlight w:val="none"/>
        </w:rPr>
        <w:t>日    期：</w:t>
      </w: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中小企业声明函（工程、服务）</w:t>
      </w:r>
    </w:p>
    <w:p>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本公司郑重声明，根据《政府采购促进中小企业发展管理办法》（财库﹝2020﹞46 号）的规定，本公司参加</w:t>
      </w:r>
      <w:r>
        <w:rPr>
          <w:rFonts w:hint="eastAsia" w:ascii="宋体" w:hAnsi="宋体"/>
          <w:bCs/>
          <w:color w:val="auto"/>
          <w:sz w:val="24"/>
          <w:highlight w:val="none"/>
          <w:u w:val="single"/>
        </w:rPr>
        <w:t>（单位名称）</w:t>
      </w:r>
      <w:r>
        <w:rPr>
          <w:rFonts w:hint="eastAsia" w:ascii="宋体" w:hAnsi="宋体"/>
          <w:bCs/>
          <w:color w:val="auto"/>
          <w:sz w:val="24"/>
          <w:highlight w:val="none"/>
        </w:rPr>
        <w:t>的</w:t>
      </w:r>
      <w:r>
        <w:rPr>
          <w:rFonts w:hint="eastAsia" w:ascii="宋体" w:hAnsi="宋体"/>
          <w:bCs/>
          <w:color w:val="auto"/>
          <w:sz w:val="24"/>
          <w:highlight w:val="none"/>
          <w:u w:val="single"/>
        </w:rPr>
        <w:t>（项目名称）</w:t>
      </w:r>
      <w:r>
        <w:rPr>
          <w:rFonts w:hint="eastAsia" w:ascii="宋体" w:hAnsi="宋体"/>
          <w:bCs/>
          <w:color w:val="auto"/>
          <w:sz w:val="24"/>
          <w:highlight w:val="none"/>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u w:val="single"/>
        </w:rPr>
        <w:t>（标的名称）</w:t>
      </w:r>
      <w:r>
        <w:rPr>
          <w:rFonts w:hint="eastAsia" w:ascii="宋体" w:hAnsi="宋体"/>
          <w:bCs/>
          <w:color w:val="auto"/>
          <w:sz w:val="24"/>
          <w:highlight w:val="none"/>
        </w:rPr>
        <w:t>，属于</w:t>
      </w:r>
      <w:r>
        <w:rPr>
          <w:rFonts w:hint="eastAsia" w:ascii="宋体" w:hAnsi="宋体"/>
          <w:bCs/>
          <w:color w:val="auto"/>
          <w:sz w:val="24"/>
          <w:highlight w:val="none"/>
          <w:u w:val="single"/>
        </w:rPr>
        <w:t>（采购文件中明确的所属行业）</w:t>
      </w:r>
      <w:r>
        <w:rPr>
          <w:rFonts w:hint="eastAsia" w:ascii="宋体" w:hAnsi="宋体"/>
          <w:bCs/>
          <w:color w:val="auto"/>
          <w:sz w:val="24"/>
          <w:highlight w:val="none"/>
        </w:rPr>
        <w:t>；承建（承接）企业为</w:t>
      </w:r>
      <w:r>
        <w:rPr>
          <w:rFonts w:hint="eastAsia" w:ascii="宋体" w:hAnsi="宋体"/>
          <w:bCs/>
          <w:color w:val="auto"/>
          <w:sz w:val="24"/>
          <w:highlight w:val="none"/>
          <w:u w:val="single"/>
        </w:rPr>
        <w:t>（企业名称）</w:t>
      </w:r>
      <w:r>
        <w:rPr>
          <w:rFonts w:hint="eastAsia" w:ascii="宋体" w:hAnsi="宋体"/>
          <w:bCs/>
          <w:color w:val="auto"/>
          <w:sz w:val="24"/>
          <w:highlight w:val="none"/>
        </w:rPr>
        <w:t>，从业人员</w:t>
      </w:r>
      <w:r>
        <w:rPr>
          <w:rFonts w:hint="eastAsia" w:ascii="宋体" w:hAnsi="宋体"/>
          <w:bCs/>
          <w:color w:val="auto"/>
          <w:sz w:val="24"/>
          <w:highlight w:val="none"/>
          <w:u w:val="single"/>
        </w:rPr>
        <w:t xml:space="preserve">     </w:t>
      </w:r>
      <w:r>
        <w:rPr>
          <w:rFonts w:hint="eastAsia" w:ascii="宋体" w:hAnsi="宋体"/>
          <w:bCs/>
          <w:color w:val="auto"/>
          <w:sz w:val="24"/>
          <w:highlight w:val="none"/>
        </w:rPr>
        <w:t>人，营业收入为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万元，资产总额为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w:t>
      </w:r>
      <w:r>
        <w:rPr>
          <w:rStyle w:val="34"/>
          <w:rFonts w:hint="eastAsia" w:ascii="宋体" w:hAnsi="宋体"/>
          <w:bCs/>
          <w:color w:val="auto"/>
          <w:sz w:val="24"/>
          <w:highlight w:val="none"/>
        </w:rPr>
        <w:footnoteReference w:id="1"/>
      </w:r>
      <w:r>
        <w:rPr>
          <w:rFonts w:hint="eastAsia" w:ascii="宋体" w:hAnsi="宋体"/>
          <w:bCs/>
          <w:color w:val="auto"/>
          <w:sz w:val="24"/>
          <w:highlight w:val="none"/>
        </w:rPr>
        <w:t>，属于</w:t>
      </w:r>
      <w:r>
        <w:rPr>
          <w:rFonts w:hint="eastAsia" w:ascii="宋体" w:hAnsi="宋体"/>
          <w:bCs/>
          <w:color w:val="auto"/>
          <w:sz w:val="24"/>
          <w:highlight w:val="none"/>
          <w:u w:val="single"/>
        </w:rPr>
        <w:t>（中型企业、小型企业、微型企业）</w:t>
      </w:r>
      <w:r>
        <w:rPr>
          <w:rFonts w:hint="eastAsia" w:ascii="宋体" w:hAnsi="宋体"/>
          <w:bCs/>
          <w:color w:val="auto"/>
          <w:sz w:val="24"/>
          <w:highlight w:val="none"/>
        </w:rPr>
        <w:t>；</w:t>
      </w:r>
    </w:p>
    <w:p>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u w:val="single"/>
        </w:rPr>
        <w:t>（标的名称）</w:t>
      </w:r>
      <w:r>
        <w:rPr>
          <w:rFonts w:hint="eastAsia" w:ascii="宋体" w:hAnsi="宋体"/>
          <w:bCs/>
          <w:color w:val="auto"/>
          <w:sz w:val="24"/>
          <w:highlight w:val="none"/>
        </w:rPr>
        <w:t>，属于</w:t>
      </w:r>
      <w:r>
        <w:rPr>
          <w:rFonts w:hint="eastAsia" w:ascii="宋体" w:hAnsi="宋体"/>
          <w:bCs/>
          <w:color w:val="auto"/>
          <w:sz w:val="24"/>
          <w:highlight w:val="none"/>
          <w:u w:val="single"/>
        </w:rPr>
        <w:t>（采购文件中明确的所属行业）</w:t>
      </w:r>
      <w:r>
        <w:rPr>
          <w:rFonts w:hint="eastAsia" w:ascii="宋体" w:hAnsi="宋体"/>
          <w:bCs/>
          <w:color w:val="auto"/>
          <w:sz w:val="24"/>
          <w:highlight w:val="none"/>
        </w:rPr>
        <w:t>；承建（承接）企业为</w:t>
      </w:r>
      <w:r>
        <w:rPr>
          <w:rFonts w:hint="eastAsia" w:ascii="宋体" w:hAnsi="宋体"/>
          <w:bCs/>
          <w:color w:val="auto"/>
          <w:sz w:val="24"/>
          <w:highlight w:val="none"/>
          <w:u w:val="single"/>
        </w:rPr>
        <w:t>（企业名称）</w:t>
      </w:r>
      <w:r>
        <w:rPr>
          <w:rFonts w:hint="eastAsia" w:ascii="宋体" w:hAnsi="宋体"/>
          <w:bCs/>
          <w:color w:val="auto"/>
          <w:sz w:val="24"/>
          <w:highlight w:val="none"/>
        </w:rPr>
        <w:t>，从业人员</w:t>
      </w:r>
      <w:r>
        <w:rPr>
          <w:rFonts w:hint="eastAsia" w:ascii="宋体" w:hAnsi="宋体"/>
          <w:bCs/>
          <w:color w:val="auto"/>
          <w:sz w:val="24"/>
          <w:highlight w:val="none"/>
          <w:u w:val="single"/>
        </w:rPr>
        <w:t xml:space="preserve">     </w:t>
      </w:r>
      <w:r>
        <w:rPr>
          <w:rFonts w:hint="eastAsia" w:ascii="宋体" w:hAnsi="宋体"/>
          <w:bCs/>
          <w:color w:val="auto"/>
          <w:sz w:val="24"/>
          <w:highlight w:val="none"/>
        </w:rPr>
        <w:t>人，营业收入为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万元，资产总额为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万元，属于</w:t>
      </w:r>
      <w:r>
        <w:rPr>
          <w:rFonts w:hint="eastAsia" w:ascii="宋体" w:hAnsi="宋体"/>
          <w:bCs/>
          <w:color w:val="auto"/>
          <w:sz w:val="24"/>
          <w:highlight w:val="none"/>
          <w:u w:val="single"/>
        </w:rPr>
        <w:t>（中型企业、小型企业、微型企业）</w:t>
      </w:r>
      <w:r>
        <w:rPr>
          <w:rFonts w:hint="eastAsia" w:ascii="宋体" w:hAnsi="宋体"/>
          <w:bCs/>
          <w:color w:val="auto"/>
          <w:sz w:val="24"/>
          <w:highlight w:val="none"/>
        </w:rPr>
        <w:t>；</w:t>
      </w:r>
    </w:p>
    <w:p>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w:t>
      </w:r>
    </w:p>
    <w:p>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 xml:space="preserve">本企业对上述声明内容的真实性负责。如有虚假，将依法承担相应责任。 </w:t>
      </w:r>
    </w:p>
    <w:p>
      <w:pPr>
        <w:spacing w:line="360" w:lineRule="auto"/>
        <w:jc w:val="left"/>
        <w:rPr>
          <w:rFonts w:ascii="宋体" w:hAnsi="宋体"/>
          <w:bCs/>
          <w:color w:val="auto"/>
          <w:sz w:val="24"/>
          <w:highlight w:val="none"/>
        </w:rPr>
      </w:pPr>
    </w:p>
    <w:p>
      <w:pPr>
        <w:spacing w:line="360" w:lineRule="auto"/>
        <w:ind w:firstLine="4800" w:firstLineChars="2000"/>
        <w:jc w:val="left"/>
        <w:rPr>
          <w:rFonts w:ascii="宋体" w:hAnsi="宋体"/>
          <w:bCs/>
          <w:color w:val="auto"/>
          <w:sz w:val="24"/>
          <w:highlight w:val="none"/>
        </w:rPr>
      </w:pPr>
      <w:r>
        <w:rPr>
          <w:rFonts w:hint="eastAsia" w:ascii="宋体" w:hAnsi="宋体"/>
          <w:bCs/>
          <w:color w:val="auto"/>
          <w:sz w:val="24"/>
          <w:highlight w:val="none"/>
        </w:rPr>
        <w:t>企业名称（盖章）：</w:t>
      </w:r>
    </w:p>
    <w:p>
      <w:pPr>
        <w:spacing w:line="360" w:lineRule="auto"/>
        <w:ind w:firstLine="4800" w:firstLineChars="2000"/>
        <w:jc w:val="left"/>
        <w:rPr>
          <w:rFonts w:ascii="宋体" w:hAnsi="宋体"/>
          <w:bCs/>
          <w:color w:val="auto"/>
          <w:sz w:val="24"/>
          <w:highlight w:val="none"/>
        </w:rPr>
      </w:pPr>
      <w:r>
        <w:rPr>
          <w:rFonts w:hint="eastAsia" w:ascii="宋体" w:hAnsi="宋体"/>
          <w:bCs/>
          <w:color w:val="auto"/>
          <w:sz w:val="24"/>
          <w:highlight w:val="none"/>
        </w:rPr>
        <w:t>日    期：</w:t>
      </w: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ind w:left="-2" w:hanging="2"/>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残疾人福利性单位声明函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3120" w:firstLineChars="1300"/>
        <w:jc w:val="left"/>
        <w:rPr>
          <w:rFonts w:ascii="宋体" w:hAnsi="宋体"/>
          <w:bCs/>
          <w:color w:val="auto"/>
          <w:sz w:val="24"/>
          <w:highlight w:val="none"/>
        </w:rPr>
      </w:pPr>
      <w:r>
        <w:rPr>
          <w:rFonts w:hint="eastAsia" w:ascii="宋体" w:hAnsi="宋体"/>
          <w:bCs/>
          <w:color w:val="auto"/>
          <w:sz w:val="24"/>
          <w:highlight w:val="none"/>
        </w:rPr>
        <w:t>单位名称（单位公章）：</w:t>
      </w:r>
    </w:p>
    <w:p>
      <w:pPr>
        <w:spacing w:line="360" w:lineRule="auto"/>
        <w:ind w:firstLine="5040" w:firstLineChars="2100"/>
        <w:rPr>
          <w:color w:val="auto"/>
          <w:highlight w:val="none"/>
        </w:rPr>
      </w:pPr>
      <w:r>
        <w:rPr>
          <w:rFonts w:hint="eastAsia" w:ascii="宋体" w:hAnsi="宋体"/>
          <w:bCs/>
          <w:color w:val="auto"/>
          <w:sz w:val="24"/>
          <w:highlight w:val="none"/>
        </w:rPr>
        <w:t>日期：</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w:t>
      </w:r>
    </w:p>
    <w:sectPr>
      <w:headerReference r:id="rId5"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VhjD8rAgAAVQQAAA4AAABkcnMvZTJvRG9jLnhtbK1UzY7TMBC+I/EO lu80bRGrqmq6KlsVIVXsSgVxdh2nieQ/2W6T8gDwBpy4cOe5+hx8dpIuWjjsgYsz9oy/8ffNTBa3 rZLkJJyvjc7pZDSmRGhuilofcvrp4+bVjBIfmC6YNFrk9Cw8vV2+fLFo7FxMTWVkIRwBiPbzxua0 CsHOs8zzSijmR8YKDWdpnGIBW3fICscaoCuZTcfjm6wxrrDOcOE9Ttedk/aI7jmApixrLtaGH5XQ oUN1QrIASr6qrafL9NqyFDzcl6UXgcicgmlIK5LA3sc1Wy7Y/OCYrWreP4E95wlPOClWayS9Qq1Z YOTo6r+gVM2d8aYMI25U1hFJioDFZPxEm13FrEhcILW3V9H9/4PlH04PjtRFTqeUaKZQ8Mv3b5cf vy4/v5JplKexfo6onUVcaN+aFk0znHscRtZt6VT8gg+BH+Ker+KKNhAeL82ms9kYLg7fsAF+9njd Oh/eCaNINHLqUL0kKjttfehCh5CYTZtNLWWqoNSkyenN6zfjdOHqAbjUyBFJdI+NVmj3bc9sb4oz iDnTdYa3fFMj+Zb58MAcWgEPxrCEeyylNEhieouSyrgv/zqP8agQvJQ0aK2cakwSJfK9RuUAGAbD DcZ+MPRR3Rn06gRDaHkyccEFOZilM+ozJmgVc8DFNEemnIbBvAtde2MCuVitUhB6zbKw1TvLI3QU z9vVMUDApGsUpVOi1wrdlirTT0Zs5z/3Kerxb7D8DV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JQEAABbQ29udGVudF9UeXBlc10ueG1sUEsBAhQA CgAAAAAAh07iQAAAAAAAAAAAAAAAAAYAAAAAAAAAAAAQAAAAdgMAAF9yZWxzL1BLAQIUABQAAAAI AIdO4kCKFGY80QAAAJQBAAALAAAAAAAAAAEAIAAAAJoDAABfcmVscy8ucmVsc1BLAQIUAAoAAAAA AIdO4kAAAAAAAAAAAAAAAAAEAAAAAAAAAAAAEAAAAAAAAABkcnMvUEsBAhQAFAAAAAgAh07iQLNJ WO7QAAAABQEAAA8AAAAAAAAAAQAgAAAAIgAAAGRycy9kb3ducmV2LnhtbFBLAQIUABQAAAAIAIdO 4kAFYYw/KwIAAFUEAAAOAAAAAAAAAAEAIAAAAB8BAABkcnMvZTJvRG9jLnhtbFBLBQYAAAAABgAG AFkBAAC8BQAAAAA= ">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0"/>
      </w:pPr>
      <w:r>
        <w:rPr>
          <w:rStyle w:val="34"/>
        </w:rPr>
        <w:footnoteRef/>
      </w:r>
      <w:r>
        <w:t xml:space="preserve"> </w:t>
      </w:r>
      <w:r>
        <w:rPr>
          <w:rFonts w:hint="eastAsia" w:ascii="宋体" w:hAnsi="宋体"/>
          <w:bCs/>
          <w:sz w:val="24"/>
        </w:rPr>
        <w:t>从业人员、营业收入、资产总额填报上一年度数据，无上一年度数据的新成立企业可不填报。</w:t>
      </w:r>
    </w:p>
  </w:footnote>
  <w:footnote w:id="1">
    <w:p>
      <w:pPr>
        <w:pStyle w:val="20"/>
      </w:pPr>
      <w:r>
        <w:rPr>
          <w:rStyle w:val="34"/>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台州市政府采购电子招标文件</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72</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75</w:t>
    </w:r>
    <w:r>
      <w:rPr>
        <w:b/>
        <w:i/>
        <w:color w:val="000000"/>
        <w:spacing w:val="-20"/>
        <w:kern w:val="0"/>
        <w:sz w:val="18"/>
        <w:u w:val="single"/>
      </w:rPr>
      <w:fldChar w:fldCharType="end"/>
    </w:r>
    <w:r>
      <w:rPr>
        <w:rFonts w:hint="eastAsia"/>
        <w:b/>
        <w:i/>
        <w:color w:val="000000"/>
        <w:spacing w:val="-20"/>
        <w:kern w:val="0"/>
        <w:sz w:val="18"/>
        <w:u w:val="single"/>
      </w:rPr>
      <w:t>页</w:t>
    </w:r>
  </w:p>
  <w:p>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6B51F"/>
    <w:multiLevelType w:val="singleLevel"/>
    <w:tmpl w:val="ACF6B51F"/>
    <w:lvl w:ilvl="0" w:tentative="0">
      <w:start w:val="1"/>
      <w:numFmt w:val="decimal"/>
      <w:lvlText w:val="%1."/>
      <w:lvlJc w:val="left"/>
      <w:pPr>
        <w:tabs>
          <w:tab w:val="left" w:pos="312"/>
        </w:tabs>
      </w:pPr>
    </w:lvl>
  </w:abstractNum>
  <w:abstractNum w:abstractNumId="1">
    <w:nsid w:val="AE2D8F7B"/>
    <w:multiLevelType w:val="singleLevel"/>
    <w:tmpl w:val="AE2D8F7B"/>
    <w:lvl w:ilvl="0" w:tentative="0">
      <w:start w:val="1"/>
      <w:numFmt w:val="decimal"/>
      <w:pStyle w:val="9"/>
      <w:lvlText w:val="%1."/>
      <w:lvlJc w:val="left"/>
      <w:pPr>
        <w:tabs>
          <w:tab w:val="left" w:pos="360"/>
        </w:tabs>
        <w:ind w:left="360" w:hanging="360"/>
      </w:pPr>
      <w:rPr>
        <w:rFonts w:cs="Times New Roman"/>
      </w:rPr>
    </w:lvl>
  </w:abstractNum>
  <w:abstractNum w:abstractNumId="2">
    <w:nsid w:val="EBFDA1D1"/>
    <w:multiLevelType w:val="singleLevel"/>
    <w:tmpl w:val="EBFDA1D1"/>
    <w:lvl w:ilvl="0" w:tentative="0">
      <w:start w:val="1"/>
      <w:numFmt w:val="decimal"/>
      <w:lvlText w:val="%1."/>
      <w:lvlJc w:val="left"/>
      <w:pPr>
        <w:tabs>
          <w:tab w:val="left" w:pos="312"/>
        </w:tabs>
      </w:pPr>
    </w:lvl>
  </w:abstractNum>
  <w:abstractNum w:abstractNumId="3">
    <w:nsid w:val="F1087093"/>
    <w:multiLevelType w:val="singleLevel"/>
    <w:tmpl w:val="F1087093"/>
    <w:lvl w:ilvl="0" w:tentative="0">
      <w:start w:val="5"/>
      <w:numFmt w:val="chineseCounting"/>
      <w:suff w:val="space"/>
      <w:lvlText w:val="第%1章"/>
      <w:lvlJc w:val="left"/>
      <w:rPr>
        <w:rFonts w:hint="eastAsia"/>
      </w:rPr>
    </w:lvl>
  </w:abstractNum>
  <w:abstractNum w:abstractNumId="4">
    <w:nsid w:val="F9659DAC"/>
    <w:multiLevelType w:val="singleLevel"/>
    <w:tmpl w:val="F9659DAC"/>
    <w:lvl w:ilvl="0" w:tentative="0">
      <w:start w:val="1"/>
      <w:numFmt w:val="decimal"/>
      <w:lvlText w:val="%1."/>
      <w:lvlJc w:val="left"/>
      <w:pPr>
        <w:tabs>
          <w:tab w:val="left" w:pos="312"/>
        </w:tabs>
      </w:pPr>
    </w:lvl>
  </w:abstractNum>
  <w:abstractNum w:abstractNumId="5">
    <w:nsid w:val="FE560568"/>
    <w:multiLevelType w:val="singleLevel"/>
    <w:tmpl w:val="FE560568"/>
    <w:lvl w:ilvl="0" w:tentative="0">
      <w:start w:val="1"/>
      <w:numFmt w:val="decimal"/>
      <w:lvlText w:val="%1."/>
      <w:lvlJc w:val="left"/>
      <w:pPr>
        <w:tabs>
          <w:tab w:val="left" w:pos="312"/>
        </w:tabs>
      </w:pPr>
    </w:lvl>
  </w:abstractNum>
  <w:abstractNum w:abstractNumId="6">
    <w:nsid w:val="4CFF562D"/>
    <w:multiLevelType w:val="singleLevel"/>
    <w:tmpl w:val="4CFF562D"/>
    <w:lvl w:ilvl="0" w:tentative="0">
      <w:start w:val="1"/>
      <w:numFmt w:val="decimal"/>
      <w:suff w:val="nothing"/>
      <w:lvlText w:val="（%1）"/>
      <w:lvlJc w:val="left"/>
    </w:lvl>
  </w:abstractNum>
  <w:abstractNum w:abstractNumId="7">
    <w:nsid w:val="7BFF8AB2"/>
    <w:multiLevelType w:val="singleLevel"/>
    <w:tmpl w:val="7BFF8AB2"/>
    <w:lvl w:ilvl="0" w:tentative="0">
      <w:start w:val="2"/>
      <w:numFmt w:val="chineseCounting"/>
      <w:suff w:val="nothing"/>
      <w:lvlText w:val="（%1）"/>
      <w:lvlJc w:val="left"/>
      <w:rPr>
        <w:rFonts w:hint="eastAsia"/>
      </w:rPr>
    </w:lvl>
  </w:abstractNum>
  <w:num w:numId="1">
    <w:abstractNumId w:val="1"/>
  </w:num>
  <w:num w:numId="2">
    <w:abstractNumId w:val="7"/>
  </w:num>
  <w:num w:numId="3">
    <w:abstractNumId w:val="4"/>
  </w:num>
  <w:num w:numId="4">
    <w:abstractNumId w:val="5"/>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ZGEyYzExMGVhNmMzYzkzMTkwZWY3NGNkYzFlMTIifQ=="/>
  </w:docVars>
  <w:rsids>
    <w:rsidRoot w:val="0E970358"/>
    <w:rsid w:val="00016260"/>
    <w:rsid w:val="0002035B"/>
    <w:rsid w:val="000403F7"/>
    <w:rsid w:val="0006294D"/>
    <w:rsid w:val="00062AB3"/>
    <w:rsid w:val="000630DA"/>
    <w:rsid w:val="000752FC"/>
    <w:rsid w:val="00082C5B"/>
    <w:rsid w:val="00107BF6"/>
    <w:rsid w:val="001334F2"/>
    <w:rsid w:val="001358F3"/>
    <w:rsid w:val="00165F2A"/>
    <w:rsid w:val="00180836"/>
    <w:rsid w:val="00180F35"/>
    <w:rsid w:val="00201D2F"/>
    <w:rsid w:val="00201D62"/>
    <w:rsid w:val="00203C2F"/>
    <w:rsid w:val="0021318F"/>
    <w:rsid w:val="002226F6"/>
    <w:rsid w:val="00225C6B"/>
    <w:rsid w:val="002401F4"/>
    <w:rsid w:val="00241352"/>
    <w:rsid w:val="00282BFD"/>
    <w:rsid w:val="00286DC1"/>
    <w:rsid w:val="002A1620"/>
    <w:rsid w:val="003102FB"/>
    <w:rsid w:val="0033011F"/>
    <w:rsid w:val="00332E30"/>
    <w:rsid w:val="00353DAF"/>
    <w:rsid w:val="00394F4B"/>
    <w:rsid w:val="003C020E"/>
    <w:rsid w:val="003C5E00"/>
    <w:rsid w:val="003E6DE1"/>
    <w:rsid w:val="003F595C"/>
    <w:rsid w:val="003F78E0"/>
    <w:rsid w:val="004279DE"/>
    <w:rsid w:val="00441FAE"/>
    <w:rsid w:val="00446CEF"/>
    <w:rsid w:val="00491BDF"/>
    <w:rsid w:val="004B4165"/>
    <w:rsid w:val="00501A00"/>
    <w:rsid w:val="00517FC3"/>
    <w:rsid w:val="00531666"/>
    <w:rsid w:val="00542F87"/>
    <w:rsid w:val="00616E31"/>
    <w:rsid w:val="00636172"/>
    <w:rsid w:val="00646CA0"/>
    <w:rsid w:val="006540F3"/>
    <w:rsid w:val="00655E3C"/>
    <w:rsid w:val="00674C42"/>
    <w:rsid w:val="006E5A80"/>
    <w:rsid w:val="006F4DFE"/>
    <w:rsid w:val="00702C0D"/>
    <w:rsid w:val="0075349E"/>
    <w:rsid w:val="00783370"/>
    <w:rsid w:val="00793C81"/>
    <w:rsid w:val="007A2629"/>
    <w:rsid w:val="007C1005"/>
    <w:rsid w:val="007F5FAF"/>
    <w:rsid w:val="00802325"/>
    <w:rsid w:val="008154BD"/>
    <w:rsid w:val="00823978"/>
    <w:rsid w:val="00847BE5"/>
    <w:rsid w:val="00874489"/>
    <w:rsid w:val="0088066B"/>
    <w:rsid w:val="008A4030"/>
    <w:rsid w:val="008D4A89"/>
    <w:rsid w:val="008E781F"/>
    <w:rsid w:val="008F0FD2"/>
    <w:rsid w:val="00912983"/>
    <w:rsid w:val="00944004"/>
    <w:rsid w:val="00992C73"/>
    <w:rsid w:val="009B3E22"/>
    <w:rsid w:val="009F3459"/>
    <w:rsid w:val="009F36F6"/>
    <w:rsid w:val="00A12F71"/>
    <w:rsid w:val="00A17880"/>
    <w:rsid w:val="00A30B75"/>
    <w:rsid w:val="00A730CA"/>
    <w:rsid w:val="00AD4E26"/>
    <w:rsid w:val="00AF276E"/>
    <w:rsid w:val="00B0420E"/>
    <w:rsid w:val="00BB526C"/>
    <w:rsid w:val="00BE0ADF"/>
    <w:rsid w:val="00C44AFB"/>
    <w:rsid w:val="00C52E14"/>
    <w:rsid w:val="00C767D4"/>
    <w:rsid w:val="00CB0437"/>
    <w:rsid w:val="00CC232E"/>
    <w:rsid w:val="00CD1804"/>
    <w:rsid w:val="00CD1B4A"/>
    <w:rsid w:val="00D138F1"/>
    <w:rsid w:val="00D264AC"/>
    <w:rsid w:val="00D5269F"/>
    <w:rsid w:val="00DA25C4"/>
    <w:rsid w:val="00DB2B95"/>
    <w:rsid w:val="00DB6334"/>
    <w:rsid w:val="00E319E7"/>
    <w:rsid w:val="00E372BC"/>
    <w:rsid w:val="00EC5609"/>
    <w:rsid w:val="00EF2797"/>
    <w:rsid w:val="00F127FF"/>
    <w:rsid w:val="00F64E95"/>
    <w:rsid w:val="00F74D1E"/>
    <w:rsid w:val="00F835F4"/>
    <w:rsid w:val="00F94869"/>
    <w:rsid w:val="0162067B"/>
    <w:rsid w:val="01935887"/>
    <w:rsid w:val="01BB35F9"/>
    <w:rsid w:val="022F3D89"/>
    <w:rsid w:val="0248373E"/>
    <w:rsid w:val="026B5F45"/>
    <w:rsid w:val="02997B42"/>
    <w:rsid w:val="03887300"/>
    <w:rsid w:val="04220E8F"/>
    <w:rsid w:val="047F2580"/>
    <w:rsid w:val="04AE50DC"/>
    <w:rsid w:val="04CC341D"/>
    <w:rsid w:val="05137CD7"/>
    <w:rsid w:val="05277511"/>
    <w:rsid w:val="05506872"/>
    <w:rsid w:val="060B26E0"/>
    <w:rsid w:val="06BD404D"/>
    <w:rsid w:val="06BFF579"/>
    <w:rsid w:val="07367BC9"/>
    <w:rsid w:val="07A02299"/>
    <w:rsid w:val="07AB7419"/>
    <w:rsid w:val="07D73661"/>
    <w:rsid w:val="07FB9ED0"/>
    <w:rsid w:val="08091DAB"/>
    <w:rsid w:val="086C0E69"/>
    <w:rsid w:val="08752140"/>
    <w:rsid w:val="094C42FF"/>
    <w:rsid w:val="09684C1F"/>
    <w:rsid w:val="097A796A"/>
    <w:rsid w:val="09AFE5EC"/>
    <w:rsid w:val="0ADB4F19"/>
    <w:rsid w:val="0B982374"/>
    <w:rsid w:val="0C00559E"/>
    <w:rsid w:val="0C1E2BA0"/>
    <w:rsid w:val="0C765CB2"/>
    <w:rsid w:val="0CCE3D8B"/>
    <w:rsid w:val="0CFF1E34"/>
    <w:rsid w:val="0D77FFF1"/>
    <w:rsid w:val="0E4F7C80"/>
    <w:rsid w:val="0E76545A"/>
    <w:rsid w:val="0E970358"/>
    <w:rsid w:val="0EDF0EFD"/>
    <w:rsid w:val="0EEB8CD5"/>
    <w:rsid w:val="0EF06582"/>
    <w:rsid w:val="0EFF168F"/>
    <w:rsid w:val="0F38476A"/>
    <w:rsid w:val="0F7F533D"/>
    <w:rsid w:val="0FB7A30F"/>
    <w:rsid w:val="0FBB7DA3"/>
    <w:rsid w:val="0FCF1506"/>
    <w:rsid w:val="0FE7F6ED"/>
    <w:rsid w:val="0FFE27A3"/>
    <w:rsid w:val="10053DFB"/>
    <w:rsid w:val="10392EAE"/>
    <w:rsid w:val="10460D9F"/>
    <w:rsid w:val="105FF039"/>
    <w:rsid w:val="10706EC2"/>
    <w:rsid w:val="108C052F"/>
    <w:rsid w:val="109A6009"/>
    <w:rsid w:val="112127F4"/>
    <w:rsid w:val="114D620F"/>
    <w:rsid w:val="127549CB"/>
    <w:rsid w:val="12807280"/>
    <w:rsid w:val="12C37550"/>
    <w:rsid w:val="13CE2B23"/>
    <w:rsid w:val="13E64BE3"/>
    <w:rsid w:val="13FC1BC3"/>
    <w:rsid w:val="13FE3357"/>
    <w:rsid w:val="13FF33FF"/>
    <w:rsid w:val="148463E6"/>
    <w:rsid w:val="14C65588"/>
    <w:rsid w:val="14D20D9B"/>
    <w:rsid w:val="14E9C666"/>
    <w:rsid w:val="1527076B"/>
    <w:rsid w:val="153F4363"/>
    <w:rsid w:val="15A72BED"/>
    <w:rsid w:val="15AE1060"/>
    <w:rsid w:val="15B7B7EE"/>
    <w:rsid w:val="16082E04"/>
    <w:rsid w:val="1621170E"/>
    <w:rsid w:val="16251141"/>
    <w:rsid w:val="16F20AA9"/>
    <w:rsid w:val="16FEFFD1"/>
    <w:rsid w:val="17769E48"/>
    <w:rsid w:val="178F7DEC"/>
    <w:rsid w:val="17BF4099"/>
    <w:rsid w:val="17DFB2A7"/>
    <w:rsid w:val="17DFB93E"/>
    <w:rsid w:val="17FC1FF8"/>
    <w:rsid w:val="18297C96"/>
    <w:rsid w:val="18820ED2"/>
    <w:rsid w:val="18B91D2B"/>
    <w:rsid w:val="18C40414"/>
    <w:rsid w:val="18E11A7C"/>
    <w:rsid w:val="199B1FCC"/>
    <w:rsid w:val="19CE623A"/>
    <w:rsid w:val="19CFB31F"/>
    <w:rsid w:val="1A6A6D44"/>
    <w:rsid w:val="1A727F64"/>
    <w:rsid w:val="1A817123"/>
    <w:rsid w:val="1AC8084D"/>
    <w:rsid w:val="1AEDA62C"/>
    <w:rsid w:val="1B0DF2B4"/>
    <w:rsid w:val="1B674FFA"/>
    <w:rsid w:val="1B7EC87C"/>
    <w:rsid w:val="1B9F5145"/>
    <w:rsid w:val="1BDFF23E"/>
    <w:rsid w:val="1C093ECB"/>
    <w:rsid w:val="1C2A1FDB"/>
    <w:rsid w:val="1C75E7BB"/>
    <w:rsid w:val="1C8170E0"/>
    <w:rsid w:val="1C925590"/>
    <w:rsid w:val="1CE4433A"/>
    <w:rsid w:val="1CEF09F5"/>
    <w:rsid w:val="1D7D1DC7"/>
    <w:rsid w:val="1D955145"/>
    <w:rsid w:val="1DBF163F"/>
    <w:rsid w:val="1DC530BD"/>
    <w:rsid w:val="1DCFBA45"/>
    <w:rsid w:val="1DEF3BB7"/>
    <w:rsid w:val="1DEF4EDA"/>
    <w:rsid w:val="1DEF9659"/>
    <w:rsid w:val="1E3E4D04"/>
    <w:rsid w:val="1E58234F"/>
    <w:rsid w:val="1E767391"/>
    <w:rsid w:val="1E7E6F7C"/>
    <w:rsid w:val="1E7FC4F2"/>
    <w:rsid w:val="1EB000C3"/>
    <w:rsid w:val="1EE84AA8"/>
    <w:rsid w:val="1EFC1D81"/>
    <w:rsid w:val="1EFE81FC"/>
    <w:rsid w:val="1EFF338A"/>
    <w:rsid w:val="1F031196"/>
    <w:rsid w:val="1F6FA517"/>
    <w:rsid w:val="1F7580C9"/>
    <w:rsid w:val="1FAD4AD6"/>
    <w:rsid w:val="1FDEA797"/>
    <w:rsid w:val="1FEFF7A9"/>
    <w:rsid w:val="1FF5E103"/>
    <w:rsid w:val="1FFD6B75"/>
    <w:rsid w:val="1FFF4691"/>
    <w:rsid w:val="1FFF4AD8"/>
    <w:rsid w:val="20C17471"/>
    <w:rsid w:val="212B2D67"/>
    <w:rsid w:val="218818E8"/>
    <w:rsid w:val="219D7BF3"/>
    <w:rsid w:val="2259413E"/>
    <w:rsid w:val="228447E5"/>
    <w:rsid w:val="2306260B"/>
    <w:rsid w:val="23424F53"/>
    <w:rsid w:val="234B11A1"/>
    <w:rsid w:val="236E14E2"/>
    <w:rsid w:val="23776A0C"/>
    <w:rsid w:val="23BFBB7C"/>
    <w:rsid w:val="24585E27"/>
    <w:rsid w:val="252E28FE"/>
    <w:rsid w:val="257BF3BE"/>
    <w:rsid w:val="25E54514"/>
    <w:rsid w:val="25EC42FB"/>
    <w:rsid w:val="268A132E"/>
    <w:rsid w:val="26B51612"/>
    <w:rsid w:val="26BF6282"/>
    <w:rsid w:val="26DF939B"/>
    <w:rsid w:val="26E1C0F9"/>
    <w:rsid w:val="26EC5B07"/>
    <w:rsid w:val="26EF6DF7"/>
    <w:rsid w:val="26F6A20C"/>
    <w:rsid w:val="273FC850"/>
    <w:rsid w:val="27BFD033"/>
    <w:rsid w:val="27CA2FC5"/>
    <w:rsid w:val="27DDAAE6"/>
    <w:rsid w:val="27EF5752"/>
    <w:rsid w:val="27F7CD52"/>
    <w:rsid w:val="27FD1A98"/>
    <w:rsid w:val="28076A74"/>
    <w:rsid w:val="28EE5691"/>
    <w:rsid w:val="292FB85C"/>
    <w:rsid w:val="293FE364"/>
    <w:rsid w:val="29736974"/>
    <w:rsid w:val="29803A90"/>
    <w:rsid w:val="29D148D0"/>
    <w:rsid w:val="29E30E59"/>
    <w:rsid w:val="29EFEFD1"/>
    <w:rsid w:val="2A3E177C"/>
    <w:rsid w:val="2A3F4BF5"/>
    <w:rsid w:val="2A8EC9D5"/>
    <w:rsid w:val="2AC803DC"/>
    <w:rsid w:val="2AF71430"/>
    <w:rsid w:val="2AF8F409"/>
    <w:rsid w:val="2B33AA64"/>
    <w:rsid w:val="2B38078E"/>
    <w:rsid w:val="2B3B63C9"/>
    <w:rsid w:val="2B520C88"/>
    <w:rsid w:val="2B6F73D4"/>
    <w:rsid w:val="2BBB20BD"/>
    <w:rsid w:val="2BBF063B"/>
    <w:rsid w:val="2BEF081D"/>
    <w:rsid w:val="2BEF752A"/>
    <w:rsid w:val="2BF61080"/>
    <w:rsid w:val="2C8C19A5"/>
    <w:rsid w:val="2D0E4908"/>
    <w:rsid w:val="2D3F4E66"/>
    <w:rsid w:val="2D9F138F"/>
    <w:rsid w:val="2DDB53BB"/>
    <w:rsid w:val="2DEE4DCA"/>
    <w:rsid w:val="2E831505"/>
    <w:rsid w:val="2ECFD039"/>
    <w:rsid w:val="2ED7D844"/>
    <w:rsid w:val="2EF7FC4F"/>
    <w:rsid w:val="2EFE2315"/>
    <w:rsid w:val="2EFF0FC4"/>
    <w:rsid w:val="2F1A7003"/>
    <w:rsid w:val="2F402F53"/>
    <w:rsid w:val="2F5E0265"/>
    <w:rsid w:val="2F767D15"/>
    <w:rsid w:val="2F77ADB6"/>
    <w:rsid w:val="2F7808B9"/>
    <w:rsid w:val="2F7B7CE5"/>
    <w:rsid w:val="2F9DCBAA"/>
    <w:rsid w:val="2FB7B296"/>
    <w:rsid w:val="2FBFD405"/>
    <w:rsid w:val="2FEF3908"/>
    <w:rsid w:val="2FEF9AFD"/>
    <w:rsid w:val="2FEFCD65"/>
    <w:rsid w:val="2FF75557"/>
    <w:rsid w:val="2FF9D8B8"/>
    <w:rsid w:val="2FFF8292"/>
    <w:rsid w:val="2FFFB32A"/>
    <w:rsid w:val="2FFFBCCD"/>
    <w:rsid w:val="30143D85"/>
    <w:rsid w:val="31752B09"/>
    <w:rsid w:val="31A87135"/>
    <w:rsid w:val="326351F9"/>
    <w:rsid w:val="32DB998E"/>
    <w:rsid w:val="32DF0B14"/>
    <w:rsid w:val="32FB8926"/>
    <w:rsid w:val="3327FDE9"/>
    <w:rsid w:val="337936A2"/>
    <w:rsid w:val="33B3E7C9"/>
    <w:rsid w:val="33D3B528"/>
    <w:rsid w:val="33EFB088"/>
    <w:rsid w:val="33FD54F9"/>
    <w:rsid w:val="341548E3"/>
    <w:rsid w:val="343B0120"/>
    <w:rsid w:val="347D4526"/>
    <w:rsid w:val="349E5E25"/>
    <w:rsid w:val="35571045"/>
    <w:rsid w:val="35671120"/>
    <w:rsid w:val="359B739A"/>
    <w:rsid w:val="35BE2980"/>
    <w:rsid w:val="35D135DC"/>
    <w:rsid w:val="35DB08E6"/>
    <w:rsid w:val="35DF19C9"/>
    <w:rsid w:val="35FA77DB"/>
    <w:rsid w:val="35FE7C12"/>
    <w:rsid w:val="35FF1F54"/>
    <w:rsid w:val="360971EA"/>
    <w:rsid w:val="36623E0E"/>
    <w:rsid w:val="36674F10"/>
    <w:rsid w:val="367768FB"/>
    <w:rsid w:val="368ECC26"/>
    <w:rsid w:val="36BFF6D3"/>
    <w:rsid w:val="36F4CA60"/>
    <w:rsid w:val="374EF54C"/>
    <w:rsid w:val="376E8F93"/>
    <w:rsid w:val="37712A39"/>
    <w:rsid w:val="37776F9E"/>
    <w:rsid w:val="377F0715"/>
    <w:rsid w:val="37B30439"/>
    <w:rsid w:val="37C7AC29"/>
    <w:rsid w:val="37CE4DFA"/>
    <w:rsid w:val="37D4DB87"/>
    <w:rsid w:val="37E35FF7"/>
    <w:rsid w:val="37E73B45"/>
    <w:rsid w:val="37EBD58D"/>
    <w:rsid w:val="37EFCB82"/>
    <w:rsid w:val="37FABF64"/>
    <w:rsid w:val="37FF9FA4"/>
    <w:rsid w:val="37FFAE18"/>
    <w:rsid w:val="388E0DA1"/>
    <w:rsid w:val="38983E4E"/>
    <w:rsid w:val="38FDB32A"/>
    <w:rsid w:val="39110721"/>
    <w:rsid w:val="397F3F1B"/>
    <w:rsid w:val="39A55B45"/>
    <w:rsid w:val="39B6468C"/>
    <w:rsid w:val="39DF44FC"/>
    <w:rsid w:val="39EF1DE5"/>
    <w:rsid w:val="39F36D82"/>
    <w:rsid w:val="3A5B1E43"/>
    <w:rsid w:val="3A7FBFCE"/>
    <w:rsid w:val="3ABFF3EA"/>
    <w:rsid w:val="3AE50133"/>
    <w:rsid w:val="3AEB31C5"/>
    <w:rsid w:val="3AF79C84"/>
    <w:rsid w:val="3AFCD46D"/>
    <w:rsid w:val="3B2DB8F1"/>
    <w:rsid w:val="3B345EA5"/>
    <w:rsid w:val="3B3F9C55"/>
    <w:rsid w:val="3B7F589E"/>
    <w:rsid w:val="3B870694"/>
    <w:rsid w:val="3B907037"/>
    <w:rsid w:val="3BB253C8"/>
    <w:rsid w:val="3BB6FA60"/>
    <w:rsid w:val="3BB797D2"/>
    <w:rsid w:val="3BCB658C"/>
    <w:rsid w:val="3BCFD542"/>
    <w:rsid w:val="3BDF0CB9"/>
    <w:rsid w:val="3BDFC387"/>
    <w:rsid w:val="3BEB698B"/>
    <w:rsid w:val="3BEC088A"/>
    <w:rsid w:val="3BF73DE4"/>
    <w:rsid w:val="3BFF3086"/>
    <w:rsid w:val="3BFFB94A"/>
    <w:rsid w:val="3CADED5C"/>
    <w:rsid w:val="3D1275D3"/>
    <w:rsid w:val="3D7A86CB"/>
    <w:rsid w:val="3D7FFC68"/>
    <w:rsid w:val="3D96448A"/>
    <w:rsid w:val="3D9BF5B4"/>
    <w:rsid w:val="3DB531EC"/>
    <w:rsid w:val="3DB62A93"/>
    <w:rsid w:val="3DBB71E5"/>
    <w:rsid w:val="3DDF26B6"/>
    <w:rsid w:val="3DF060DF"/>
    <w:rsid w:val="3DFE328F"/>
    <w:rsid w:val="3DFF0A0F"/>
    <w:rsid w:val="3DFF5A70"/>
    <w:rsid w:val="3DFF8C01"/>
    <w:rsid w:val="3E1D0CBE"/>
    <w:rsid w:val="3E2E8930"/>
    <w:rsid w:val="3E3B1D39"/>
    <w:rsid w:val="3E3E42D2"/>
    <w:rsid w:val="3E3F21D5"/>
    <w:rsid w:val="3E4F2DCA"/>
    <w:rsid w:val="3E5FFB55"/>
    <w:rsid w:val="3E6EB0F5"/>
    <w:rsid w:val="3E7D5EF6"/>
    <w:rsid w:val="3EA4532B"/>
    <w:rsid w:val="3EBB2253"/>
    <w:rsid w:val="3EBBA397"/>
    <w:rsid w:val="3EDE249C"/>
    <w:rsid w:val="3EEF5E01"/>
    <w:rsid w:val="3EF6C9A4"/>
    <w:rsid w:val="3EFC817E"/>
    <w:rsid w:val="3EFF3195"/>
    <w:rsid w:val="3EFFA8B2"/>
    <w:rsid w:val="3F1F8864"/>
    <w:rsid w:val="3F37C1D2"/>
    <w:rsid w:val="3F3F2067"/>
    <w:rsid w:val="3F5D0AE0"/>
    <w:rsid w:val="3F5F657A"/>
    <w:rsid w:val="3F6F2E60"/>
    <w:rsid w:val="3F76BE48"/>
    <w:rsid w:val="3F77220A"/>
    <w:rsid w:val="3F7C7A2C"/>
    <w:rsid w:val="3F7FE891"/>
    <w:rsid w:val="3F93C09E"/>
    <w:rsid w:val="3F9664F1"/>
    <w:rsid w:val="3F97AC85"/>
    <w:rsid w:val="3F997C45"/>
    <w:rsid w:val="3F9BD3E6"/>
    <w:rsid w:val="3F9F79A9"/>
    <w:rsid w:val="3FBE90B1"/>
    <w:rsid w:val="3FBFD4CF"/>
    <w:rsid w:val="3FBFFB81"/>
    <w:rsid w:val="3FCB50CA"/>
    <w:rsid w:val="3FD364DC"/>
    <w:rsid w:val="3FD3A995"/>
    <w:rsid w:val="3FD9466C"/>
    <w:rsid w:val="3FDE0D15"/>
    <w:rsid w:val="3FDF4F3B"/>
    <w:rsid w:val="3FDFCDCA"/>
    <w:rsid w:val="3FE55CB7"/>
    <w:rsid w:val="3FEB4ABE"/>
    <w:rsid w:val="3FED78DC"/>
    <w:rsid w:val="3FEF7752"/>
    <w:rsid w:val="3FEFCEE0"/>
    <w:rsid w:val="3FEFDAFF"/>
    <w:rsid w:val="3FF7461F"/>
    <w:rsid w:val="3FF7F9B6"/>
    <w:rsid w:val="3FFB67C7"/>
    <w:rsid w:val="3FFDB84D"/>
    <w:rsid w:val="3FFE21A5"/>
    <w:rsid w:val="3FFE3180"/>
    <w:rsid w:val="3FFECBB6"/>
    <w:rsid w:val="3FFECEA6"/>
    <w:rsid w:val="3FFF49E7"/>
    <w:rsid w:val="3FFF7675"/>
    <w:rsid w:val="3FFF8164"/>
    <w:rsid w:val="3FFF9061"/>
    <w:rsid w:val="3FFFD7C4"/>
    <w:rsid w:val="3FFFDED5"/>
    <w:rsid w:val="40D83598"/>
    <w:rsid w:val="4162164B"/>
    <w:rsid w:val="41FD7F0C"/>
    <w:rsid w:val="41FF0180"/>
    <w:rsid w:val="426BB09F"/>
    <w:rsid w:val="427F72CD"/>
    <w:rsid w:val="42A472AC"/>
    <w:rsid w:val="42C65079"/>
    <w:rsid w:val="42FF5E9C"/>
    <w:rsid w:val="43036342"/>
    <w:rsid w:val="431C0EEF"/>
    <w:rsid w:val="43346686"/>
    <w:rsid w:val="437F5317"/>
    <w:rsid w:val="43855031"/>
    <w:rsid w:val="43D911A2"/>
    <w:rsid w:val="43FD8743"/>
    <w:rsid w:val="445508D8"/>
    <w:rsid w:val="44957494"/>
    <w:rsid w:val="449926C4"/>
    <w:rsid w:val="44E23928"/>
    <w:rsid w:val="45034D45"/>
    <w:rsid w:val="4563730C"/>
    <w:rsid w:val="456B496E"/>
    <w:rsid w:val="457787A3"/>
    <w:rsid w:val="458D141B"/>
    <w:rsid w:val="45FF1375"/>
    <w:rsid w:val="464C2236"/>
    <w:rsid w:val="47339248"/>
    <w:rsid w:val="47574462"/>
    <w:rsid w:val="477730B8"/>
    <w:rsid w:val="47AF90D4"/>
    <w:rsid w:val="47D80C70"/>
    <w:rsid w:val="47E55A8D"/>
    <w:rsid w:val="4866347F"/>
    <w:rsid w:val="48694FA0"/>
    <w:rsid w:val="488E768B"/>
    <w:rsid w:val="496FDED9"/>
    <w:rsid w:val="497F6965"/>
    <w:rsid w:val="49A8192A"/>
    <w:rsid w:val="49F41D5E"/>
    <w:rsid w:val="49F709C3"/>
    <w:rsid w:val="49F7F6F8"/>
    <w:rsid w:val="49FF2382"/>
    <w:rsid w:val="4A6358C8"/>
    <w:rsid w:val="4AA82D78"/>
    <w:rsid w:val="4B1972CC"/>
    <w:rsid w:val="4B1E31F7"/>
    <w:rsid w:val="4B3F001D"/>
    <w:rsid w:val="4B55797D"/>
    <w:rsid w:val="4B7B0985"/>
    <w:rsid w:val="4BCB3573"/>
    <w:rsid w:val="4CA846B1"/>
    <w:rsid w:val="4CE75373"/>
    <w:rsid w:val="4CF7E1A8"/>
    <w:rsid w:val="4CFD3F0E"/>
    <w:rsid w:val="4D5934CA"/>
    <w:rsid w:val="4DB64580"/>
    <w:rsid w:val="4DBA747C"/>
    <w:rsid w:val="4DCF0DE2"/>
    <w:rsid w:val="4DD74746"/>
    <w:rsid w:val="4DDED4CF"/>
    <w:rsid w:val="4DDF3B4A"/>
    <w:rsid w:val="4DFB19F2"/>
    <w:rsid w:val="4E3FD2D4"/>
    <w:rsid w:val="4E67E674"/>
    <w:rsid w:val="4E7D3BD9"/>
    <w:rsid w:val="4EDFF025"/>
    <w:rsid w:val="4EF761D7"/>
    <w:rsid w:val="4EFE206D"/>
    <w:rsid w:val="4F3E6ECA"/>
    <w:rsid w:val="4F643C80"/>
    <w:rsid w:val="4F7EC95B"/>
    <w:rsid w:val="4F7EE170"/>
    <w:rsid w:val="4F8ED38D"/>
    <w:rsid w:val="4FAD3574"/>
    <w:rsid w:val="4FAF568A"/>
    <w:rsid w:val="4FDA2706"/>
    <w:rsid w:val="4FDDFAA7"/>
    <w:rsid w:val="4FDEE5E0"/>
    <w:rsid w:val="4FE79857"/>
    <w:rsid w:val="4FF7117B"/>
    <w:rsid w:val="4FFB54B0"/>
    <w:rsid w:val="4FFBAE15"/>
    <w:rsid w:val="4FFEC896"/>
    <w:rsid w:val="4FFF0DCE"/>
    <w:rsid w:val="4FFF2797"/>
    <w:rsid w:val="4FFF2D04"/>
    <w:rsid w:val="4FFF6F86"/>
    <w:rsid w:val="50C963FC"/>
    <w:rsid w:val="51776BB3"/>
    <w:rsid w:val="51CF6393"/>
    <w:rsid w:val="51ED829C"/>
    <w:rsid w:val="521D5543"/>
    <w:rsid w:val="524457F9"/>
    <w:rsid w:val="537A849B"/>
    <w:rsid w:val="53AC0385"/>
    <w:rsid w:val="53DBD84F"/>
    <w:rsid w:val="53E65C00"/>
    <w:rsid w:val="53F76BD2"/>
    <w:rsid w:val="5477CE5D"/>
    <w:rsid w:val="54DF6960"/>
    <w:rsid w:val="54FFEB07"/>
    <w:rsid w:val="55341E11"/>
    <w:rsid w:val="553A4203"/>
    <w:rsid w:val="557D4C17"/>
    <w:rsid w:val="55B539DB"/>
    <w:rsid w:val="55EFE947"/>
    <w:rsid w:val="56378C16"/>
    <w:rsid w:val="566D4B95"/>
    <w:rsid w:val="56BF535E"/>
    <w:rsid w:val="56D75A1E"/>
    <w:rsid w:val="56EE365E"/>
    <w:rsid w:val="56EEFD8E"/>
    <w:rsid w:val="56FB8562"/>
    <w:rsid w:val="572656D4"/>
    <w:rsid w:val="577A076D"/>
    <w:rsid w:val="577D76D7"/>
    <w:rsid w:val="577F9140"/>
    <w:rsid w:val="578671EF"/>
    <w:rsid w:val="578D0B51"/>
    <w:rsid w:val="579D2E88"/>
    <w:rsid w:val="57A674E7"/>
    <w:rsid w:val="57B71BDC"/>
    <w:rsid w:val="57DD5A78"/>
    <w:rsid w:val="57E45422"/>
    <w:rsid w:val="57EC3620"/>
    <w:rsid w:val="57EF4C4D"/>
    <w:rsid w:val="57F7A187"/>
    <w:rsid w:val="57FE6140"/>
    <w:rsid w:val="57FE9CAE"/>
    <w:rsid w:val="57FFC051"/>
    <w:rsid w:val="58F1BED8"/>
    <w:rsid w:val="58F3EB9D"/>
    <w:rsid w:val="59080873"/>
    <w:rsid w:val="59234CED"/>
    <w:rsid w:val="597EBE13"/>
    <w:rsid w:val="59837876"/>
    <w:rsid w:val="59AD06A4"/>
    <w:rsid w:val="59E7AE89"/>
    <w:rsid w:val="59F9C52E"/>
    <w:rsid w:val="59FD880E"/>
    <w:rsid w:val="59FE8EB7"/>
    <w:rsid w:val="5A4D586D"/>
    <w:rsid w:val="5A56726E"/>
    <w:rsid w:val="5A6249B0"/>
    <w:rsid w:val="5A9E1939"/>
    <w:rsid w:val="5AD20FEA"/>
    <w:rsid w:val="5AD73B0E"/>
    <w:rsid w:val="5AF76AB0"/>
    <w:rsid w:val="5AF7F74F"/>
    <w:rsid w:val="5B1BA052"/>
    <w:rsid w:val="5B3C1575"/>
    <w:rsid w:val="5B3E1B64"/>
    <w:rsid w:val="5B55AE2A"/>
    <w:rsid w:val="5B570376"/>
    <w:rsid w:val="5B5F3056"/>
    <w:rsid w:val="5B773120"/>
    <w:rsid w:val="5B787FBA"/>
    <w:rsid w:val="5B794C9D"/>
    <w:rsid w:val="5B7EA3FD"/>
    <w:rsid w:val="5B8754F4"/>
    <w:rsid w:val="5BA2494B"/>
    <w:rsid w:val="5BAD1472"/>
    <w:rsid w:val="5BBD4585"/>
    <w:rsid w:val="5BBF0AC3"/>
    <w:rsid w:val="5BBF913C"/>
    <w:rsid w:val="5BD4E987"/>
    <w:rsid w:val="5BD5676C"/>
    <w:rsid w:val="5BD7F4F3"/>
    <w:rsid w:val="5BE78C4D"/>
    <w:rsid w:val="5BED10A2"/>
    <w:rsid w:val="5BED1B11"/>
    <w:rsid w:val="5BF5D998"/>
    <w:rsid w:val="5BF7AC74"/>
    <w:rsid w:val="5BF95C59"/>
    <w:rsid w:val="5BFF75C4"/>
    <w:rsid w:val="5BFF7F77"/>
    <w:rsid w:val="5BFF8C96"/>
    <w:rsid w:val="5C1B16C8"/>
    <w:rsid w:val="5C5B34AE"/>
    <w:rsid w:val="5C6218C1"/>
    <w:rsid w:val="5C67DB25"/>
    <w:rsid w:val="5C995E78"/>
    <w:rsid w:val="5CAD763C"/>
    <w:rsid w:val="5CFDA4B6"/>
    <w:rsid w:val="5D2D2A1C"/>
    <w:rsid w:val="5D2D66C0"/>
    <w:rsid w:val="5D350B55"/>
    <w:rsid w:val="5D6FE2C6"/>
    <w:rsid w:val="5D775FB8"/>
    <w:rsid w:val="5D7794EA"/>
    <w:rsid w:val="5D7AC1E0"/>
    <w:rsid w:val="5D8B2B3D"/>
    <w:rsid w:val="5DAF1240"/>
    <w:rsid w:val="5DBA46C3"/>
    <w:rsid w:val="5DBB3FB7"/>
    <w:rsid w:val="5DBEC6BC"/>
    <w:rsid w:val="5DC7E301"/>
    <w:rsid w:val="5DCBBA1C"/>
    <w:rsid w:val="5DD9A9FE"/>
    <w:rsid w:val="5DE5D685"/>
    <w:rsid w:val="5DFA2AEC"/>
    <w:rsid w:val="5DFB9D50"/>
    <w:rsid w:val="5DFBF6D6"/>
    <w:rsid w:val="5E2E5DFD"/>
    <w:rsid w:val="5E3A0E23"/>
    <w:rsid w:val="5E3A2E3F"/>
    <w:rsid w:val="5E5F33AC"/>
    <w:rsid w:val="5E6FB51A"/>
    <w:rsid w:val="5E773C82"/>
    <w:rsid w:val="5E9F6A96"/>
    <w:rsid w:val="5EAFDA31"/>
    <w:rsid w:val="5EBF9FFC"/>
    <w:rsid w:val="5ED024BC"/>
    <w:rsid w:val="5EDFABC6"/>
    <w:rsid w:val="5EE84C68"/>
    <w:rsid w:val="5EF665B8"/>
    <w:rsid w:val="5EF70883"/>
    <w:rsid w:val="5EFB25ED"/>
    <w:rsid w:val="5EFDDC6D"/>
    <w:rsid w:val="5EFF4EE6"/>
    <w:rsid w:val="5F3F76B3"/>
    <w:rsid w:val="5F3FDAD1"/>
    <w:rsid w:val="5F779E88"/>
    <w:rsid w:val="5F7F084D"/>
    <w:rsid w:val="5F7F20DF"/>
    <w:rsid w:val="5F7FD78F"/>
    <w:rsid w:val="5F8EC36A"/>
    <w:rsid w:val="5F993D49"/>
    <w:rsid w:val="5F9D748C"/>
    <w:rsid w:val="5FA703FC"/>
    <w:rsid w:val="5FAF8711"/>
    <w:rsid w:val="5FAFF296"/>
    <w:rsid w:val="5FBDBF9C"/>
    <w:rsid w:val="5FBDC668"/>
    <w:rsid w:val="5FBE5040"/>
    <w:rsid w:val="5FBFB250"/>
    <w:rsid w:val="5FC4656C"/>
    <w:rsid w:val="5FD5303C"/>
    <w:rsid w:val="5FDB483F"/>
    <w:rsid w:val="5FDF5E9E"/>
    <w:rsid w:val="5FDF663F"/>
    <w:rsid w:val="5FEBFA28"/>
    <w:rsid w:val="5FEEEEE2"/>
    <w:rsid w:val="5FEF0F7E"/>
    <w:rsid w:val="5FEF547B"/>
    <w:rsid w:val="5FEF66C6"/>
    <w:rsid w:val="5FEFD97A"/>
    <w:rsid w:val="5FF0AB0C"/>
    <w:rsid w:val="5FF94C41"/>
    <w:rsid w:val="5FFB2491"/>
    <w:rsid w:val="5FFD5854"/>
    <w:rsid w:val="5FFDA420"/>
    <w:rsid w:val="5FFDF3D8"/>
    <w:rsid w:val="5FFE947E"/>
    <w:rsid w:val="5FFF30D9"/>
    <w:rsid w:val="5FFF452E"/>
    <w:rsid w:val="5FFF625E"/>
    <w:rsid w:val="5FFF7458"/>
    <w:rsid w:val="5FFFC48F"/>
    <w:rsid w:val="5FFFEEF1"/>
    <w:rsid w:val="602463B0"/>
    <w:rsid w:val="6026592A"/>
    <w:rsid w:val="60DF181E"/>
    <w:rsid w:val="60E07B05"/>
    <w:rsid w:val="60E678E8"/>
    <w:rsid w:val="61BEF068"/>
    <w:rsid w:val="61DF258F"/>
    <w:rsid w:val="61F3B198"/>
    <w:rsid w:val="621D5BA4"/>
    <w:rsid w:val="628B4C9C"/>
    <w:rsid w:val="62FD19F8"/>
    <w:rsid w:val="63197EAF"/>
    <w:rsid w:val="633F7DE8"/>
    <w:rsid w:val="635B6748"/>
    <w:rsid w:val="637CE54D"/>
    <w:rsid w:val="63947A95"/>
    <w:rsid w:val="63C91A2B"/>
    <w:rsid w:val="63E54A74"/>
    <w:rsid w:val="63EE231D"/>
    <w:rsid w:val="63FDBFD3"/>
    <w:rsid w:val="63FF3794"/>
    <w:rsid w:val="63FF7CC0"/>
    <w:rsid w:val="64281C7B"/>
    <w:rsid w:val="646D4DEA"/>
    <w:rsid w:val="64FB808D"/>
    <w:rsid w:val="655F3B99"/>
    <w:rsid w:val="656E5279"/>
    <w:rsid w:val="657B9E84"/>
    <w:rsid w:val="659CBB41"/>
    <w:rsid w:val="65BC1250"/>
    <w:rsid w:val="65BCE365"/>
    <w:rsid w:val="65FBC183"/>
    <w:rsid w:val="65FC5D20"/>
    <w:rsid w:val="661D5519"/>
    <w:rsid w:val="669358D0"/>
    <w:rsid w:val="66BFDCEE"/>
    <w:rsid w:val="66BFF1CF"/>
    <w:rsid w:val="66EE0EBF"/>
    <w:rsid w:val="66F255A1"/>
    <w:rsid w:val="66F64950"/>
    <w:rsid w:val="66FB964D"/>
    <w:rsid w:val="672F804D"/>
    <w:rsid w:val="673F4C13"/>
    <w:rsid w:val="676F5090"/>
    <w:rsid w:val="677B066E"/>
    <w:rsid w:val="678761A3"/>
    <w:rsid w:val="67994783"/>
    <w:rsid w:val="67B05ABC"/>
    <w:rsid w:val="67B167D1"/>
    <w:rsid w:val="67BD338D"/>
    <w:rsid w:val="67D21C66"/>
    <w:rsid w:val="67D3CA41"/>
    <w:rsid w:val="67D72BB2"/>
    <w:rsid w:val="67DB0789"/>
    <w:rsid w:val="67DD66C1"/>
    <w:rsid w:val="67DFEA1C"/>
    <w:rsid w:val="67EB9D21"/>
    <w:rsid w:val="67EFAC44"/>
    <w:rsid w:val="67F050E1"/>
    <w:rsid w:val="67FBA1B0"/>
    <w:rsid w:val="67FE3CAD"/>
    <w:rsid w:val="67FF944B"/>
    <w:rsid w:val="67FF9BB0"/>
    <w:rsid w:val="680779EE"/>
    <w:rsid w:val="685F1C50"/>
    <w:rsid w:val="68F7A38E"/>
    <w:rsid w:val="693FB56D"/>
    <w:rsid w:val="69514F7B"/>
    <w:rsid w:val="699022E9"/>
    <w:rsid w:val="69C7D822"/>
    <w:rsid w:val="69FC82A5"/>
    <w:rsid w:val="69FF3A83"/>
    <w:rsid w:val="6A714498"/>
    <w:rsid w:val="6AD222E3"/>
    <w:rsid w:val="6ADF5030"/>
    <w:rsid w:val="6AE869E9"/>
    <w:rsid w:val="6AFB524A"/>
    <w:rsid w:val="6AFF06A1"/>
    <w:rsid w:val="6B0B3BC7"/>
    <w:rsid w:val="6B672B83"/>
    <w:rsid w:val="6B6FD229"/>
    <w:rsid w:val="6BBB0010"/>
    <w:rsid w:val="6BBF713E"/>
    <w:rsid w:val="6BD93E8E"/>
    <w:rsid w:val="6BDDDE1E"/>
    <w:rsid w:val="6BDF1264"/>
    <w:rsid w:val="6BDF711F"/>
    <w:rsid w:val="6BEBF1EB"/>
    <w:rsid w:val="6BF28CEE"/>
    <w:rsid w:val="6CAB3016"/>
    <w:rsid w:val="6CDD6944"/>
    <w:rsid w:val="6CEFF1C6"/>
    <w:rsid w:val="6CF778ED"/>
    <w:rsid w:val="6D394B03"/>
    <w:rsid w:val="6D3F07B0"/>
    <w:rsid w:val="6D5F63AB"/>
    <w:rsid w:val="6D7ECA92"/>
    <w:rsid w:val="6D9398D9"/>
    <w:rsid w:val="6DB3EE52"/>
    <w:rsid w:val="6DB48C9E"/>
    <w:rsid w:val="6DB78481"/>
    <w:rsid w:val="6DBD3AE0"/>
    <w:rsid w:val="6DBDEB98"/>
    <w:rsid w:val="6DCA5C13"/>
    <w:rsid w:val="6DCC7B1B"/>
    <w:rsid w:val="6DDDE44B"/>
    <w:rsid w:val="6DE32411"/>
    <w:rsid w:val="6DE7906B"/>
    <w:rsid w:val="6DF76F2B"/>
    <w:rsid w:val="6DF9C637"/>
    <w:rsid w:val="6DFBF5A0"/>
    <w:rsid w:val="6DFD69F0"/>
    <w:rsid w:val="6DFFF940"/>
    <w:rsid w:val="6EB62CFD"/>
    <w:rsid w:val="6EB92AEC"/>
    <w:rsid w:val="6EBC8732"/>
    <w:rsid w:val="6EBDEDBC"/>
    <w:rsid w:val="6EDC72BE"/>
    <w:rsid w:val="6EE48CBC"/>
    <w:rsid w:val="6EE71B22"/>
    <w:rsid w:val="6EE74977"/>
    <w:rsid w:val="6EE79EC3"/>
    <w:rsid w:val="6EFF89B7"/>
    <w:rsid w:val="6F3FF12D"/>
    <w:rsid w:val="6F44AC79"/>
    <w:rsid w:val="6F5672D8"/>
    <w:rsid w:val="6F5F8887"/>
    <w:rsid w:val="6F6672EE"/>
    <w:rsid w:val="6F6F0BA5"/>
    <w:rsid w:val="6F6FC9C3"/>
    <w:rsid w:val="6F778E98"/>
    <w:rsid w:val="6F7A09AE"/>
    <w:rsid w:val="6F7B19C4"/>
    <w:rsid w:val="6F7B36F7"/>
    <w:rsid w:val="6F7D64F7"/>
    <w:rsid w:val="6F7D9D32"/>
    <w:rsid w:val="6F7EF4EF"/>
    <w:rsid w:val="6F7F583F"/>
    <w:rsid w:val="6F7F60A5"/>
    <w:rsid w:val="6F7F743B"/>
    <w:rsid w:val="6F935233"/>
    <w:rsid w:val="6FAED1C2"/>
    <w:rsid w:val="6FB63127"/>
    <w:rsid w:val="6FBA5C41"/>
    <w:rsid w:val="6FBE7515"/>
    <w:rsid w:val="6FBEBABC"/>
    <w:rsid w:val="6FBF1B88"/>
    <w:rsid w:val="6FBF2961"/>
    <w:rsid w:val="6FBF63FB"/>
    <w:rsid w:val="6FBF7395"/>
    <w:rsid w:val="6FC58719"/>
    <w:rsid w:val="6FCF482E"/>
    <w:rsid w:val="6FD7082A"/>
    <w:rsid w:val="6FDC625B"/>
    <w:rsid w:val="6FDFEEC5"/>
    <w:rsid w:val="6FE2F0DC"/>
    <w:rsid w:val="6FE72490"/>
    <w:rsid w:val="6FEAA9E4"/>
    <w:rsid w:val="6FEBAC7D"/>
    <w:rsid w:val="6FEBCFC0"/>
    <w:rsid w:val="6FED6194"/>
    <w:rsid w:val="6FEE6E00"/>
    <w:rsid w:val="6FF3D180"/>
    <w:rsid w:val="6FF4A0A9"/>
    <w:rsid w:val="6FF5273A"/>
    <w:rsid w:val="6FF530A1"/>
    <w:rsid w:val="6FFBB97C"/>
    <w:rsid w:val="6FFD4D59"/>
    <w:rsid w:val="6FFDC867"/>
    <w:rsid w:val="6FFDE33B"/>
    <w:rsid w:val="6FFE69CA"/>
    <w:rsid w:val="6FFEA881"/>
    <w:rsid w:val="6FFF6FDB"/>
    <w:rsid w:val="6FFFD380"/>
    <w:rsid w:val="70500E79"/>
    <w:rsid w:val="705FAD10"/>
    <w:rsid w:val="70B11AB9"/>
    <w:rsid w:val="70CBFDB8"/>
    <w:rsid w:val="70FB661A"/>
    <w:rsid w:val="712460B6"/>
    <w:rsid w:val="71640D8D"/>
    <w:rsid w:val="71BEFB99"/>
    <w:rsid w:val="71D556BD"/>
    <w:rsid w:val="71E61012"/>
    <w:rsid w:val="71F60D33"/>
    <w:rsid w:val="71FF7C38"/>
    <w:rsid w:val="72186E4B"/>
    <w:rsid w:val="72457588"/>
    <w:rsid w:val="725014B0"/>
    <w:rsid w:val="72667F4B"/>
    <w:rsid w:val="726B6C9D"/>
    <w:rsid w:val="727151E7"/>
    <w:rsid w:val="72BF0B9E"/>
    <w:rsid w:val="72E74CA8"/>
    <w:rsid w:val="72F56666"/>
    <w:rsid w:val="72FB33BE"/>
    <w:rsid w:val="72FDF811"/>
    <w:rsid w:val="730BC494"/>
    <w:rsid w:val="730C7BC8"/>
    <w:rsid w:val="73191F37"/>
    <w:rsid w:val="732F9085"/>
    <w:rsid w:val="736D8E2D"/>
    <w:rsid w:val="736FDEAB"/>
    <w:rsid w:val="73744113"/>
    <w:rsid w:val="737EE9A5"/>
    <w:rsid w:val="737F0616"/>
    <w:rsid w:val="739C7821"/>
    <w:rsid w:val="73A111F6"/>
    <w:rsid w:val="73B763C2"/>
    <w:rsid w:val="73BD8702"/>
    <w:rsid w:val="73D20F3D"/>
    <w:rsid w:val="73DF5749"/>
    <w:rsid w:val="73DFB4F8"/>
    <w:rsid w:val="73F78C35"/>
    <w:rsid w:val="73F7F164"/>
    <w:rsid w:val="73FF4B3B"/>
    <w:rsid w:val="73FFFEE2"/>
    <w:rsid w:val="745919C6"/>
    <w:rsid w:val="74702A9A"/>
    <w:rsid w:val="747F5B64"/>
    <w:rsid w:val="749E8615"/>
    <w:rsid w:val="74AEB138"/>
    <w:rsid w:val="74BFA319"/>
    <w:rsid w:val="74C046C2"/>
    <w:rsid w:val="74DE8734"/>
    <w:rsid w:val="750B780B"/>
    <w:rsid w:val="751122B7"/>
    <w:rsid w:val="7525118A"/>
    <w:rsid w:val="75571F47"/>
    <w:rsid w:val="755E86C4"/>
    <w:rsid w:val="75638879"/>
    <w:rsid w:val="75745308"/>
    <w:rsid w:val="757C7E26"/>
    <w:rsid w:val="75BF1FBE"/>
    <w:rsid w:val="75DF704A"/>
    <w:rsid w:val="75DFC469"/>
    <w:rsid w:val="75E18779"/>
    <w:rsid w:val="75EA82B5"/>
    <w:rsid w:val="75EEB3F9"/>
    <w:rsid w:val="75EF183E"/>
    <w:rsid w:val="75F0A44B"/>
    <w:rsid w:val="75F12EBC"/>
    <w:rsid w:val="75F34EEF"/>
    <w:rsid w:val="75F71A0B"/>
    <w:rsid w:val="75FB8EAA"/>
    <w:rsid w:val="75FB9AD0"/>
    <w:rsid w:val="75FEC934"/>
    <w:rsid w:val="75FF18CF"/>
    <w:rsid w:val="75FF8C37"/>
    <w:rsid w:val="761C2BBB"/>
    <w:rsid w:val="76379A2F"/>
    <w:rsid w:val="763FEB89"/>
    <w:rsid w:val="7647B190"/>
    <w:rsid w:val="765D21B7"/>
    <w:rsid w:val="7671701C"/>
    <w:rsid w:val="767E61E2"/>
    <w:rsid w:val="767EFF5F"/>
    <w:rsid w:val="767F64B3"/>
    <w:rsid w:val="76DCF728"/>
    <w:rsid w:val="76DE2A62"/>
    <w:rsid w:val="76E6AC6F"/>
    <w:rsid w:val="76EDFDC8"/>
    <w:rsid w:val="76F18BA0"/>
    <w:rsid w:val="76F5F851"/>
    <w:rsid w:val="76F7CCA9"/>
    <w:rsid w:val="76F81568"/>
    <w:rsid w:val="76FF7FA4"/>
    <w:rsid w:val="77231590"/>
    <w:rsid w:val="773DA46F"/>
    <w:rsid w:val="773F7D92"/>
    <w:rsid w:val="773F897C"/>
    <w:rsid w:val="774EAEE8"/>
    <w:rsid w:val="774F0E30"/>
    <w:rsid w:val="775B5F7F"/>
    <w:rsid w:val="776A1DE8"/>
    <w:rsid w:val="776F2019"/>
    <w:rsid w:val="777722D6"/>
    <w:rsid w:val="777B8418"/>
    <w:rsid w:val="777E00AB"/>
    <w:rsid w:val="777F001A"/>
    <w:rsid w:val="779FE539"/>
    <w:rsid w:val="77AA6501"/>
    <w:rsid w:val="77AF7E51"/>
    <w:rsid w:val="77B2A71A"/>
    <w:rsid w:val="77B9A049"/>
    <w:rsid w:val="77BFCC10"/>
    <w:rsid w:val="77CBC12D"/>
    <w:rsid w:val="77D2468E"/>
    <w:rsid w:val="77D52C5E"/>
    <w:rsid w:val="77D7083A"/>
    <w:rsid w:val="77D797A3"/>
    <w:rsid w:val="77DA7153"/>
    <w:rsid w:val="77DACE9E"/>
    <w:rsid w:val="77DD6347"/>
    <w:rsid w:val="77DF04D1"/>
    <w:rsid w:val="77DF2BD2"/>
    <w:rsid w:val="77E754EA"/>
    <w:rsid w:val="77E7FBC9"/>
    <w:rsid w:val="77EFB1BC"/>
    <w:rsid w:val="77F097F5"/>
    <w:rsid w:val="77F3F303"/>
    <w:rsid w:val="77F6F390"/>
    <w:rsid w:val="77FB0518"/>
    <w:rsid w:val="77FC3444"/>
    <w:rsid w:val="77FD9002"/>
    <w:rsid w:val="77FF0E2E"/>
    <w:rsid w:val="77FF5707"/>
    <w:rsid w:val="77FF8506"/>
    <w:rsid w:val="77FFA015"/>
    <w:rsid w:val="77FFE78A"/>
    <w:rsid w:val="77FFEFA3"/>
    <w:rsid w:val="77FFF022"/>
    <w:rsid w:val="781D9F84"/>
    <w:rsid w:val="783F9998"/>
    <w:rsid w:val="785D00CA"/>
    <w:rsid w:val="787EA0DF"/>
    <w:rsid w:val="78B62FAF"/>
    <w:rsid w:val="78CDBC55"/>
    <w:rsid w:val="78DAF58F"/>
    <w:rsid w:val="78FB2B10"/>
    <w:rsid w:val="78FFD073"/>
    <w:rsid w:val="78FFFEC3"/>
    <w:rsid w:val="79362E73"/>
    <w:rsid w:val="795FE925"/>
    <w:rsid w:val="7967B196"/>
    <w:rsid w:val="796DDCB8"/>
    <w:rsid w:val="796E5631"/>
    <w:rsid w:val="79748387"/>
    <w:rsid w:val="797FC2CB"/>
    <w:rsid w:val="79BF6C5A"/>
    <w:rsid w:val="79BF7D24"/>
    <w:rsid w:val="79C669C9"/>
    <w:rsid w:val="79CB8F09"/>
    <w:rsid w:val="79D67609"/>
    <w:rsid w:val="79DDB1EE"/>
    <w:rsid w:val="79DF35A0"/>
    <w:rsid w:val="79E783BB"/>
    <w:rsid w:val="79EBAD49"/>
    <w:rsid w:val="79F63475"/>
    <w:rsid w:val="79F75CEA"/>
    <w:rsid w:val="79F7909B"/>
    <w:rsid w:val="79F7B146"/>
    <w:rsid w:val="79FDA021"/>
    <w:rsid w:val="79FE1340"/>
    <w:rsid w:val="79FF3BB0"/>
    <w:rsid w:val="79FF5534"/>
    <w:rsid w:val="7A4F1519"/>
    <w:rsid w:val="7A6DFF81"/>
    <w:rsid w:val="7A749FD6"/>
    <w:rsid w:val="7A9FD5AA"/>
    <w:rsid w:val="7ABFD103"/>
    <w:rsid w:val="7ADF58C6"/>
    <w:rsid w:val="7AE74D12"/>
    <w:rsid w:val="7AEB363A"/>
    <w:rsid w:val="7AED3280"/>
    <w:rsid w:val="7AEDE4AF"/>
    <w:rsid w:val="7AEE87F5"/>
    <w:rsid w:val="7AF4CFF5"/>
    <w:rsid w:val="7AF592C2"/>
    <w:rsid w:val="7AF73652"/>
    <w:rsid w:val="7AF93CED"/>
    <w:rsid w:val="7AFDEB65"/>
    <w:rsid w:val="7AFF6B83"/>
    <w:rsid w:val="7AFFF15D"/>
    <w:rsid w:val="7B191DEF"/>
    <w:rsid w:val="7B1A17AA"/>
    <w:rsid w:val="7B3369D6"/>
    <w:rsid w:val="7B3ACD4F"/>
    <w:rsid w:val="7B5C16F1"/>
    <w:rsid w:val="7B5F6998"/>
    <w:rsid w:val="7B66BB34"/>
    <w:rsid w:val="7B697F04"/>
    <w:rsid w:val="7B6BF89D"/>
    <w:rsid w:val="7B71D6DC"/>
    <w:rsid w:val="7B77B48F"/>
    <w:rsid w:val="7B7BB275"/>
    <w:rsid w:val="7B7FC818"/>
    <w:rsid w:val="7B9F0ED8"/>
    <w:rsid w:val="7B9FB63C"/>
    <w:rsid w:val="7BB6CBCF"/>
    <w:rsid w:val="7BBAED11"/>
    <w:rsid w:val="7BBC60B2"/>
    <w:rsid w:val="7BBDE516"/>
    <w:rsid w:val="7BBF5ECE"/>
    <w:rsid w:val="7BBFE617"/>
    <w:rsid w:val="7BC44584"/>
    <w:rsid w:val="7BD72BFF"/>
    <w:rsid w:val="7BD7E21A"/>
    <w:rsid w:val="7BDE7FFF"/>
    <w:rsid w:val="7BE55D50"/>
    <w:rsid w:val="7BEF22B3"/>
    <w:rsid w:val="7BEF4B6C"/>
    <w:rsid w:val="7BF385E3"/>
    <w:rsid w:val="7BF3ABE2"/>
    <w:rsid w:val="7BF4FBE3"/>
    <w:rsid w:val="7BF76EFC"/>
    <w:rsid w:val="7BFF7632"/>
    <w:rsid w:val="7BFF7DDD"/>
    <w:rsid w:val="7BFF8BB0"/>
    <w:rsid w:val="7BFFE9F2"/>
    <w:rsid w:val="7C3E9B5E"/>
    <w:rsid w:val="7C5CE5DC"/>
    <w:rsid w:val="7C5D5984"/>
    <w:rsid w:val="7C5F69BD"/>
    <w:rsid w:val="7C73E9AF"/>
    <w:rsid w:val="7C76192B"/>
    <w:rsid w:val="7C7BE7D0"/>
    <w:rsid w:val="7C7E0D23"/>
    <w:rsid w:val="7C7FEF98"/>
    <w:rsid w:val="7C8434BE"/>
    <w:rsid w:val="7C95BC64"/>
    <w:rsid w:val="7CBF679F"/>
    <w:rsid w:val="7CCB4117"/>
    <w:rsid w:val="7CDFF17C"/>
    <w:rsid w:val="7CE4E246"/>
    <w:rsid w:val="7CF27A66"/>
    <w:rsid w:val="7CF563AA"/>
    <w:rsid w:val="7CF6A111"/>
    <w:rsid w:val="7CF7F128"/>
    <w:rsid w:val="7CFBDA79"/>
    <w:rsid w:val="7CFD70A3"/>
    <w:rsid w:val="7CFE0969"/>
    <w:rsid w:val="7D0C6867"/>
    <w:rsid w:val="7D3A7483"/>
    <w:rsid w:val="7D3B0D1B"/>
    <w:rsid w:val="7D3F7D4C"/>
    <w:rsid w:val="7D3FC53B"/>
    <w:rsid w:val="7D5DA7FD"/>
    <w:rsid w:val="7D5E8C69"/>
    <w:rsid w:val="7D6D6E44"/>
    <w:rsid w:val="7D6E784A"/>
    <w:rsid w:val="7D73FA04"/>
    <w:rsid w:val="7D7596FF"/>
    <w:rsid w:val="7D7F6E69"/>
    <w:rsid w:val="7D8BD512"/>
    <w:rsid w:val="7D968B9B"/>
    <w:rsid w:val="7D9F1206"/>
    <w:rsid w:val="7DAB1BCF"/>
    <w:rsid w:val="7DBBE8AE"/>
    <w:rsid w:val="7DBE5DB8"/>
    <w:rsid w:val="7DBFD1C4"/>
    <w:rsid w:val="7DCFA05E"/>
    <w:rsid w:val="7DCFB529"/>
    <w:rsid w:val="7DD540AC"/>
    <w:rsid w:val="7DD78F01"/>
    <w:rsid w:val="7DD833F6"/>
    <w:rsid w:val="7DD895CB"/>
    <w:rsid w:val="7DDD17C6"/>
    <w:rsid w:val="7DDD6CEA"/>
    <w:rsid w:val="7DDF007D"/>
    <w:rsid w:val="7DE40679"/>
    <w:rsid w:val="7DE67079"/>
    <w:rsid w:val="7DE7BE29"/>
    <w:rsid w:val="7DEA48E9"/>
    <w:rsid w:val="7DEBE29A"/>
    <w:rsid w:val="7DED0920"/>
    <w:rsid w:val="7DED9518"/>
    <w:rsid w:val="7DEFB5F4"/>
    <w:rsid w:val="7DF46A81"/>
    <w:rsid w:val="7DF5D05F"/>
    <w:rsid w:val="7DF6E629"/>
    <w:rsid w:val="7DFA7B2D"/>
    <w:rsid w:val="7DFB9FC8"/>
    <w:rsid w:val="7DFBA70D"/>
    <w:rsid w:val="7DFCB7B9"/>
    <w:rsid w:val="7DFD110A"/>
    <w:rsid w:val="7DFD3FD2"/>
    <w:rsid w:val="7DFDAF5A"/>
    <w:rsid w:val="7DFDD89A"/>
    <w:rsid w:val="7DFEEB13"/>
    <w:rsid w:val="7DFF541C"/>
    <w:rsid w:val="7DFF54B9"/>
    <w:rsid w:val="7DFF5D91"/>
    <w:rsid w:val="7DFFAFA7"/>
    <w:rsid w:val="7E1E50F2"/>
    <w:rsid w:val="7E277E0D"/>
    <w:rsid w:val="7E2F4578"/>
    <w:rsid w:val="7E35E354"/>
    <w:rsid w:val="7E3A10B9"/>
    <w:rsid w:val="7E3F2E10"/>
    <w:rsid w:val="7E636E14"/>
    <w:rsid w:val="7E730C27"/>
    <w:rsid w:val="7E77931B"/>
    <w:rsid w:val="7E77E236"/>
    <w:rsid w:val="7E7801D0"/>
    <w:rsid w:val="7E7C9A4D"/>
    <w:rsid w:val="7E7FE8FF"/>
    <w:rsid w:val="7E9F37C9"/>
    <w:rsid w:val="7EA6F59D"/>
    <w:rsid w:val="7EAEF6E2"/>
    <w:rsid w:val="7EAF8509"/>
    <w:rsid w:val="7EB75BCA"/>
    <w:rsid w:val="7EBB086F"/>
    <w:rsid w:val="7EBB2119"/>
    <w:rsid w:val="7EBD4C76"/>
    <w:rsid w:val="7EBD5B84"/>
    <w:rsid w:val="7EBD6556"/>
    <w:rsid w:val="7EBD698A"/>
    <w:rsid w:val="7EBDAFC9"/>
    <w:rsid w:val="7ECD7EC6"/>
    <w:rsid w:val="7ECF4FBC"/>
    <w:rsid w:val="7ED3DB48"/>
    <w:rsid w:val="7EDED333"/>
    <w:rsid w:val="7EEF4484"/>
    <w:rsid w:val="7EEFEC0A"/>
    <w:rsid w:val="7EEFF33E"/>
    <w:rsid w:val="7EF1D8EF"/>
    <w:rsid w:val="7EF2F53F"/>
    <w:rsid w:val="7EF3BAC7"/>
    <w:rsid w:val="7EF94B31"/>
    <w:rsid w:val="7EFB18AF"/>
    <w:rsid w:val="7EFB26B9"/>
    <w:rsid w:val="7EFBE1F7"/>
    <w:rsid w:val="7EFE8408"/>
    <w:rsid w:val="7EFEEE7B"/>
    <w:rsid w:val="7EFF245C"/>
    <w:rsid w:val="7EFFA8D5"/>
    <w:rsid w:val="7EFFDADF"/>
    <w:rsid w:val="7F0DAB1E"/>
    <w:rsid w:val="7F137801"/>
    <w:rsid w:val="7F195811"/>
    <w:rsid w:val="7F1BE055"/>
    <w:rsid w:val="7F1E5C69"/>
    <w:rsid w:val="7F37758C"/>
    <w:rsid w:val="7F3B296B"/>
    <w:rsid w:val="7F3B3EE0"/>
    <w:rsid w:val="7F3D69BC"/>
    <w:rsid w:val="7F3EC6DD"/>
    <w:rsid w:val="7F4E8AA7"/>
    <w:rsid w:val="7F535DAB"/>
    <w:rsid w:val="7F53EAF2"/>
    <w:rsid w:val="7F59A84A"/>
    <w:rsid w:val="7F5A62C0"/>
    <w:rsid w:val="7F5C2CEF"/>
    <w:rsid w:val="7F5F1A2A"/>
    <w:rsid w:val="7F5F32AF"/>
    <w:rsid w:val="7F5F3D22"/>
    <w:rsid w:val="7F6468CE"/>
    <w:rsid w:val="7F65546D"/>
    <w:rsid w:val="7F676696"/>
    <w:rsid w:val="7F6DAF4A"/>
    <w:rsid w:val="7F6F7DF0"/>
    <w:rsid w:val="7F6FB973"/>
    <w:rsid w:val="7F6FF284"/>
    <w:rsid w:val="7F735A60"/>
    <w:rsid w:val="7F73DC08"/>
    <w:rsid w:val="7F763019"/>
    <w:rsid w:val="7F771430"/>
    <w:rsid w:val="7F775123"/>
    <w:rsid w:val="7F77C89C"/>
    <w:rsid w:val="7F77E104"/>
    <w:rsid w:val="7F7B195C"/>
    <w:rsid w:val="7F7E04FE"/>
    <w:rsid w:val="7F7E660D"/>
    <w:rsid w:val="7F7F9EE0"/>
    <w:rsid w:val="7F7FAFC1"/>
    <w:rsid w:val="7F7FDC93"/>
    <w:rsid w:val="7F7FE486"/>
    <w:rsid w:val="7F8D66C3"/>
    <w:rsid w:val="7F9028C8"/>
    <w:rsid w:val="7F956AFF"/>
    <w:rsid w:val="7F9AA065"/>
    <w:rsid w:val="7F9E6691"/>
    <w:rsid w:val="7F9FA1E7"/>
    <w:rsid w:val="7F9FFE5D"/>
    <w:rsid w:val="7FA8B9CE"/>
    <w:rsid w:val="7FAB5A9A"/>
    <w:rsid w:val="7FAB6E28"/>
    <w:rsid w:val="7FAF5FE1"/>
    <w:rsid w:val="7FB192B0"/>
    <w:rsid w:val="7FB27755"/>
    <w:rsid w:val="7FB3CD58"/>
    <w:rsid w:val="7FB79DB6"/>
    <w:rsid w:val="7FB7D10D"/>
    <w:rsid w:val="7FBA70E3"/>
    <w:rsid w:val="7FBD815E"/>
    <w:rsid w:val="7FBE44ED"/>
    <w:rsid w:val="7FBF2053"/>
    <w:rsid w:val="7FBF2163"/>
    <w:rsid w:val="7FBF27A8"/>
    <w:rsid w:val="7FBF31AA"/>
    <w:rsid w:val="7FBF440A"/>
    <w:rsid w:val="7FBF4EE0"/>
    <w:rsid w:val="7FBF73A5"/>
    <w:rsid w:val="7FBFB953"/>
    <w:rsid w:val="7FC51599"/>
    <w:rsid w:val="7FC611B6"/>
    <w:rsid w:val="7FC8CE22"/>
    <w:rsid w:val="7FCAE3D2"/>
    <w:rsid w:val="7FCBD44C"/>
    <w:rsid w:val="7FCCA98D"/>
    <w:rsid w:val="7FCF0A5F"/>
    <w:rsid w:val="7FCF57AB"/>
    <w:rsid w:val="7FCFA900"/>
    <w:rsid w:val="7FCFC8FA"/>
    <w:rsid w:val="7FD43D9F"/>
    <w:rsid w:val="7FD61191"/>
    <w:rsid w:val="7FD69587"/>
    <w:rsid w:val="7FD76900"/>
    <w:rsid w:val="7FDAC9D0"/>
    <w:rsid w:val="7FDB8E9C"/>
    <w:rsid w:val="7FDD2444"/>
    <w:rsid w:val="7FDD720F"/>
    <w:rsid w:val="7FDDB1B2"/>
    <w:rsid w:val="7FDF36E0"/>
    <w:rsid w:val="7FDF4F2B"/>
    <w:rsid w:val="7FDF54AE"/>
    <w:rsid w:val="7FDF5D33"/>
    <w:rsid w:val="7FDF64FC"/>
    <w:rsid w:val="7FDF96CD"/>
    <w:rsid w:val="7FDFF025"/>
    <w:rsid w:val="7FE17E12"/>
    <w:rsid w:val="7FE1FD82"/>
    <w:rsid w:val="7FE26A1A"/>
    <w:rsid w:val="7FE7AF86"/>
    <w:rsid w:val="7FE7DC72"/>
    <w:rsid w:val="7FE96328"/>
    <w:rsid w:val="7FEB0EF8"/>
    <w:rsid w:val="7FEB7D2B"/>
    <w:rsid w:val="7FEB8095"/>
    <w:rsid w:val="7FEB8756"/>
    <w:rsid w:val="7FEB8D32"/>
    <w:rsid w:val="7FEC0B5C"/>
    <w:rsid w:val="7FEC65B3"/>
    <w:rsid w:val="7FEE0703"/>
    <w:rsid w:val="7FEF00A3"/>
    <w:rsid w:val="7FEF34AA"/>
    <w:rsid w:val="7FEF4694"/>
    <w:rsid w:val="7FEF4D85"/>
    <w:rsid w:val="7FEF7494"/>
    <w:rsid w:val="7FEF8EF3"/>
    <w:rsid w:val="7FEFAA60"/>
    <w:rsid w:val="7FEFF3A6"/>
    <w:rsid w:val="7FF306C6"/>
    <w:rsid w:val="7FF3CED5"/>
    <w:rsid w:val="7FF3D169"/>
    <w:rsid w:val="7FF4C37E"/>
    <w:rsid w:val="7FF4DDE3"/>
    <w:rsid w:val="7FF5345D"/>
    <w:rsid w:val="7FF53D81"/>
    <w:rsid w:val="7FF57FA0"/>
    <w:rsid w:val="7FF594C1"/>
    <w:rsid w:val="7FF66AB9"/>
    <w:rsid w:val="7FF674F0"/>
    <w:rsid w:val="7FF6ED25"/>
    <w:rsid w:val="7FF73D21"/>
    <w:rsid w:val="7FF74764"/>
    <w:rsid w:val="7FF78099"/>
    <w:rsid w:val="7FF78CF4"/>
    <w:rsid w:val="7FF90F58"/>
    <w:rsid w:val="7FF952A8"/>
    <w:rsid w:val="7FF9BC6E"/>
    <w:rsid w:val="7FF9EB6C"/>
    <w:rsid w:val="7FFA0C61"/>
    <w:rsid w:val="7FFA163B"/>
    <w:rsid w:val="7FFA3E83"/>
    <w:rsid w:val="7FFA7E67"/>
    <w:rsid w:val="7FFAF0D1"/>
    <w:rsid w:val="7FFB1546"/>
    <w:rsid w:val="7FFB2387"/>
    <w:rsid w:val="7FFB7724"/>
    <w:rsid w:val="7FFB77D2"/>
    <w:rsid w:val="7FFB8376"/>
    <w:rsid w:val="7FFBC79F"/>
    <w:rsid w:val="7FFBF9C7"/>
    <w:rsid w:val="7FFD3C02"/>
    <w:rsid w:val="7FFD458F"/>
    <w:rsid w:val="7FFD6542"/>
    <w:rsid w:val="7FFD9F2C"/>
    <w:rsid w:val="7FFDE2C5"/>
    <w:rsid w:val="7FFE88A3"/>
    <w:rsid w:val="7FFEE1A4"/>
    <w:rsid w:val="7FFF09F3"/>
    <w:rsid w:val="7FFF2040"/>
    <w:rsid w:val="7FFF24C9"/>
    <w:rsid w:val="7FFF451F"/>
    <w:rsid w:val="7FFF9A4C"/>
    <w:rsid w:val="7FFFA61F"/>
    <w:rsid w:val="7FFFBA03"/>
    <w:rsid w:val="817F7482"/>
    <w:rsid w:val="834E8CB0"/>
    <w:rsid w:val="837FFE94"/>
    <w:rsid w:val="85595A52"/>
    <w:rsid w:val="857FF4C0"/>
    <w:rsid w:val="86EF1089"/>
    <w:rsid w:val="873ECB23"/>
    <w:rsid w:val="877F378A"/>
    <w:rsid w:val="8AFF9795"/>
    <w:rsid w:val="8BEF2675"/>
    <w:rsid w:val="8C7EA02B"/>
    <w:rsid w:val="8CAB3982"/>
    <w:rsid w:val="8CF84EBE"/>
    <w:rsid w:val="8DEEA242"/>
    <w:rsid w:val="8EFA1325"/>
    <w:rsid w:val="8EFFFEA8"/>
    <w:rsid w:val="92FEDC36"/>
    <w:rsid w:val="93EB33D5"/>
    <w:rsid w:val="94FC14E9"/>
    <w:rsid w:val="959B79FC"/>
    <w:rsid w:val="95DB1EF3"/>
    <w:rsid w:val="95EBB09A"/>
    <w:rsid w:val="96B6F4FF"/>
    <w:rsid w:val="96FB733B"/>
    <w:rsid w:val="973EF111"/>
    <w:rsid w:val="97DE3AFA"/>
    <w:rsid w:val="97DF2E5B"/>
    <w:rsid w:val="97E90CE9"/>
    <w:rsid w:val="97FF1C62"/>
    <w:rsid w:val="997E106A"/>
    <w:rsid w:val="99CDBACA"/>
    <w:rsid w:val="9BB730D5"/>
    <w:rsid w:val="9CD4451B"/>
    <w:rsid w:val="9D4FFE77"/>
    <w:rsid w:val="9D57BEF4"/>
    <w:rsid w:val="9D5F311B"/>
    <w:rsid w:val="9D5F948C"/>
    <w:rsid w:val="9D665D99"/>
    <w:rsid w:val="9D8BE320"/>
    <w:rsid w:val="9DEBAD61"/>
    <w:rsid w:val="9DF72BE9"/>
    <w:rsid w:val="9DFF9819"/>
    <w:rsid w:val="9E7E19E3"/>
    <w:rsid w:val="9E9F4BE0"/>
    <w:rsid w:val="9EF93758"/>
    <w:rsid w:val="9EFE459B"/>
    <w:rsid w:val="9EFFF7B0"/>
    <w:rsid w:val="9F5FF714"/>
    <w:rsid w:val="9F7F35A1"/>
    <w:rsid w:val="9FBF7E03"/>
    <w:rsid w:val="9FD7A33A"/>
    <w:rsid w:val="9FEB8885"/>
    <w:rsid w:val="9FF5767E"/>
    <w:rsid w:val="9FF8B9C9"/>
    <w:rsid w:val="9FFA4E14"/>
    <w:rsid w:val="9FFE601D"/>
    <w:rsid w:val="9FFECC85"/>
    <w:rsid w:val="9FFF6418"/>
    <w:rsid w:val="9FFFC964"/>
    <w:rsid w:val="A1FD430A"/>
    <w:rsid w:val="A27E4542"/>
    <w:rsid w:val="A3DCD588"/>
    <w:rsid w:val="A5FD0644"/>
    <w:rsid w:val="A5FDF0EB"/>
    <w:rsid w:val="A5FFCFBD"/>
    <w:rsid w:val="A71DF010"/>
    <w:rsid w:val="A76DC901"/>
    <w:rsid w:val="A8FA3574"/>
    <w:rsid w:val="A93F1929"/>
    <w:rsid w:val="AA592ED7"/>
    <w:rsid w:val="AB23EFD0"/>
    <w:rsid w:val="AB5FD947"/>
    <w:rsid w:val="AB691DD0"/>
    <w:rsid w:val="AB6BF3D7"/>
    <w:rsid w:val="AB6DD421"/>
    <w:rsid w:val="AB7B0D13"/>
    <w:rsid w:val="ABDC53C2"/>
    <w:rsid w:val="ABFF571A"/>
    <w:rsid w:val="AC9E17B8"/>
    <w:rsid w:val="ACD7D1F0"/>
    <w:rsid w:val="ADDFCCE0"/>
    <w:rsid w:val="AE7E3438"/>
    <w:rsid w:val="AEEB957F"/>
    <w:rsid w:val="AEF793E3"/>
    <w:rsid w:val="AEFE570E"/>
    <w:rsid w:val="AEFF760F"/>
    <w:rsid w:val="AF67D8D0"/>
    <w:rsid w:val="AF6FD54A"/>
    <w:rsid w:val="AF7746D2"/>
    <w:rsid w:val="AF7FF187"/>
    <w:rsid w:val="AFBDE7B8"/>
    <w:rsid w:val="AFBE5203"/>
    <w:rsid w:val="AFCB9CB6"/>
    <w:rsid w:val="AFCFD7F5"/>
    <w:rsid w:val="AFD7298A"/>
    <w:rsid w:val="AFD76461"/>
    <w:rsid w:val="AFEE8C4D"/>
    <w:rsid w:val="AFEEB739"/>
    <w:rsid w:val="AFEF24AD"/>
    <w:rsid w:val="AFF50CD7"/>
    <w:rsid w:val="AFF5B8EF"/>
    <w:rsid w:val="AFF75D55"/>
    <w:rsid w:val="AFFB5E33"/>
    <w:rsid w:val="AFFBB381"/>
    <w:rsid w:val="AFFBFC6B"/>
    <w:rsid w:val="AFFE548A"/>
    <w:rsid w:val="B07F58C0"/>
    <w:rsid w:val="B17F209D"/>
    <w:rsid w:val="B17FDB4D"/>
    <w:rsid w:val="B1FE04DA"/>
    <w:rsid w:val="B267D1B4"/>
    <w:rsid w:val="B36FA0E4"/>
    <w:rsid w:val="B3DF6A3A"/>
    <w:rsid w:val="B3EED18C"/>
    <w:rsid w:val="B4DB5BA7"/>
    <w:rsid w:val="B4F74F51"/>
    <w:rsid w:val="B4FF4C49"/>
    <w:rsid w:val="B5B771AE"/>
    <w:rsid w:val="B5BFF41E"/>
    <w:rsid w:val="B5DB8BB6"/>
    <w:rsid w:val="B5FB55CC"/>
    <w:rsid w:val="B5FC80CD"/>
    <w:rsid w:val="B62FD4D2"/>
    <w:rsid w:val="B776E881"/>
    <w:rsid w:val="B77F3826"/>
    <w:rsid w:val="B77FE806"/>
    <w:rsid w:val="B782856A"/>
    <w:rsid w:val="B79CAE29"/>
    <w:rsid w:val="B79FAD2B"/>
    <w:rsid w:val="B7BA42DB"/>
    <w:rsid w:val="B7BDA63B"/>
    <w:rsid w:val="B7DD64BC"/>
    <w:rsid w:val="B7EF29AD"/>
    <w:rsid w:val="B7F5F629"/>
    <w:rsid w:val="B7FD079A"/>
    <w:rsid w:val="B7FF3529"/>
    <w:rsid w:val="B7FF4975"/>
    <w:rsid w:val="B83AC666"/>
    <w:rsid w:val="B93AF6A0"/>
    <w:rsid w:val="B95FE919"/>
    <w:rsid w:val="B96F6C6E"/>
    <w:rsid w:val="B9EED354"/>
    <w:rsid w:val="B9FE2279"/>
    <w:rsid w:val="BABFCCA6"/>
    <w:rsid w:val="BADEC61D"/>
    <w:rsid w:val="BAED482F"/>
    <w:rsid w:val="BAFFB6F6"/>
    <w:rsid w:val="BB26A2CD"/>
    <w:rsid w:val="BB5E6D97"/>
    <w:rsid w:val="BB79C51C"/>
    <w:rsid w:val="BB8F72A0"/>
    <w:rsid w:val="BB93FFC2"/>
    <w:rsid w:val="BB9B8AD7"/>
    <w:rsid w:val="BBB344C3"/>
    <w:rsid w:val="BBBDF2CA"/>
    <w:rsid w:val="BBD353B4"/>
    <w:rsid w:val="BBD6CD80"/>
    <w:rsid w:val="BBDDF0FC"/>
    <w:rsid w:val="BBDF3B65"/>
    <w:rsid w:val="BBDF43C4"/>
    <w:rsid w:val="BBDF8C01"/>
    <w:rsid w:val="BBECF9E7"/>
    <w:rsid w:val="BBFB4F59"/>
    <w:rsid w:val="BBFBDE56"/>
    <w:rsid w:val="BBFBF758"/>
    <w:rsid w:val="BBFDF261"/>
    <w:rsid w:val="BBFEB6CA"/>
    <w:rsid w:val="BBFF502E"/>
    <w:rsid w:val="BBFFECED"/>
    <w:rsid w:val="BC472EE3"/>
    <w:rsid w:val="BC7FD397"/>
    <w:rsid w:val="BC97E967"/>
    <w:rsid w:val="BCCF71F4"/>
    <w:rsid w:val="BCEF637D"/>
    <w:rsid w:val="BCFDE2C0"/>
    <w:rsid w:val="BCFF9B52"/>
    <w:rsid w:val="BD7B3484"/>
    <w:rsid w:val="BD8FCCAC"/>
    <w:rsid w:val="BD9FC394"/>
    <w:rsid w:val="BDBD5DC8"/>
    <w:rsid w:val="BDBF3D32"/>
    <w:rsid w:val="BDEF743E"/>
    <w:rsid w:val="BDF5885B"/>
    <w:rsid w:val="BDF76A48"/>
    <w:rsid w:val="BDFD6237"/>
    <w:rsid w:val="BDFEF84C"/>
    <w:rsid w:val="BDFF521D"/>
    <w:rsid w:val="BE3648DD"/>
    <w:rsid w:val="BE3EEB7D"/>
    <w:rsid w:val="BE7A3AD7"/>
    <w:rsid w:val="BE7F5915"/>
    <w:rsid w:val="BEBADBD5"/>
    <w:rsid w:val="BED33C7E"/>
    <w:rsid w:val="BED634FC"/>
    <w:rsid w:val="BED77371"/>
    <w:rsid w:val="BEDB94CE"/>
    <w:rsid w:val="BEDBDB82"/>
    <w:rsid w:val="BEEA38A0"/>
    <w:rsid w:val="BEFD8F82"/>
    <w:rsid w:val="BEFF3E74"/>
    <w:rsid w:val="BEFF44AB"/>
    <w:rsid w:val="BEFF83FA"/>
    <w:rsid w:val="BEFFDAF6"/>
    <w:rsid w:val="BF173CA9"/>
    <w:rsid w:val="BF2F7775"/>
    <w:rsid w:val="BF3885B9"/>
    <w:rsid w:val="BF3D05F7"/>
    <w:rsid w:val="BF542D62"/>
    <w:rsid w:val="BF6B43B4"/>
    <w:rsid w:val="BF7410E3"/>
    <w:rsid w:val="BF757EE7"/>
    <w:rsid w:val="BF7E8F09"/>
    <w:rsid w:val="BF7F8750"/>
    <w:rsid w:val="BF8DAC1B"/>
    <w:rsid w:val="BF8FEC8A"/>
    <w:rsid w:val="BF9A511B"/>
    <w:rsid w:val="BF9FEB1F"/>
    <w:rsid w:val="BFAF10A7"/>
    <w:rsid w:val="BFBB7091"/>
    <w:rsid w:val="BFC45F4A"/>
    <w:rsid w:val="BFCC025E"/>
    <w:rsid w:val="BFCF87AA"/>
    <w:rsid w:val="BFCFF3DD"/>
    <w:rsid w:val="BFD7FB9B"/>
    <w:rsid w:val="BFDC357A"/>
    <w:rsid w:val="BFDF06FE"/>
    <w:rsid w:val="BFDFDBDB"/>
    <w:rsid w:val="BFE793AE"/>
    <w:rsid w:val="BFEB83A2"/>
    <w:rsid w:val="BFEBC96F"/>
    <w:rsid w:val="BFED217F"/>
    <w:rsid w:val="BFF26BAF"/>
    <w:rsid w:val="BFF2B7C8"/>
    <w:rsid w:val="BFF38041"/>
    <w:rsid w:val="BFF5FD01"/>
    <w:rsid w:val="BFF637AE"/>
    <w:rsid w:val="BFFC400B"/>
    <w:rsid w:val="BFFDB642"/>
    <w:rsid w:val="BFFEDBA0"/>
    <w:rsid w:val="BFFF75E9"/>
    <w:rsid w:val="BFFFF878"/>
    <w:rsid w:val="C3FA34FF"/>
    <w:rsid w:val="C43FF4BD"/>
    <w:rsid w:val="C5EFA525"/>
    <w:rsid w:val="C67C4058"/>
    <w:rsid w:val="C6BABD63"/>
    <w:rsid w:val="C6FB25B1"/>
    <w:rsid w:val="C6FFC113"/>
    <w:rsid w:val="C7DBDCD0"/>
    <w:rsid w:val="C7E60F04"/>
    <w:rsid w:val="C87DBBF6"/>
    <w:rsid w:val="C9FD6099"/>
    <w:rsid w:val="CB8F6FA9"/>
    <w:rsid w:val="CBC3B22A"/>
    <w:rsid w:val="CBD97AF2"/>
    <w:rsid w:val="CBE5CBDD"/>
    <w:rsid w:val="CBF7675A"/>
    <w:rsid w:val="CBFCBC82"/>
    <w:rsid w:val="CBFF8AEB"/>
    <w:rsid w:val="CBFFDAE9"/>
    <w:rsid w:val="CCB74046"/>
    <w:rsid w:val="CCB75B8E"/>
    <w:rsid w:val="CD7FBD88"/>
    <w:rsid w:val="CD869F31"/>
    <w:rsid w:val="CDB1CF0A"/>
    <w:rsid w:val="CDCF58B8"/>
    <w:rsid w:val="CDDEF013"/>
    <w:rsid w:val="CDF7E6F8"/>
    <w:rsid w:val="CE5BD009"/>
    <w:rsid w:val="CE6F24F1"/>
    <w:rsid w:val="CE8A381F"/>
    <w:rsid w:val="CED301B6"/>
    <w:rsid w:val="CEE5A26E"/>
    <w:rsid w:val="CEEF158F"/>
    <w:rsid w:val="CEF7EBE3"/>
    <w:rsid w:val="CEFF1FB8"/>
    <w:rsid w:val="CEFFFB0C"/>
    <w:rsid w:val="CF5160B7"/>
    <w:rsid w:val="CF5B6B4F"/>
    <w:rsid w:val="CF770D92"/>
    <w:rsid w:val="CFA37B4E"/>
    <w:rsid w:val="CFCD4246"/>
    <w:rsid w:val="CFD5D811"/>
    <w:rsid w:val="CFDF9451"/>
    <w:rsid w:val="CFEF0521"/>
    <w:rsid w:val="CFEFD71F"/>
    <w:rsid w:val="CFF7FD76"/>
    <w:rsid w:val="CFF84852"/>
    <w:rsid w:val="CFFD88E7"/>
    <w:rsid w:val="CFFD95C4"/>
    <w:rsid w:val="CFFE2729"/>
    <w:rsid w:val="D0EDEFB6"/>
    <w:rsid w:val="D0FFDABC"/>
    <w:rsid w:val="D1AA367B"/>
    <w:rsid w:val="D1C5D028"/>
    <w:rsid w:val="D1E46453"/>
    <w:rsid w:val="D2EF5406"/>
    <w:rsid w:val="D38FFADA"/>
    <w:rsid w:val="D3C5C0F9"/>
    <w:rsid w:val="D3D33076"/>
    <w:rsid w:val="D3F5F053"/>
    <w:rsid w:val="D3F81868"/>
    <w:rsid w:val="D3FD6A7B"/>
    <w:rsid w:val="D3FF553C"/>
    <w:rsid w:val="D3FF9EDD"/>
    <w:rsid w:val="D45EC55B"/>
    <w:rsid w:val="D46B52F3"/>
    <w:rsid w:val="D577D252"/>
    <w:rsid w:val="D5CF2084"/>
    <w:rsid w:val="D5D72F12"/>
    <w:rsid w:val="D617E968"/>
    <w:rsid w:val="D63E0579"/>
    <w:rsid w:val="D6687D88"/>
    <w:rsid w:val="D67B4D11"/>
    <w:rsid w:val="D67CD88F"/>
    <w:rsid w:val="D6F72B9D"/>
    <w:rsid w:val="D6F893AB"/>
    <w:rsid w:val="D6FD9EB2"/>
    <w:rsid w:val="D71D6A7A"/>
    <w:rsid w:val="D737808F"/>
    <w:rsid w:val="D739198E"/>
    <w:rsid w:val="D74DD2DB"/>
    <w:rsid w:val="D753A80B"/>
    <w:rsid w:val="D76F7479"/>
    <w:rsid w:val="D7758ED0"/>
    <w:rsid w:val="D77BBBF5"/>
    <w:rsid w:val="D79E33CA"/>
    <w:rsid w:val="D7B5C30F"/>
    <w:rsid w:val="D7BF4D78"/>
    <w:rsid w:val="D7BF65D1"/>
    <w:rsid w:val="D7BF6A20"/>
    <w:rsid w:val="D7D7F0BE"/>
    <w:rsid w:val="D7D9A380"/>
    <w:rsid w:val="D7DAA1E6"/>
    <w:rsid w:val="D7E3047F"/>
    <w:rsid w:val="D7E7F688"/>
    <w:rsid w:val="D7EDAF72"/>
    <w:rsid w:val="D7FB08E2"/>
    <w:rsid w:val="D7FE8622"/>
    <w:rsid w:val="D7FF4CC5"/>
    <w:rsid w:val="D8AFDBD5"/>
    <w:rsid w:val="D8CC18C6"/>
    <w:rsid w:val="D8DDD19F"/>
    <w:rsid w:val="D9BF8AED"/>
    <w:rsid w:val="D9D3732A"/>
    <w:rsid w:val="D9DF4A9E"/>
    <w:rsid w:val="D9FF6E8B"/>
    <w:rsid w:val="DA3E91F1"/>
    <w:rsid w:val="DA5DC8DF"/>
    <w:rsid w:val="DAA7F1F9"/>
    <w:rsid w:val="DAAF3E68"/>
    <w:rsid w:val="DAB93973"/>
    <w:rsid w:val="DAFDF672"/>
    <w:rsid w:val="DAFF656D"/>
    <w:rsid w:val="DB1F793C"/>
    <w:rsid w:val="DB339A3F"/>
    <w:rsid w:val="DB639F53"/>
    <w:rsid w:val="DB731F9E"/>
    <w:rsid w:val="DB7ECCB5"/>
    <w:rsid w:val="DB87F7E7"/>
    <w:rsid w:val="DBAE0BB5"/>
    <w:rsid w:val="DBAFC0B3"/>
    <w:rsid w:val="DBBB77D7"/>
    <w:rsid w:val="DBBB8A74"/>
    <w:rsid w:val="DBBFDFA6"/>
    <w:rsid w:val="DBCCCF9B"/>
    <w:rsid w:val="DBDB6157"/>
    <w:rsid w:val="DBF5D218"/>
    <w:rsid w:val="DBFB7F6E"/>
    <w:rsid w:val="DBFD8C47"/>
    <w:rsid w:val="DBFF7CF1"/>
    <w:rsid w:val="DC7F6540"/>
    <w:rsid w:val="DCEB1849"/>
    <w:rsid w:val="DCFD78FE"/>
    <w:rsid w:val="DCFF41B2"/>
    <w:rsid w:val="DCFF9B1C"/>
    <w:rsid w:val="DD3EEEED"/>
    <w:rsid w:val="DD677E8F"/>
    <w:rsid w:val="DD9F93D8"/>
    <w:rsid w:val="DD9FC951"/>
    <w:rsid w:val="DDDBCC1F"/>
    <w:rsid w:val="DDDF26D1"/>
    <w:rsid w:val="DDE9C6BC"/>
    <w:rsid w:val="DDFBFB6E"/>
    <w:rsid w:val="DDFD7112"/>
    <w:rsid w:val="DDFDBF42"/>
    <w:rsid w:val="DDFE81C1"/>
    <w:rsid w:val="DDFF0F7C"/>
    <w:rsid w:val="DDFF58BB"/>
    <w:rsid w:val="DE3F911E"/>
    <w:rsid w:val="DE5F75CC"/>
    <w:rsid w:val="DE6F3914"/>
    <w:rsid w:val="DE6F4D12"/>
    <w:rsid w:val="DE6FC6E8"/>
    <w:rsid w:val="DE73B04C"/>
    <w:rsid w:val="DE761757"/>
    <w:rsid w:val="DEA5A987"/>
    <w:rsid w:val="DEBE62E2"/>
    <w:rsid w:val="DEED4B9D"/>
    <w:rsid w:val="DEF25BE7"/>
    <w:rsid w:val="DEF3F7C2"/>
    <w:rsid w:val="DEF7D245"/>
    <w:rsid w:val="DEF9F89B"/>
    <w:rsid w:val="DEFE073F"/>
    <w:rsid w:val="DEFE4DB4"/>
    <w:rsid w:val="DEFE60D6"/>
    <w:rsid w:val="DEFF5151"/>
    <w:rsid w:val="DF3C8A0C"/>
    <w:rsid w:val="DF4D2343"/>
    <w:rsid w:val="DF4E2EAC"/>
    <w:rsid w:val="DF4FC18E"/>
    <w:rsid w:val="DF56010C"/>
    <w:rsid w:val="DF6E11E0"/>
    <w:rsid w:val="DF77A294"/>
    <w:rsid w:val="DF797499"/>
    <w:rsid w:val="DF79775D"/>
    <w:rsid w:val="DF7B5AF8"/>
    <w:rsid w:val="DF7D6D7A"/>
    <w:rsid w:val="DF7F79FC"/>
    <w:rsid w:val="DF7FD979"/>
    <w:rsid w:val="DF9E4A10"/>
    <w:rsid w:val="DFA8E0FA"/>
    <w:rsid w:val="DFB7BD52"/>
    <w:rsid w:val="DFBDB597"/>
    <w:rsid w:val="DFBEAF73"/>
    <w:rsid w:val="DFBEBD29"/>
    <w:rsid w:val="DFBF4376"/>
    <w:rsid w:val="DFBFA0CE"/>
    <w:rsid w:val="DFC71EE0"/>
    <w:rsid w:val="DFCD72BE"/>
    <w:rsid w:val="DFD7DC5C"/>
    <w:rsid w:val="DFDB7612"/>
    <w:rsid w:val="DFDBA526"/>
    <w:rsid w:val="DFDF48E4"/>
    <w:rsid w:val="DFDFAB6A"/>
    <w:rsid w:val="DFE7BC3F"/>
    <w:rsid w:val="DFEC436E"/>
    <w:rsid w:val="DFEEC443"/>
    <w:rsid w:val="DFEECCB0"/>
    <w:rsid w:val="DFF46C4A"/>
    <w:rsid w:val="DFF55779"/>
    <w:rsid w:val="DFF66B02"/>
    <w:rsid w:val="DFF6E9EE"/>
    <w:rsid w:val="DFF7669C"/>
    <w:rsid w:val="DFF7FB87"/>
    <w:rsid w:val="DFFB966F"/>
    <w:rsid w:val="DFFBE4B1"/>
    <w:rsid w:val="DFFD26C8"/>
    <w:rsid w:val="DFFE2978"/>
    <w:rsid w:val="DFFE4E46"/>
    <w:rsid w:val="DFFF655A"/>
    <w:rsid w:val="DFFF7BD7"/>
    <w:rsid w:val="DFFF8684"/>
    <w:rsid w:val="DFFFA5E8"/>
    <w:rsid w:val="DFFFB106"/>
    <w:rsid w:val="DFFFEC3D"/>
    <w:rsid w:val="E0FF08A2"/>
    <w:rsid w:val="E1D55CA1"/>
    <w:rsid w:val="E1DED15A"/>
    <w:rsid w:val="E25F4630"/>
    <w:rsid w:val="E375E9FB"/>
    <w:rsid w:val="E3BF9D42"/>
    <w:rsid w:val="E3D9493F"/>
    <w:rsid w:val="E3E7EFB1"/>
    <w:rsid w:val="E4ABDA18"/>
    <w:rsid w:val="E4E8808D"/>
    <w:rsid w:val="E4EF60D9"/>
    <w:rsid w:val="E4FB7817"/>
    <w:rsid w:val="E577DF3F"/>
    <w:rsid w:val="E5BF7D2B"/>
    <w:rsid w:val="E5D7A1EE"/>
    <w:rsid w:val="E5D92056"/>
    <w:rsid w:val="E5DEA8C8"/>
    <w:rsid w:val="E5E3990E"/>
    <w:rsid w:val="E5FC694B"/>
    <w:rsid w:val="E6D5660F"/>
    <w:rsid w:val="E6DB077F"/>
    <w:rsid w:val="E6DF3D77"/>
    <w:rsid w:val="E6F7F6B2"/>
    <w:rsid w:val="E6FDBAA5"/>
    <w:rsid w:val="E6FEBAD1"/>
    <w:rsid w:val="E732ED52"/>
    <w:rsid w:val="E75B83F4"/>
    <w:rsid w:val="E77B5231"/>
    <w:rsid w:val="E7B74BE9"/>
    <w:rsid w:val="E7B7BEFB"/>
    <w:rsid w:val="E7BB0162"/>
    <w:rsid w:val="E7BBC715"/>
    <w:rsid w:val="E7BEE578"/>
    <w:rsid w:val="E7D6521A"/>
    <w:rsid w:val="E7E33E35"/>
    <w:rsid w:val="E7EF9B90"/>
    <w:rsid w:val="E7EFF5E1"/>
    <w:rsid w:val="E7F2503E"/>
    <w:rsid w:val="E7F73197"/>
    <w:rsid w:val="E7FB2A50"/>
    <w:rsid w:val="E7FC117E"/>
    <w:rsid w:val="E7FE8D79"/>
    <w:rsid w:val="E7FF3F35"/>
    <w:rsid w:val="E7FFD777"/>
    <w:rsid w:val="E8AF6B28"/>
    <w:rsid w:val="E8DB0DD9"/>
    <w:rsid w:val="E96FA67D"/>
    <w:rsid w:val="E9B32DB8"/>
    <w:rsid w:val="E9EFD58A"/>
    <w:rsid w:val="E9FCEC43"/>
    <w:rsid w:val="E9FF7832"/>
    <w:rsid w:val="EABF8175"/>
    <w:rsid w:val="EAF3AC73"/>
    <w:rsid w:val="EAFE1546"/>
    <w:rsid w:val="EAFF0BDC"/>
    <w:rsid w:val="EB8BB85E"/>
    <w:rsid w:val="EBAF6A6D"/>
    <w:rsid w:val="EBAF7D2F"/>
    <w:rsid w:val="EBB74887"/>
    <w:rsid w:val="EBB7BD15"/>
    <w:rsid w:val="EBCDADF9"/>
    <w:rsid w:val="EBE95FD6"/>
    <w:rsid w:val="EBE996C2"/>
    <w:rsid w:val="EBF3B6BA"/>
    <w:rsid w:val="EBFD992C"/>
    <w:rsid w:val="EC77AD39"/>
    <w:rsid w:val="ECFF94A2"/>
    <w:rsid w:val="ED53EFB3"/>
    <w:rsid w:val="ED5D8F75"/>
    <w:rsid w:val="ED7F2B92"/>
    <w:rsid w:val="ED86B971"/>
    <w:rsid w:val="EDA4D867"/>
    <w:rsid w:val="EDDE56DF"/>
    <w:rsid w:val="EDE57094"/>
    <w:rsid w:val="EDEDE424"/>
    <w:rsid w:val="EDEDE444"/>
    <w:rsid w:val="EDF0DC69"/>
    <w:rsid w:val="EDF65E35"/>
    <w:rsid w:val="EDFB3B1D"/>
    <w:rsid w:val="EDFBB82F"/>
    <w:rsid w:val="EDFD6A9A"/>
    <w:rsid w:val="EDFF3CA7"/>
    <w:rsid w:val="EE57FCA4"/>
    <w:rsid w:val="EE5C73F3"/>
    <w:rsid w:val="EE7E930A"/>
    <w:rsid w:val="EE7F74D7"/>
    <w:rsid w:val="EEBE996F"/>
    <w:rsid w:val="EEBFB3BB"/>
    <w:rsid w:val="EEE7FC05"/>
    <w:rsid w:val="EEFF96D9"/>
    <w:rsid w:val="EEFFDF06"/>
    <w:rsid w:val="EEFFF023"/>
    <w:rsid w:val="EF2B5E90"/>
    <w:rsid w:val="EF333D8E"/>
    <w:rsid w:val="EF34FA68"/>
    <w:rsid w:val="EF3FC87B"/>
    <w:rsid w:val="EF4F66F3"/>
    <w:rsid w:val="EF590636"/>
    <w:rsid w:val="EF65A4B2"/>
    <w:rsid w:val="EF6B24A9"/>
    <w:rsid w:val="EF6F2E72"/>
    <w:rsid w:val="EF6FC3D4"/>
    <w:rsid w:val="EF7459A6"/>
    <w:rsid w:val="EF760E8D"/>
    <w:rsid w:val="EF7E1D34"/>
    <w:rsid w:val="EF7F83FD"/>
    <w:rsid w:val="EF7FA2D1"/>
    <w:rsid w:val="EF9EBCFF"/>
    <w:rsid w:val="EF9F88D3"/>
    <w:rsid w:val="EFA924DA"/>
    <w:rsid w:val="EFB7D386"/>
    <w:rsid w:val="EFBAF34A"/>
    <w:rsid w:val="EFBB7BA2"/>
    <w:rsid w:val="EFBEBDE5"/>
    <w:rsid w:val="EFBFA33B"/>
    <w:rsid w:val="EFD5686E"/>
    <w:rsid w:val="EFDB3FDF"/>
    <w:rsid w:val="EFDD48F2"/>
    <w:rsid w:val="EFDF5AC9"/>
    <w:rsid w:val="EFDF83C7"/>
    <w:rsid w:val="EFDF9F81"/>
    <w:rsid w:val="EFDFA4E6"/>
    <w:rsid w:val="EFEB8499"/>
    <w:rsid w:val="EFEE45A1"/>
    <w:rsid w:val="EFEF4A2D"/>
    <w:rsid w:val="EFEFBCA8"/>
    <w:rsid w:val="EFF7AE3D"/>
    <w:rsid w:val="EFF7C156"/>
    <w:rsid w:val="EFFA8861"/>
    <w:rsid w:val="EFFBE2B3"/>
    <w:rsid w:val="EFFCD18D"/>
    <w:rsid w:val="EFFD8EDE"/>
    <w:rsid w:val="EFFE1FCD"/>
    <w:rsid w:val="EFFE2283"/>
    <w:rsid w:val="EFFF03CA"/>
    <w:rsid w:val="EFFF1082"/>
    <w:rsid w:val="EFFF3CEF"/>
    <w:rsid w:val="EFFF5674"/>
    <w:rsid w:val="EFFFB400"/>
    <w:rsid w:val="EFFFB4AC"/>
    <w:rsid w:val="EFFFE4A0"/>
    <w:rsid w:val="F0B772D3"/>
    <w:rsid w:val="F0B95090"/>
    <w:rsid w:val="F0EBB1D7"/>
    <w:rsid w:val="F17F7800"/>
    <w:rsid w:val="F1AF8BD6"/>
    <w:rsid w:val="F1E373A6"/>
    <w:rsid w:val="F1FD230C"/>
    <w:rsid w:val="F1FFD84D"/>
    <w:rsid w:val="F2B9208C"/>
    <w:rsid w:val="F2D4A5D4"/>
    <w:rsid w:val="F3135C91"/>
    <w:rsid w:val="F39D806A"/>
    <w:rsid w:val="F39FF723"/>
    <w:rsid w:val="F3BA6810"/>
    <w:rsid w:val="F3ED12CC"/>
    <w:rsid w:val="F3F6ADCF"/>
    <w:rsid w:val="F3F8E0EF"/>
    <w:rsid w:val="F3FCFC82"/>
    <w:rsid w:val="F3FFF790"/>
    <w:rsid w:val="F487190D"/>
    <w:rsid w:val="F4BF0FFB"/>
    <w:rsid w:val="F4EF5602"/>
    <w:rsid w:val="F532A69C"/>
    <w:rsid w:val="F59E0E32"/>
    <w:rsid w:val="F5CECB04"/>
    <w:rsid w:val="F5E07AF4"/>
    <w:rsid w:val="F5FF4221"/>
    <w:rsid w:val="F61DD2E7"/>
    <w:rsid w:val="F65F291D"/>
    <w:rsid w:val="F66D77E1"/>
    <w:rsid w:val="F67F8B79"/>
    <w:rsid w:val="F6AFCF66"/>
    <w:rsid w:val="F6B3296E"/>
    <w:rsid w:val="F6BEC5FA"/>
    <w:rsid w:val="F6BF288F"/>
    <w:rsid w:val="F6DFDD5F"/>
    <w:rsid w:val="F6E16B3F"/>
    <w:rsid w:val="F6E78D95"/>
    <w:rsid w:val="F6EE969E"/>
    <w:rsid w:val="F6EFE0CD"/>
    <w:rsid w:val="F6F35907"/>
    <w:rsid w:val="F6F74B50"/>
    <w:rsid w:val="F6F9649F"/>
    <w:rsid w:val="F6FB593E"/>
    <w:rsid w:val="F6FB59D2"/>
    <w:rsid w:val="F6FE40F4"/>
    <w:rsid w:val="F6FF2597"/>
    <w:rsid w:val="F6FF30D3"/>
    <w:rsid w:val="F73FB810"/>
    <w:rsid w:val="F75959A4"/>
    <w:rsid w:val="F77C8551"/>
    <w:rsid w:val="F77E9931"/>
    <w:rsid w:val="F7AEAF9D"/>
    <w:rsid w:val="F7AF9E2C"/>
    <w:rsid w:val="F7BDE5CC"/>
    <w:rsid w:val="F7BDF6BC"/>
    <w:rsid w:val="F7BDF7A3"/>
    <w:rsid w:val="F7CF18FF"/>
    <w:rsid w:val="F7D707BE"/>
    <w:rsid w:val="F7DA4E7C"/>
    <w:rsid w:val="F7DF6090"/>
    <w:rsid w:val="F7E5450E"/>
    <w:rsid w:val="F7E5ADBB"/>
    <w:rsid w:val="F7EF7538"/>
    <w:rsid w:val="F7EF85F9"/>
    <w:rsid w:val="F7F0FF0A"/>
    <w:rsid w:val="F7F1B6DB"/>
    <w:rsid w:val="F7F3A64B"/>
    <w:rsid w:val="F7F3DC20"/>
    <w:rsid w:val="F7F64190"/>
    <w:rsid w:val="F7FA7A01"/>
    <w:rsid w:val="F7FB5AAE"/>
    <w:rsid w:val="F7FB6B6B"/>
    <w:rsid w:val="F7FBBF99"/>
    <w:rsid w:val="F7FC6199"/>
    <w:rsid w:val="F7FDD1D9"/>
    <w:rsid w:val="F7FED27D"/>
    <w:rsid w:val="F7FF40E0"/>
    <w:rsid w:val="F7FF4BC0"/>
    <w:rsid w:val="F7FF58C7"/>
    <w:rsid w:val="F7FF9B22"/>
    <w:rsid w:val="F7FFB120"/>
    <w:rsid w:val="F7FFCF87"/>
    <w:rsid w:val="F7FFDC13"/>
    <w:rsid w:val="F85F916F"/>
    <w:rsid w:val="F87F00B1"/>
    <w:rsid w:val="F87FA6C0"/>
    <w:rsid w:val="F88F5D07"/>
    <w:rsid w:val="F89EACFC"/>
    <w:rsid w:val="F8A656C9"/>
    <w:rsid w:val="F8D791C0"/>
    <w:rsid w:val="F8EAE98B"/>
    <w:rsid w:val="F8EE9D9C"/>
    <w:rsid w:val="F8EFB5C8"/>
    <w:rsid w:val="F8F7CDEC"/>
    <w:rsid w:val="F92D97C2"/>
    <w:rsid w:val="F96906A0"/>
    <w:rsid w:val="F96F4B25"/>
    <w:rsid w:val="F972CF73"/>
    <w:rsid w:val="F97B10B4"/>
    <w:rsid w:val="F99F18A0"/>
    <w:rsid w:val="F9AA5E67"/>
    <w:rsid w:val="F9BD71D8"/>
    <w:rsid w:val="F9DA8996"/>
    <w:rsid w:val="F9DDE5AD"/>
    <w:rsid w:val="F9E1B826"/>
    <w:rsid w:val="F9EFF176"/>
    <w:rsid w:val="F9F7F931"/>
    <w:rsid w:val="F9FBF3CE"/>
    <w:rsid w:val="F9FDC851"/>
    <w:rsid w:val="F9FDDA70"/>
    <w:rsid w:val="F9FE70C8"/>
    <w:rsid w:val="F9FF7CB2"/>
    <w:rsid w:val="F9FFE80A"/>
    <w:rsid w:val="FA43F75C"/>
    <w:rsid w:val="FA575BAE"/>
    <w:rsid w:val="FA7A623E"/>
    <w:rsid w:val="FA7FD31E"/>
    <w:rsid w:val="FA9BAE99"/>
    <w:rsid w:val="FA9F674D"/>
    <w:rsid w:val="FAB3092D"/>
    <w:rsid w:val="FAB6CCE8"/>
    <w:rsid w:val="FABB25C7"/>
    <w:rsid w:val="FABBDECF"/>
    <w:rsid w:val="FABFEA37"/>
    <w:rsid w:val="FADD7D62"/>
    <w:rsid w:val="FADE28DD"/>
    <w:rsid w:val="FADE8959"/>
    <w:rsid w:val="FAEA6C7F"/>
    <w:rsid w:val="FAF18A2E"/>
    <w:rsid w:val="FAF7B26A"/>
    <w:rsid w:val="FAFA2D30"/>
    <w:rsid w:val="FAFBD1DA"/>
    <w:rsid w:val="FAFDFA11"/>
    <w:rsid w:val="FAFF0EBC"/>
    <w:rsid w:val="FAFF2055"/>
    <w:rsid w:val="FAFFB238"/>
    <w:rsid w:val="FAFFB271"/>
    <w:rsid w:val="FAFFF21D"/>
    <w:rsid w:val="FB37BAE9"/>
    <w:rsid w:val="FB3886CD"/>
    <w:rsid w:val="FB3DD3DF"/>
    <w:rsid w:val="FB5DEBF4"/>
    <w:rsid w:val="FB6E5494"/>
    <w:rsid w:val="FB745043"/>
    <w:rsid w:val="FB75F68A"/>
    <w:rsid w:val="FB770B93"/>
    <w:rsid w:val="FB7D792E"/>
    <w:rsid w:val="FB7E5695"/>
    <w:rsid w:val="FB7F27E4"/>
    <w:rsid w:val="FB7F87D3"/>
    <w:rsid w:val="FB7FF61B"/>
    <w:rsid w:val="FB8F8A2F"/>
    <w:rsid w:val="FB9F735D"/>
    <w:rsid w:val="FBAFEC27"/>
    <w:rsid w:val="FBB97E17"/>
    <w:rsid w:val="FBBB8007"/>
    <w:rsid w:val="FBBF267D"/>
    <w:rsid w:val="FBBF471D"/>
    <w:rsid w:val="FBBF6DD0"/>
    <w:rsid w:val="FBBFB924"/>
    <w:rsid w:val="FBCD01D6"/>
    <w:rsid w:val="FBD9D262"/>
    <w:rsid w:val="FBDB9596"/>
    <w:rsid w:val="FBDF2CD6"/>
    <w:rsid w:val="FBDFAB09"/>
    <w:rsid w:val="FBE55506"/>
    <w:rsid w:val="FBE70089"/>
    <w:rsid w:val="FBEAEE18"/>
    <w:rsid w:val="FBEB085C"/>
    <w:rsid w:val="FBEC9AC0"/>
    <w:rsid w:val="FBEF85CE"/>
    <w:rsid w:val="FBF31086"/>
    <w:rsid w:val="FBF7032C"/>
    <w:rsid w:val="FBF730E5"/>
    <w:rsid w:val="FBFA819E"/>
    <w:rsid w:val="FBFABB24"/>
    <w:rsid w:val="FBFBB152"/>
    <w:rsid w:val="FBFD2C54"/>
    <w:rsid w:val="FBFE59D0"/>
    <w:rsid w:val="FBFE7252"/>
    <w:rsid w:val="FBFE81D1"/>
    <w:rsid w:val="FBFEBC97"/>
    <w:rsid w:val="FBFEDDF1"/>
    <w:rsid w:val="FBFF136A"/>
    <w:rsid w:val="FBFF4040"/>
    <w:rsid w:val="FBFF4FE6"/>
    <w:rsid w:val="FBFF5C46"/>
    <w:rsid w:val="FBFFB3E8"/>
    <w:rsid w:val="FBFFC177"/>
    <w:rsid w:val="FBFFF286"/>
    <w:rsid w:val="FC73108C"/>
    <w:rsid w:val="FC772FF7"/>
    <w:rsid w:val="FCAE332E"/>
    <w:rsid w:val="FCB7C2D2"/>
    <w:rsid w:val="FCBF0939"/>
    <w:rsid w:val="FCC7516C"/>
    <w:rsid w:val="FCC7D447"/>
    <w:rsid w:val="FCD55F4E"/>
    <w:rsid w:val="FCD7A0F3"/>
    <w:rsid w:val="FCD7E905"/>
    <w:rsid w:val="FCDBB820"/>
    <w:rsid w:val="FCDDCA2E"/>
    <w:rsid w:val="FCDF7D93"/>
    <w:rsid w:val="FCF7869B"/>
    <w:rsid w:val="FCFF5B71"/>
    <w:rsid w:val="FCFF8337"/>
    <w:rsid w:val="FCFF9CAA"/>
    <w:rsid w:val="FD393AE2"/>
    <w:rsid w:val="FD3F23A7"/>
    <w:rsid w:val="FD556AA9"/>
    <w:rsid w:val="FD5FAD78"/>
    <w:rsid w:val="FD5FB909"/>
    <w:rsid w:val="FD6B846F"/>
    <w:rsid w:val="FD6EA791"/>
    <w:rsid w:val="FD6EFA04"/>
    <w:rsid w:val="FD7B63BB"/>
    <w:rsid w:val="FD7BE980"/>
    <w:rsid w:val="FD7D9DDF"/>
    <w:rsid w:val="FD7FCA51"/>
    <w:rsid w:val="FD8A0194"/>
    <w:rsid w:val="FDAE304C"/>
    <w:rsid w:val="FDAF29D2"/>
    <w:rsid w:val="FDB82244"/>
    <w:rsid w:val="FDBD0CC1"/>
    <w:rsid w:val="FDBE4915"/>
    <w:rsid w:val="FDBFF6E9"/>
    <w:rsid w:val="FDCDEAAC"/>
    <w:rsid w:val="FDDDFED0"/>
    <w:rsid w:val="FDDFBC68"/>
    <w:rsid w:val="FDDFCCCF"/>
    <w:rsid w:val="FDE709DA"/>
    <w:rsid w:val="FDE76BA2"/>
    <w:rsid w:val="FDEAEDBB"/>
    <w:rsid w:val="FDED7E1D"/>
    <w:rsid w:val="FDEDF383"/>
    <w:rsid w:val="FDEE5D47"/>
    <w:rsid w:val="FDEF45BE"/>
    <w:rsid w:val="FDEF94D3"/>
    <w:rsid w:val="FDF45628"/>
    <w:rsid w:val="FDF52C44"/>
    <w:rsid w:val="FDF56139"/>
    <w:rsid w:val="FDF71D73"/>
    <w:rsid w:val="FDF75D54"/>
    <w:rsid w:val="FDF838D0"/>
    <w:rsid w:val="FDFB26A7"/>
    <w:rsid w:val="FDFB7486"/>
    <w:rsid w:val="FDFB7BE3"/>
    <w:rsid w:val="FDFE47E0"/>
    <w:rsid w:val="FDFF143F"/>
    <w:rsid w:val="FDFF2BD8"/>
    <w:rsid w:val="FDFFDC48"/>
    <w:rsid w:val="FE0AB190"/>
    <w:rsid w:val="FE13514B"/>
    <w:rsid w:val="FE2E89B9"/>
    <w:rsid w:val="FE3343DE"/>
    <w:rsid w:val="FE3435F2"/>
    <w:rsid w:val="FE39D57D"/>
    <w:rsid w:val="FE5F696E"/>
    <w:rsid w:val="FE6E93A0"/>
    <w:rsid w:val="FE7F5E77"/>
    <w:rsid w:val="FE7FCE72"/>
    <w:rsid w:val="FEADE089"/>
    <w:rsid w:val="FEAF4347"/>
    <w:rsid w:val="FEBAF6E2"/>
    <w:rsid w:val="FEBE2F62"/>
    <w:rsid w:val="FEBF1582"/>
    <w:rsid w:val="FEBF1BEF"/>
    <w:rsid w:val="FECF45D6"/>
    <w:rsid w:val="FED74AF6"/>
    <w:rsid w:val="FED783B8"/>
    <w:rsid w:val="FEDA579C"/>
    <w:rsid w:val="FEDE83D4"/>
    <w:rsid w:val="FEEB38D2"/>
    <w:rsid w:val="FEEB47FB"/>
    <w:rsid w:val="FEEDF398"/>
    <w:rsid w:val="FEEEFFB3"/>
    <w:rsid w:val="FEEF6728"/>
    <w:rsid w:val="FEF5AF3E"/>
    <w:rsid w:val="FEF7D7A8"/>
    <w:rsid w:val="FEF7F6FC"/>
    <w:rsid w:val="FEFAAC01"/>
    <w:rsid w:val="FEFBF617"/>
    <w:rsid w:val="FEFD1246"/>
    <w:rsid w:val="FEFD4A10"/>
    <w:rsid w:val="FEFDB708"/>
    <w:rsid w:val="FEFE72E2"/>
    <w:rsid w:val="FEFE9509"/>
    <w:rsid w:val="FEFF27B1"/>
    <w:rsid w:val="FEFF815B"/>
    <w:rsid w:val="FEFF9322"/>
    <w:rsid w:val="FF151955"/>
    <w:rsid w:val="FF1A7760"/>
    <w:rsid w:val="FF1D1C05"/>
    <w:rsid w:val="FF2A961B"/>
    <w:rsid w:val="FF36FA64"/>
    <w:rsid w:val="FF3FD213"/>
    <w:rsid w:val="FF3FD64A"/>
    <w:rsid w:val="FF4E029C"/>
    <w:rsid w:val="FF54DE7F"/>
    <w:rsid w:val="FF5A99FC"/>
    <w:rsid w:val="FF5D5604"/>
    <w:rsid w:val="FF5FDFC6"/>
    <w:rsid w:val="FF63C0D1"/>
    <w:rsid w:val="FF6618F4"/>
    <w:rsid w:val="FF664CAF"/>
    <w:rsid w:val="FF664D9B"/>
    <w:rsid w:val="FF672C65"/>
    <w:rsid w:val="FF69F3CF"/>
    <w:rsid w:val="FF6B3A2F"/>
    <w:rsid w:val="FF6C4067"/>
    <w:rsid w:val="FF6F2968"/>
    <w:rsid w:val="FF6FA4D4"/>
    <w:rsid w:val="FF6FB1D9"/>
    <w:rsid w:val="FF6FDC6C"/>
    <w:rsid w:val="FF7649ED"/>
    <w:rsid w:val="FF768B88"/>
    <w:rsid w:val="FF77A3BC"/>
    <w:rsid w:val="FF7B1540"/>
    <w:rsid w:val="FF7D2E34"/>
    <w:rsid w:val="FF7D7542"/>
    <w:rsid w:val="FF7F1C23"/>
    <w:rsid w:val="FF7F6D87"/>
    <w:rsid w:val="FF7F991C"/>
    <w:rsid w:val="FF7F9DB4"/>
    <w:rsid w:val="FF7FA39B"/>
    <w:rsid w:val="FF7FDF69"/>
    <w:rsid w:val="FF7FF207"/>
    <w:rsid w:val="FF7FF857"/>
    <w:rsid w:val="FF8790A8"/>
    <w:rsid w:val="FF97387C"/>
    <w:rsid w:val="FF9A0650"/>
    <w:rsid w:val="FF9E1F26"/>
    <w:rsid w:val="FF9F0189"/>
    <w:rsid w:val="FF9F43A4"/>
    <w:rsid w:val="FF9FA727"/>
    <w:rsid w:val="FF9FAC33"/>
    <w:rsid w:val="FF9FCC5E"/>
    <w:rsid w:val="FF9FEFA6"/>
    <w:rsid w:val="FFA56789"/>
    <w:rsid w:val="FFAD9987"/>
    <w:rsid w:val="FFAFC72B"/>
    <w:rsid w:val="FFB5DFED"/>
    <w:rsid w:val="FFB7374D"/>
    <w:rsid w:val="FFB7441F"/>
    <w:rsid w:val="FFB7A4FC"/>
    <w:rsid w:val="FFBB0EE6"/>
    <w:rsid w:val="FFBB7541"/>
    <w:rsid w:val="FFBB93F7"/>
    <w:rsid w:val="FFBBBCB6"/>
    <w:rsid w:val="FFBF04CC"/>
    <w:rsid w:val="FFBF44A8"/>
    <w:rsid w:val="FFBFCDB0"/>
    <w:rsid w:val="FFBFCF29"/>
    <w:rsid w:val="FFBFE929"/>
    <w:rsid w:val="FFC34310"/>
    <w:rsid w:val="FFC6971C"/>
    <w:rsid w:val="FFC93A74"/>
    <w:rsid w:val="FFCB6626"/>
    <w:rsid w:val="FFCC6934"/>
    <w:rsid w:val="FFCEBF5B"/>
    <w:rsid w:val="FFCF9105"/>
    <w:rsid w:val="FFD1D285"/>
    <w:rsid w:val="FFD1DF1B"/>
    <w:rsid w:val="FFD3B0C9"/>
    <w:rsid w:val="FFD5F181"/>
    <w:rsid w:val="FFD6B2B7"/>
    <w:rsid w:val="FFD719F1"/>
    <w:rsid w:val="FFD7D2FC"/>
    <w:rsid w:val="FFDA15FF"/>
    <w:rsid w:val="FFDBB1F6"/>
    <w:rsid w:val="FFDBE245"/>
    <w:rsid w:val="FFDC4D84"/>
    <w:rsid w:val="FFDDB476"/>
    <w:rsid w:val="FFDE6B15"/>
    <w:rsid w:val="FFDF3BB5"/>
    <w:rsid w:val="FFDF58A9"/>
    <w:rsid w:val="FFDF9276"/>
    <w:rsid w:val="FFE385DA"/>
    <w:rsid w:val="FFE5503B"/>
    <w:rsid w:val="FFE75595"/>
    <w:rsid w:val="FFE7F19E"/>
    <w:rsid w:val="FFEB55AC"/>
    <w:rsid w:val="FFEC6933"/>
    <w:rsid w:val="FFEED9E0"/>
    <w:rsid w:val="FFEF4515"/>
    <w:rsid w:val="FFEF76D0"/>
    <w:rsid w:val="FFEF7B5A"/>
    <w:rsid w:val="FFEFAEEB"/>
    <w:rsid w:val="FFEFD050"/>
    <w:rsid w:val="FFF27EE0"/>
    <w:rsid w:val="FFF3A19B"/>
    <w:rsid w:val="FFF58FDD"/>
    <w:rsid w:val="FFF6B6D7"/>
    <w:rsid w:val="FFF71AA6"/>
    <w:rsid w:val="FFF737A4"/>
    <w:rsid w:val="FFF755E0"/>
    <w:rsid w:val="FFF7AA80"/>
    <w:rsid w:val="FFF7C9E3"/>
    <w:rsid w:val="FFF942F5"/>
    <w:rsid w:val="FFF9C0E4"/>
    <w:rsid w:val="FFF9C8FD"/>
    <w:rsid w:val="FFFA8773"/>
    <w:rsid w:val="FFFB688A"/>
    <w:rsid w:val="FFFBAE6F"/>
    <w:rsid w:val="FFFBF8F8"/>
    <w:rsid w:val="FFFC14D1"/>
    <w:rsid w:val="FFFD80E5"/>
    <w:rsid w:val="FFFE0198"/>
    <w:rsid w:val="FFFE23E9"/>
    <w:rsid w:val="FFFE321A"/>
    <w:rsid w:val="FFFE5ED1"/>
    <w:rsid w:val="FFFEB948"/>
    <w:rsid w:val="FFFF0C51"/>
    <w:rsid w:val="FFFF19BA"/>
    <w:rsid w:val="FFFF4EF0"/>
    <w:rsid w:val="FFFF539E"/>
    <w:rsid w:val="FFFF5707"/>
    <w:rsid w:val="FFFF8A69"/>
    <w:rsid w:val="FFFF8FF0"/>
    <w:rsid w:val="FFFFBC93"/>
    <w:rsid w:val="FFFFC87C"/>
    <w:rsid w:val="FFFFCD14"/>
    <w:rsid w:val="FFFFD9CC"/>
    <w:rsid w:val="FFFFE11B"/>
    <w:rsid w:val="FFFFE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nhideWhenUsed="0" w:uiPriority="9"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36"/>
    <w:qFormat/>
    <w:uiPriority w:val="99"/>
    <w:pPr>
      <w:keepNext/>
      <w:keepLines/>
      <w:spacing w:before="260" w:after="260" w:line="416" w:lineRule="auto"/>
      <w:outlineLvl w:val="1"/>
    </w:pPr>
    <w:rPr>
      <w:rFonts w:ascii="Calibri Light" w:hAnsi="Calibri Light"/>
      <w:b/>
      <w:bCs/>
      <w:sz w:val="32"/>
      <w:szCs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paragraph" w:styleId="8">
    <w:name w:val="heading 4"/>
    <w:basedOn w:val="1"/>
    <w:next w:val="1"/>
    <w:link w:val="72"/>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99"/>
    <w:pPr>
      <w:spacing w:line="360" w:lineRule="exact"/>
    </w:pPr>
    <w:rPr>
      <w:sz w:val="24"/>
    </w:rPr>
  </w:style>
  <w:style w:type="paragraph" w:styleId="3">
    <w:name w:val="Body Text First Indent"/>
    <w:basedOn w:val="2"/>
    <w:next w:val="4"/>
    <w:qFormat/>
    <w:locked/>
    <w:uiPriority w:val="99"/>
    <w:pPr>
      <w:ind w:firstLine="420"/>
    </w:pPr>
    <w:rPr>
      <w:sz w:val="21"/>
    </w:rPr>
  </w:style>
  <w:style w:type="paragraph" w:styleId="4">
    <w:name w:val="toc 6"/>
    <w:basedOn w:val="1"/>
    <w:next w:val="1"/>
    <w:qFormat/>
    <w:locked/>
    <w:uiPriority w:val="99"/>
    <w:pPr>
      <w:widowControl/>
      <w:ind w:left="1000"/>
      <w:jc w:val="left"/>
    </w:pPr>
    <w:rPr>
      <w:kern w:val="0"/>
      <w:sz w:val="18"/>
      <w:szCs w:val="20"/>
    </w:rPr>
  </w:style>
  <w:style w:type="paragraph" w:styleId="9">
    <w:name w:val="List Number"/>
    <w:basedOn w:val="1"/>
    <w:qFormat/>
    <w:uiPriority w:val="99"/>
    <w:pPr>
      <w:numPr>
        <w:ilvl w:val="0"/>
        <w:numId w:val="1"/>
      </w:numPr>
    </w:pPr>
  </w:style>
  <w:style w:type="paragraph" w:styleId="10">
    <w:name w:val="Normal Indent"/>
    <w:basedOn w:val="1"/>
    <w:next w:val="1"/>
    <w:qFormat/>
    <w:uiPriority w:val="99"/>
    <w:pPr>
      <w:ind w:firstLine="420"/>
    </w:pPr>
    <w:rPr>
      <w:szCs w:val="20"/>
    </w:rPr>
  </w:style>
  <w:style w:type="paragraph" w:styleId="11">
    <w:name w:val="annotation text"/>
    <w:basedOn w:val="1"/>
    <w:link w:val="38"/>
    <w:qFormat/>
    <w:uiPriority w:val="99"/>
    <w:pPr>
      <w:jc w:val="left"/>
    </w:pPr>
  </w:style>
  <w:style w:type="paragraph" w:styleId="12">
    <w:name w:val="Body Text Indent"/>
    <w:basedOn w:val="1"/>
    <w:next w:val="1"/>
    <w:link w:val="46"/>
    <w:qFormat/>
    <w:uiPriority w:val="99"/>
    <w:pPr>
      <w:spacing w:after="120"/>
      <w:ind w:left="420" w:leftChars="200"/>
    </w:pPr>
  </w:style>
  <w:style w:type="paragraph" w:styleId="13">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4">
    <w:name w:val="Plain Text"/>
    <w:basedOn w:val="1"/>
    <w:next w:val="15"/>
    <w:link w:val="47"/>
    <w:qFormat/>
    <w:uiPriority w:val="99"/>
    <w:rPr>
      <w:rFonts w:ascii="宋体" w:hAnsi="Courier New"/>
    </w:rPr>
  </w:style>
  <w:style w:type="paragraph" w:styleId="15">
    <w:name w:val="Date"/>
    <w:basedOn w:val="1"/>
    <w:next w:val="1"/>
    <w:link w:val="43"/>
    <w:qFormat/>
    <w:uiPriority w:val="99"/>
    <w:pPr>
      <w:ind w:left="2500" w:leftChars="2500"/>
    </w:pPr>
    <w:rPr>
      <w:rFonts w:ascii="Calibri" w:hAnsi="Calibri" w:eastAsia="楷体_GB2312"/>
      <w:sz w:val="32"/>
      <w:szCs w:val="22"/>
    </w:rPr>
  </w:style>
  <w:style w:type="paragraph" w:styleId="16">
    <w:name w:val="Balloon Text"/>
    <w:basedOn w:val="1"/>
    <w:link w:val="44"/>
    <w:qFormat/>
    <w:uiPriority w:val="99"/>
    <w:rPr>
      <w:sz w:val="18"/>
      <w:szCs w:val="18"/>
    </w:rPr>
  </w:style>
  <w:style w:type="paragraph" w:styleId="17">
    <w:name w:val="footer"/>
    <w:basedOn w:val="1"/>
    <w:link w:val="50"/>
    <w:qFormat/>
    <w:uiPriority w:val="99"/>
    <w:pPr>
      <w:tabs>
        <w:tab w:val="center" w:pos="4153"/>
        <w:tab w:val="right" w:pos="8306"/>
      </w:tabs>
      <w:snapToGrid w:val="0"/>
      <w:jc w:val="left"/>
    </w:pPr>
    <w:rPr>
      <w:sz w:val="18"/>
    </w:rPr>
  </w:style>
  <w:style w:type="paragraph" w:styleId="18">
    <w:name w:val="envelope return"/>
    <w:basedOn w:val="1"/>
    <w:qFormat/>
    <w:locked/>
    <w:uiPriority w:val="0"/>
    <w:pPr>
      <w:snapToGrid w:val="0"/>
    </w:pPr>
    <w:rPr>
      <w:rFonts w:ascii="Arial" w:hAnsi="Arial"/>
      <w:szCs w:val="20"/>
    </w:rPr>
  </w:style>
  <w:style w:type="paragraph" w:styleId="19">
    <w:name w:val="header"/>
    <w:basedOn w:val="1"/>
    <w:link w:val="4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footnote text"/>
    <w:basedOn w:val="1"/>
    <w:qFormat/>
    <w:locked/>
    <w:uiPriority w:val="99"/>
    <w:pPr>
      <w:snapToGrid w:val="0"/>
      <w:jc w:val="left"/>
    </w:pPr>
    <w:rPr>
      <w:sz w:val="18"/>
    </w:rPr>
  </w:style>
  <w:style w:type="paragraph" w:styleId="21">
    <w:name w:val="toc 2"/>
    <w:basedOn w:val="1"/>
    <w:next w:val="1"/>
    <w:qFormat/>
    <w:uiPriority w:val="99"/>
    <w:pPr>
      <w:ind w:left="420" w:leftChars="200"/>
    </w:p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4">
    <w:name w:val="annotation subject"/>
    <w:basedOn w:val="11"/>
    <w:next w:val="11"/>
    <w:link w:val="37"/>
    <w:qFormat/>
    <w:uiPriority w:val="99"/>
    <w:rPr>
      <w:b/>
      <w:bCs/>
    </w:rPr>
  </w:style>
  <w:style w:type="paragraph" w:styleId="25">
    <w:name w:val="Body Text First Indent 2"/>
    <w:basedOn w:val="12"/>
    <w:next w:val="26"/>
    <w:qFormat/>
    <w:locked/>
    <w:uiPriority w:val="0"/>
    <w:pPr>
      <w:ind w:firstLine="420"/>
    </w:pPr>
  </w:style>
  <w:style w:type="paragraph" w:customStyle="1" w:styleId="26">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28">
    <w:name w:val="Table Grid"/>
    <w:basedOn w:val="2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locked/>
    <w:uiPriority w:val="0"/>
    <w:rPr>
      <w:b/>
    </w:rPr>
  </w:style>
  <w:style w:type="character" w:styleId="31">
    <w:name w:val="page number"/>
    <w:basedOn w:val="29"/>
    <w:qFormat/>
    <w:locked/>
    <w:uiPriority w:val="0"/>
  </w:style>
  <w:style w:type="character" w:styleId="32">
    <w:name w:val="Hyperlink"/>
    <w:basedOn w:val="29"/>
    <w:unhideWhenUsed/>
    <w:qFormat/>
    <w:locked/>
    <w:uiPriority w:val="0"/>
    <w:rPr>
      <w:color w:val="0000FF"/>
      <w:u w:val="single"/>
    </w:rPr>
  </w:style>
  <w:style w:type="character" w:styleId="33">
    <w:name w:val="annotation reference"/>
    <w:basedOn w:val="29"/>
    <w:qFormat/>
    <w:uiPriority w:val="99"/>
    <w:rPr>
      <w:rFonts w:cs="Times New Roman"/>
      <w:sz w:val="21"/>
      <w:szCs w:val="21"/>
    </w:rPr>
  </w:style>
  <w:style w:type="character" w:styleId="34">
    <w:name w:val="footnote reference"/>
    <w:basedOn w:val="29"/>
    <w:qFormat/>
    <w:locked/>
    <w:uiPriority w:val="99"/>
    <w:rPr>
      <w:vertAlign w:val="superscript"/>
    </w:rPr>
  </w:style>
  <w:style w:type="paragraph" w:customStyle="1" w:styleId="35">
    <w:name w:val="正文（首行缩进2字符）"/>
    <w:basedOn w:val="1"/>
    <w:qFormat/>
    <w:uiPriority w:val="0"/>
    <w:pPr>
      <w:spacing w:line="360" w:lineRule="auto"/>
      <w:ind w:firstLine="420" w:firstLineChars="200"/>
    </w:pPr>
    <w:rPr>
      <w:szCs w:val="21"/>
    </w:rPr>
  </w:style>
  <w:style w:type="character" w:customStyle="1" w:styleId="36">
    <w:name w:val="标题 2 Char"/>
    <w:basedOn w:val="29"/>
    <w:link w:val="6"/>
    <w:semiHidden/>
    <w:qFormat/>
    <w:locked/>
    <w:uiPriority w:val="99"/>
    <w:rPr>
      <w:rFonts w:ascii="Cambria" w:hAnsi="Cambria" w:eastAsia="宋体" w:cs="Times New Roman"/>
      <w:b/>
      <w:bCs/>
      <w:sz w:val="32"/>
      <w:szCs w:val="32"/>
    </w:rPr>
  </w:style>
  <w:style w:type="character" w:customStyle="1" w:styleId="37">
    <w:name w:val="批注主题 Char"/>
    <w:basedOn w:val="38"/>
    <w:link w:val="24"/>
    <w:qFormat/>
    <w:locked/>
    <w:uiPriority w:val="99"/>
    <w:rPr>
      <w:rFonts w:ascii="Times New Roman" w:hAnsi="Times New Roman" w:eastAsia="宋体" w:cs="Times New Roman"/>
      <w:b/>
      <w:bCs/>
      <w:kern w:val="2"/>
      <w:sz w:val="24"/>
      <w:szCs w:val="24"/>
    </w:rPr>
  </w:style>
  <w:style w:type="character" w:customStyle="1" w:styleId="38">
    <w:name w:val="批注文字 Char"/>
    <w:basedOn w:val="29"/>
    <w:link w:val="11"/>
    <w:qFormat/>
    <w:locked/>
    <w:uiPriority w:val="99"/>
    <w:rPr>
      <w:rFonts w:ascii="Times New Roman" w:hAnsi="Times New Roman" w:eastAsia="宋体" w:cs="Times New Roman"/>
      <w:kern w:val="2"/>
      <w:sz w:val="24"/>
      <w:szCs w:val="24"/>
    </w:rPr>
  </w:style>
  <w:style w:type="character" w:customStyle="1" w:styleId="39">
    <w:name w:val="正文文本 Char"/>
    <w:basedOn w:val="29"/>
    <w:link w:val="2"/>
    <w:semiHidden/>
    <w:qFormat/>
    <w:locked/>
    <w:uiPriority w:val="99"/>
    <w:rPr>
      <w:rFonts w:cs="Times New Roman"/>
      <w:sz w:val="24"/>
      <w:szCs w:val="24"/>
    </w:rPr>
  </w:style>
  <w:style w:type="character" w:customStyle="1" w:styleId="40">
    <w:name w:val="font01"/>
    <w:qFormat/>
    <w:uiPriority w:val="0"/>
    <w:rPr>
      <w:rFonts w:hint="eastAsia" w:ascii="宋体" w:hAnsi="宋体" w:eastAsia="宋体" w:cs="宋体"/>
      <w:color w:val="000000"/>
      <w:sz w:val="24"/>
      <w:szCs w:val="24"/>
      <w:u w:val="none"/>
    </w:rPr>
  </w:style>
  <w:style w:type="character" w:customStyle="1" w:styleId="41">
    <w:name w:val="页眉 Char"/>
    <w:basedOn w:val="29"/>
    <w:link w:val="19"/>
    <w:semiHidden/>
    <w:qFormat/>
    <w:locked/>
    <w:uiPriority w:val="99"/>
    <w:rPr>
      <w:rFonts w:cs="Times New Roman"/>
      <w:sz w:val="18"/>
      <w:szCs w:val="18"/>
    </w:rPr>
  </w:style>
  <w:style w:type="character" w:customStyle="1" w:styleId="42">
    <w:name w:val="标题 3 Char"/>
    <w:basedOn w:val="29"/>
    <w:link w:val="7"/>
    <w:semiHidden/>
    <w:qFormat/>
    <w:locked/>
    <w:uiPriority w:val="99"/>
    <w:rPr>
      <w:rFonts w:cs="Times New Roman"/>
      <w:b/>
      <w:bCs/>
      <w:sz w:val="32"/>
      <w:szCs w:val="32"/>
    </w:rPr>
  </w:style>
  <w:style w:type="character" w:customStyle="1" w:styleId="43">
    <w:name w:val="日期 Char"/>
    <w:basedOn w:val="29"/>
    <w:link w:val="15"/>
    <w:semiHidden/>
    <w:qFormat/>
    <w:locked/>
    <w:uiPriority w:val="99"/>
    <w:rPr>
      <w:rFonts w:cs="Times New Roman"/>
      <w:sz w:val="24"/>
      <w:szCs w:val="24"/>
    </w:rPr>
  </w:style>
  <w:style w:type="character" w:customStyle="1" w:styleId="44">
    <w:name w:val="批注框文本 Char"/>
    <w:basedOn w:val="29"/>
    <w:link w:val="16"/>
    <w:qFormat/>
    <w:locked/>
    <w:uiPriority w:val="99"/>
    <w:rPr>
      <w:rFonts w:ascii="Times New Roman" w:hAnsi="Times New Roman" w:eastAsia="宋体" w:cs="Times New Roman"/>
      <w:kern w:val="2"/>
      <w:sz w:val="18"/>
      <w:szCs w:val="18"/>
    </w:rPr>
  </w:style>
  <w:style w:type="character" w:customStyle="1" w:styleId="45">
    <w:name w:val="font31"/>
    <w:qFormat/>
    <w:uiPriority w:val="0"/>
    <w:rPr>
      <w:rFonts w:hint="eastAsia" w:ascii="宋体" w:hAnsi="宋体" w:eastAsia="宋体" w:cs="宋体"/>
      <w:color w:val="000000"/>
      <w:sz w:val="24"/>
      <w:szCs w:val="24"/>
      <w:u w:val="none"/>
    </w:rPr>
  </w:style>
  <w:style w:type="character" w:customStyle="1" w:styleId="46">
    <w:name w:val="正文文本缩进 Char"/>
    <w:basedOn w:val="29"/>
    <w:link w:val="12"/>
    <w:qFormat/>
    <w:locked/>
    <w:uiPriority w:val="99"/>
    <w:rPr>
      <w:rFonts w:cs="Times New Roman"/>
      <w:kern w:val="2"/>
      <w:sz w:val="24"/>
      <w:szCs w:val="24"/>
    </w:rPr>
  </w:style>
  <w:style w:type="character" w:customStyle="1" w:styleId="47">
    <w:name w:val="纯文本 Char"/>
    <w:basedOn w:val="29"/>
    <w:link w:val="14"/>
    <w:semiHidden/>
    <w:qFormat/>
    <w:locked/>
    <w:uiPriority w:val="99"/>
    <w:rPr>
      <w:rFonts w:ascii="宋体" w:hAnsi="Courier New" w:cs="Courier New"/>
      <w:sz w:val="21"/>
      <w:szCs w:val="21"/>
    </w:rPr>
  </w:style>
  <w:style w:type="character" w:customStyle="1" w:styleId="48">
    <w:name w:val="标题 1 Char"/>
    <w:basedOn w:val="29"/>
    <w:link w:val="5"/>
    <w:qFormat/>
    <w:locked/>
    <w:uiPriority w:val="99"/>
    <w:rPr>
      <w:rFonts w:ascii="Times New Roman" w:hAnsi="Times New Roman" w:cs="Times New Roman"/>
      <w:b/>
      <w:bCs/>
      <w:kern w:val="44"/>
      <w:sz w:val="44"/>
      <w:szCs w:val="44"/>
    </w:rPr>
  </w:style>
  <w:style w:type="character" w:customStyle="1" w:styleId="49">
    <w:name w:val="font11"/>
    <w:qFormat/>
    <w:uiPriority w:val="0"/>
    <w:rPr>
      <w:rFonts w:hint="default" w:ascii="Times New Roman" w:hAnsi="Times New Roman" w:cs="Times New Roman"/>
      <w:color w:val="000000"/>
      <w:sz w:val="24"/>
      <w:szCs w:val="24"/>
      <w:u w:val="none"/>
    </w:rPr>
  </w:style>
  <w:style w:type="character" w:customStyle="1" w:styleId="50">
    <w:name w:val="页脚 Char"/>
    <w:basedOn w:val="29"/>
    <w:link w:val="17"/>
    <w:semiHidden/>
    <w:qFormat/>
    <w:locked/>
    <w:uiPriority w:val="99"/>
    <w:rPr>
      <w:rFonts w:cs="Times New Roman"/>
      <w:sz w:val="18"/>
      <w:szCs w:val="18"/>
    </w:rPr>
  </w:style>
  <w:style w:type="paragraph" w:customStyle="1" w:styleId="51">
    <w:name w:val="正文_14"/>
    <w:qFormat/>
    <w:uiPriority w:val="99"/>
    <w:rPr>
      <w:rFonts w:ascii="Times New Roman" w:hAnsi="Times New Roman" w:eastAsia="宋体" w:cs="Times New Roman"/>
      <w:sz w:val="21"/>
      <w:szCs w:val="22"/>
      <w:lang w:val="en-US" w:eastAsia="zh-CN" w:bidi="ar-SA"/>
    </w:rPr>
  </w:style>
  <w:style w:type="paragraph" w:customStyle="1" w:styleId="52">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纯文本_3"/>
    <w:basedOn w:val="55"/>
    <w:qFormat/>
    <w:uiPriority w:val="99"/>
    <w:pPr>
      <w:widowControl/>
      <w:jc w:val="left"/>
    </w:pPr>
    <w:rPr>
      <w:rFonts w:ascii="宋体" w:hAnsi="Courier New"/>
      <w:szCs w:val="21"/>
    </w:rPr>
  </w:style>
  <w:style w:type="paragraph" w:customStyle="1" w:styleId="55">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列出段落1"/>
    <w:basedOn w:val="1"/>
    <w:qFormat/>
    <w:uiPriority w:val="99"/>
    <w:pPr>
      <w:ind w:firstLine="420" w:firstLineChars="200"/>
    </w:pPr>
    <w:rPr>
      <w:rFonts w:ascii="Calibri" w:hAnsi="Calibri"/>
      <w:kern w:val="0"/>
      <w:szCs w:val="20"/>
    </w:rPr>
  </w:style>
  <w:style w:type="paragraph" w:customStyle="1" w:styleId="59">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60">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61">
    <w:name w:val="正文2"/>
    <w:basedOn w:val="1"/>
    <w:qFormat/>
    <w:uiPriority w:val="0"/>
    <w:pPr>
      <w:spacing w:before="156" w:line="360" w:lineRule="auto"/>
      <w:ind w:firstLine="510" w:firstLineChars="200"/>
    </w:pPr>
    <w:rPr>
      <w:sz w:val="24"/>
      <w:szCs w:val="20"/>
    </w:rPr>
  </w:style>
  <w:style w:type="paragraph" w:customStyle="1" w:styleId="62">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65">
    <w:name w:val="列表段落1"/>
    <w:basedOn w:val="1"/>
    <w:qFormat/>
    <w:uiPriority w:val="99"/>
    <w:pPr>
      <w:ind w:firstLine="420" w:firstLineChars="200"/>
    </w:pPr>
    <w:rPr>
      <w:rFonts w:ascii="Calibri" w:hAnsi="Calibri"/>
      <w:szCs w:val="22"/>
    </w:rPr>
  </w:style>
  <w:style w:type="paragraph" w:customStyle="1" w:styleId="6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67">
    <w:name w:val="纯文本_0_1"/>
    <w:basedOn w:val="1"/>
    <w:qFormat/>
    <w:uiPriority w:val="99"/>
    <w:pPr>
      <w:widowControl/>
      <w:jc w:val="left"/>
    </w:pPr>
    <w:rPr>
      <w:rFonts w:ascii="宋体" w:hAnsi="Courier New"/>
      <w:szCs w:val="21"/>
    </w:rPr>
  </w:style>
  <w:style w:type="paragraph" w:customStyle="1" w:styleId="68">
    <w:name w:val="表格文字"/>
    <w:basedOn w:val="1"/>
    <w:next w:val="2"/>
    <w:qFormat/>
    <w:uiPriority w:val="99"/>
    <w:pPr>
      <w:adjustRightInd w:val="0"/>
      <w:spacing w:line="420" w:lineRule="atLeast"/>
      <w:jc w:val="left"/>
      <w:textAlignment w:val="baseline"/>
    </w:pPr>
    <w:rPr>
      <w:kern w:val="0"/>
    </w:rPr>
  </w:style>
  <w:style w:type="paragraph" w:customStyle="1" w:styleId="6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1">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2">
    <w:name w:val="标题 4 Char"/>
    <w:basedOn w:val="29"/>
    <w:link w:val="8"/>
    <w:qFormat/>
    <w:uiPriority w:val="9"/>
    <w:rPr>
      <w:rFonts w:asciiTheme="majorHAnsi" w:hAnsiTheme="majorHAnsi" w:eastAsiaTheme="majorEastAsia" w:cstheme="majorBidi"/>
      <w:b/>
      <w:bCs/>
      <w:kern w:val="2"/>
      <w:sz w:val="28"/>
      <w:szCs w:val="28"/>
    </w:rPr>
  </w:style>
  <w:style w:type="paragraph" w:styleId="73">
    <w:name w:val="No Spacing"/>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74">
    <w:name w:val="Table Paragraph"/>
    <w:basedOn w:val="1"/>
    <w:qFormat/>
    <w:uiPriority w:val="1"/>
  </w:style>
  <w:style w:type="paragraph" w:styleId="75">
    <w:name w:val="List Paragraph"/>
    <w:basedOn w:val="1"/>
    <w:qFormat/>
    <w:uiPriority w:val="34"/>
    <w:pPr>
      <w:ind w:firstLine="420" w:firstLineChars="200"/>
    </w:pPr>
  </w:style>
  <w:style w:type="paragraph" w:customStyle="1" w:styleId="7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77">
    <w:name w:val="网格型13"/>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
    <w:name w:val="网格型12"/>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
    <w:name w:val="网格型17"/>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
    <w:name w:val="网格型4"/>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
    <w:name w:val="网格型7"/>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
    <w:name w:val="网格型8"/>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
    <w:name w:val="网格型9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
    <w:name w:val="网格型15"/>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
    <w:name w:val="网格型16"/>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
    <w:name w:val="网格型5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
    <w:name w:val="网格型1"/>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8">
    <w:name w:val="列表段落2"/>
    <w:basedOn w:val="1"/>
    <w:qFormat/>
    <w:uiPriority w:val="34"/>
    <w:pPr>
      <w:ind w:firstLine="420" w:firstLineChars="200"/>
    </w:pPr>
    <w:rPr>
      <w:sz w:val="28"/>
      <w:szCs w:val="22"/>
    </w:rPr>
  </w:style>
  <w:style w:type="paragraph" w:customStyle="1" w:styleId="89">
    <w:name w:val="=正文="/>
    <w:qFormat/>
    <w:uiPriority w:val="0"/>
    <w:pPr>
      <w:widowControl w:val="0"/>
      <w:spacing w:before="50" w:beforeLines="50" w:line="360" w:lineRule="auto"/>
      <w:ind w:firstLine="200" w:firstLineChars="200"/>
      <w:jc w:val="both"/>
    </w:pPr>
    <w:rPr>
      <w:rFonts w:ascii="宋体" w:hAnsi="宋体" w:eastAsia="宋体" w:cstheme="minorBidi"/>
      <w:kern w:val="2"/>
      <w:sz w:val="24"/>
      <w:szCs w:val="21"/>
      <w:lang w:val="en-US" w:eastAsia="zh-CN" w:bidi="ar-SA"/>
    </w:rPr>
  </w:style>
  <w:style w:type="paragraph" w:customStyle="1" w:styleId="90">
    <w:name w:val="正文-正文"/>
    <w:basedOn w:val="1"/>
    <w:qFormat/>
    <w:uiPriority w:val="0"/>
    <w:pPr>
      <w:spacing w:line="360" w:lineRule="auto"/>
      <w:ind w:firstLine="200" w:firstLineChars="200"/>
    </w:pPr>
    <w:rPr>
      <w:rFonts w:eastAsia="仿宋_GB2312"/>
      <w:sz w:val="2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footer1.xml" Type="http://schemas.openxmlformats.org/officeDocument/2006/relationships/footer"/><Relationship Id="rId5" Target="header1.xml" Type="http://schemas.openxmlformats.org/officeDocument/2006/relationships/header"/><Relationship Id="rId6" Target="theme/theme1.xml" Type="http://schemas.openxmlformats.org/officeDocument/2006/relationships/theme"/><Relationship Id="rId7" Target="media/image1.png" Type="http://schemas.openxmlformats.org/officeDocument/2006/relationships/imag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75</Pages>
  <Words>37716</Words>
  <Characters>39731</Characters>
  <Lines>55</Lines>
  <Paragraphs>88</Paragraphs>
  <TotalTime>25</TotalTime>
  <ScaleCrop>false</ScaleCrop>
  <LinksUpToDate>false</LinksUpToDate>
  <CharactersWithSpaces>41603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2022-09-09T07:33:00Z</dcterms:created>
  <dc:creator>S-mile</dc:creator>
  <cp:lastModifiedBy>WPS123123</cp:lastModifiedBy>
  <dcterms:modified xsi:type="dcterms:W3CDTF">2022-09-14T04:23:41Z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CEB7C396DB60448295D8F723CFB19E71</vt:lpwstr>
  </property>
</Properties>
</file>