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Theme="minorEastAsia" w:hAnsiTheme="minorEastAsia" w:eastAsiaTheme="minorEastAsia" w:cstheme="minorEastAsia"/>
          <w:b/>
          <w:color w:val="auto"/>
          <w:kern w:val="0"/>
          <w:sz w:val="52"/>
          <w:szCs w:val="52"/>
          <w:highlight w:val="none"/>
        </w:rPr>
      </w:pPr>
    </w:p>
    <w:p>
      <w:pPr>
        <w:jc w:val="center"/>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highlight w:val="none"/>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lum contrast="12000"/>
                    </a:blip>
                    <a:srcRect/>
                    <a:stretch>
                      <a:fillRect/>
                    </a:stretch>
                  </pic:blipFill>
                  <pic:spPr>
                    <a:xfrm>
                      <a:off x="0" y="0"/>
                      <a:ext cx="2971800" cy="2091690"/>
                    </a:xfrm>
                    <a:prstGeom prst="rect">
                      <a:avLst/>
                    </a:prstGeom>
                    <a:noFill/>
                    <a:ln w="9525">
                      <a:noFill/>
                      <a:miter lim="800000"/>
                      <a:headEnd/>
                      <a:tailEnd/>
                    </a:ln>
                  </pic:spPr>
                </pic:pic>
              </a:graphicData>
            </a:graphic>
          </wp:anchor>
        </w:drawing>
      </w:r>
    </w:p>
    <w:p>
      <w:pPr>
        <w:jc w:val="center"/>
        <w:rPr>
          <w:rFonts w:asciiTheme="minorEastAsia" w:hAnsiTheme="minorEastAsia" w:eastAsiaTheme="minorEastAsia" w:cstheme="minorEastAsia"/>
          <w:color w:val="auto"/>
          <w:sz w:val="52"/>
          <w:szCs w:val="52"/>
          <w:highlight w:val="none"/>
        </w:rPr>
      </w:pPr>
    </w:p>
    <w:p>
      <w:pPr>
        <w:jc w:val="center"/>
        <w:rPr>
          <w:rFonts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72"/>
          <w:szCs w:val="72"/>
          <w:highlight w:val="none"/>
        </w:rPr>
        <w:t xml:space="preserve">         F-STONE</w:t>
      </w:r>
    </w:p>
    <w:p>
      <w:pPr>
        <w:jc w:val="center"/>
        <w:rPr>
          <w:rFonts w:asciiTheme="minorEastAsia" w:hAnsiTheme="minorEastAsia" w:eastAsiaTheme="minorEastAsia" w:cstheme="minorEastAsia"/>
          <w:color w:val="auto"/>
          <w:sz w:val="36"/>
          <w:szCs w:val="36"/>
          <w:highlight w:val="none"/>
        </w:rPr>
      </w:pPr>
    </w:p>
    <w:p>
      <w:pPr>
        <w:jc w:val="center"/>
        <w:rPr>
          <w:rFonts w:asciiTheme="minorEastAsia" w:hAnsiTheme="minorEastAsia" w:eastAsiaTheme="minorEastAsia" w:cstheme="minorEastAsia"/>
          <w:b/>
          <w:color w:val="auto"/>
          <w:sz w:val="72"/>
          <w:szCs w:val="72"/>
          <w:highlight w:val="none"/>
        </w:rPr>
      </w:pPr>
    </w:p>
    <w:p>
      <w:pPr>
        <w:shd w:val="clear" w:color="auto" w:fill="FFFFFF"/>
        <w:spacing w:line="360" w:lineRule="auto"/>
        <w:jc w:val="center"/>
        <w:textAlignment w:val="bottom"/>
        <w:rPr>
          <w:rFonts w:asciiTheme="minorEastAsia" w:hAnsiTheme="minorEastAsia" w:eastAsiaTheme="minorEastAsia" w:cstheme="minorEastAsia"/>
          <w:b/>
          <w:color w:val="auto"/>
          <w:kern w:val="0"/>
          <w:sz w:val="52"/>
          <w:szCs w:val="52"/>
          <w:highlight w:val="none"/>
        </w:rPr>
      </w:pPr>
      <w:r>
        <w:rPr>
          <w:rFonts w:hint="eastAsia" w:asciiTheme="minorEastAsia" w:hAnsiTheme="minorEastAsia" w:eastAsiaTheme="minorEastAsia" w:cstheme="minorEastAsia"/>
          <w:b/>
          <w:color w:val="auto"/>
          <w:kern w:val="0"/>
          <w:sz w:val="52"/>
          <w:szCs w:val="52"/>
          <w:highlight w:val="none"/>
        </w:rPr>
        <w:t>政府采购招标文件</w:t>
      </w:r>
    </w:p>
    <w:p>
      <w:pPr>
        <w:shd w:val="clear" w:color="auto" w:fill="FFFFFF"/>
        <w:spacing w:line="360" w:lineRule="auto"/>
        <w:jc w:val="center"/>
        <w:textAlignment w:val="bottom"/>
        <w:rPr>
          <w:rFonts w:asciiTheme="minorEastAsia" w:hAnsiTheme="minorEastAsia" w:eastAsiaTheme="minorEastAsia" w:cstheme="minorEastAsia"/>
          <w:color w:val="auto"/>
          <w:sz w:val="28"/>
          <w:szCs w:val="28"/>
          <w:highlight w:val="none"/>
        </w:rPr>
      </w:pPr>
    </w:p>
    <w:p>
      <w:pPr>
        <w:shd w:val="clear" w:color="auto" w:fill="FFFFFF"/>
        <w:spacing w:line="360" w:lineRule="auto"/>
        <w:jc w:val="center"/>
        <w:textAlignment w:val="bottom"/>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项目编号： ZJWS2022-JJ52</w:t>
      </w:r>
    </w:p>
    <w:p>
      <w:pPr>
        <w:shd w:val="clear" w:color="auto" w:fill="FFFFFF"/>
        <w:tabs>
          <w:tab w:val="left" w:pos="1860"/>
        </w:tabs>
        <w:spacing w:line="360" w:lineRule="auto"/>
        <w:textAlignment w:val="bottom"/>
        <w:rPr>
          <w:rFonts w:asciiTheme="minorEastAsia" w:hAnsiTheme="minorEastAsia" w:eastAsiaTheme="minorEastAsia" w:cstheme="minorEastAsia"/>
          <w:color w:val="auto"/>
          <w:kern w:val="0"/>
          <w:sz w:val="28"/>
          <w:highlight w:val="none"/>
        </w:rPr>
      </w:pPr>
    </w:p>
    <w:p>
      <w:pPr>
        <w:autoSpaceDE w:val="0"/>
        <w:autoSpaceDN w:val="0"/>
        <w:adjustRightInd w:val="0"/>
        <w:spacing w:line="360" w:lineRule="auto"/>
        <w:ind w:firstLine="2520" w:firstLineChars="900"/>
        <w:rPr>
          <w:rFonts w:asciiTheme="minorEastAsia" w:hAnsiTheme="minorEastAsia" w:eastAsiaTheme="minorEastAsia" w:cstheme="minorEastAsia"/>
          <w:color w:val="auto"/>
          <w:kern w:val="0"/>
          <w:sz w:val="28"/>
          <w:highlight w:val="none"/>
        </w:rPr>
      </w:pPr>
      <w:r>
        <w:rPr>
          <w:rFonts w:hint="eastAsia" w:asciiTheme="minorEastAsia" w:hAnsiTheme="minorEastAsia" w:eastAsiaTheme="minorEastAsia" w:cstheme="minorEastAsia"/>
          <w:color w:val="auto"/>
          <w:kern w:val="0"/>
          <w:sz w:val="28"/>
          <w:highlight w:val="none"/>
        </w:rPr>
        <w:t>采购项目：检察工作网网络安全建设项目</w:t>
      </w:r>
    </w:p>
    <w:p>
      <w:pPr>
        <w:autoSpaceDE w:val="0"/>
        <w:autoSpaceDN w:val="0"/>
        <w:adjustRightInd w:val="0"/>
        <w:spacing w:line="360" w:lineRule="auto"/>
        <w:ind w:firstLine="2520" w:firstLineChars="900"/>
        <w:rPr>
          <w:rFonts w:asciiTheme="minorEastAsia" w:hAnsiTheme="minorEastAsia" w:eastAsiaTheme="minorEastAsia" w:cstheme="minorEastAsia"/>
          <w:color w:val="auto"/>
          <w:kern w:val="0"/>
          <w:sz w:val="28"/>
          <w:highlight w:val="none"/>
        </w:rPr>
      </w:pPr>
      <w:r>
        <w:rPr>
          <w:rFonts w:hint="eastAsia" w:asciiTheme="minorEastAsia" w:hAnsiTheme="minorEastAsia" w:eastAsiaTheme="minorEastAsia" w:cstheme="minorEastAsia"/>
          <w:color w:val="auto"/>
          <w:kern w:val="0"/>
          <w:sz w:val="28"/>
          <w:highlight w:val="none"/>
        </w:rPr>
        <w:t>采购单位：台州市人民检察院</w:t>
      </w:r>
    </w:p>
    <w:p>
      <w:pPr>
        <w:autoSpaceDE w:val="0"/>
        <w:autoSpaceDN w:val="0"/>
        <w:adjustRightInd w:val="0"/>
        <w:spacing w:line="360" w:lineRule="auto"/>
        <w:jc w:val="center"/>
        <w:rPr>
          <w:rFonts w:asciiTheme="minorEastAsia" w:hAnsiTheme="minorEastAsia" w:eastAsiaTheme="minorEastAsia" w:cstheme="minorEastAsia"/>
          <w:color w:val="auto"/>
          <w:kern w:val="0"/>
          <w:sz w:val="28"/>
          <w:highlight w:val="none"/>
        </w:rPr>
      </w:pPr>
    </w:p>
    <w:p>
      <w:pPr>
        <w:autoSpaceDE w:val="0"/>
        <w:autoSpaceDN w:val="0"/>
        <w:adjustRightInd w:val="0"/>
        <w:spacing w:line="360" w:lineRule="auto"/>
        <w:jc w:val="center"/>
        <w:rPr>
          <w:rFonts w:asciiTheme="minorEastAsia" w:hAnsiTheme="minorEastAsia" w:eastAsiaTheme="minorEastAsia" w:cstheme="minorEastAsia"/>
          <w:color w:val="auto"/>
          <w:kern w:val="0"/>
          <w:sz w:val="28"/>
          <w:highlight w:val="none"/>
        </w:rPr>
      </w:pPr>
    </w:p>
    <w:p>
      <w:pPr>
        <w:autoSpaceDE w:val="0"/>
        <w:autoSpaceDN w:val="0"/>
        <w:adjustRightInd w:val="0"/>
        <w:spacing w:line="360" w:lineRule="auto"/>
        <w:jc w:val="center"/>
        <w:rPr>
          <w:rFonts w:asciiTheme="minorEastAsia" w:hAnsiTheme="minorEastAsia" w:eastAsiaTheme="minorEastAsia" w:cstheme="minorEastAsia"/>
          <w:color w:val="auto"/>
          <w:kern w:val="0"/>
          <w:sz w:val="28"/>
          <w:highlight w:val="none"/>
        </w:rPr>
      </w:pPr>
      <w:r>
        <w:rPr>
          <w:rFonts w:hint="eastAsia" w:asciiTheme="minorEastAsia" w:hAnsiTheme="minorEastAsia" w:eastAsiaTheme="minorEastAsia" w:cstheme="minorEastAsia"/>
          <w:color w:val="auto"/>
          <w:kern w:val="0"/>
          <w:sz w:val="28"/>
          <w:highlight w:val="none"/>
        </w:rPr>
        <w:t>采购代理机构：浙江五石中正工程咨询有限公司</w:t>
      </w:r>
    </w:p>
    <w:p>
      <w:pPr>
        <w:autoSpaceDE w:val="0"/>
        <w:autoSpaceDN w:val="0"/>
        <w:adjustRightInd w:val="0"/>
        <w:spacing w:line="360" w:lineRule="auto"/>
        <w:jc w:val="center"/>
        <w:rPr>
          <w:rFonts w:asciiTheme="minorEastAsia" w:hAnsiTheme="minorEastAsia" w:eastAsiaTheme="minorEastAsia" w:cstheme="minorEastAsia"/>
          <w:color w:val="auto"/>
          <w:kern w:val="0"/>
          <w:sz w:val="28"/>
          <w:highlight w:val="none"/>
        </w:rPr>
      </w:pPr>
      <w:r>
        <w:rPr>
          <w:rFonts w:hint="eastAsia" w:asciiTheme="minorEastAsia" w:hAnsiTheme="minorEastAsia" w:eastAsiaTheme="minorEastAsia" w:cstheme="minorEastAsia"/>
          <w:color w:val="auto"/>
          <w:kern w:val="0"/>
          <w:sz w:val="28"/>
          <w:highlight w:val="none"/>
        </w:rPr>
        <w:t>二○二二年</w:t>
      </w:r>
      <w:r>
        <w:rPr>
          <w:rFonts w:hint="eastAsia" w:asciiTheme="minorEastAsia" w:hAnsiTheme="minorEastAsia" w:eastAsiaTheme="minorEastAsia" w:cstheme="minorEastAsia"/>
          <w:color w:val="auto"/>
          <w:kern w:val="0"/>
          <w:sz w:val="28"/>
          <w:highlight w:val="none"/>
          <w:lang w:val="en-US" w:eastAsia="zh-CN"/>
        </w:rPr>
        <w:t>七</w:t>
      </w:r>
      <w:r>
        <w:rPr>
          <w:rFonts w:hint="eastAsia" w:asciiTheme="minorEastAsia" w:hAnsiTheme="minorEastAsia" w:eastAsiaTheme="minorEastAsia" w:cstheme="minorEastAsia"/>
          <w:color w:val="auto"/>
          <w:kern w:val="0"/>
          <w:sz w:val="28"/>
          <w:highlight w:val="none"/>
        </w:rPr>
        <w:t>月</w:t>
      </w:r>
    </w:p>
    <w:p>
      <w:pPr>
        <w:spacing w:line="360" w:lineRule="auto"/>
        <w:ind w:firstLine="480" w:firstLineChars="200"/>
        <w:rPr>
          <w:rFonts w:asciiTheme="minorEastAsia" w:hAnsiTheme="minorEastAsia" w:eastAsiaTheme="minorEastAsia" w:cstheme="minorEastAsia"/>
          <w:color w:val="auto"/>
          <w:sz w:val="24"/>
          <w:szCs w:val="32"/>
          <w:highlight w:val="none"/>
        </w:rPr>
      </w:pPr>
    </w:p>
    <w:p>
      <w:pPr>
        <w:spacing w:line="360" w:lineRule="auto"/>
        <w:ind w:firstLine="480" w:firstLineChars="200"/>
        <w:rPr>
          <w:rFonts w:asciiTheme="minorEastAsia" w:hAnsiTheme="minorEastAsia" w:eastAsiaTheme="minorEastAsia" w:cstheme="minorEastAsia"/>
          <w:color w:val="auto"/>
          <w:sz w:val="24"/>
          <w:szCs w:val="32"/>
          <w:highlight w:val="none"/>
        </w:rPr>
        <w:sectPr>
          <w:headerReference r:id="rId4" w:type="default"/>
          <w:pgSz w:w="11906" w:h="16838"/>
          <w:pgMar w:top="1134" w:right="1077" w:bottom="1134" w:left="1077" w:header="851" w:footer="992" w:gutter="0"/>
          <w:cols w:space="720" w:num="1"/>
          <w:docGrid w:type="lines" w:linePitch="332" w:charSpace="0"/>
        </w:sectPr>
      </w:pPr>
    </w:p>
    <w:p>
      <w:pPr>
        <w:pStyle w:val="3"/>
        <w:rPr>
          <w:color w:val="auto"/>
          <w:highlight w:val="none"/>
        </w:rPr>
      </w:pPr>
    </w:p>
    <w:p>
      <w:pPr>
        <w:spacing w:line="360" w:lineRule="auto"/>
        <w:ind w:firstLine="480" w:firstLineChars="200"/>
        <w:rPr>
          <w:rFonts w:asciiTheme="minorEastAsia" w:hAnsiTheme="minorEastAsia" w:eastAsiaTheme="minorEastAsia" w:cstheme="minorEastAsia"/>
          <w:color w:val="auto"/>
          <w:sz w:val="24"/>
          <w:szCs w:val="32"/>
          <w:highlight w:val="none"/>
        </w:rPr>
      </w:pPr>
    </w:p>
    <w:p>
      <w:pPr>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目录</w:t>
      </w:r>
    </w:p>
    <w:p>
      <w:pPr>
        <w:spacing w:line="360" w:lineRule="auto"/>
        <w:rPr>
          <w:rFonts w:asciiTheme="minorEastAsia" w:hAnsiTheme="minorEastAsia" w:eastAsiaTheme="minorEastAsia" w:cstheme="minorEastAsia"/>
          <w:color w:val="auto"/>
          <w:sz w:val="28"/>
          <w:szCs w:val="28"/>
          <w:highlight w:val="none"/>
        </w:rPr>
      </w:pPr>
    </w:p>
    <w:p>
      <w:p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第一章公开招标采购公告</w:t>
      </w:r>
    </w:p>
    <w:p>
      <w:p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第二章投标人须知</w:t>
      </w:r>
    </w:p>
    <w:p>
      <w:p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第三章评标办法及评分标准</w:t>
      </w:r>
    </w:p>
    <w:p>
      <w:p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第四章公开招标需求</w:t>
      </w:r>
    </w:p>
    <w:p>
      <w:p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第五章政府采购合同主要条款指引</w:t>
      </w:r>
    </w:p>
    <w:p>
      <w:pPr>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第六章投标文件格式附件</w:t>
      </w: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pStyle w:val="3"/>
        <w:rPr>
          <w:color w:val="auto"/>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ind w:firstLine="480" w:firstLineChars="200"/>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rPr>
          <w:rFonts w:asciiTheme="minorEastAsia" w:hAnsiTheme="minorEastAsia" w:eastAsiaTheme="minorEastAsia" w:cstheme="minorEastAsia"/>
          <w:color w:val="auto"/>
          <w:sz w:val="24"/>
          <w:szCs w:val="32"/>
          <w:highlight w:val="none"/>
        </w:rPr>
      </w:pP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r>
        <w:rPr>
          <w:rFonts w:hint="eastAsia" w:asciiTheme="minorEastAsia" w:hAnsiTheme="minorEastAsia" w:eastAsiaTheme="minorEastAsia" w:cstheme="minorEastAsia"/>
          <w:b/>
          <w:bCs/>
          <w:color w:val="auto"/>
          <w:sz w:val="36"/>
          <w:szCs w:val="44"/>
          <w:highlight w:val="none"/>
        </w:rPr>
        <w:t>第一章公开招标采购公告</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Theme="minorEastAsia" w:hAnsiTheme="minorEastAsia" w:eastAsiaTheme="minorEastAsia" w:cstheme="minorEastAsia"/>
          <w:b/>
          <w:bCs/>
          <w:color w:val="auto"/>
          <w:sz w:val="24"/>
          <w:szCs w:val="32"/>
          <w:highlight w:val="none"/>
        </w:rPr>
        <w:t>浙江五石中正工程咨询有限公司</w:t>
      </w:r>
      <w:r>
        <w:rPr>
          <w:rFonts w:hint="eastAsia" w:asciiTheme="minorEastAsia" w:hAnsiTheme="minorEastAsia" w:eastAsiaTheme="minorEastAsia" w:cstheme="minorEastAsia"/>
          <w:color w:val="auto"/>
          <w:sz w:val="24"/>
          <w:szCs w:val="32"/>
          <w:highlight w:val="none"/>
        </w:rPr>
        <w:t>受</w:t>
      </w:r>
      <w:r>
        <w:rPr>
          <w:rFonts w:hint="eastAsia" w:asciiTheme="minorEastAsia" w:hAnsiTheme="minorEastAsia" w:eastAsiaTheme="minorEastAsia" w:cstheme="minorEastAsia"/>
          <w:b/>
          <w:bCs/>
          <w:color w:val="auto"/>
          <w:kern w:val="0"/>
          <w:sz w:val="24"/>
          <w:highlight w:val="none"/>
        </w:rPr>
        <w:t>台州市人民检察院</w:t>
      </w:r>
      <w:r>
        <w:rPr>
          <w:rFonts w:hint="eastAsia" w:asciiTheme="minorEastAsia" w:hAnsiTheme="minorEastAsia" w:eastAsiaTheme="minorEastAsia" w:cstheme="minorEastAsia"/>
          <w:color w:val="auto"/>
          <w:sz w:val="24"/>
          <w:szCs w:val="32"/>
          <w:highlight w:val="none"/>
        </w:rPr>
        <w:t>委托，现就其</w:t>
      </w:r>
      <w:r>
        <w:rPr>
          <w:rFonts w:hint="eastAsia" w:asciiTheme="minorEastAsia" w:hAnsiTheme="minorEastAsia" w:eastAsiaTheme="minorEastAsia" w:cstheme="minorEastAsia"/>
          <w:b/>
          <w:bCs/>
          <w:color w:val="auto"/>
          <w:sz w:val="24"/>
          <w:szCs w:val="32"/>
          <w:highlight w:val="none"/>
        </w:rPr>
        <w:t>检察工作网网络安全建设项目</w:t>
      </w:r>
      <w:r>
        <w:rPr>
          <w:rFonts w:hint="eastAsia" w:asciiTheme="minorEastAsia" w:hAnsiTheme="minorEastAsia" w:eastAsiaTheme="minorEastAsia" w:cstheme="minorEastAsia"/>
          <w:color w:val="auto"/>
          <w:sz w:val="24"/>
          <w:szCs w:val="32"/>
          <w:highlight w:val="none"/>
        </w:rPr>
        <w:t>进行公开招标采购，欢迎合格供应商前来投标。</w:t>
      </w:r>
    </w:p>
    <w:p>
      <w:pPr>
        <w:spacing w:line="360" w:lineRule="auto"/>
        <w:ind w:firstLine="482"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b/>
          <w:bCs/>
          <w:color w:val="auto"/>
          <w:sz w:val="24"/>
          <w:szCs w:val="32"/>
          <w:highlight w:val="none"/>
        </w:rPr>
        <w:t>一、项目编号：ZJWS2022-JJ52</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二、招标项目概况：</w:t>
      </w:r>
    </w:p>
    <w:tbl>
      <w:tblPr>
        <w:tblStyle w:val="28"/>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833"/>
        <w:gridCol w:w="2202"/>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0"/>
              </w:tabs>
              <w:spacing w:line="360" w:lineRule="auto"/>
              <w:rPr>
                <w:rFonts w:ascii="宋体" w:hAnsi="宋体"/>
                <w:b/>
                <w:color w:val="auto"/>
                <w:kern w:val="0"/>
                <w:sz w:val="24"/>
                <w:highlight w:val="none"/>
                <w:lang w:eastAsia="en-US" w:bidi="en-US"/>
              </w:rPr>
            </w:pPr>
            <w:r>
              <w:rPr>
                <w:rFonts w:hint="eastAsia" w:ascii="宋体" w:hAnsi="宋体"/>
                <w:b/>
                <w:color w:val="auto"/>
                <w:kern w:val="0"/>
                <w:sz w:val="24"/>
                <w:highlight w:val="none"/>
                <w:lang w:eastAsia="en-US" w:bidi="en-US"/>
              </w:rPr>
              <w:t>序号</w:t>
            </w:r>
          </w:p>
        </w:tc>
        <w:tc>
          <w:tcPr>
            <w:tcW w:w="3833" w:type="dxa"/>
            <w:tcBorders>
              <w:top w:val="single" w:color="auto" w:sz="4" w:space="0"/>
              <w:left w:val="nil"/>
              <w:bottom w:val="single" w:color="auto" w:sz="4" w:space="0"/>
              <w:right w:val="single" w:color="auto" w:sz="4" w:space="0"/>
            </w:tcBorders>
            <w:shd w:val="clear" w:color="auto" w:fill="FFFFFF"/>
            <w:noWrap/>
            <w:vAlign w:val="center"/>
          </w:tcPr>
          <w:p>
            <w:pPr>
              <w:tabs>
                <w:tab w:val="left" w:pos="0"/>
              </w:tabs>
              <w:spacing w:line="360" w:lineRule="auto"/>
              <w:jc w:val="center"/>
              <w:rPr>
                <w:rFonts w:ascii="宋体" w:hAnsi="宋体"/>
                <w:b/>
                <w:color w:val="auto"/>
                <w:kern w:val="0"/>
                <w:sz w:val="24"/>
                <w:highlight w:val="none"/>
                <w:lang w:eastAsia="en-US" w:bidi="en-US"/>
              </w:rPr>
            </w:pPr>
            <w:r>
              <w:rPr>
                <w:rFonts w:hint="eastAsia" w:ascii="宋体" w:hAnsi="宋体"/>
                <w:b/>
                <w:color w:val="auto"/>
                <w:kern w:val="0"/>
                <w:sz w:val="24"/>
                <w:highlight w:val="none"/>
                <w:lang w:eastAsia="en-US" w:bidi="en-US"/>
              </w:rPr>
              <w:t>名称</w:t>
            </w:r>
          </w:p>
        </w:tc>
        <w:tc>
          <w:tcPr>
            <w:tcW w:w="2202" w:type="dxa"/>
            <w:tcBorders>
              <w:top w:val="single" w:color="auto" w:sz="4" w:space="0"/>
              <w:left w:val="nil"/>
              <w:bottom w:val="single" w:color="auto" w:sz="4" w:space="0"/>
              <w:right w:val="single" w:color="auto" w:sz="4" w:space="0"/>
            </w:tcBorders>
            <w:shd w:val="clear" w:color="auto" w:fill="FFFFFF"/>
            <w:noWrap/>
            <w:vAlign w:val="center"/>
          </w:tcPr>
          <w:p>
            <w:pPr>
              <w:tabs>
                <w:tab w:val="left" w:pos="0"/>
              </w:tabs>
              <w:spacing w:line="360" w:lineRule="auto"/>
              <w:jc w:val="center"/>
              <w:rPr>
                <w:rFonts w:ascii="宋体" w:hAnsi="宋体"/>
                <w:b/>
                <w:bCs/>
                <w:color w:val="auto"/>
                <w:kern w:val="0"/>
                <w:sz w:val="24"/>
                <w:highlight w:val="none"/>
                <w:lang w:bidi="en-US"/>
              </w:rPr>
            </w:pPr>
            <w:r>
              <w:rPr>
                <w:rFonts w:hint="eastAsia" w:ascii="宋体" w:hAnsi="宋体"/>
                <w:b/>
                <w:bCs/>
                <w:color w:val="auto"/>
                <w:kern w:val="0"/>
                <w:sz w:val="24"/>
                <w:highlight w:val="none"/>
                <w:lang w:bidi="en-US"/>
              </w:rPr>
              <w:t>数量</w:t>
            </w:r>
          </w:p>
        </w:tc>
        <w:tc>
          <w:tcPr>
            <w:tcW w:w="2202" w:type="dxa"/>
            <w:tcBorders>
              <w:top w:val="single" w:color="auto" w:sz="4" w:space="0"/>
              <w:left w:val="nil"/>
              <w:bottom w:val="single" w:color="auto" w:sz="4" w:space="0"/>
              <w:right w:val="single" w:color="auto" w:sz="4" w:space="0"/>
            </w:tcBorders>
            <w:shd w:val="clear" w:color="auto" w:fill="FFFFFF"/>
            <w:noWrap/>
            <w:vAlign w:val="center"/>
          </w:tcPr>
          <w:p>
            <w:pPr>
              <w:tabs>
                <w:tab w:val="left" w:pos="0"/>
              </w:tabs>
              <w:spacing w:line="360" w:lineRule="auto"/>
              <w:jc w:val="center"/>
              <w:rPr>
                <w:rFonts w:ascii="宋体" w:hAnsi="宋体"/>
                <w:b/>
                <w:color w:val="auto"/>
                <w:kern w:val="0"/>
                <w:sz w:val="24"/>
                <w:highlight w:val="none"/>
                <w:lang w:bidi="en-US"/>
              </w:rPr>
            </w:pPr>
            <w:r>
              <w:rPr>
                <w:rFonts w:hint="eastAsia" w:ascii="宋体" w:hAnsi="宋体"/>
                <w:b/>
                <w:color w:val="auto"/>
                <w:kern w:val="0"/>
                <w:sz w:val="24"/>
                <w:highlight w:val="none"/>
                <w:lang w:bidi="en-US"/>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宋体" w:hAnsi="宋体"/>
                <w:b/>
                <w:color w:val="auto"/>
                <w:kern w:val="0"/>
                <w:sz w:val="24"/>
                <w:highlight w:val="none"/>
                <w:lang w:eastAsia="en-US" w:bidi="en-US"/>
              </w:rPr>
            </w:pPr>
            <w:r>
              <w:rPr>
                <w:rFonts w:hint="eastAsia" w:ascii="宋体" w:hAnsi="宋体"/>
                <w:b/>
                <w:color w:val="auto"/>
                <w:kern w:val="0"/>
                <w:sz w:val="24"/>
                <w:highlight w:val="none"/>
                <w:lang w:eastAsia="en-US" w:bidi="en-US"/>
              </w:rPr>
              <w:t>1</w:t>
            </w:r>
          </w:p>
        </w:tc>
        <w:tc>
          <w:tcPr>
            <w:tcW w:w="3833" w:type="dxa"/>
            <w:tcBorders>
              <w:top w:val="single" w:color="auto" w:sz="4" w:space="0"/>
              <w:left w:val="nil"/>
              <w:bottom w:val="single" w:color="auto" w:sz="4" w:space="0"/>
              <w:right w:val="single" w:color="auto" w:sz="4" w:space="0"/>
            </w:tcBorders>
            <w:noWrap/>
            <w:vAlign w:val="center"/>
          </w:tcPr>
          <w:p>
            <w:pPr>
              <w:tabs>
                <w:tab w:val="left" w:pos="0"/>
              </w:tabs>
              <w:spacing w:line="360" w:lineRule="auto"/>
              <w:jc w:val="center"/>
              <w:rPr>
                <w:rFonts w:ascii="宋体" w:hAnsi="宋体"/>
                <w:b/>
                <w:color w:val="auto"/>
                <w:kern w:val="0"/>
                <w:sz w:val="24"/>
                <w:highlight w:val="none"/>
                <w:lang w:bidi="en-US"/>
              </w:rPr>
            </w:pPr>
            <w:r>
              <w:rPr>
                <w:rFonts w:hint="eastAsia" w:ascii="宋体" w:hAnsi="宋体"/>
                <w:b/>
                <w:color w:val="auto"/>
                <w:kern w:val="0"/>
                <w:sz w:val="24"/>
                <w:highlight w:val="none"/>
                <w:lang w:bidi="en-US"/>
              </w:rPr>
              <w:t>检察工作网网络安全建设项目</w:t>
            </w:r>
          </w:p>
        </w:tc>
        <w:tc>
          <w:tcPr>
            <w:tcW w:w="2202"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宋体" w:hAnsi="宋体"/>
                <w:b/>
                <w:color w:val="auto"/>
                <w:kern w:val="0"/>
                <w:sz w:val="24"/>
                <w:highlight w:val="none"/>
                <w:lang w:bidi="en-US"/>
              </w:rPr>
            </w:pPr>
            <w:r>
              <w:rPr>
                <w:rFonts w:hint="eastAsia" w:ascii="宋体" w:hAnsi="宋体"/>
                <w:b/>
                <w:color w:val="auto"/>
                <w:kern w:val="0"/>
                <w:sz w:val="24"/>
                <w:highlight w:val="none"/>
                <w:lang w:bidi="en-US"/>
              </w:rPr>
              <w:t>1项</w:t>
            </w:r>
          </w:p>
        </w:tc>
        <w:tc>
          <w:tcPr>
            <w:tcW w:w="2202"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宋体" w:hAnsi="宋体"/>
                <w:b/>
                <w:color w:val="auto"/>
                <w:kern w:val="0"/>
                <w:sz w:val="24"/>
                <w:highlight w:val="none"/>
                <w:lang w:bidi="en-US"/>
              </w:rPr>
            </w:pPr>
            <w:r>
              <w:rPr>
                <w:rFonts w:hint="eastAsia" w:ascii="宋体" w:hAnsi="宋体"/>
                <w:b/>
                <w:color w:val="auto"/>
                <w:kern w:val="0"/>
                <w:sz w:val="24"/>
                <w:highlight w:val="none"/>
                <w:lang w:bidi="en-US"/>
              </w:rPr>
              <w:t>113万元</w:t>
            </w:r>
          </w:p>
        </w:tc>
      </w:tr>
    </w:tbl>
    <w:p>
      <w:pPr>
        <w:pStyle w:val="85"/>
        <w:ind w:firstLine="0" w:firstLineChars="0"/>
        <w:rPr>
          <w:color w:val="auto"/>
          <w:highlight w:val="none"/>
        </w:rPr>
      </w:pP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三、合格投标人的资格条件：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2.落实政府采购政策需满足的资格要求：无。</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3.本项目的特定资格要求：无。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4.本项目允许联合体投标。</w:t>
      </w:r>
    </w:p>
    <w:p>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w:t>
      </w:r>
      <w:r>
        <w:rPr>
          <w:rFonts w:hint="eastAsia" w:asciiTheme="minorEastAsia" w:hAnsiTheme="minorEastAsia" w:eastAsiaTheme="minorEastAsia" w:cstheme="minorEastAsia"/>
          <w:b/>
          <w:bCs/>
          <w:color w:val="auto"/>
          <w:sz w:val="24"/>
          <w:szCs w:val="32"/>
          <w:highlight w:val="none"/>
        </w:rPr>
        <w:t>招标文件获取的时间、方式：</w:t>
      </w:r>
    </w:p>
    <w:p>
      <w:pPr>
        <w:pStyle w:val="24"/>
        <w:spacing w:before="0" w:beforeAutospacing="0" w:after="0" w:afterAutospacing="0" w:line="360" w:lineRule="auto"/>
        <w:ind w:firstLine="336"/>
        <w:rPr>
          <w:rFonts w:cs="宋体"/>
          <w:color w:val="auto"/>
          <w:kern w:val="2"/>
          <w:highlight w:val="none"/>
        </w:rPr>
      </w:pPr>
      <w:r>
        <w:rPr>
          <w:rFonts w:hint="eastAsia" w:cs="宋体"/>
          <w:color w:val="auto"/>
          <w:kern w:val="2"/>
          <w:highlight w:val="none"/>
        </w:rPr>
        <w:t>1、本项目招标文件实行“政府采购云平台”在线获取，不提供招标文件纸质版。供应商获取招标文件前应先完成“政府采购云平台”的账号注册；</w:t>
      </w:r>
    </w:p>
    <w:p>
      <w:pPr>
        <w:pStyle w:val="24"/>
        <w:spacing w:before="0" w:beforeAutospacing="0" w:after="0" w:afterAutospacing="0" w:line="360" w:lineRule="auto"/>
        <w:ind w:firstLine="336"/>
        <w:rPr>
          <w:rFonts w:cs="宋体"/>
          <w:color w:val="auto"/>
          <w:kern w:val="2"/>
          <w:highlight w:val="none"/>
        </w:rPr>
      </w:pPr>
      <w:r>
        <w:rPr>
          <w:rFonts w:hint="eastAsia" w:cs="宋体"/>
          <w:b/>
          <w:bCs/>
          <w:color w:val="auto"/>
          <w:kern w:val="2"/>
          <w:highlight w:val="none"/>
        </w:rPr>
        <w:t>2、获取时间：</w:t>
      </w:r>
      <w:r>
        <w:rPr>
          <w:rFonts w:hint="eastAsia" w:cs="宋体"/>
          <w:color w:val="auto"/>
          <w:kern w:val="2"/>
          <w:highlight w:val="none"/>
        </w:rPr>
        <w:t>自本公告发布之日起至响应文件递交截止时间止（以供应商完成获取采购文件申请后下载采购文件的时间为准）；</w:t>
      </w:r>
    </w:p>
    <w:p>
      <w:pPr>
        <w:pStyle w:val="24"/>
        <w:spacing w:before="0" w:beforeAutospacing="0" w:after="0" w:afterAutospacing="0" w:line="360" w:lineRule="auto"/>
        <w:ind w:firstLine="336"/>
        <w:rPr>
          <w:rFonts w:cs="宋体"/>
          <w:b/>
          <w:bCs/>
          <w:color w:val="auto"/>
          <w:kern w:val="2"/>
          <w:highlight w:val="none"/>
        </w:rPr>
      </w:pPr>
      <w:r>
        <w:rPr>
          <w:rFonts w:hint="eastAsia" w:cs="宋体"/>
          <w:b/>
          <w:bCs/>
          <w:color w:val="auto"/>
          <w:kern w:val="2"/>
          <w:highlight w:val="none"/>
        </w:rPr>
        <w:t>3、获取地点：</w:t>
      </w:r>
    </w:p>
    <w:p>
      <w:pPr>
        <w:pStyle w:val="24"/>
        <w:spacing w:before="0" w:beforeAutospacing="0" w:after="0" w:afterAutospacing="0" w:line="360" w:lineRule="auto"/>
        <w:ind w:firstLine="168"/>
        <w:rPr>
          <w:rFonts w:cs="宋体"/>
          <w:color w:val="auto"/>
          <w:kern w:val="2"/>
          <w:highlight w:val="none"/>
        </w:rPr>
      </w:pPr>
      <w:r>
        <w:rPr>
          <w:rFonts w:hint="eastAsia" w:cs="宋体"/>
          <w:color w:val="auto"/>
          <w:kern w:val="2"/>
          <w:highlight w:val="none"/>
        </w:rPr>
        <w:t>（1）政采云平台（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cs="宋体"/>
          <w:color w:val="auto"/>
          <w:kern w:val="2"/>
          <w:highlight w:val="none"/>
        </w:rPr>
        <w:t>http://zfcg.czt.zj.gov.cn</w:t>
      </w:r>
      <w:r>
        <w:rPr>
          <w:rFonts w:hint="eastAsia" w:cs="宋体"/>
          <w:color w:val="auto"/>
          <w:kern w:val="2"/>
          <w:highlight w:val="none"/>
        </w:rPr>
        <w:fldChar w:fldCharType="end"/>
      </w:r>
      <w:r>
        <w:rPr>
          <w:rFonts w:hint="eastAsia" w:cs="宋体"/>
          <w:color w:val="auto"/>
          <w:kern w:val="2"/>
          <w:highlight w:val="none"/>
        </w:rPr>
        <w:t>）；</w:t>
      </w:r>
    </w:p>
    <w:p>
      <w:pPr>
        <w:pStyle w:val="24"/>
        <w:spacing w:before="0" w:beforeAutospacing="0" w:after="0" w:afterAutospacing="0" w:line="360" w:lineRule="auto"/>
        <w:ind w:firstLine="168"/>
        <w:rPr>
          <w:rFonts w:cs="宋体"/>
          <w:color w:val="auto"/>
          <w:kern w:val="2"/>
          <w:highlight w:val="none"/>
        </w:rPr>
      </w:pPr>
      <w:r>
        <w:rPr>
          <w:rFonts w:hint="eastAsia" w:cs="宋体"/>
          <w:color w:val="auto"/>
          <w:kern w:val="2"/>
          <w:highlight w:val="none"/>
        </w:rPr>
        <w:t>（2）供应商网上报名操作指南：“浙江政府采购网-办事指南-省采中心-网上报名”（http://zfcg.czt.zj.gov.cn/bs_other/2018-03-30/12002.html）。</w:t>
      </w:r>
    </w:p>
    <w:p>
      <w:pPr>
        <w:pStyle w:val="24"/>
        <w:spacing w:before="0" w:beforeAutospacing="0" w:after="0" w:afterAutospacing="0" w:line="360" w:lineRule="auto"/>
        <w:ind w:firstLine="336"/>
        <w:rPr>
          <w:rFonts w:cs="宋体"/>
          <w:color w:val="auto"/>
          <w:kern w:val="2"/>
          <w:highlight w:val="none"/>
        </w:rPr>
      </w:pPr>
      <w:r>
        <w:rPr>
          <w:rFonts w:hint="eastAsia" w:cs="宋体"/>
          <w:b/>
          <w:bCs/>
          <w:color w:val="auto"/>
          <w:kern w:val="2"/>
          <w:highlight w:val="none"/>
        </w:rPr>
        <w:t>4、获取方式：</w:t>
      </w:r>
      <w:r>
        <w:rPr>
          <w:rFonts w:hint="eastAsia" w:cs="宋体"/>
          <w:color w:val="auto"/>
          <w:kern w:val="2"/>
          <w:highlight w:val="none"/>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pStyle w:val="24"/>
        <w:spacing w:before="0" w:beforeAutospacing="0" w:after="0" w:afterAutospacing="0" w:line="360" w:lineRule="auto"/>
        <w:ind w:firstLine="336"/>
        <w:rPr>
          <w:rFonts w:cs="宋体"/>
          <w:color w:val="auto"/>
          <w:kern w:val="2"/>
          <w:highlight w:val="none"/>
        </w:rPr>
      </w:pPr>
      <w:r>
        <w:rPr>
          <w:rFonts w:hint="eastAsia" w:cs="宋体"/>
          <w:b/>
          <w:bCs/>
          <w:color w:val="auto"/>
          <w:kern w:val="2"/>
          <w:highlight w:val="none"/>
        </w:rPr>
        <w:t>5、提示：</w:t>
      </w:r>
      <w:r>
        <w:rPr>
          <w:rFonts w:hint="eastAsia" w:cs="宋体"/>
          <w:color w:val="auto"/>
          <w:kern w:val="2"/>
          <w:highlight w:val="none"/>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56"/>
        <w:spacing w:line="360" w:lineRule="auto"/>
        <w:ind w:firstLine="480"/>
        <w:rPr>
          <w:rStyle w:val="31"/>
          <w:rFonts w:asciiTheme="minorEastAsia" w:hAnsiTheme="minorEastAsia" w:eastAsiaTheme="minorEastAsia" w:cstheme="minorEastAsia"/>
          <w:color w:val="auto"/>
          <w:sz w:val="24"/>
          <w:highlight w:val="none"/>
        </w:rPr>
      </w:pPr>
      <w:r>
        <w:rPr>
          <w:rStyle w:val="31"/>
          <w:rFonts w:hint="eastAsia" w:asciiTheme="minorEastAsia" w:hAnsiTheme="minorEastAsia" w:eastAsiaTheme="minorEastAsia" w:cstheme="minorEastAsia"/>
          <w:color w:val="auto"/>
          <w:sz w:val="24"/>
          <w:highlight w:val="none"/>
        </w:rPr>
        <w:t>五、投标说明：</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www.zjzfcg.gov.cn/bidClientTemplate/2019-05-27/12946.html），电子投标具体流程详见本招标公告附件：“政采云供应商项目采购-电子招投标操作指南.pdf”。</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u w:val="single"/>
        </w:rPr>
        <w:t>http://www.zjzfcg.gov.cn/bidClientTemplate/2019-05-27/12945.html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，完成CA数字证书办理预计一周左右，请各投标人自行把握时间）</w:t>
      </w:r>
    </w:p>
    <w:p>
      <w:pPr>
        <w:pStyle w:val="24"/>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pPr>
        <w:pStyle w:val="24"/>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5.投标文件的组成、份数、密封、效力</w:t>
      </w:r>
    </w:p>
    <w:p>
      <w:pPr>
        <w:pStyle w:val="24"/>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本项目实行电子投标，供应商应准备电子投标文件、以介质（U盘）存储的数据电文形式、纸质备份投标文件三类：</w:t>
      </w:r>
    </w:p>
    <w:p>
      <w:pPr>
        <w:pStyle w:val="24"/>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5.1电子投标文件，按政采云平台项目采购--电子招投标操作指南及本招标文件要求编制。</w:t>
      </w:r>
    </w:p>
    <w:p>
      <w:pPr>
        <w:pStyle w:val="24"/>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5.2纸质备份投标文件以纸质文件的形式编制，按资格及商务技术文件、报价文件分别编制并单独装订成册，数量均为2份（一正一副）。资格及商务技术文件、报价文件须分别密封封装，资格及商务技术文件、报价文件未分别密封的投标文件将为无效。</w:t>
      </w:r>
    </w:p>
    <w:p>
      <w:pPr>
        <w:pStyle w:val="24"/>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pStyle w:val="24"/>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①在投标截止时间前送交到开标地点；</w:t>
      </w:r>
    </w:p>
    <w:p>
      <w:pPr>
        <w:pStyle w:val="24"/>
        <w:spacing w:before="0" w:beforeAutospacing="0" w:after="0" w:afterAutospacing="0" w:line="360" w:lineRule="auto"/>
        <w:ind w:firstLine="480"/>
        <w:rPr>
          <w:rFonts w:cs="宋体"/>
          <w:color w:val="auto"/>
          <w:highlight w:val="none"/>
        </w:rPr>
      </w:pPr>
      <w:r>
        <w:rPr>
          <w:rFonts w:hint="eastAsia" w:cs="宋体"/>
          <w:color w:val="auto"/>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pPr>
        <w:pStyle w:val="24"/>
        <w:spacing w:before="0" w:beforeAutospacing="0" w:after="0" w:afterAutospacing="0" w:line="360" w:lineRule="auto"/>
        <w:ind w:firstLine="480"/>
        <w:rPr>
          <w:rFonts w:cs="宋体"/>
          <w:color w:val="auto"/>
          <w:highlight w:val="none"/>
        </w:rPr>
      </w:pPr>
      <w:r>
        <w:rPr>
          <w:rFonts w:hint="eastAsia" w:cs="宋体"/>
          <w:color w:val="auto"/>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24"/>
        <w:spacing w:before="0" w:beforeAutospacing="0" w:after="0" w:afterAutospacing="0" w:line="360" w:lineRule="auto"/>
        <w:ind w:firstLine="480"/>
        <w:rPr>
          <w:rFonts w:cs="宋体"/>
          <w:color w:val="auto"/>
          <w:highlight w:val="none"/>
        </w:rPr>
      </w:pPr>
      <w:r>
        <w:rPr>
          <w:rFonts w:hint="eastAsia" w:cs="宋体"/>
          <w:color w:val="auto"/>
          <w:highlight w:val="none"/>
        </w:rPr>
        <w:t>5.5投标文件启用顺序和效力：投标文件的启用，按先后顺位分别为电子投标文件、以介质（U盘）存储的数据电文形式的备份投标文件和纸质备份投标文件。全部投标人的电子投标文件均已按时解密的，备份投标文件自动失效，全部投标人的电子投标文件均无法按时解密的，启用纸质备份投标文件进行线下开评标。如果某位投标人的电子投标文件无法按时解密的，可启用以介质存储的数据电文形式的备份投标文件，不启用纸质备份投标文件。</w:t>
      </w:r>
    </w:p>
    <w:p>
      <w:pPr>
        <w:pStyle w:val="24"/>
        <w:spacing w:before="0" w:beforeAutospacing="0" w:after="0" w:afterAutospacing="0" w:line="360" w:lineRule="auto"/>
        <w:ind w:firstLine="480"/>
        <w:rPr>
          <w:rFonts w:cs="宋体"/>
          <w:color w:val="auto"/>
          <w:sz w:val="27"/>
          <w:szCs w:val="27"/>
          <w:highlight w:val="none"/>
        </w:rPr>
      </w:pPr>
      <w:r>
        <w:rPr>
          <w:rFonts w:hint="eastAsia" w:cs="宋体"/>
          <w:color w:val="auto"/>
          <w:highlight w:val="none"/>
        </w:rPr>
        <w:t>5.6未传输递交电子投标文件的，投标无效。未按规定提供相应的备份投标文件，造成项目开评标活动无法进行下去的，投标无效。</w:t>
      </w:r>
    </w:p>
    <w:p>
      <w:pPr>
        <w:spacing w:line="360" w:lineRule="auto"/>
        <w:ind w:firstLine="482" w:firstLineChars="200"/>
        <w:rPr>
          <w:rFonts w:hint="eastAsia" w:asciiTheme="minorEastAsia" w:hAnsiTheme="minorEastAsia" w:eastAsiaTheme="minorEastAsia" w:cstheme="minorEastAsia"/>
          <w:color w:val="auto"/>
          <w:sz w:val="24"/>
          <w:szCs w:val="32"/>
          <w:highlight w:val="none"/>
          <w:lang w:eastAsia="zh-CN"/>
        </w:rPr>
      </w:pPr>
      <w:r>
        <w:rPr>
          <w:rFonts w:hint="eastAsia" w:asciiTheme="minorEastAsia" w:hAnsiTheme="minorEastAsia" w:eastAsiaTheme="minorEastAsia" w:cstheme="minorEastAsia"/>
          <w:b/>
          <w:bCs/>
          <w:color w:val="auto"/>
          <w:sz w:val="24"/>
          <w:szCs w:val="32"/>
          <w:highlight w:val="none"/>
        </w:rPr>
        <w:t>六、投标截止时间及开标时间：</w:t>
      </w:r>
      <w:r>
        <w:rPr>
          <w:rFonts w:hint="eastAsia" w:asciiTheme="minorEastAsia" w:hAnsiTheme="minorEastAsia" w:eastAsiaTheme="minorEastAsia" w:cstheme="minorEastAsia"/>
          <w:color w:val="auto"/>
          <w:sz w:val="24"/>
          <w:szCs w:val="32"/>
          <w:highlight w:val="none"/>
          <w:lang w:eastAsia="zh-CN"/>
        </w:rPr>
        <w:t>2022年9月19日下午14:30</w:t>
      </w:r>
    </w:p>
    <w:p>
      <w:pPr>
        <w:spacing w:line="360" w:lineRule="auto"/>
        <w:ind w:firstLine="482"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b/>
          <w:bCs/>
          <w:color w:val="auto"/>
          <w:sz w:val="24"/>
          <w:szCs w:val="32"/>
          <w:highlight w:val="none"/>
        </w:rPr>
        <w:t>七、投标及开标地址：</w:t>
      </w:r>
      <w:r>
        <w:rPr>
          <w:rFonts w:hint="eastAsia" w:asciiTheme="minorEastAsia" w:hAnsiTheme="minorEastAsia" w:eastAsiaTheme="minorEastAsia" w:cstheme="minorEastAsia"/>
          <w:color w:val="auto"/>
          <w:sz w:val="24"/>
          <w:szCs w:val="32"/>
          <w:highlight w:val="none"/>
        </w:rPr>
        <w:t>台州市椒江区东环大道576号二楼（五石开标室）。</w:t>
      </w:r>
    </w:p>
    <w:p>
      <w:pPr>
        <w:spacing w:line="360" w:lineRule="auto"/>
        <w:ind w:firstLine="482" w:firstLineChars="200"/>
        <w:outlineLvl w:val="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八、相关注意事项：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www.zjzfcg.gov.cn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3）信用信息查询记录和证据留存具体方式：采购代理机构经办人和监督人员将查询网页打印与其他采购文件一并保存；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3.不良信用记录指：被列入失信被执行人、重大税收违法案件当事人名单、政府采购严重违法失信行为记录名单或浙江政府采购网曝光台中尚在行政处罚期内的。</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4.</w:t>
      </w:r>
      <w:r>
        <w:rPr>
          <w:rFonts w:hint="eastAsia" w:ascii="宋体" w:hAnsi="宋体" w:cs="宋体"/>
          <w:b/>
          <w:bCs/>
          <w:color w:val="auto"/>
          <w:sz w:val="24"/>
          <w:szCs w:val="32"/>
          <w:highlight w:val="none"/>
        </w:rPr>
        <w:t>开标时间后30分钟内供应商须携带CA自备电脑登录“政采云”平台，用“项目采购-开标评标”功能解密投标文件，投标人未按时解密或解密失败的，其上传的电子投标文件自动失效。</w:t>
      </w:r>
    </w:p>
    <w:p>
      <w:pPr>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九、联系方式：</w:t>
      </w:r>
    </w:p>
    <w:p>
      <w:pPr>
        <w:spacing w:line="360" w:lineRule="auto"/>
        <w:ind w:firstLine="482"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b/>
          <w:bCs/>
          <w:color w:val="auto"/>
          <w:sz w:val="24"/>
          <w:szCs w:val="32"/>
          <w:highlight w:val="none"/>
        </w:rPr>
        <w:t>1、采购代理机构名称：</w:t>
      </w:r>
      <w:r>
        <w:rPr>
          <w:rFonts w:hint="eastAsia" w:asciiTheme="minorEastAsia" w:hAnsiTheme="minorEastAsia" w:eastAsiaTheme="minorEastAsia" w:cstheme="minorEastAsia"/>
          <w:color w:val="auto"/>
          <w:sz w:val="24"/>
          <w:szCs w:val="32"/>
          <w:highlight w:val="none"/>
        </w:rPr>
        <w:t>浙江五石中正工程咨询有限公司。</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项目负责人：徐名峰；联系电话：15088711407。</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质疑接受人：徐少媚；联系电话：0576-88785265。</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报名联系人：高女士；联系电话：0571-85334203；传真：0571-85342190。</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地点：杭州市拱墅区白石路318号中国（杭州）人力资源服务产业园北楼512室。</w:t>
      </w:r>
    </w:p>
    <w:p>
      <w:pPr>
        <w:spacing w:line="360" w:lineRule="auto"/>
        <w:ind w:firstLine="482"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sz w:val="24"/>
          <w:szCs w:val="32"/>
          <w:highlight w:val="none"/>
        </w:rPr>
        <w:t>2、采购人：</w:t>
      </w:r>
      <w:r>
        <w:rPr>
          <w:rFonts w:hint="eastAsia" w:asciiTheme="minorEastAsia" w:hAnsiTheme="minorEastAsia" w:eastAsiaTheme="minorEastAsia" w:cstheme="minorEastAsia"/>
          <w:color w:val="auto"/>
          <w:kern w:val="0"/>
          <w:sz w:val="24"/>
          <w:highlight w:val="none"/>
        </w:rPr>
        <w:t>台州市人民检察院。</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项目联系人（询问）：江女士。  </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项目联系方式（询问）：0576-88582156。 </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质疑联系人：姜先生。   </w:t>
      </w:r>
    </w:p>
    <w:p>
      <w:pPr>
        <w:spacing w:line="360" w:lineRule="auto"/>
        <w:ind w:firstLine="480" w:firstLineChars="200"/>
        <w:rPr>
          <w:rFonts w:eastAsiaTheme="minorEastAsia"/>
          <w:color w:val="auto"/>
          <w:highlight w:val="none"/>
        </w:rPr>
      </w:pPr>
      <w:r>
        <w:rPr>
          <w:rFonts w:hint="eastAsia" w:asciiTheme="minorEastAsia" w:hAnsiTheme="minorEastAsia" w:eastAsiaTheme="minorEastAsia" w:cstheme="minorEastAsia"/>
          <w:color w:val="auto"/>
          <w:sz w:val="24"/>
          <w:szCs w:val="32"/>
          <w:highlight w:val="none"/>
        </w:rPr>
        <w:t>质疑联系方式：0576-88582156。 </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联系人：陈工，联系电话：0576-88206705。</w:t>
      </w:r>
    </w:p>
    <w:p>
      <w:pPr>
        <w:spacing w:line="360" w:lineRule="auto"/>
        <w:ind w:firstLine="480" w:firstLineChars="200"/>
        <w:rPr>
          <w:color w:val="auto"/>
          <w:highlight w:val="none"/>
        </w:rPr>
      </w:pPr>
      <w:r>
        <w:rPr>
          <w:rFonts w:hint="eastAsia" w:ascii="宋体" w:hAnsi="宋体" w:cs="宋体"/>
          <w:color w:val="auto"/>
          <w:sz w:val="24"/>
          <w:szCs w:val="32"/>
          <w:highlight w:val="none"/>
        </w:rPr>
        <w:t>联系人：李工，联系电话：0576-88206731</w:t>
      </w:r>
      <w:r>
        <w:rPr>
          <w:rFonts w:hint="eastAsia"/>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地址：台州市椒江区纬一路66号天元大厦。</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8"/>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67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王霖</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龚盛</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梅晶晶</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任茜</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王渊</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孙瑞华</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周翔宇</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王海玲</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5.6%起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5.8%起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5.1%起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5.6%起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47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15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672" w:type="dxa"/>
            <w:vAlign w:val="center"/>
          </w:tcPr>
          <w:p>
            <w:pPr>
              <w:rPr>
                <w:rFonts w:ascii="宋体" w:hAnsi="宋体" w:cs="宋体"/>
                <w:color w:val="auto"/>
                <w:sz w:val="24"/>
                <w:highlight w:val="none"/>
              </w:rPr>
            </w:pPr>
            <w:r>
              <w:rPr>
                <w:rFonts w:hint="eastAsia" w:ascii="宋体" w:hAnsi="宋体" w:cs="宋体"/>
                <w:color w:val="auto"/>
                <w:sz w:val="24"/>
                <w:highlight w:val="none"/>
              </w:rPr>
              <w:t>81888982/18957683735</w:t>
            </w:r>
          </w:p>
        </w:tc>
      </w:tr>
    </w:tbl>
    <w:p>
      <w:pPr>
        <w:jc w:val="center"/>
        <w:rPr>
          <w:color w:val="auto"/>
          <w:sz w:val="32"/>
          <w:szCs w:val="32"/>
          <w:highlight w:val="none"/>
        </w:rPr>
      </w:pPr>
      <w:r>
        <w:rPr>
          <w:rFonts w:hint="eastAsia"/>
          <w:color w:val="auto"/>
          <w:sz w:val="32"/>
          <w:szCs w:val="32"/>
          <w:highlight w:val="none"/>
        </w:rPr>
        <w:t>合同履约保函联系方式</w:t>
      </w:r>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70"/>
        <w:gridCol w:w="2631"/>
        <w:gridCol w:w="985"/>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3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9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pPr>
        <w:ind w:firstLine="3220" w:firstLineChars="1150"/>
        <w:rPr>
          <w:rFonts w:ascii="宋体" w:hAnsi="宋体" w:cs="宋体"/>
          <w:color w:val="auto"/>
          <w:sz w:val="28"/>
          <w:szCs w:val="28"/>
          <w:highlight w:val="none"/>
        </w:rPr>
      </w:pPr>
    </w:p>
    <w:p>
      <w:pPr>
        <w:ind w:firstLine="3220" w:firstLineChars="1150"/>
        <w:rPr>
          <w:rFonts w:ascii="宋体" w:hAnsi="宋体" w:cs="宋体"/>
          <w:color w:val="auto"/>
          <w:sz w:val="28"/>
          <w:szCs w:val="28"/>
          <w:highlight w:val="none"/>
        </w:rPr>
      </w:pPr>
      <w:r>
        <w:rPr>
          <w:rFonts w:hint="eastAsia" w:ascii="宋体" w:hAnsi="宋体" w:cs="宋体"/>
          <w:color w:val="auto"/>
          <w:sz w:val="28"/>
          <w:szCs w:val="28"/>
          <w:highlight w:val="none"/>
        </w:rPr>
        <w:t>预付款保函联系方式</w:t>
      </w:r>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11"/>
        <w:gridCol w:w="2110"/>
        <w:gridCol w:w="1265"/>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1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1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1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1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pPr>
        <w:pStyle w:val="3"/>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浙江五石中正工程咨询有限公司</w:t>
      </w:r>
    </w:p>
    <w:p>
      <w:pPr>
        <w:pStyle w:val="3"/>
        <w:wordWrap w:val="0"/>
        <w:jc w:val="right"/>
        <w:rPr>
          <w:rFonts w:eastAsiaTheme="minorEastAsia"/>
          <w:color w:val="auto"/>
          <w:highlight w:val="none"/>
        </w:rPr>
      </w:pPr>
      <w:r>
        <w:rPr>
          <w:rFonts w:hint="eastAsia" w:asciiTheme="minorEastAsia" w:hAnsiTheme="minorEastAsia" w:eastAsiaTheme="minorEastAsia" w:cstheme="minorEastAsia"/>
          <w:color w:val="auto"/>
          <w:highlight w:val="none"/>
        </w:rPr>
        <w:t xml:space="preserve">                                    2022年3月</w:t>
      </w: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p>
    <w:p>
      <w:pPr>
        <w:spacing w:line="360" w:lineRule="auto"/>
        <w:ind w:firstLine="2530" w:firstLineChars="700"/>
        <w:rPr>
          <w:rFonts w:asciiTheme="minorEastAsia" w:hAnsiTheme="minorEastAsia" w:eastAsiaTheme="minorEastAsia" w:cstheme="minorEastAsia"/>
          <w:b/>
          <w:bCs/>
          <w:color w:val="auto"/>
          <w:sz w:val="36"/>
          <w:szCs w:val="44"/>
          <w:highlight w:val="none"/>
        </w:rPr>
      </w:pPr>
      <w:r>
        <w:rPr>
          <w:rFonts w:hint="eastAsia" w:asciiTheme="minorEastAsia" w:hAnsiTheme="minorEastAsia" w:eastAsiaTheme="minorEastAsia" w:cstheme="minorEastAsia"/>
          <w:b/>
          <w:bCs/>
          <w:color w:val="auto"/>
          <w:sz w:val="36"/>
          <w:szCs w:val="44"/>
          <w:highlight w:val="none"/>
        </w:rPr>
        <w:t>第二章投标人须知</w:t>
      </w:r>
    </w:p>
    <w:p>
      <w:pPr>
        <w:spacing w:line="360" w:lineRule="auto"/>
        <w:ind w:firstLine="482" w:firstLineChars="200"/>
        <w:jc w:val="center"/>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前附表</w:t>
      </w:r>
    </w:p>
    <w:tbl>
      <w:tblPr>
        <w:tblStyle w:val="28"/>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15"/>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241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7050"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41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供应商特定资格要求</w:t>
            </w:r>
          </w:p>
        </w:tc>
        <w:tc>
          <w:tcPr>
            <w:tcW w:w="7050"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41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答疑会或</w:t>
            </w:r>
            <w:r>
              <w:rPr>
                <w:rFonts w:hint="eastAsia" w:asciiTheme="minorEastAsia" w:hAnsiTheme="minorEastAsia" w:eastAsiaTheme="minorEastAsia" w:cstheme="minorEastAsia"/>
                <w:color w:val="auto"/>
                <w:sz w:val="24"/>
                <w:highlight w:val="none"/>
              </w:rPr>
              <w:t>现场踏勘</w:t>
            </w:r>
          </w:p>
        </w:tc>
        <w:tc>
          <w:tcPr>
            <w:tcW w:w="7050"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415" w:type="dxa"/>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投标文件递交要求</w:t>
            </w:r>
          </w:p>
        </w:tc>
        <w:tc>
          <w:tcPr>
            <w:tcW w:w="7050"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本项目实行</w:t>
            </w:r>
            <w:r>
              <w:rPr>
                <w:rFonts w:hint="eastAsia" w:asciiTheme="minorEastAsia" w:hAnsiTheme="minorEastAsia" w:eastAsiaTheme="minorEastAsia" w:cstheme="minorEastAsia"/>
                <w:b/>
                <w:bCs/>
                <w:color w:val="auto"/>
                <w:sz w:val="24"/>
                <w:highlight w:val="none"/>
              </w:rPr>
              <w:t>电子投标</w:t>
            </w:r>
            <w:r>
              <w:rPr>
                <w:rFonts w:hint="eastAsia" w:asciiTheme="minorEastAsia" w:hAnsiTheme="minorEastAsia" w:eastAsiaTheme="minorEastAsia" w:cstheme="minorEastAsia"/>
                <w:color w:val="auto"/>
                <w:sz w:val="24"/>
                <w:highlight w:val="none"/>
              </w:rPr>
              <w:t>，供应商应准备电子投标文件、以介质存储的数据电文形式的备份投标文件、纸质备份投标文件三类：</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1.电子投标文件，按政采云平台项目采购--电子招投标操作指南及本招标文件要求编制、递交。</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2.以介质存储的数据电文形式的备份投标文件，按政采云平台项目采购-电子招投标操作指南中上传的电子投标文件格式，以U盘形式提供。</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3.纸质备份投标文件以纸质文件的形式编制，按资格证明文件、商务技术文件、报价文件分别编制并单独装订成册，</w:t>
            </w:r>
            <w:r>
              <w:rPr>
                <w:rStyle w:val="31"/>
                <w:rFonts w:hint="eastAsia" w:asciiTheme="minorEastAsia" w:hAnsiTheme="minorEastAsia" w:eastAsiaTheme="minorEastAsia" w:cstheme="minorEastAsia"/>
                <w:color w:val="auto"/>
                <w:sz w:val="24"/>
                <w:highlight w:val="none"/>
              </w:rPr>
              <w:t>数量均为2份（一正一副）</w:t>
            </w:r>
            <w:r>
              <w:rPr>
                <w:rFonts w:hint="eastAsia" w:asciiTheme="minorEastAsia" w:hAnsiTheme="minorEastAsia" w:eastAsiaTheme="minorEastAsia" w:cstheme="minorEastAsia"/>
                <w:color w:val="auto"/>
                <w:sz w:val="24"/>
                <w:highlight w:val="none"/>
              </w:rPr>
              <w:t>。资格证明文件、商务技术文件、报价文件须分别密封封装，资格证明文件、商务技术文件、报价文件未分别密封的投标文件将为无效。</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241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投标有效期</w:t>
            </w:r>
          </w:p>
        </w:tc>
        <w:tc>
          <w:tcPr>
            <w:tcW w:w="7050" w:type="dxa"/>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投标有效期为开标后90天，</w:t>
            </w:r>
            <w:r>
              <w:rPr>
                <w:rFonts w:hint="eastAsia" w:asciiTheme="minorEastAsia" w:hAnsiTheme="minorEastAsia" w:eastAsiaTheme="minorEastAsia" w:cstheme="minorEastAsia"/>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241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投标文件递交</w:t>
            </w:r>
          </w:p>
        </w:tc>
        <w:tc>
          <w:tcPr>
            <w:tcW w:w="7050" w:type="dxa"/>
            <w:vAlign w:val="center"/>
          </w:tcPr>
          <w:p>
            <w:pP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截止时间：北京时间</w:t>
            </w:r>
            <w:r>
              <w:rPr>
                <w:rFonts w:hint="eastAsia" w:asciiTheme="minorEastAsia" w:hAnsiTheme="minorEastAsia" w:eastAsiaTheme="minorEastAsia" w:cstheme="minorEastAsia"/>
                <w:color w:val="auto"/>
                <w:sz w:val="24"/>
                <w:szCs w:val="32"/>
                <w:highlight w:val="none"/>
                <w:lang w:eastAsia="zh-CN"/>
              </w:rPr>
              <w:t>2022年9月19日下午14:30</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241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开标时间及地点</w:t>
            </w:r>
          </w:p>
        </w:tc>
        <w:tc>
          <w:tcPr>
            <w:tcW w:w="7050" w:type="dxa"/>
            <w:vAlign w:val="center"/>
          </w:tcPr>
          <w:p>
            <w:pP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时间：北京时间</w:t>
            </w:r>
            <w:r>
              <w:rPr>
                <w:rFonts w:hint="eastAsia" w:asciiTheme="minorEastAsia" w:hAnsiTheme="minorEastAsia" w:eastAsiaTheme="minorEastAsia" w:cstheme="minorEastAsia"/>
                <w:color w:val="auto"/>
                <w:sz w:val="24"/>
                <w:szCs w:val="32"/>
                <w:highlight w:val="none"/>
                <w:lang w:eastAsia="zh-CN"/>
              </w:rPr>
              <w:t>2022年9月19日下午14:30</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地点：台州市椒江区东环大道576号二楼（五石开标室）。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241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w:t>
            </w:r>
          </w:p>
        </w:tc>
        <w:tc>
          <w:tcPr>
            <w:tcW w:w="7050" w:type="dxa"/>
            <w:vAlign w:val="center"/>
          </w:tcPr>
          <w:p>
            <w:pPr>
              <w:spacing w:line="360" w:lineRule="auto"/>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乙方收到中标通知书后向甲方缴纳合同金额2.5</w:t>
            </w:r>
            <w:r>
              <w:rPr>
                <w:rFonts w:ascii="宋体" w:hAnsi="宋体" w:cs="宋体"/>
                <w:color w:val="auto"/>
                <w:sz w:val="24"/>
                <w:highlight w:val="none"/>
              </w:rPr>
              <w:t>%</w:t>
            </w:r>
            <w:r>
              <w:rPr>
                <w:rFonts w:hint="eastAsia" w:ascii="宋体" w:hAnsi="宋体" w:cs="宋体"/>
                <w:color w:val="auto"/>
                <w:sz w:val="24"/>
                <w:highlight w:val="none"/>
              </w:rPr>
              <w:t>履约保证金，履约保证金在项目验收通过后无息退还</w:t>
            </w:r>
            <w:r>
              <w:rPr>
                <w:rFonts w:hint="eastAsia" w:ascii="宋体" w:hAnsi="宋体" w:cs="宋体"/>
                <w:color w:val="auto"/>
                <w:sz w:val="24"/>
                <w:highlight w:val="none"/>
              </w:rPr>
              <w:t>。（履约保证金可以采用保函、担保等形式）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2415"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实质性条款</w:t>
            </w:r>
          </w:p>
        </w:tc>
        <w:tc>
          <w:tcPr>
            <w:tcW w:w="7050" w:type="dxa"/>
            <w:vAlign w:val="center"/>
          </w:tcPr>
          <w:p>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带“</w:t>
            </w:r>
            <w:r>
              <w:rPr>
                <w:rFonts w:hint="eastAsia" w:asciiTheme="minorEastAsia" w:hAnsiTheme="minorEastAsia" w:eastAsiaTheme="minorEastAsia" w:cstheme="minorEastAsia"/>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24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样品或现场踏勘</w:t>
            </w:r>
          </w:p>
        </w:tc>
        <w:tc>
          <w:tcPr>
            <w:tcW w:w="70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24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演示</w:t>
            </w:r>
          </w:p>
        </w:tc>
        <w:tc>
          <w:tcPr>
            <w:tcW w:w="705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24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2415" w:type="dxa"/>
            <w:tcBorders>
              <w:top w:val="single" w:color="auto" w:sz="4" w:space="0"/>
              <w:left w:val="single" w:color="auto" w:sz="4" w:space="0"/>
              <w:bottom w:val="single" w:color="auto" w:sz="4" w:space="0"/>
              <w:right w:val="single" w:color="auto" w:sz="4" w:space="0"/>
            </w:tcBorders>
            <w:vAlign w:val="center"/>
          </w:tcPr>
          <w:p>
            <w:pPr>
              <w:ind w:firstLine="720" w:firstLineChars="300"/>
              <w:rPr>
                <w:rFonts w:asciiTheme="minorEastAsia" w:hAnsiTheme="minorEastAsia" w:eastAsiaTheme="minorEastAsia" w:cstheme="minorEastAsia"/>
                <w:color w:val="auto"/>
                <w:sz w:val="24"/>
                <w:highlight w:val="none"/>
              </w:rPr>
            </w:pPr>
            <w:r>
              <w:rPr>
                <w:rFonts w:hint="eastAsia" w:ascii="宋体" w:hAnsi="宋体" w:eastAsia="宋体" w:cs="宋体"/>
                <w:color w:val="auto"/>
                <w:sz w:val="24"/>
                <w:highlight w:val="none"/>
              </w:rPr>
              <w:t>所属行业</w:t>
            </w:r>
          </w:p>
        </w:tc>
        <w:tc>
          <w:tcPr>
            <w:tcW w:w="70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工业</w:t>
            </w:r>
            <w:r>
              <w:rPr>
                <w:rFonts w:hint="eastAsia" w:ascii="宋体" w:hAnsi="宋体" w:eastAsia="宋体" w:cs="宋体"/>
                <w:color w:val="auto"/>
                <w:sz w:val="24"/>
                <w:highlight w:val="none"/>
                <w:lang w:val="en-US" w:eastAsia="zh-CN"/>
              </w:rPr>
              <w:t>-制造业-</w:t>
            </w:r>
            <w:r>
              <w:rPr>
                <w:rFonts w:hint="eastAsia" w:ascii="宋体" w:hAnsi="宋体" w:eastAsia="宋体" w:cs="宋体"/>
                <w:color w:val="auto"/>
                <w:sz w:val="24"/>
                <w:highlight w:val="none"/>
              </w:rPr>
              <w:t>计算机、通信和其他电子设备制造业</w:t>
            </w:r>
          </w:p>
          <w:p>
            <w:pPr>
              <w:rPr>
                <w:rFonts w:asciiTheme="minorEastAsia" w:hAnsiTheme="minorEastAsia" w:eastAsiaTheme="minorEastAsia" w:cstheme="minorEastAsia"/>
                <w:color w:val="auto"/>
                <w:sz w:val="24"/>
                <w:highlight w:val="none"/>
              </w:rPr>
            </w:pPr>
          </w:p>
        </w:tc>
      </w:tr>
    </w:tbl>
    <w:p>
      <w:pPr>
        <w:spacing w:line="360" w:lineRule="auto"/>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一、总则</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（一）适用范围</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本招标文件适用于本次项目的招标、投标、评标、定标、验收、合同履约、付款等行为（法律、法规另有规定的，从其规定）。</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（二）定义</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w:t>
      </w:r>
      <w:r>
        <w:rPr>
          <w:rFonts w:hint="eastAsia" w:asciiTheme="minorEastAsia" w:hAnsiTheme="minorEastAsia" w:eastAsiaTheme="minorEastAsia" w:cstheme="minorEastAsia"/>
          <w:color w:val="auto"/>
          <w:sz w:val="24"/>
          <w:szCs w:val="32"/>
          <w:highlight w:val="none"/>
          <w:lang w:val="zh-CN"/>
        </w:rPr>
        <w:t>“采购组织机构”指采购人委托组织招标的采购代理机构。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2、采购人：是指委托采购代理机构采购本次项目的国家机关、事业单位和团体组织。</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3、投标人：是指向采购</w:t>
      </w:r>
      <w:r>
        <w:rPr>
          <w:rFonts w:hint="eastAsia" w:asciiTheme="minorEastAsia" w:hAnsiTheme="minorEastAsia" w:eastAsiaTheme="minorEastAsia" w:cstheme="minorEastAsia"/>
          <w:color w:val="auto"/>
          <w:sz w:val="24"/>
          <w:szCs w:val="32"/>
          <w:highlight w:val="none"/>
          <w:lang w:val="zh-CN"/>
        </w:rPr>
        <w:t>组织</w:t>
      </w:r>
      <w:r>
        <w:rPr>
          <w:rFonts w:hint="eastAsia" w:asciiTheme="minorEastAsia" w:hAnsiTheme="minorEastAsia" w:eastAsiaTheme="minorEastAsia" w:cstheme="minorEastAsia"/>
          <w:color w:val="auto"/>
          <w:sz w:val="24"/>
          <w:szCs w:val="32"/>
          <w:highlight w:val="none"/>
        </w:rPr>
        <w:t>机构提交投标文件的单位或个人。</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4、货物：是指各种形态和种类的物品，包括原材料、燃料、设备、产品等。</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6、“书面形式”包括信函、传真等。</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7、“▲”系指实质性要求条款。</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（三）投标费用</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不论投标结果如何，投标人均应自行承担所有与投标有关的全部费用（招标文件有相关规定除外）。</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（四）特别说明</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color w:val="auto"/>
          <w:sz w:val="24"/>
          <w:szCs w:val="32"/>
          <w:highlight w:val="none"/>
        </w:rPr>
        <w:tab/>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4、为采购项目提供整体设计、规范编制或者项目管理、监理、检测等服务的供应商，不得再参加该采购项目的其他采购活动。</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5、投标文件格式中的表格式样可以根据项目差别做适当调整,但应当保持表格样式基本形态不变。</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6、单位负责人为同一人或者存在直接控股、管理关系的不同供应商，不得参加同一合同项下的政府采购活动。</w:t>
      </w:r>
    </w:p>
    <w:p>
      <w:pPr>
        <w:spacing w:line="360" w:lineRule="auto"/>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二、招标文件</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（一）招标文件由招标文件总目录所列内容组成。</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（二）招标文件的澄清或修改</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三、投标文件</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lang w:val="zh-CN"/>
        </w:rPr>
        <w:t>（一）</w:t>
      </w:r>
      <w:r>
        <w:rPr>
          <w:rFonts w:hint="eastAsia" w:asciiTheme="minorEastAsia" w:hAnsiTheme="minorEastAsia" w:eastAsiaTheme="minorEastAsia" w:cstheme="minorEastAsia"/>
          <w:b/>
          <w:bCs/>
          <w:color w:val="auto"/>
          <w:sz w:val="24"/>
          <w:szCs w:val="32"/>
          <w:highlight w:val="none"/>
        </w:rPr>
        <w:t>投标文件的组成</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highlight w:val="none"/>
        </w:rPr>
        <w:t>投标人接到招标文件后，按照采购组织机构的要求提供：资格及商务技术文件、报价文件。</w:t>
      </w:r>
      <w:r>
        <w:rPr>
          <w:rFonts w:hint="eastAsia" w:asciiTheme="minorEastAsia" w:hAnsiTheme="minorEastAsia" w:eastAsiaTheme="minorEastAsia" w:cstheme="minorEastAsia"/>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1、资格证明文件的组成：</w:t>
      </w:r>
    </w:p>
    <w:p>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（1）投标声明书</w:t>
      </w:r>
      <w:r>
        <w:rPr>
          <w:rFonts w:hint="eastAsia" w:ascii="宋体" w:hAnsi="宋体" w:cs="宋体"/>
          <w:color w:val="auto"/>
          <w:sz w:val="24"/>
          <w:highlight w:val="none"/>
          <w:lang w:eastAsia="zh-CN"/>
        </w:rPr>
        <w:t>；</w:t>
      </w:r>
    </w:p>
    <w:p>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（2）授权委托书</w:t>
      </w:r>
      <w:r>
        <w:rPr>
          <w:rFonts w:hint="eastAsia" w:ascii="宋体" w:hAnsi="宋体" w:cs="宋体"/>
          <w:color w:val="auto"/>
          <w:sz w:val="24"/>
          <w:highlight w:val="none"/>
          <w:lang w:eastAsia="zh-CN"/>
        </w:rPr>
        <w:t>；</w:t>
      </w:r>
      <w:r>
        <w:rPr>
          <w:rFonts w:hint="eastAsia" w:ascii="宋体" w:hAnsi="宋体" w:cs="宋体"/>
          <w:color w:val="auto"/>
          <w:sz w:val="24"/>
          <w:highlight w:val="none"/>
        </w:rPr>
        <w:t>（法定代表人亲自办理投标事宜的，则无需提交）</w:t>
      </w:r>
    </w:p>
    <w:p>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（3）法人或者其他组织的营业执照等证明文件，自然人的身份证明</w:t>
      </w:r>
      <w:r>
        <w:rPr>
          <w:rFonts w:hint="eastAsia" w:ascii="宋体" w:hAnsi="宋体" w:cs="宋体"/>
          <w:color w:val="auto"/>
          <w:sz w:val="24"/>
          <w:highlight w:val="none"/>
          <w:lang w:eastAsia="zh-CN"/>
        </w:rPr>
        <w:t>；</w:t>
      </w:r>
    </w:p>
    <w:p>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（4）具有良好的商业信誉和健全的财务会计制度的承诺</w:t>
      </w:r>
      <w:r>
        <w:rPr>
          <w:rFonts w:hint="eastAsia" w:ascii="宋体" w:hAnsi="宋体" w:cs="宋体"/>
          <w:color w:val="auto"/>
          <w:sz w:val="24"/>
          <w:highlight w:val="none"/>
          <w:lang w:eastAsia="zh-CN"/>
        </w:rPr>
        <w:t>；</w:t>
      </w:r>
    </w:p>
    <w:p>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（5）依法缴纳税收和社会保障资金的承诺</w:t>
      </w:r>
      <w:r>
        <w:rPr>
          <w:rFonts w:hint="eastAsia" w:ascii="宋体" w:hAnsi="宋体" w:cs="宋体"/>
          <w:color w:val="auto"/>
          <w:sz w:val="24"/>
          <w:highlight w:val="none"/>
          <w:lang w:eastAsia="zh-CN"/>
        </w:rPr>
        <w:t>；</w:t>
      </w:r>
    </w:p>
    <w:p>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（6）参加政府采购活动前三年内，在经营活动中没有重大违法记录</w:t>
      </w:r>
      <w:r>
        <w:rPr>
          <w:rFonts w:hint="eastAsia" w:ascii="宋体" w:hAnsi="宋体" w:cs="宋体"/>
          <w:color w:val="auto"/>
          <w:sz w:val="24"/>
          <w:highlight w:val="none"/>
          <w:lang w:eastAsia="zh-CN"/>
        </w:rPr>
        <w:t>；</w:t>
      </w:r>
    </w:p>
    <w:p>
      <w:pPr>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联合体协议；（如为联合体投标）</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需要说明的其他资料。</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2、商务与技术文件的组成：</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（1）投标人情况介绍。</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（2）投标方案描述：</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A.项目需求的理解与分析。</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B.项目组织实施方案。</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C.商务响应表。</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【特别提示：节能和环境标志产品最新一期政府采购清单，可在“中国政府采购网”中查看】</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（4）投标人通过的质量管理和质量保证体系、环保体系、自主创新相关证书、软件著作权证等等与本项目相关的认证证书或文件；</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（5）成功案例；</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rPr>
        <w:t>（6）投标人认为需要提供的其他资料（包括可能影响投标人商务与技术文件评分的各类证明材料）。</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（7）售后服务描述及承诺。</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（8）与评分标准相关的其他内容。</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2、报价文件的组成</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（1）报价文件由开标一览表、报价明细表、中企业等声明函、以及投标人认为其他需要说明的内容组成。</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（2）此报价为投标人一次性报出唯一的最终价格，包含其它一切所要涉及到的费用，有选择的报价将被拒绝。</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lang w:val="zh-CN"/>
        </w:rPr>
        <w:t>（</w:t>
      </w:r>
      <w:r>
        <w:rPr>
          <w:rFonts w:hint="eastAsia" w:asciiTheme="minorEastAsia" w:hAnsiTheme="minorEastAsia" w:eastAsiaTheme="minorEastAsia" w:cstheme="minorEastAsia"/>
          <w:color w:val="auto"/>
          <w:sz w:val="24"/>
          <w:szCs w:val="32"/>
          <w:highlight w:val="none"/>
        </w:rPr>
        <w:t>3</w:t>
      </w:r>
      <w:r>
        <w:rPr>
          <w:rFonts w:hint="eastAsia" w:asciiTheme="minorEastAsia" w:hAnsiTheme="minorEastAsia" w:eastAsiaTheme="minorEastAsia" w:cstheme="minorEastAsia"/>
          <w:color w:val="auto"/>
          <w:sz w:val="24"/>
          <w:szCs w:val="32"/>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lang w:val="zh-CN"/>
        </w:rPr>
        <w:t>（</w:t>
      </w:r>
      <w:r>
        <w:rPr>
          <w:rFonts w:hint="eastAsia" w:asciiTheme="minorEastAsia" w:hAnsiTheme="minorEastAsia" w:eastAsiaTheme="minorEastAsia" w:cstheme="minorEastAsia"/>
          <w:color w:val="auto"/>
          <w:sz w:val="24"/>
          <w:szCs w:val="32"/>
          <w:highlight w:val="none"/>
        </w:rPr>
        <w:t>4</w:t>
      </w:r>
      <w:r>
        <w:rPr>
          <w:rFonts w:hint="eastAsia" w:asciiTheme="minorEastAsia" w:hAnsiTheme="minorEastAsia" w:eastAsiaTheme="minorEastAsia" w:cstheme="minorEastAsia"/>
          <w:color w:val="auto"/>
          <w:sz w:val="24"/>
          <w:szCs w:val="32"/>
          <w:highlight w:val="none"/>
          <w:lang w:val="zh-CN"/>
        </w:rPr>
        <w:t>）</w:t>
      </w:r>
      <w:r>
        <w:rPr>
          <w:rFonts w:hint="eastAsia" w:asciiTheme="minorEastAsia" w:hAnsiTheme="minorEastAsia" w:eastAsiaTheme="minorEastAsia" w:cstheme="minorEastAsia"/>
          <w:color w:val="auto"/>
          <w:sz w:val="24"/>
          <w:szCs w:val="32"/>
          <w:highlight w:val="none"/>
        </w:rPr>
        <w:t>政府采购优惠政策相关资料。</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（5）相关报价单需打印或用不退色的墨水填写，投标报价单不得涂改和增删，如有错漏必须修改，修改处须由同一签署人签字或盖章。由于字迹模糊或表达不清引起的后果由投标人负责。</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（6）投标报价应按招标文件中相关附表格式填写。</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（二）投标文件的制作及递交要求</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1、投标文件的制作要求</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rPr>
        <w:t>（2）投标人应对所提供的全部资料的真实性承担法律责任，</w:t>
      </w:r>
      <w:r>
        <w:rPr>
          <w:rFonts w:hint="eastAsia" w:asciiTheme="minorEastAsia" w:hAnsiTheme="minorEastAsia" w:eastAsiaTheme="minorEastAsia" w:cstheme="minorEastAsia"/>
          <w:color w:val="auto"/>
          <w:sz w:val="24"/>
          <w:szCs w:val="32"/>
          <w:highlight w:val="none"/>
          <w:lang w:val="zh-CN"/>
        </w:rPr>
        <w:t>投标文件内容中有要求盖章或签字的地方，必须加盖投标人的公章以及法定代表人或授权委托代理人盖章或签字。</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val="zh-CN"/>
        </w:rPr>
        <w:t>（</w:t>
      </w:r>
      <w:r>
        <w:rPr>
          <w:rFonts w:hint="eastAsia" w:asciiTheme="minorEastAsia" w:hAnsiTheme="minorEastAsia" w:eastAsiaTheme="minorEastAsia" w:cstheme="minorEastAsia"/>
          <w:color w:val="auto"/>
          <w:sz w:val="24"/>
          <w:szCs w:val="32"/>
          <w:highlight w:val="none"/>
        </w:rPr>
        <w:t>3</w:t>
      </w:r>
      <w:r>
        <w:rPr>
          <w:rFonts w:hint="eastAsia" w:asciiTheme="minorEastAsia" w:hAnsiTheme="minorEastAsia" w:eastAsiaTheme="minorEastAsia" w:cstheme="minorEastAsia"/>
          <w:color w:val="auto"/>
          <w:sz w:val="24"/>
          <w:szCs w:val="32"/>
          <w:highlight w:val="none"/>
          <w:lang w:val="zh-CN"/>
        </w:rPr>
        <w:t>）</w:t>
      </w:r>
      <w:r>
        <w:rPr>
          <w:rFonts w:hint="eastAsia" w:asciiTheme="minorEastAsia" w:hAnsiTheme="minorEastAsia" w:eastAsiaTheme="minorEastAsia" w:cstheme="minorEastAsia"/>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（4）投标计量单位，招标文件已有明确规定的，使用招标文件规定的计量单位；招标文件没有规定的，应采用中华人民共和国法定计量单位（货币单位：人民币元）。</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（5）若投标人不按招标文件的要求提供资格审查材料，其风险由投标人自行承担。</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（6）与本次投标无关的内容请不要制作在内，确保投标文件有针对性、简洁明了。</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①投标文件的编制</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本项目实行电子投标，</w:t>
      </w:r>
      <w:r>
        <w:rPr>
          <w:rFonts w:hint="eastAsia" w:asciiTheme="minorEastAsia" w:hAnsiTheme="minorEastAsia" w:eastAsiaTheme="minorEastAsia" w:cstheme="minorEastAsia"/>
          <w:color w:val="auto"/>
          <w:sz w:val="24"/>
          <w:highlight w:val="none"/>
        </w:rPr>
        <w:t>供应商应准备电子投标文件、以介质存储的数据电文形式的备份投标文件、纸质备份投标文件三类</w:t>
      </w:r>
      <w:r>
        <w:rPr>
          <w:rFonts w:hint="eastAsia" w:asciiTheme="minorEastAsia" w:hAnsiTheme="minorEastAsia" w:eastAsiaTheme="minorEastAsia" w:cstheme="minorEastAsia"/>
          <w:color w:val="auto"/>
          <w:sz w:val="24"/>
          <w:szCs w:val="32"/>
          <w:highlight w:val="none"/>
        </w:rPr>
        <w:t>：</w:t>
      </w:r>
    </w:p>
    <w:p>
      <w:pPr>
        <w:spacing w:line="360" w:lineRule="auto"/>
        <w:ind w:firstLine="480" w:firstLineChars="200"/>
        <w:rPr>
          <w:rFonts w:asciiTheme="minorEastAsia" w:hAnsiTheme="minorEastAsia" w:eastAsiaTheme="minorEastAsia" w:cstheme="minorEastAsia"/>
          <w:color w:val="auto"/>
          <w:sz w:val="24"/>
          <w:szCs w:val="32"/>
          <w:highlight w:val="none"/>
          <w:lang w:val="en-GB"/>
        </w:rPr>
      </w:pPr>
      <w:r>
        <w:rPr>
          <w:rFonts w:hint="eastAsia" w:asciiTheme="minorEastAsia" w:hAnsiTheme="minorEastAsia" w:eastAsiaTheme="minorEastAsia" w:cstheme="minorEastAsia"/>
          <w:color w:val="auto"/>
          <w:sz w:val="24"/>
          <w:szCs w:val="32"/>
          <w:highlight w:val="none"/>
        </w:rPr>
        <w:t>（1）按政采云平台项目采购--电子招投标操作指南及本招标文件要求编制。</w:t>
      </w:r>
      <w:r>
        <w:rPr>
          <w:rFonts w:hint="eastAsia" w:asciiTheme="minorEastAsia" w:hAnsiTheme="minorEastAsia" w:eastAsiaTheme="minorEastAsia" w:cstheme="minorEastAsia"/>
          <w:color w:val="auto"/>
          <w:sz w:val="24"/>
          <w:szCs w:val="32"/>
          <w:highlight w:val="none"/>
          <w:lang w:val="en-GB"/>
        </w:rPr>
        <w:t>投标人应通过“政采云电子交易客户端”，并按照本招标文件和“政府采购云平台”的要求编制并加密投标文件。</w:t>
      </w:r>
    </w:p>
    <w:p>
      <w:pPr>
        <w:spacing w:line="360" w:lineRule="auto"/>
        <w:ind w:firstLine="480" w:firstLineChars="200"/>
        <w:rPr>
          <w:rFonts w:asciiTheme="minorEastAsia" w:hAnsiTheme="minorEastAsia" w:eastAsiaTheme="minorEastAsia" w:cstheme="minorEastAsia"/>
          <w:color w:val="auto"/>
          <w:sz w:val="24"/>
          <w:szCs w:val="32"/>
          <w:highlight w:val="none"/>
          <w:lang w:val="en-GB"/>
        </w:rPr>
      </w:pPr>
      <w:r>
        <w:rPr>
          <w:rFonts w:hint="eastAsia" w:asciiTheme="minorEastAsia" w:hAnsiTheme="minorEastAsia" w:eastAsiaTheme="minorEastAsia" w:cstheme="minorEastAsia"/>
          <w:color w:val="auto"/>
          <w:sz w:val="24"/>
          <w:szCs w:val="32"/>
          <w:highlight w:val="none"/>
          <w:lang w:val="en-GB"/>
        </w:rPr>
        <w:t>1.</w:t>
      </w:r>
      <w:r>
        <w:rPr>
          <w:rFonts w:hint="eastAsia" w:asciiTheme="minorEastAsia" w:hAnsiTheme="minorEastAsia" w:eastAsiaTheme="minorEastAsia" w:cstheme="minorEastAsia"/>
          <w:color w:val="auto"/>
          <w:sz w:val="24"/>
          <w:szCs w:val="32"/>
          <w:highlight w:val="none"/>
        </w:rPr>
        <w:t>1</w:t>
      </w:r>
      <w:r>
        <w:rPr>
          <w:rFonts w:hint="eastAsia" w:asciiTheme="minorEastAsia" w:hAnsiTheme="minorEastAsia" w:eastAsiaTheme="minorEastAsia" w:cstheme="minorEastAsia"/>
          <w:color w:val="auto"/>
          <w:sz w:val="24"/>
          <w:szCs w:val="32"/>
          <w:highlight w:val="none"/>
          <w:lang w:val="en-GB"/>
        </w:rPr>
        <w:t>投标人应当按照本章节“投标文件组成”规定的内容及顺序在“政采云电子交易客户端”编制投标文件。其中《资格及商务技术文件》中不得出现本项目投标报价，如因投标人原因提前泄露投标报价，是投标人的责任。</w:t>
      </w:r>
    </w:p>
    <w:p>
      <w:pPr>
        <w:spacing w:line="360" w:lineRule="auto"/>
        <w:ind w:firstLine="480" w:firstLineChars="200"/>
        <w:rPr>
          <w:rFonts w:asciiTheme="minorEastAsia" w:hAnsiTheme="minorEastAsia" w:eastAsiaTheme="minorEastAsia" w:cstheme="minorEastAsia"/>
          <w:color w:val="auto"/>
          <w:sz w:val="24"/>
          <w:szCs w:val="32"/>
          <w:highlight w:val="none"/>
          <w:lang w:val="en-GB"/>
        </w:rPr>
      </w:pPr>
      <w:r>
        <w:rPr>
          <w:rFonts w:hint="eastAsia" w:asciiTheme="minorEastAsia" w:hAnsiTheme="minorEastAsia" w:eastAsiaTheme="minorEastAsia" w:cstheme="minorEastAsia"/>
          <w:color w:val="auto"/>
          <w:sz w:val="24"/>
          <w:szCs w:val="32"/>
          <w:highlight w:val="none"/>
          <w:lang w:val="zh-CN"/>
        </w:rPr>
        <w:t>1.</w:t>
      </w:r>
      <w:r>
        <w:rPr>
          <w:rFonts w:hint="eastAsia" w:asciiTheme="minorEastAsia" w:hAnsiTheme="minorEastAsia" w:eastAsiaTheme="minorEastAsia" w:cstheme="minorEastAsia"/>
          <w:color w:val="auto"/>
          <w:sz w:val="24"/>
          <w:szCs w:val="32"/>
          <w:highlight w:val="none"/>
        </w:rPr>
        <w:t>2</w:t>
      </w:r>
      <w:r>
        <w:rPr>
          <w:rFonts w:hint="eastAsia" w:asciiTheme="minorEastAsia" w:hAnsiTheme="minorEastAsia" w:eastAsiaTheme="minorEastAsia" w:cstheme="minorEastAsia"/>
          <w:color w:val="auto"/>
          <w:sz w:val="24"/>
          <w:szCs w:val="32"/>
          <w:highlight w:val="none"/>
          <w:lang w:val="zh-CN"/>
        </w:rPr>
        <w:t>投标文件分为资格证明文件、商务技术文件、报价文件。各投标人在编制投标文件时请按照采购文件第六部分规定的格式进行，</w:t>
      </w:r>
      <w:r>
        <w:rPr>
          <w:rFonts w:hint="eastAsia" w:asciiTheme="minorEastAsia" w:hAnsiTheme="minorEastAsia" w:eastAsiaTheme="minorEastAsia" w:cstheme="minorEastAsia"/>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Theme="minorEastAsia" w:hAnsiTheme="minorEastAsia" w:eastAsiaTheme="minorEastAsia" w:cstheme="minorEastAsia"/>
          <w:color w:val="auto"/>
          <w:sz w:val="24"/>
          <w:szCs w:val="32"/>
          <w:highlight w:val="none"/>
          <w:lang w:val="en-GB"/>
        </w:rPr>
      </w:pPr>
      <w:r>
        <w:rPr>
          <w:rFonts w:hint="eastAsia" w:asciiTheme="minorEastAsia" w:hAnsiTheme="minorEastAsia" w:eastAsiaTheme="minorEastAsia" w:cstheme="minorEastAsia"/>
          <w:color w:val="auto"/>
          <w:sz w:val="24"/>
          <w:szCs w:val="32"/>
          <w:highlight w:val="none"/>
          <w:lang w:val="en-GB"/>
        </w:rPr>
        <w:t>1.</w:t>
      </w:r>
      <w:r>
        <w:rPr>
          <w:rFonts w:hint="eastAsia" w:asciiTheme="minorEastAsia" w:hAnsiTheme="minorEastAsia" w:eastAsiaTheme="minorEastAsia" w:cstheme="minorEastAsia"/>
          <w:color w:val="auto"/>
          <w:sz w:val="24"/>
          <w:szCs w:val="32"/>
          <w:highlight w:val="none"/>
        </w:rPr>
        <w:t>3</w:t>
      </w:r>
      <w:r>
        <w:rPr>
          <w:rFonts w:hint="eastAsia" w:asciiTheme="minorEastAsia" w:hAnsiTheme="minorEastAsia" w:eastAsiaTheme="minorEastAsia" w:cstheme="minorEastAsia"/>
          <w:color w:val="auto"/>
          <w:sz w:val="24"/>
          <w:szCs w:val="32"/>
          <w:highlight w:val="none"/>
          <w:lang w:val="en-GB"/>
        </w:rPr>
        <w:t>《投标文件》内容不完整、</w:t>
      </w:r>
      <w:r>
        <w:rPr>
          <w:rFonts w:hint="eastAsia" w:asciiTheme="minorEastAsia" w:hAnsiTheme="minorEastAsia" w:eastAsiaTheme="minorEastAsia" w:cstheme="minorEastAsia"/>
          <w:color w:val="auto"/>
          <w:sz w:val="24"/>
          <w:szCs w:val="32"/>
          <w:highlight w:val="none"/>
          <w:lang w:val="zh-CN"/>
        </w:rPr>
        <w:t>混乱的编排导致投标文件被误读或评标委员会查找不到有效文件是投标人的责任。</w:t>
      </w:r>
      <w:r>
        <w:rPr>
          <w:rFonts w:hint="eastAsia" w:asciiTheme="minorEastAsia" w:hAnsiTheme="minorEastAsia" w:eastAsiaTheme="minorEastAsia" w:cstheme="minorEastAsia"/>
          <w:color w:val="auto"/>
          <w:sz w:val="24"/>
          <w:szCs w:val="32"/>
          <w:highlight w:val="none"/>
          <w:lang w:val="en-GB"/>
        </w:rPr>
        <w:t>《投标文件》因字迹潦草或表达不清所引起的后果由投标人负责▲投标文件未按规定的格式编制的，投标无效。</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（2）以介质存储的数据电文形式的备份投标文件，按政采云平台项目采购-电子招投标操作指南中上传的电子投标文件格式，以U盘形式提供。数量为1份。</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（3）纸质备份投标文件以纸质文件的形式编制，按</w:t>
      </w:r>
      <w:r>
        <w:rPr>
          <w:rFonts w:hint="eastAsia" w:asciiTheme="minorEastAsia" w:hAnsiTheme="minorEastAsia" w:eastAsiaTheme="minorEastAsia" w:cstheme="minorEastAsia"/>
          <w:color w:val="auto"/>
          <w:sz w:val="24"/>
          <w:szCs w:val="32"/>
          <w:highlight w:val="none"/>
          <w:lang w:val="en-GB"/>
        </w:rPr>
        <w:t>资格证明文件、商务技术文件、报价文件</w:t>
      </w:r>
      <w:r>
        <w:rPr>
          <w:rFonts w:hint="eastAsia" w:asciiTheme="minorEastAsia" w:hAnsiTheme="minorEastAsia" w:eastAsiaTheme="minorEastAsia" w:cstheme="minorEastAsia"/>
          <w:color w:val="auto"/>
          <w:sz w:val="24"/>
          <w:szCs w:val="32"/>
          <w:highlight w:val="none"/>
        </w:rPr>
        <w:t>分别编制并单独装订成册，数量均为1份。</w:t>
      </w:r>
      <w:r>
        <w:rPr>
          <w:rFonts w:hint="eastAsia" w:asciiTheme="minorEastAsia" w:hAnsiTheme="minorEastAsia" w:eastAsiaTheme="minorEastAsia" w:cstheme="minorEastAsia"/>
          <w:color w:val="auto"/>
          <w:sz w:val="24"/>
          <w:szCs w:val="32"/>
          <w:highlight w:val="none"/>
          <w:lang w:val="en-GB"/>
        </w:rPr>
        <w:t>资格证明文件、商务技术文件、报价文件</w:t>
      </w:r>
      <w:r>
        <w:rPr>
          <w:rFonts w:hint="eastAsia" w:asciiTheme="minorEastAsia" w:hAnsiTheme="minorEastAsia" w:eastAsiaTheme="minorEastAsia" w:cstheme="minorEastAsia"/>
          <w:color w:val="auto"/>
          <w:sz w:val="24"/>
          <w:szCs w:val="32"/>
          <w:highlight w:val="none"/>
        </w:rPr>
        <w:t>须分别密封封装，</w:t>
      </w:r>
      <w:r>
        <w:rPr>
          <w:rFonts w:hint="eastAsia" w:asciiTheme="minorEastAsia" w:hAnsiTheme="minorEastAsia" w:eastAsiaTheme="minorEastAsia" w:cstheme="minorEastAsia"/>
          <w:color w:val="auto"/>
          <w:sz w:val="24"/>
          <w:szCs w:val="32"/>
          <w:highlight w:val="none"/>
          <w:lang w:val="en-GB"/>
        </w:rPr>
        <w:t>资格及商务技术文件</w:t>
      </w:r>
      <w:r>
        <w:rPr>
          <w:rFonts w:hint="eastAsia" w:asciiTheme="minorEastAsia" w:hAnsiTheme="minorEastAsia" w:eastAsiaTheme="minorEastAsia" w:cstheme="minorEastAsia"/>
          <w:color w:val="auto"/>
          <w:sz w:val="24"/>
          <w:szCs w:val="32"/>
          <w:highlight w:val="none"/>
        </w:rPr>
        <w:t>、报价文件未分别密封的投标文件将为无效。除报价文件外其余一律不准出现数字报价。如有不同标段，请按标段号分别装订，密封要求同上。</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Ⅰ电子投标文件</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2.温馨提醒：CA签章上目前没有法人或授权代表签字信息，需要投标人联系</w:t>
      </w:r>
      <w:r>
        <w:rPr>
          <w:rFonts w:hint="eastAsia" w:asciiTheme="minorEastAsia" w:hAnsiTheme="minorEastAsia" w:eastAsiaTheme="minorEastAsia" w:cstheme="minorEastAsia"/>
          <w:b/>
          <w:bCs/>
          <w:color w:val="auto"/>
          <w:sz w:val="24"/>
          <w:szCs w:val="32"/>
          <w:highlight w:val="none"/>
        </w:rPr>
        <w:t>浙江杭州汇信科技有限公司（400-8884636）</w:t>
      </w:r>
      <w:r>
        <w:rPr>
          <w:rFonts w:hint="eastAsia" w:asciiTheme="minorEastAsia" w:hAnsiTheme="minorEastAsia" w:eastAsiaTheme="minorEastAsia" w:cstheme="minorEastAsia"/>
          <w:color w:val="auto"/>
          <w:sz w:val="24"/>
          <w:szCs w:val="32"/>
          <w:highlight w:val="none"/>
        </w:rPr>
        <w:t>等相应公司进行办理，或在投标文件中涉及到签字的位置线下签好字然后扫描或者拍照做成PDF的格式亦可。</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w:t>
      </w:r>
      <w:r>
        <w:rPr>
          <w:rFonts w:hint="eastAsia" w:asciiTheme="minorEastAsia" w:hAnsiTheme="minorEastAsia" w:eastAsiaTheme="minorEastAsia" w:cstheme="minorEastAsia"/>
          <w:b/>
          <w:bCs/>
          <w:color w:val="auto"/>
          <w:sz w:val="24"/>
          <w:szCs w:val="32"/>
          <w:highlight w:val="none"/>
        </w:rPr>
        <w:t>以介质存储的数据电文形式的备份投标文件</w:t>
      </w:r>
      <w:r>
        <w:rPr>
          <w:rFonts w:hint="eastAsia" w:asciiTheme="minorEastAsia" w:hAnsiTheme="minorEastAsia" w:eastAsiaTheme="minorEastAsia" w:cstheme="minorEastAsia"/>
          <w:color w:val="auto"/>
          <w:sz w:val="24"/>
          <w:szCs w:val="32"/>
          <w:highlight w:val="none"/>
        </w:rPr>
        <w:t>，按政采云平台项目采购-电子招投标操作指南中上传的电子投标文件格式，以U盘形式提供。数量为1份。</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Ⅱ纸质备份投标文件</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1.所有纸质投标资料应按投标文件的组成所列内容及顺序装订成册，</w:t>
      </w:r>
      <w:r>
        <w:rPr>
          <w:rFonts w:hint="eastAsia" w:asciiTheme="minorEastAsia" w:hAnsiTheme="minorEastAsia" w:eastAsiaTheme="minorEastAsia" w:cstheme="minorEastAsia"/>
          <w:color w:val="auto"/>
          <w:sz w:val="24"/>
          <w:szCs w:val="32"/>
          <w:highlight w:val="none"/>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2.投标人应按</w:t>
      </w:r>
      <w:r>
        <w:rPr>
          <w:rFonts w:hint="eastAsia" w:asciiTheme="minorEastAsia" w:hAnsiTheme="minorEastAsia" w:eastAsiaTheme="minorEastAsia" w:cstheme="minorEastAsia"/>
          <w:color w:val="auto"/>
          <w:sz w:val="24"/>
          <w:szCs w:val="32"/>
          <w:highlight w:val="none"/>
          <w:lang w:val="en-GB"/>
        </w:rPr>
        <w:t>资格及商务技术文件</w:t>
      </w:r>
      <w:r>
        <w:rPr>
          <w:rFonts w:hint="eastAsia" w:asciiTheme="minorEastAsia" w:hAnsiTheme="minorEastAsia" w:eastAsiaTheme="minorEastAsia" w:cstheme="minorEastAsia"/>
          <w:color w:val="auto"/>
          <w:sz w:val="24"/>
          <w:szCs w:val="32"/>
          <w:highlight w:val="none"/>
        </w:rPr>
        <w:t>、报价文件分别编制并单独装订成册，活页装订的投标文件将被拒绝。投标文件需打印或用不褪色的墨水填写。</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3.投标人应按</w:t>
      </w:r>
      <w:r>
        <w:rPr>
          <w:rFonts w:hint="eastAsia" w:asciiTheme="minorEastAsia" w:hAnsiTheme="minorEastAsia" w:eastAsiaTheme="minorEastAsia" w:cstheme="minorEastAsia"/>
          <w:color w:val="auto"/>
          <w:sz w:val="24"/>
          <w:szCs w:val="32"/>
          <w:highlight w:val="none"/>
          <w:lang w:val="en-GB"/>
        </w:rPr>
        <w:t>资格证明文件、商务技术文件、报价文件</w:t>
      </w:r>
      <w:r>
        <w:rPr>
          <w:rFonts w:hint="eastAsia" w:asciiTheme="minorEastAsia" w:hAnsiTheme="minorEastAsia" w:eastAsiaTheme="minorEastAsia" w:cstheme="minorEastAsia"/>
          <w:color w:val="auto"/>
          <w:sz w:val="24"/>
          <w:szCs w:val="32"/>
          <w:highlight w:val="none"/>
        </w:rPr>
        <w:t>分别密封封装纸质备份投标文件。</w:t>
      </w:r>
      <w:r>
        <w:rPr>
          <w:rFonts w:hint="eastAsia" w:asciiTheme="minorEastAsia" w:hAnsiTheme="minorEastAsia" w:eastAsiaTheme="minorEastAsia" w:cstheme="minorEastAsia"/>
          <w:color w:val="auto"/>
          <w:sz w:val="24"/>
          <w:szCs w:val="32"/>
          <w:highlight w:val="none"/>
          <w:lang w:val="en-GB"/>
        </w:rPr>
        <w:t>资格及商务技术文件</w:t>
      </w:r>
      <w:r>
        <w:rPr>
          <w:rFonts w:hint="eastAsia" w:asciiTheme="minorEastAsia" w:hAnsiTheme="minorEastAsia" w:eastAsiaTheme="minorEastAsia" w:cstheme="minorEastAsia"/>
          <w:color w:val="auto"/>
          <w:sz w:val="24"/>
          <w:szCs w:val="32"/>
          <w:highlight w:val="none"/>
        </w:rPr>
        <w:t>、报价文件未分别密封的投标文件将为无效。请在密封袋的封口处应有投标单位公章或投标授权委托代理人签字。封皮上写明项目编号、标段、招标项目名称、投标人名称，并注明“投标文件名称（</w:t>
      </w:r>
      <w:r>
        <w:rPr>
          <w:rFonts w:hint="eastAsia" w:asciiTheme="minorEastAsia" w:hAnsiTheme="minorEastAsia" w:eastAsiaTheme="minorEastAsia" w:cstheme="minorEastAsia"/>
          <w:color w:val="auto"/>
          <w:sz w:val="24"/>
          <w:szCs w:val="32"/>
          <w:highlight w:val="none"/>
          <w:lang w:val="en-GB"/>
        </w:rPr>
        <w:t>资格及商务技术文件</w:t>
      </w:r>
      <w:r>
        <w:rPr>
          <w:rFonts w:hint="eastAsia" w:asciiTheme="minorEastAsia" w:hAnsiTheme="minorEastAsia" w:eastAsiaTheme="minorEastAsia" w:cstheme="minorEastAsia"/>
          <w:color w:val="auto"/>
          <w:sz w:val="24"/>
          <w:szCs w:val="32"/>
          <w:highlight w:val="none"/>
        </w:rPr>
        <w:t>和报价文件）”、“开标时启封”字样，未按上述要求密封及加写标记，采购组织机构对投标文件的误投和提前启封不负责任。</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4.项目如分标段，各标段投标文件必须分开编制，并按上述份数要求单独密封包装。</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w:t>
      </w:r>
      <w:r>
        <w:rPr>
          <w:rFonts w:hint="eastAsia" w:asciiTheme="minorEastAsia" w:hAnsiTheme="minorEastAsia" w:eastAsiaTheme="minorEastAsia" w:cstheme="minorEastAsia"/>
          <w:color w:val="auto"/>
          <w:sz w:val="24"/>
          <w:szCs w:val="32"/>
          <w:highlight w:val="none"/>
          <w:lang w:val="zh-CN"/>
        </w:rPr>
        <w:t>因密封不严、标记不明而造成失密、拒收、过早启封等情况，采购组织机构概不负责。</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2、投标文件的递交要求</w:t>
      </w:r>
    </w:p>
    <w:p>
      <w:pPr>
        <w:spacing w:line="360" w:lineRule="auto"/>
        <w:ind w:firstLine="480" w:firstLineChars="200"/>
        <w:rPr>
          <w:rFonts w:asciiTheme="minorEastAsia" w:hAnsiTheme="minorEastAsia" w:eastAsiaTheme="minorEastAsia" w:cstheme="minorEastAsia"/>
          <w:color w:val="auto"/>
          <w:sz w:val="24"/>
          <w:szCs w:val="32"/>
          <w:highlight w:val="none"/>
          <w:lang w:val="en-GB"/>
        </w:rPr>
      </w:pPr>
      <w:r>
        <w:rPr>
          <w:rFonts w:hint="eastAsia" w:asciiTheme="minorEastAsia" w:hAnsiTheme="minorEastAsia" w:eastAsiaTheme="minorEastAsia" w:cstheme="minorEastAsia"/>
          <w:color w:val="auto"/>
          <w:sz w:val="24"/>
          <w:szCs w:val="32"/>
          <w:highlight w:val="none"/>
          <w:lang w:val="en-GB"/>
        </w:rPr>
        <w:t>（</w:t>
      </w:r>
      <w:r>
        <w:rPr>
          <w:rFonts w:hint="eastAsia" w:asciiTheme="minorEastAsia" w:hAnsiTheme="minorEastAsia" w:eastAsiaTheme="minorEastAsia" w:cstheme="minorEastAsia"/>
          <w:color w:val="auto"/>
          <w:sz w:val="24"/>
          <w:szCs w:val="32"/>
          <w:highlight w:val="none"/>
        </w:rPr>
        <w:t>1</w:t>
      </w:r>
      <w:r>
        <w:rPr>
          <w:rFonts w:hint="eastAsia" w:asciiTheme="minorEastAsia" w:hAnsiTheme="minorEastAsia" w:eastAsiaTheme="minorEastAsia" w:cstheme="minorEastAsia"/>
          <w:color w:val="auto"/>
          <w:sz w:val="24"/>
          <w:szCs w:val="32"/>
          <w:highlight w:val="none"/>
          <w:lang w:val="en-GB"/>
        </w:rPr>
        <w:t>）“投标文件”的上传、递交：见《前附表》。▲未传输递交电子投标文件的，投标无效。</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（2）以介质存储的数据电文形式的备份投标文件和纸质备份投标文件必须在规定时间前送达或邮寄至</w:t>
      </w:r>
      <w:r>
        <w:rPr>
          <w:rFonts w:hint="eastAsia" w:asciiTheme="minorEastAsia" w:hAnsiTheme="minorEastAsia" w:eastAsiaTheme="minorEastAsia" w:cstheme="minorEastAsia"/>
          <w:color w:val="auto"/>
          <w:sz w:val="24"/>
          <w:highlight w:val="none"/>
          <w:lang w:val="en-GB"/>
        </w:rPr>
        <w:t>公告规定的</w:t>
      </w:r>
      <w:r>
        <w:rPr>
          <w:rFonts w:hint="eastAsia" w:asciiTheme="minorEastAsia" w:hAnsiTheme="minorEastAsia" w:eastAsiaTheme="minorEastAsia" w:cstheme="minorEastAsia"/>
          <w:color w:val="auto"/>
          <w:sz w:val="24"/>
          <w:szCs w:val="32"/>
          <w:highlight w:val="none"/>
        </w:rPr>
        <w:t>地点。备份投标文件在截止时间后提交，采购组织机构将拒绝接收。</w:t>
      </w:r>
      <w:r>
        <w:rPr>
          <w:rFonts w:hint="eastAsia" w:asciiTheme="minorEastAsia" w:hAnsiTheme="minorEastAsia" w:eastAsiaTheme="minorEastAsia" w:cstheme="minorEastAsia"/>
          <w:color w:val="auto"/>
          <w:sz w:val="24"/>
          <w:highlight w:val="none"/>
          <w:lang w:val="en-GB"/>
        </w:rPr>
        <w:t>▲未按规定提供相应的备份投标文件，造成项目开评标活动无法进行下去的，投标无效。</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（3）如有特殊情况，采购组织机构延长截止时间和开标时间，采购组织机构和投标人的权利和义务将受到新的截止时间和开标时间的约束。</w:t>
      </w:r>
    </w:p>
    <w:p>
      <w:pPr>
        <w:spacing w:line="360" w:lineRule="auto"/>
        <w:ind w:firstLine="480" w:firstLineChars="200"/>
        <w:rPr>
          <w:rFonts w:asciiTheme="minorEastAsia" w:hAnsiTheme="minorEastAsia" w:eastAsiaTheme="minorEastAsia" w:cstheme="minorEastAsia"/>
          <w:color w:val="auto"/>
          <w:sz w:val="24"/>
          <w:szCs w:val="32"/>
          <w:highlight w:val="none"/>
          <w:lang w:val="en-GB"/>
        </w:rPr>
      </w:pPr>
      <w:r>
        <w:rPr>
          <w:rFonts w:hint="eastAsia" w:asciiTheme="minorEastAsia" w:hAnsiTheme="minorEastAsia" w:eastAsiaTheme="minorEastAsia" w:cstheme="minorEastAsia"/>
          <w:color w:val="auto"/>
          <w:sz w:val="24"/>
          <w:szCs w:val="32"/>
          <w:highlight w:val="none"/>
          <w:lang w:val="en-GB"/>
        </w:rPr>
        <w:t>（</w:t>
      </w:r>
      <w:r>
        <w:rPr>
          <w:rFonts w:hint="eastAsia" w:asciiTheme="minorEastAsia" w:hAnsiTheme="minorEastAsia" w:eastAsiaTheme="minorEastAsia" w:cstheme="minorEastAsia"/>
          <w:color w:val="auto"/>
          <w:sz w:val="24"/>
          <w:szCs w:val="32"/>
          <w:highlight w:val="none"/>
        </w:rPr>
        <w:t>4</w:t>
      </w:r>
      <w:r>
        <w:rPr>
          <w:rFonts w:hint="eastAsia" w:asciiTheme="minorEastAsia" w:hAnsiTheme="minorEastAsia" w:eastAsiaTheme="minorEastAsia" w:cstheme="minorEastAsia"/>
          <w:color w:val="auto"/>
          <w:sz w:val="24"/>
          <w:szCs w:val="32"/>
          <w:highlight w:val="none"/>
          <w:lang w:val="en-GB"/>
        </w:rPr>
        <w:t>）投标文件的备选方案</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（三）投标文件的有效期</w:t>
      </w:r>
    </w:p>
    <w:p>
      <w:pPr>
        <w:spacing w:line="360" w:lineRule="auto"/>
        <w:ind w:firstLine="480" w:firstLineChars="200"/>
        <w:rPr>
          <w:rFonts w:asciiTheme="minorEastAsia" w:hAnsiTheme="minorEastAsia" w:eastAsiaTheme="minorEastAsia" w:cstheme="minorEastAsia"/>
          <w:color w:val="auto"/>
          <w:sz w:val="24"/>
          <w:szCs w:val="32"/>
          <w:highlight w:val="none"/>
          <w:lang w:val="en-GB"/>
        </w:rPr>
      </w:pPr>
      <w:r>
        <w:rPr>
          <w:rFonts w:hint="eastAsia" w:asciiTheme="minorEastAsia" w:hAnsiTheme="minorEastAsia" w:eastAsiaTheme="minorEastAsia" w:cstheme="minorEastAsia"/>
          <w:color w:val="auto"/>
          <w:sz w:val="24"/>
          <w:szCs w:val="32"/>
          <w:highlight w:val="none"/>
        </w:rPr>
        <w:t>1.</w:t>
      </w:r>
      <w:r>
        <w:rPr>
          <w:rFonts w:hint="eastAsia" w:asciiTheme="minorEastAsia" w:hAnsiTheme="minorEastAsia" w:eastAsiaTheme="minorEastAsia" w:cstheme="minorEastAsia"/>
          <w:color w:val="auto"/>
          <w:sz w:val="24"/>
          <w:szCs w:val="32"/>
          <w:highlight w:val="none"/>
          <w:lang w:val="en-GB"/>
        </w:rPr>
        <w:t>自投标截止日起90天投标文件应保持有效。有效期不足的投标文件将被拒绝。</w:t>
      </w:r>
    </w:p>
    <w:p>
      <w:pPr>
        <w:spacing w:line="360" w:lineRule="auto"/>
        <w:ind w:firstLine="480" w:firstLineChars="200"/>
        <w:rPr>
          <w:rFonts w:asciiTheme="minorEastAsia" w:hAnsiTheme="minorEastAsia" w:eastAsiaTheme="minorEastAsia" w:cstheme="minorEastAsia"/>
          <w:color w:val="auto"/>
          <w:sz w:val="24"/>
          <w:szCs w:val="32"/>
          <w:highlight w:val="none"/>
          <w:lang w:val="en-GB"/>
        </w:rPr>
      </w:pPr>
      <w:r>
        <w:rPr>
          <w:rFonts w:hint="eastAsia" w:asciiTheme="minorEastAsia" w:hAnsiTheme="minorEastAsia" w:eastAsiaTheme="minorEastAsia" w:cstheme="minorEastAsia"/>
          <w:color w:val="auto"/>
          <w:sz w:val="24"/>
          <w:szCs w:val="32"/>
          <w:highlight w:val="none"/>
        </w:rPr>
        <w:t>2.</w:t>
      </w:r>
      <w:r>
        <w:rPr>
          <w:rFonts w:hint="eastAsia" w:asciiTheme="minorEastAsia" w:hAnsiTheme="minorEastAsia" w:eastAsiaTheme="minorEastAsia" w:cstheme="minorEastAsia"/>
          <w:color w:val="auto"/>
          <w:sz w:val="24"/>
          <w:szCs w:val="32"/>
          <w:highlight w:val="none"/>
          <w:lang w:val="en-GB"/>
        </w:rPr>
        <w:t>在特殊情况下，采购人可与投标人协商延长投标文件的有效期，这种要求和答复均以书面形式进行。</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3.中标人的投标文件自开标之日起至合同履行完毕均应保持有效。</w:t>
      </w:r>
    </w:p>
    <w:p>
      <w:pPr>
        <w:spacing w:line="360" w:lineRule="auto"/>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b/>
          <w:color w:val="auto"/>
          <w:kern w:val="0"/>
          <w:sz w:val="24"/>
          <w:highlight w:val="none"/>
        </w:rPr>
        <w:t>四、</w:t>
      </w:r>
      <w:r>
        <w:rPr>
          <w:rFonts w:hint="eastAsia" w:asciiTheme="minorEastAsia" w:hAnsiTheme="minorEastAsia" w:eastAsiaTheme="minorEastAsia" w:cstheme="minorEastAsia"/>
          <w:b/>
          <w:bCs/>
          <w:color w:val="auto"/>
          <w:sz w:val="24"/>
          <w:szCs w:val="32"/>
          <w:highlight w:val="none"/>
        </w:rPr>
        <w:t>开标</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（一）开标事项</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（1）电子交易平台发生故障而无法登录访问的；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（2）电子交易平台应用或数据库出现错误，不能进行正常操作的；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（3）电子交易平台发现严重安全漏洞，有潜在泄密危险的；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（4）病毒发作导致不能进行正常操作的；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（5）其他无法保证电子交易的公平、公正和安全的情况。</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（二）开标程序：</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1、开标会由招标项目负责人主持，主持人宣布开标会议开始；</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2、主持人介绍参加开标会的人员名单；</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3、主持人宣布评标期间的有关事项，告知应当回避的情形,提请有关人员回避；对投标人进行签到验证。</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5、采购组织机构点击【开启标书信息】，开启标书成功后进入开标流程。</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6、</w:t>
      </w:r>
      <w:r>
        <w:rPr>
          <w:rFonts w:hint="eastAsia" w:asciiTheme="minorEastAsia" w:hAnsiTheme="minorEastAsia" w:eastAsiaTheme="minorEastAsia" w:cstheme="minorEastAsia"/>
          <w:color w:val="auto"/>
          <w:sz w:val="24"/>
          <w:szCs w:val="32"/>
          <w:highlight w:val="none"/>
          <w:lang w:val="en-GB"/>
        </w:rPr>
        <w:t>资格及商务技术文件</w:t>
      </w:r>
      <w:r>
        <w:rPr>
          <w:rFonts w:hint="eastAsia" w:asciiTheme="minorEastAsia" w:hAnsiTheme="minorEastAsia" w:eastAsiaTheme="minorEastAsia" w:cstheme="minorEastAsia"/>
          <w:color w:val="auto"/>
          <w:sz w:val="24"/>
          <w:szCs w:val="32"/>
          <w:highlight w:val="none"/>
        </w:rPr>
        <w:t>评审；</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7、由主持人公布无效投标的投标人名单、投标无效的原因及其他有效投标的评分汇总分；</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8、开启报价响应文件：采购代理机构成功开启报价响应文件后，方可查看各供应商报价情况。</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9、报价文件评审；</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10、由主持人公布无效投标的投标人名单、投标无效的原因及其他有效投标的报价文件得分；</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11、宣布综合得分结果及中标候选人名单；</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12、开标会议结束。</w:t>
      </w:r>
    </w:p>
    <w:p>
      <w:pPr>
        <w:spacing w:line="360" w:lineRule="auto"/>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五、评标</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（一）组建评标委员会</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评标委员会由采购人代表和评审专家组成，成员人数为5人以上单数，其中评审专家不得少于成员总数的三分之二。</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（二）评标程序</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1、资格审查</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2、符合性审查</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3、综合比较与评价</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（3）评标时，评标委员会各成员应当独立对每个投标人的投标文件进行评价，并汇总每个投标人的得分。</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4、得分确认及评审报告编写</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（1）评标委员会对报价文件进行复核，对于系统计算出的价格分及总得分进行确认；</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（3）评标委员会按评标原则及得分情况编写评审报告。</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5、评价</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采购组织机构对评标委员会评审专家进行评价。</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（三）澄清问题的形式</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（四）错误修正</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投标文件报价出现前后不一致的，除招标文件另有规定外，按照下列规定修正：</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1、投标文件中开标一览表（报价表）内容与投标文件中相应内容不一致的，以开标一览表（报价表）为准；</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2、大写金额和小写金额不一致的，以大写金额为准；</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3、单价金额小数点或者百分比有明显错位的，以开标一览表的总价为准，并修改单价；</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4、总价金额与按单价汇总金额不一致的，以单价金额计算结果为准。</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（五）投标人存在下列情况之一的，投标无效：</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w:t>
      </w:r>
      <w:r>
        <w:rPr>
          <w:rFonts w:hint="eastAsia" w:asciiTheme="minorEastAsia" w:hAnsiTheme="minorEastAsia" w:eastAsiaTheme="minorEastAsia" w:cstheme="minorEastAsia"/>
          <w:color w:val="auto"/>
          <w:sz w:val="24"/>
          <w:szCs w:val="32"/>
          <w:highlight w:val="none"/>
          <w:lang w:val="en-GB"/>
        </w:rPr>
        <w:t>资格及商务技术文件</w:t>
      </w:r>
      <w:r>
        <w:rPr>
          <w:rFonts w:hint="eastAsia" w:asciiTheme="minorEastAsia" w:hAnsiTheme="minorEastAsia" w:eastAsiaTheme="minorEastAsia" w:cstheme="minorEastAsia"/>
          <w:color w:val="auto"/>
          <w:sz w:val="24"/>
          <w:szCs w:val="32"/>
          <w:highlight w:val="none"/>
        </w:rPr>
        <w:t>跟报价文件出现混装或在</w:t>
      </w:r>
      <w:r>
        <w:rPr>
          <w:rFonts w:hint="eastAsia" w:asciiTheme="minorEastAsia" w:hAnsiTheme="minorEastAsia" w:eastAsiaTheme="minorEastAsia" w:cstheme="minorEastAsia"/>
          <w:color w:val="auto"/>
          <w:sz w:val="24"/>
          <w:szCs w:val="32"/>
          <w:highlight w:val="none"/>
          <w:lang w:val="en-GB"/>
        </w:rPr>
        <w:t>资格及商务技术文件</w:t>
      </w:r>
      <w:r>
        <w:rPr>
          <w:rFonts w:hint="eastAsia" w:asciiTheme="minorEastAsia" w:hAnsiTheme="minorEastAsia" w:eastAsiaTheme="minorEastAsia" w:cstheme="minorEastAsia"/>
          <w:color w:val="auto"/>
          <w:sz w:val="24"/>
          <w:szCs w:val="32"/>
          <w:highlight w:val="none"/>
        </w:rPr>
        <w:t>中出现投标报价的，或者报价文件中报价的货物跟</w:t>
      </w:r>
      <w:r>
        <w:rPr>
          <w:rFonts w:hint="eastAsia" w:asciiTheme="minorEastAsia" w:hAnsiTheme="minorEastAsia" w:eastAsiaTheme="minorEastAsia" w:cstheme="minorEastAsia"/>
          <w:color w:val="auto"/>
          <w:sz w:val="24"/>
          <w:szCs w:val="32"/>
          <w:highlight w:val="none"/>
          <w:lang w:val="en-GB"/>
        </w:rPr>
        <w:t>资格及商务技术文件</w:t>
      </w:r>
      <w:r>
        <w:rPr>
          <w:rFonts w:hint="eastAsia" w:asciiTheme="minorEastAsia" w:hAnsiTheme="minorEastAsia" w:eastAsiaTheme="minorEastAsia" w:cstheme="minorEastAsia"/>
          <w:color w:val="auto"/>
          <w:sz w:val="24"/>
          <w:szCs w:val="32"/>
          <w:highlight w:val="none"/>
        </w:rPr>
        <w:t>中的投标货物出现重大偏差的；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3、不具备招标文件中规定的资格要求的。</w:t>
      </w:r>
      <w:r>
        <w:rPr>
          <w:rFonts w:hint="eastAsia" w:asciiTheme="minorEastAsia" w:hAnsiTheme="minorEastAsia" w:eastAsiaTheme="minorEastAsia" w:cstheme="minorEastAsia"/>
          <w:color w:val="auto"/>
          <w:sz w:val="24"/>
          <w:szCs w:val="32"/>
          <w:highlight w:val="none"/>
        </w:rPr>
        <w:tab/>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4、投标文件含有采购人不能接受的附加条件的。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5、授权委托代理人未能出具身份证明或与法定代表人授权委托人身份不符的；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7、报价超过招标文件中规定的预算金额/最高限价。</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8、投标参数未如实填写。</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9、投标文件提供虚假材料的。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10、投标人的电子投标文件无法按时解密的。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11、不符合中华人民共和国财政部令第87号《政府采购货物和服务招标投标管理办法》第三十七条情形之一的，视为投标人串通投标，其投标无效，并移送采购监管部门：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（1）不同投标人的投标文件由同一单位或者个人编制；不同投标人的投标文件,由同一台电脑编制；</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（2）不同投标人委托同一单位或者个人办理投标事宜；</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（3）不同投标人的投标文件载明的项目管理成员或者联系人员为同一人；</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（4）不同投标人的投标文件异常一致或者投标报价呈规律性差异；</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（5）不同投标人的投标文件相互混装。</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12、不符合法律、法规和招标文件中规定的其他实质性要求的（招标文件</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中打“▲”内容及被拒绝的条款）。</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13、未传输递交电子投标文件的或者未按规定提供相应的备份投标文件，造成项目开评标活动无法进行下去的。</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（六）有下列情况之一的，本次招标作为废标处理</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1、出现影响采购公正的违法、违规行为的；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2、评标委员会发现招标文件存在歧义、重大缺陷导致评标工作无法进行，或者招标文件内容违反国家有关强制性规定的；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3、因重大变故，采购任务取消的；</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4、法律、法规和招标文件规定的其他导致评标结果无效的。</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（七）评标原则和评标办法</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2、评标办法。具体评标内容及评分标准等详见《第三章：评标方法及评分标准》。</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（八）评标过程的监控</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六、定标</w:t>
      </w:r>
    </w:p>
    <w:p>
      <w:pPr>
        <w:pStyle w:val="3"/>
        <w:spacing w:line="360" w:lineRule="auto"/>
        <w:ind w:firstLine="480" w:firstLineChars="200"/>
        <w:rPr>
          <w:rFonts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Cs w:val="32"/>
          <w:highlight w:val="none"/>
        </w:rPr>
        <w:t>1、确定中标供应商，评标小组根据招标文件规定的评分法和评标标准，对各投标商的投标文件进行系统的评审和比较，经专家评审汇总后，按投标商的最终报价由低到高排出，并推荐最终得分排名第一的投标商为本次招标项目的预中标单位。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3、发出中标通知书。采购组织机构在发布中标结果的同时，向中标人发出中标通知书。</w:t>
      </w:r>
    </w:p>
    <w:p>
      <w:pPr>
        <w:pStyle w:val="24"/>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ascii="宋体" w:hAnsi="宋体" w:cs="宋体"/>
          <w:color w:val="auto"/>
          <w:sz w:val="24"/>
          <w:szCs w:val="32"/>
          <w:highlight w:val="none"/>
        </w:rPr>
      </w:pPr>
      <w:r>
        <w:rPr>
          <w:rFonts w:hint="eastAsia" w:asciiTheme="minorEastAsia" w:hAnsiTheme="minorEastAsia" w:eastAsiaTheme="minorEastAsia" w:cstheme="minorEastAsia"/>
          <w:color w:val="auto"/>
          <w:sz w:val="24"/>
          <w:szCs w:val="32"/>
          <w:highlight w:val="none"/>
        </w:rPr>
        <w:t>5、</w:t>
      </w:r>
      <w:r>
        <w:rPr>
          <w:rFonts w:hint="eastAsia" w:ascii="宋体" w:hAnsi="宋体" w:cs="宋体"/>
          <w:color w:val="auto"/>
          <w:sz w:val="24"/>
          <w:szCs w:val="32"/>
          <w:highlight w:val="none"/>
        </w:rPr>
        <w:t>招标代理费用：按照下列表格标准向中标单位收取招标代理费，中标方须在中标通知书发出5日内一次性付清。（户名：浙江五石中正工程咨询有限公司；账号：1202003209900014176；开户银行：中国工商银行杭州市潮王路支行）财务电话：0571-88271625。</w:t>
      </w:r>
    </w:p>
    <w:tbl>
      <w:tblPr>
        <w:tblStyle w:val="28"/>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9"/>
        <w:gridCol w:w="1695"/>
        <w:gridCol w:w="1440"/>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89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6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4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143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89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6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1.50%</w:t>
            </w:r>
          </w:p>
        </w:tc>
        <w:tc>
          <w:tcPr>
            <w:tcW w:w="14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1.50%</w:t>
            </w:r>
          </w:p>
        </w:tc>
        <w:tc>
          <w:tcPr>
            <w:tcW w:w="143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89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100-500</w:t>
            </w:r>
          </w:p>
        </w:tc>
        <w:tc>
          <w:tcPr>
            <w:tcW w:w="16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1.10%</w:t>
            </w:r>
          </w:p>
        </w:tc>
        <w:tc>
          <w:tcPr>
            <w:tcW w:w="14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0.80%</w:t>
            </w:r>
          </w:p>
        </w:tc>
        <w:tc>
          <w:tcPr>
            <w:tcW w:w="143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89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6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0.80%</w:t>
            </w:r>
          </w:p>
        </w:tc>
        <w:tc>
          <w:tcPr>
            <w:tcW w:w="14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0.45%</w:t>
            </w:r>
          </w:p>
        </w:tc>
        <w:tc>
          <w:tcPr>
            <w:tcW w:w="143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9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6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0.50%</w:t>
            </w:r>
          </w:p>
        </w:tc>
        <w:tc>
          <w:tcPr>
            <w:tcW w:w="14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0.25%</w:t>
            </w:r>
          </w:p>
        </w:tc>
        <w:tc>
          <w:tcPr>
            <w:tcW w:w="143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9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16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0.25%</w:t>
            </w:r>
          </w:p>
        </w:tc>
        <w:tc>
          <w:tcPr>
            <w:tcW w:w="14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0.10%</w:t>
            </w:r>
          </w:p>
        </w:tc>
        <w:tc>
          <w:tcPr>
            <w:tcW w:w="143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389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10000-100000</w:t>
            </w:r>
          </w:p>
        </w:tc>
        <w:tc>
          <w:tcPr>
            <w:tcW w:w="16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0.05%</w:t>
            </w:r>
          </w:p>
        </w:tc>
        <w:tc>
          <w:tcPr>
            <w:tcW w:w="14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0.05%</w:t>
            </w:r>
          </w:p>
        </w:tc>
        <w:tc>
          <w:tcPr>
            <w:tcW w:w="143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9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100000以上</w:t>
            </w:r>
          </w:p>
        </w:tc>
        <w:tc>
          <w:tcPr>
            <w:tcW w:w="16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0.01%</w:t>
            </w:r>
          </w:p>
        </w:tc>
        <w:tc>
          <w:tcPr>
            <w:tcW w:w="14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0.01%</w:t>
            </w:r>
          </w:p>
        </w:tc>
        <w:tc>
          <w:tcPr>
            <w:tcW w:w="143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0.01%</w:t>
            </w:r>
          </w:p>
        </w:tc>
      </w:tr>
    </w:tbl>
    <w:p>
      <w:pPr>
        <w:spacing w:line="360" w:lineRule="auto"/>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七、合同签订及公告</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（一）签订合同</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1、采购人应当自中标通知书发出之日起10个工作日内，按照招标文件和中标人投标文件的规定，与中标人签订书面合同。所签订的合同不得对招标文件确定的事项和中标人投标文件作实质性修改。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2、采购人不得向中标人提出任何不合理的要求作为签订合同的条件。</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3、中标供应商无故拖延、拒签合同的,取消中标资格。</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（二）合同公告及备案</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1、采购人应当自政府采购合同签订之日起2个工作日内，在省级以上财政部门指定的政府采购信息发布媒体及相关网站上公告。</w:t>
      </w:r>
    </w:p>
    <w:p>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2、采购人应当自政府采购合同签订之日起7个工作日内，将政府采购合同副本报同级人民政府财政部门备案以及采购组织机构存档。</w:t>
      </w: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p>
    <w:p>
      <w:pPr>
        <w:pStyle w:val="27"/>
        <w:rPr>
          <w:rFonts w:asciiTheme="minorEastAsia" w:hAnsiTheme="minorEastAsia" w:eastAsiaTheme="minorEastAsia" w:cstheme="minorEastAsia"/>
          <w:b/>
          <w:bCs/>
          <w:color w:val="auto"/>
          <w:sz w:val="36"/>
          <w:szCs w:val="44"/>
          <w:highlight w:val="none"/>
        </w:rPr>
      </w:pPr>
    </w:p>
    <w:p>
      <w:pPr>
        <w:pStyle w:val="27"/>
        <w:rPr>
          <w:rFonts w:asciiTheme="minorEastAsia" w:hAnsiTheme="minorEastAsia" w:eastAsiaTheme="minorEastAsia" w:cstheme="minorEastAsia"/>
          <w:b/>
          <w:bCs/>
          <w:color w:val="auto"/>
          <w:sz w:val="36"/>
          <w:szCs w:val="44"/>
          <w:highlight w:val="none"/>
        </w:rPr>
      </w:pPr>
    </w:p>
    <w:p>
      <w:pPr>
        <w:pStyle w:val="27"/>
        <w:rPr>
          <w:rFonts w:asciiTheme="minorEastAsia" w:hAnsiTheme="minorEastAsia" w:eastAsiaTheme="minorEastAsia" w:cstheme="minorEastAsia"/>
          <w:b/>
          <w:bCs/>
          <w:color w:val="auto"/>
          <w:sz w:val="36"/>
          <w:szCs w:val="44"/>
          <w:highlight w:val="none"/>
        </w:rPr>
      </w:pPr>
    </w:p>
    <w:p>
      <w:pPr>
        <w:pStyle w:val="27"/>
        <w:rPr>
          <w:rFonts w:asciiTheme="minorEastAsia" w:hAnsiTheme="minorEastAsia" w:eastAsiaTheme="minorEastAsia" w:cstheme="minorEastAsia"/>
          <w:b/>
          <w:bCs/>
          <w:color w:val="auto"/>
          <w:sz w:val="36"/>
          <w:szCs w:val="44"/>
          <w:highlight w:val="none"/>
        </w:rPr>
      </w:pPr>
    </w:p>
    <w:p>
      <w:pPr>
        <w:pStyle w:val="27"/>
        <w:rPr>
          <w:rFonts w:asciiTheme="minorEastAsia" w:hAnsiTheme="minorEastAsia" w:eastAsiaTheme="minorEastAsia" w:cstheme="minorEastAsia"/>
          <w:b/>
          <w:bCs/>
          <w:color w:val="auto"/>
          <w:sz w:val="36"/>
          <w:szCs w:val="44"/>
          <w:highlight w:val="none"/>
        </w:rPr>
      </w:pPr>
    </w:p>
    <w:p>
      <w:pPr>
        <w:pStyle w:val="27"/>
        <w:rPr>
          <w:rFonts w:asciiTheme="minorEastAsia" w:hAnsiTheme="minorEastAsia" w:eastAsiaTheme="minorEastAsia" w:cstheme="minorEastAsia"/>
          <w:b/>
          <w:bCs/>
          <w:color w:val="auto"/>
          <w:sz w:val="36"/>
          <w:szCs w:val="44"/>
          <w:highlight w:val="none"/>
        </w:rPr>
      </w:pPr>
    </w:p>
    <w:p>
      <w:pPr>
        <w:pStyle w:val="27"/>
        <w:rPr>
          <w:rFonts w:asciiTheme="minorEastAsia" w:hAnsiTheme="minorEastAsia" w:eastAsiaTheme="minorEastAsia" w:cstheme="minorEastAsia"/>
          <w:b/>
          <w:bCs/>
          <w:color w:val="auto"/>
          <w:sz w:val="36"/>
          <w:szCs w:val="44"/>
          <w:highlight w:val="none"/>
        </w:rPr>
      </w:pPr>
    </w:p>
    <w:p>
      <w:pPr>
        <w:pStyle w:val="27"/>
        <w:rPr>
          <w:rFonts w:asciiTheme="minorEastAsia" w:hAnsiTheme="minorEastAsia" w:eastAsiaTheme="minorEastAsia" w:cstheme="minorEastAsia"/>
          <w:b/>
          <w:bCs/>
          <w:color w:val="auto"/>
          <w:sz w:val="36"/>
          <w:szCs w:val="44"/>
          <w:highlight w:val="none"/>
        </w:rPr>
      </w:pPr>
    </w:p>
    <w:p>
      <w:pPr>
        <w:pStyle w:val="27"/>
        <w:rPr>
          <w:rFonts w:asciiTheme="minorEastAsia" w:hAnsiTheme="minorEastAsia" w:eastAsiaTheme="minorEastAsia" w:cstheme="minorEastAsia"/>
          <w:b/>
          <w:bCs/>
          <w:color w:val="auto"/>
          <w:sz w:val="36"/>
          <w:szCs w:val="44"/>
          <w:highlight w:val="none"/>
        </w:rPr>
      </w:pPr>
    </w:p>
    <w:p>
      <w:pPr>
        <w:rPr>
          <w:rFonts w:asciiTheme="minorEastAsia" w:hAnsiTheme="minorEastAsia" w:eastAsiaTheme="minorEastAsia" w:cstheme="minorEastAsia"/>
          <w:b/>
          <w:bCs/>
          <w:color w:val="auto"/>
          <w:sz w:val="36"/>
          <w:szCs w:val="44"/>
          <w:highlight w:val="none"/>
        </w:rPr>
      </w:pPr>
    </w:p>
    <w:p>
      <w:pPr>
        <w:pStyle w:val="2"/>
        <w:rPr>
          <w:rFonts w:asciiTheme="minorEastAsia" w:hAnsiTheme="minorEastAsia" w:eastAsiaTheme="minorEastAsia" w:cstheme="minorEastAsia"/>
          <w:b/>
          <w:bCs/>
          <w:color w:val="auto"/>
          <w:sz w:val="36"/>
          <w:szCs w:val="44"/>
          <w:highlight w:val="none"/>
        </w:rPr>
      </w:pPr>
    </w:p>
    <w:p>
      <w:pPr>
        <w:rPr>
          <w:rFonts w:asciiTheme="minorEastAsia" w:hAnsiTheme="minorEastAsia" w:eastAsiaTheme="minorEastAsia" w:cstheme="minorEastAsia"/>
          <w:b/>
          <w:bCs/>
          <w:color w:val="auto"/>
          <w:sz w:val="36"/>
          <w:szCs w:val="44"/>
          <w:highlight w:val="none"/>
        </w:rPr>
      </w:pPr>
    </w:p>
    <w:p>
      <w:pPr>
        <w:pStyle w:val="2"/>
      </w:pPr>
    </w:p>
    <w:p>
      <w:pPr>
        <w:pStyle w:val="27"/>
        <w:ind w:left="0" w:leftChars="0" w:firstLine="0"/>
        <w:rPr>
          <w:rFonts w:asciiTheme="minorEastAsia" w:hAnsiTheme="minorEastAsia" w:eastAsiaTheme="minorEastAsia" w:cstheme="minorEastAsia"/>
          <w:b/>
          <w:bCs/>
          <w:color w:val="auto"/>
          <w:sz w:val="36"/>
          <w:szCs w:val="44"/>
          <w:highlight w:val="none"/>
        </w:rPr>
      </w:pP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r>
        <w:rPr>
          <w:rFonts w:hint="eastAsia" w:asciiTheme="minorEastAsia" w:hAnsiTheme="minorEastAsia" w:eastAsiaTheme="minorEastAsia" w:cstheme="minorEastAsia"/>
          <w:b/>
          <w:bCs/>
          <w:color w:val="auto"/>
          <w:sz w:val="36"/>
          <w:szCs w:val="44"/>
          <w:highlight w:val="none"/>
        </w:rPr>
        <w:t>第三章评标办法及评分标准</w:t>
      </w:r>
    </w:p>
    <w:p>
      <w:pPr>
        <w:spacing w:line="360" w:lineRule="auto"/>
        <w:ind w:firstLine="480" w:firstLineChars="200"/>
        <w:textAlignment w:val="baseline"/>
        <w:rPr>
          <w:rStyle w:val="91"/>
          <w:rFonts w:hint="eastAsia" w:ascii="宋体" w:hAnsi="宋体" w:cs="宋体"/>
          <w:color w:val="auto"/>
          <w:sz w:val="24"/>
          <w:highlight w:val="none"/>
        </w:rPr>
      </w:pPr>
      <w:r>
        <w:rPr>
          <w:rStyle w:val="91"/>
          <w:rFonts w:hint="eastAsia" w:ascii="宋体" w:hAnsi="宋体" w:cs="宋体"/>
          <w:color w:val="auto"/>
          <w:sz w:val="24"/>
          <w:highlight w:val="none"/>
        </w:rPr>
        <w:t>一、采购组织机构将组织评标委员会，对投标人提供的投标文件进行综合评审。本项目原则上采用电子评审方法，若因政采云平台原因无法读取或电子开评标无法正常进行，采购代理机构将开启所有投标人递交的纸质备份投标文件，以完成开、评标，电子投标文件及以介质（U盘）存储的数据电文形式的备份投标文件自动失效。</w:t>
      </w:r>
    </w:p>
    <w:p>
      <w:pPr>
        <w:spacing w:line="360" w:lineRule="auto"/>
        <w:ind w:firstLine="480" w:firstLineChars="200"/>
        <w:textAlignment w:val="baseline"/>
        <w:rPr>
          <w:rStyle w:val="91"/>
          <w:rFonts w:hint="eastAsia" w:ascii="宋体" w:hAnsi="宋体" w:cs="宋体"/>
          <w:color w:val="auto"/>
          <w:sz w:val="24"/>
          <w:szCs w:val="32"/>
          <w:highlight w:val="none"/>
        </w:rPr>
      </w:pPr>
      <w:r>
        <w:rPr>
          <w:rStyle w:val="91"/>
          <w:rFonts w:hint="eastAsia" w:ascii="宋体" w:hAnsi="宋体" w:cs="宋体"/>
          <w:color w:val="auto"/>
          <w:sz w:val="24"/>
          <w:szCs w:val="32"/>
          <w:highlight w:val="none"/>
        </w:rPr>
        <w:t>二、本次招标项目的评标方法为综合评分法，总计100分。</w:t>
      </w:r>
    </w:p>
    <w:p>
      <w:pPr>
        <w:spacing w:line="360" w:lineRule="auto"/>
        <w:ind w:firstLine="480" w:firstLineChars="200"/>
        <w:textAlignment w:val="baseline"/>
        <w:rPr>
          <w:rStyle w:val="91"/>
          <w:rFonts w:hint="eastAsia" w:ascii="宋体" w:hAnsi="宋体" w:cs="宋体"/>
          <w:color w:val="auto"/>
          <w:sz w:val="24"/>
          <w:szCs w:val="32"/>
          <w:highlight w:val="none"/>
          <w:lang w:val="zh-CN"/>
        </w:rPr>
      </w:pPr>
      <w:r>
        <w:rPr>
          <w:rStyle w:val="91"/>
          <w:rFonts w:hint="eastAsia" w:ascii="宋体" w:hAnsi="宋体" w:cs="宋体"/>
          <w:color w:val="auto"/>
          <w:sz w:val="24"/>
          <w:szCs w:val="32"/>
          <w:highlight w:val="none"/>
          <w:lang w:val="zh-CN"/>
        </w:rPr>
        <w:t>（一）商务与技术文件中的客观分由评标委员会讨论后统一打分；其余在规定的分值内单独评定打分。</w:t>
      </w:r>
    </w:p>
    <w:p>
      <w:pPr>
        <w:spacing w:line="360" w:lineRule="auto"/>
        <w:ind w:firstLine="480" w:firstLineChars="200"/>
        <w:textAlignment w:val="baseline"/>
        <w:rPr>
          <w:rStyle w:val="91"/>
          <w:rFonts w:hint="eastAsia" w:ascii="宋体" w:hAnsi="宋体" w:cs="宋体"/>
          <w:color w:val="auto"/>
          <w:sz w:val="24"/>
          <w:szCs w:val="32"/>
          <w:highlight w:val="none"/>
          <w:lang w:val="zh-CN"/>
        </w:rPr>
      </w:pPr>
      <w:r>
        <w:rPr>
          <w:rStyle w:val="91"/>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pPr>
        <w:spacing w:line="360" w:lineRule="auto"/>
        <w:ind w:firstLine="480" w:firstLineChars="200"/>
        <w:textAlignment w:val="baseline"/>
        <w:rPr>
          <w:rStyle w:val="91"/>
          <w:rFonts w:hint="eastAsia" w:ascii="宋体" w:hAnsi="宋体" w:cs="宋体"/>
          <w:color w:val="auto"/>
          <w:sz w:val="24"/>
          <w:szCs w:val="32"/>
          <w:highlight w:val="none"/>
          <w:lang w:val="zh-CN"/>
        </w:rPr>
      </w:pPr>
      <w:r>
        <w:rPr>
          <w:rStyle w:val="91"/>
          <w:rFonts w:hint="eastAsia" w:ascii="宋体" w:hAnsi="宋体" w:cs="宋体"/>
          <w:color w:val="auto"/>
          <w:sz w:val="24"/>
          <w:szCs w:val="32"/>
          <w:highlight w:val="none"/>
        </w:rPr>
        <w:t>商务与技术文件得分</w:t>
      </w:r>
      <w:r>
        <w:rPr>
          <w:rStyle w:val="91"/>
          <w:rFonts w:hint="eastAsia" w:ascii="宋体" w:hAnsi="宋体" w:cs="宋体"/>
          <w:color w:val="auto"/>
          <w:sz w:val="24"/>
          <w:szCs w:val="32"/>
          <w:highlight w:val="none"/>
          <w:lang w:val="zh-CN"/>
        </w:rPr>
        <w:t>=评标委员会所有成员评分合计数/评标委员会组成人员数。</w:t>
      </w:r>
    </w:p>
    <w:p>
      <w:pPr>
        <w:spacing w:line="360" w:lineRule="auto"/>
        <w:ind w:firstLine="480" w:firstLineChars="200"/>
        <w:textAlignment w:val="baseline"/>
        <w:rPr>
          <w:rStyle w:val="91"/>
          <w:rFonts w:hint="eastAsia" w:ascii="宋体" w:hAnsi="宋体" w:cs="宋体"/>
          <w:color w:val="auto"/>
          <w:sz w:val="24"/>
          <w:szCs w:val="32"/>
          <w:highlight w:val="none"/>
          <w:lang w:val="zh-CN"/>
        </w:rPr>
      </w:pPr>
      <w:r>
        <w:rPr>
          <w:rStyle w:val="91"/>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pPr>
        <w:spacing w:line="360" w:lineRule="auto"/>
        <w:ind w:firstLine="480" w:firstLineChars="200"/>
        <w:textAlignment w:val="baseline"/>
        <w:rPr>
          <w:rStyle w:val="91"/>
          <w:rFonts w:hint="eastAsia" w:ascii="宋体" w:hAnsi="宋体" w:cs="宋体"/>
          <w:color w:val="auto"/>
          <w:sz w:val="24"/>
          <w:szCs w:val="32"/>
          <w:highlight w:val="none"/>
          <w:u w:val="single" w:color="000000"/>
        </w:rPr>
      </w:pPr>
      <w:r>
        <w:rPr>
          <w:rStyle w:val="91"/>
          <w:rFonts w:hint="eastAsia" w:ascii="宋体" w:hAnsi="宋体" w:cs="宋体"/>
          <w:color w:val="auto"/>
          <w:sz w:val="24"/>
          <w:szCs w:val="32"/>
          <w:highlight w:val="none"/>
          <w:u w:val="single" w:color="000000"/>
        </w:rPr>
        <w:t>投标报价得分=（投标报价／评标基准价）×30%×100 。</w:t>
      </w:r>
    </w:p>
    <w:p>
      <w:pPr>
        <w:spacing w:line="360" w:lineRule="auto"/>
        <w:ind w:firstLine="480" w:firstLineChars="200"/>
        <w:textAlignment w:val="baseline"/>
        <w:rPr>
          <w:rStyle w:val="91"/>
          <w:rFonts w:hint="eastAsia" w:ascii="宋体" w:hAnsi="宋体" w:cs="宋体"/>
          <w:color w:val="auto"/>
          <w:sz w:val="24"/>
          <w:szCs w:val="32"/>
          <w:highlight w:val="none"/>
          <w:lang w:val="zh-CN"/>
        </w:rPr>
      </w:pPr>
      <w:r>
        <w:rPr>
          <w:rStyle w:val="91"/>
          <w:rFonts w:hint="eastAsia" w:ascii="宋体" w:hAnsi="宋体" w:cs="宋体"/>
          <w:color w:val="auto"/>
          <w:sz w:val="24"/>
          <w:szCs w:val="32"/>
          <w:highlight w:val="none"/>
          <w:lang w:val="zh-CN"/>
        </w:rPr>
        <w:t>（四）投标人综合得分＝资格证明文件、商务技术文件得分＋投标报价得分。</w:t>
      </w:r>
    </w:p>
    <w:p>
      <w:pPr>
        <w:spacing w:line="360" w:lineRule="auto"/>
        <w:ind w:firstLine="480" w:firstLineChars="200"/>
        <w:textAlignment w:val="baseline"/>
        <w:rPr>
          <w:rStyle w:val="91"/>
          <w:rFonts w:hint="eastAsia" w:ascii="宋体" w:hAnsi="宋体" w:cs="宋体"/>
          <w:color w:val="auto"/>
          <w:sz w:val="24"/>
          <w:szCs w:val="32"/>
          <w:highlight w:val="none"/>
          <w:lang w:val="zh-CN"/>
        </w:rPr>
      </w:pPr>
      <w:r>
        <w:rPr>
          <w:rStyle w:val="91"/>
          <w:rFonts w:hint="eastAsia" w:ascii="宋体" w:hAnsi="宋体" w:cs="宋体"/>
          <w:color w:val="auto"/>
          <w:sz w:val="24"/>
          <w:szCs w:val="32"/>
          <w:highlight w:val="none"/>
          <w:lang w:val="zh-CN"/>
        </w:rPr>
        <w:t>（五）政府采购政策及优惠：</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）根据浙江省财政厅发布的《浙江省财政厅关于进一步加大政府采购支持中小企业力度</w:t>
      </w:r>
      <w:r>
        <w:rPr>
          <w:rFonts w:hint="eastAsia" w:ascii="宋体" w:hAnsi="宋体" w:cs="宋体"/>
          <w:color w:val="auto"/>
          <w:sz w:val="24"/>
          <w:szCs w:val="32"/>
          <w:highlight w:val="none"/>
        </w:rPr>
        <w:t xml:space="preserve"> 助力扎实稳住经济</w:t>
      </w:r>
      <w:r>
        <w:rPr>
          <w:rFonts w:hint="eastAsia" w:ascii="宋体" w:hAnsi="宋体" w:cs="宋体"/>
          <w:color w:val="auto"/>
          <w:sz w:val="24"/>
          <w:szCs w:val="32"/>
          <w:highlight w:val="none"/>
          <w:lang w:val="zh-CN"/>
        </w:rPr>
        <w:t>的通知》【浙财采监〔2022〕</w:t>
      </w:r>
      <w:r>
        <w:rPr>
          <w:rFonts w:hint="eastAsia" w:ascii="宋体" w:hAnsi="宋体" w:cs="宋体"/>
          <w:color w:val="auto"/>
          <w:sz w:val="24"/>
          <w:szCs w:val="32"/>
          <w:highlight w:val="none"/>
        </w:rPr>
        <w:t>8</w:t>
      </w:r>
      <w:r>
        <w:rPr>
          <w:rFonts w:hint="eastAsia" w:ascii="宋体" w:hAnsi="宋体" w:cs="宋体"/>
          <w:color w:val="auto"/>
          <w:sz w:val="24"/>
          <w:szCs w:val="32"/>
          <w:highlight w:val="none"/>
          <w:lang w:val="zh-CN"/>
        </w:rPr>
        <w:t>号】规定，落实财政部、工业和信息化部发布的《政府采购促进中小企业发展管理办法》【财库（2020）46号】和《财政部关于进一步加大政府采购支持中小企业力度的通知》【财库（</w:t>
      </w:r>
      <w:r>
        <w:rPr>
          <w:rFonts w:hint="eastAsia" w:ascii="宋体" w:hAnsi="宋体" w:cs="宋体"/>
          <w:color w:val="auto"/>
          <w:sz w:val="24"/>
          <w:szCs w:val="32"/>
          <w:highlight w:val="none"/>
        </w:rPr>
        <w:t>2022</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19号</w:t>
      </w:r>
      <w:r>
        <w:rPr>
          <w:rFonts w:hint="eastAsia" w:ascii="宋体" w:hAnsi="宋体" w:cs="宋体"/>
          <w:color w:val="auto"/>
          <w:sz w:val="24"/>
          <w:szCs w:val="32"/>
          <w:highlight w:val="none"/>
          <w:lang w:val="zh-CN"/>
        </w:rPr>
        <w:t>】有关规定，货物和服务项目中未预留份额专门面向中小企业采购的，以及预留份额项目中的非预留部分采购包，采购单位、采购代理机构应当对符合规定的小微企业报价给予</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0%的扣除，用扣除后的价格参加评审。</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的扣除，用扣除后的价格参加评审。</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投标文件中须同时出具《政府采购促进中小企业发展管理办法》【财库（2020）46号】规定的《中小企业声明函》，否则不得享受价格扣除。</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本项目对符合规定的小微企业（含小型企业）报价给予</w:t>
      </w:r>
      <w:r>
        <w:rPr>
          <w:rFonts w:hint="eastAsia" w:ascii="宋体" w:hAnsi="宋体" w:cs="宋体"/>
          <w:color w:val="auto"/>
          <w:sz w:val="24"/>
          <w:szCs w:val="32"/>
          <w:highlight w:val="none"/>
        </w:rPr>
        <w:t>20</w:t>
      </w:r>
      <w:r>
        <w:rPr>
          <w:rFonts w:hint="eastAsia" w:ascii="宋体" w:hAnsi="宋体" w:cs="宋体"/>
          <w:color w:val="auto"/>
          <w:sz w:val="24"/>
          <w:szCs w:val="32"/>
          <w:highlight w:val="none"/>
          <w:lang w:val="zh-CN"/>
        </w:rPr>
        <w:t>%的扣除。</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对符合规定的联合体或者大中型企业的报价给予</w:t>
      </w: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%的扣除。</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（2）根据《关于政府采购支持监狱企业发展有关问题的通知》（财库[2014]68号）的规定，供应商如为监狱企业且所投产品为小型或微型企业生产的，其投标报价扣除</w:t>
      </w:r>
      <w:r>
        <w:rPr>
          <w:rFonts w:hint="eastAsia" w:ascii="宋体" w:hAnsi="宋体" w:cs="宋体"/>
          <w:color w:val="auto"/>
          <w:kern w:val="0"/>
          <w:sz w:val="24"/>
          <w:highlight w:val="none"/>
        </w:rPr>
        <w:t>20</w:t>
      </w:r>
      <w:r>
        <w:rPr>
          <w:rFonts w:hint="eastAsia" w:ascii="宋体" w:hAnsi="宋体" w:cs="宋体"/>
          <w:color w:val="auto"/>
          <w:kern w:val="0"/>
          <w:sz w:val="24"/>
          <w:highlight w:val="none"/>
          <w:lang w:val="zh-CN"/>
        </w:rPr>
        <w:t>%后参与评审。</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投标文件中须同时提供：供应商的省级以上监狱管理局、戒毒管理局（含新疆生产建设兵团）出具的属于监狱企业的证明文件，未提供完整证明材料的，投标报价不予扣减。</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享受政府采购支持政策的残疾人福利性单位应当同时满足以下条件：</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①安置的残疾人占本单位在职职工人数的比例不低于25%（含25%），并且安置的残疾人人数不少于10人（含10人）；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②依法与安置的每位残疾人签订了一年以上（含一年）的劳动合同或服务协议；</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③为安置的每位残疾人按月足额缴纳了基本养老保险、基本医疗保险、失业保险、工伤保险和生育保险等社会保险费；</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④通过银行等金融机构向安置的每位残疾人，按月支付了不低于单位所在区县适用的经省级人民政府批准的月最低工资标准的工资；</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⑤提供本单位制造的货物、承担的工程或者服务（以下简称产品），或者提供其他残疾人福利性单位制造的货物（不包括使用非残疾人福利性单位注册商标的货物）。</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注：得分以系统计算为准，保留2位小数。</w:t>
      </w:r>
    </w:p>
    <w:p>
      <w:pPr>
        <w:spacing w:line="360" w:lineRule="auto"/>
        <w:ind w:firstLine="480" w:firstLineChars="200"/>
        <w:textAlignment w:val="baseline"/>
        <w:rPr>
          <w:rStyle w:val="91"/>
          <w:rFonts w:hint="eastAsia" w:ascii="宋体" w:hAnsi="宋体" w:cs="宋体"/>
          <w:color w:val="auto"/>
          <w:sz w:val="24"/>
          <w:szCs w:val="32"/>
          <w:highlight w:val="none"/>
          <w:lang w:val="zh-CN"/>
        </w:rPr>
      </w:pPr>
      <w:r>
        <w:rPr>
          <w:rStyle w:val="91"/>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textAlignment w:val="baseline"/>
        <w:rPr>
          <w:rStyle w:val="91"/>
          <w:rFonts w:hint="eastAsia" w:ascii="宋体" w:hAnsi="宋体" w:cs="宋体"/>
          <w:color w:val="auto"/>
          <w:sz w:val="24"/>
          <w:szCs w:val="32"/>
          <w:highlight w:val="none"/>
          <w:lang w:val="zh-CN"/>
        </w:rPr>
      </w:pPr>
      <w:r>
        <w:rPr>
          <w:rStyle w:val="91"/>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textAlignment w:val="baseline"/>
        <w:rPr>
          <w:rStyle w:val="91"/>
          <w:rFonts w:hint="eastAsia" w:ascii="宋体" w:hAnsi="宋体" w:cs="宋体"/>
          <w:color w:val="auto"/>
          <w:sz w:val="24"/>
          <w:szCs w:val="32"/>
          <w:highlight w:val="none"/>
          <w:lang w:val="zh-CN"/>
        </w:rPr>
      </w:pPr>
      <w:r>
        <w:rPr>
          <w:rStyle w:val="91"/>
          <w:rFonts w:hint="eastAsia" w:ascii="宋体" w:hAnsi="宋体" w:cs="宋体"/>
          <w:color w:val="auto"/>
          <w:sz w:val="24"/>
          <w:szCs w:val="32"/>
          <w:highlight w:val="none"/>
          <w:lang w:val="zh-CN"/>
        </w:rPr>
        <w:t>五、提供相同品牌产品的不同投标人参加同一合同项下投标的，按一家供应商认定：</w:t>
      </w:r>
    </w:p>
    <w:p>
      <w:pPr>
        <w:spacing w:line="360" w:lineRule="auto"/>
        <w:ind w:firstLine="480" w:firstLineChars="200"/>
        <w:textAlignment w:val="baseline"/>
        <w:rPr>
          <w:rStyle w:val="91"/>
          <w:rFonts w:hint="eastAsia" w:ascii="宋体" w:hAnsi="宋体" w:cs="宋体"/>
          <w:color w:val="auto"/>
          <w:sz w:val="24"/>
          <w:szCs w:val="32"/>
          <w:highlight w:val="none"/>
          <w:lang w:val="zh-CN"/>
        </w:rPr>
      </w:pPr>
      <w:r>
        <w:rPr>
          <w:rStyle w:val="91"/>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textAlignment w:val="baseline"/>
        <w:rPr>
          <w:rStyle w:val="91"/>
          <w:rFonts w:hint="eastAsia" w:ascii="宋体" w:hAnsi="宋体" w:cs="宋体"/>
          <w:color w:val="auto"/>
          <w:sz w:val="24"/>
          <w:szCs w:val="32"/>
          <w:highlight w:val="none"/>
          <w:lang w:val="zh-CN"/>
        </w:rPr>
      </w:pPr>
      <w:r>
        <w:rPr>
          <w:rStyle w:val="91"/>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asciiTheme="minorEastAsia" w:hAnsiTheme="minorEastAsia" w:eastAsiaTheme="minorEastAsia" w:cstheme="minorEastAsia"/>
          <w:color w:val="auto"/>
          <w:sz w:val="24"/>
          <w:szCs w:val="32"/>
          <w:highlight w:val="none"/>
          <w:lang w:val="zh-CN"/>
        </w:rPr>
      </w:pPr>
      <w:r>
        <w:rPr>
          <w:rFonts w:hint="eastAsia" w:asciiTheme="minorEastAsia" w:hAnsiTheme="minorEastAsia" w:eastAsiaTheme="minorEastAsia" w:cstheme="minorEastAsia"/>
          <w:color w:val="auto"/>
          <w:sz w:val="24"/>
          <w:szCs w:val="32"/>
          <w:highlight w:val="none"/>
          <w:lang w:val="zh-CN"/>
        </w:rPr>
        <w:t>六、本次评分具体分值细化条款如下表：</w:t>
      </w:r>
    </w:p>
    <w:tbl>
      <w:tblPr>
        <w:tblStyle w:val="28"/>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6460"/>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53" w:type="dxa"/>
            <w:tcBorders>
              <w:top w:val="single" w:color="auto" w:sz="4" w:space="0"/>
              <w:left w:val="single" w:color="auto" w:sz="4" w:space="0"/>
              <w:bottom w:val="single" w:color="auto" w:sz="4" w:space="0"/>
              <w:right w:val="single" w:color="auto" w:sz="4" w:space="0"/>
            </w:tcBorders>
            <w:shd w:val="clear" w:color="auto" w:fill="B3B3B3"/>
            <w:vAlign w:val="center"/>
          </w:tcPr>
          <w:p>
            <w:pPr>
              <w:jc w:val="center"/>
              <w:rPr>
                <w:rFonts w:ascii="宋体" w:hAnsi="宋体"/>
                <w:b/>
                <w:color w:val="auto"/>
                <w:sz w:val="24"/>
                <w:highlight w:val="none"/>
              </w:rPr>
            </w:pPr>
            <w:bookmarkStart w:id="0" w:name="_Hlk98254790"/>
            <w:r>
              <w:rPr>
                <w:rFonts w:hint="eastAsia" w:ascii="宋体" w:hAnsi="宋体"/>
                <w:b/>
                <w:color w:val="auto"/>
                <w:sz w:val="24"/>
                <w:highlight w:val="none"/>
              </w:rPr>
              <w:t>评标内容</w:t>
            </w:r>
          </w:p>
        </w:tc>
        <w:tc>
          <w:tcPr>
            <w:tcW w:w="6460" w:type="dxa"/>
            <w:tcBorders>
              <w:top w:val="single" w:color="auto" w:sz="4" w:space="0"/>
              <w:left w:val="single" w:color="auto" w:sz="4" w:space="0"/>
              <w:bottom w:val="single" w:color="auto" w:sz="4" w:space="0"/>
              <w:right w:val="single" w:color="auto" w:sz="4" w:space="0"/>
            </w:tcBorders>
            <w:shd w:val="clear" w:color="auto" w:fill="B3B3B3"/>
            <w:vAlign w:val="center"/>
          </w:tcPr>
          <w:p>
            <w:pPr>
              <w:jc w:val="center"/>
              <w:rPr>
                <w:rFonts w:ascii="宋体" w:hAnsi="宋体"/>
                <w:b/>
                <w:color w:val="auto"/>
                <w:sz w:val="24"/>
                <w:highlight w:val="none"/>
              </w:rPr>
            </w:pPr>
            <w:r>
              <w:rPr>
                <w:rFonts w:hint="eastAsia" w:ascii="宋体" w:hAnsi="宋体"/>
                <w:b/>
                <w:color w:val="auto"/>
                <w:sz w:val="24"/>
                <w:highlight w:val="none"/>
              </w:rPr>
              <w:t>细则内容</w:t>
            </w:r>
          </w:p>
        </w:tc>
        <w:tc>
          <w:tcPr>
            <w:tcW w:w="1052" w:type="dxa"/>
            <w:tcBorders>
              <w:top w:val="single" w:color="auto" w:sz="4" w:space="0"/>
              <w:left w:val="single" w:color="auto" w:sz="4" w:space="0"/>
              <w:bottom w:val="single" w:color="auto" w:sz="4" w:space="0"/>
              <w:right w:val="single" w:color="auto" w:sz="4" w:space="0"/>
            </w:tcBorders>
            <w:shd w:val="clear" w:color="auto" w:fill="B3B3B3"/>
            <w:vAlign w:val="center"/>
          </w:tcPr>
          <w:p>
            <w:pPr>
              <w:jc w:val="center"/>
              <w:rPr>
                <w:rFonts w:ascii="宋体" w:hAnsi="宋体"/>
                <w:b/>
                <w:color w:val="auto"/>
                <w:sz w:val="24"/>
                <w:highlight w:val="none"/>
              </w:rPr>
            </w:pPr>
            <w:r>
              <w:rPr>
                <w:rFonts w:hint="eastAsia" w:ascii="宋体" w:hAnsi="宋体"/>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53" w:type="dxa"/>
            <w:vMerge w:val="restart"/>
            <w:tcBorders>
              <w:top w:val="single" w:color="auto" w:sz="4" w:space="0"/>
              <w:left w:val="single" w:color="auto" w:sz="4" w:space="0"/>
              <w:right w:val="single" w:color="auto" w:sz="4" w:space="0"/>
            </w:tcBorders>
            <w:vAlign w:val="center"/>
          </w:tcPr>
          <w:p>
            <w:pPr>
              <w:rPr>
                <w:rFonts w:ascii="宋体" w:hAnsi="宋体" w:cs="仿宋_GB2312"/>
                <w:color w:val="auto"/>
                <w:sz w:val="24"/>
                <w:highlight w:val="none"/>
              </w:rPr>
            </w:pPr>
            <w:bookmarkStart w:id="1" w:name="OLE_LINK16"/>
            <w:r>
              <w:rPr>
                <w:rFonts w:hint="eastAsia" w:ascii="宋体" w:hAnsi="宋体" w:cs="仿宋_GB2312"/>
                <w:color w:val="auto"/>
                <w:sz w:val="24"/>
                <w:highlight w:val="none"/>
              </w:rPr>
              <w:t>技术性能52分</w:t>
            </w:r>
            <w:bookmarkEnd w:id="1"/>
          </w:p>
        </w:tc>
        <w:tc>
          <w:tcPr>
            <w:tcW w:w="646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color w:val="auto"/>
                <w:sz w:val="24"/>
                <w:highlight w:val="none"/>
              </w:rPr>
            </w:pPr>
            <w:r>
              <w:rPr>
                <w:rFonts w:hint="eastAsia" w:ascii="宋体" w:hAnsi="宋体" w:cs="仿宋_GB2312"/>
                <w:color w:val="auto"/>
                <w:sz w:val="24"/>
                <w:highlight w:val="none"/>
              </w:rPr>
              <w:t>投标</w:t>
            </w:r>
            <w:r>
              <w:rPr>
                <w:rFonts w:ascii="宋体" w:hAnsi="宋体" w:cs="仿宋_GB2312"/>
                <w:color w:val="auto"/>
                <w:sz w:val="24"/>
                <w:highlight w:val="none"/>
              </w:rPr>
              <w:t>供应商</w:t>
            </w:r>
            <w:r>
              <w:rPr>
                <w:rFonts w:hint="eastAsia" w:ascii="宋体" w:hAnsi="宋体" w:cs="仿宋_GB2312"/>
                <w:color w:val="auto"/>
                <w:sz w:val="24"/>
                <w:highlight w:val="none"/>
              </w:rPr>
              <w:t>技术方案整体设计符合等级</w:t>
            </w:r>
            <w:r>
              <w:rPr>
                <w:rFonts w:ascii="宋体" w:hAnsi="宋体" w:cs="仿宋_GB2312"/>
                <w:color w:val="auto"/>
                <w:sz w:val="24"/>
                <w:highlight w:val="none"/>
              </w:rPr>
              <w:t>保护</w:t>
            </w:r>
            <w:r>
              <w:rPr>
                <w:rFonts w:hint="eastAsia" w:ascii="宋体" w:hAnsi="宋体" w:cs="仿宋_GB2312"/>
                <w:color w:val="auto"/>
                <w:sz w:val="24"/>
                <w:highlight w:val="none"/>
              </w:rPr>
              <w:t>要求，内容全面，技术切实可行，对客户现场网络熟悉程度，既符合国产化替代项目的要求，又满足等级保护系统要求，</w:t>
            </w:r>
            <w:r>
              <w:rPr>
                <w:rFonts w:hint="eastAsia" w:ascii="宋体" w:hAnsi="宋体" w:cs="宋体"/>
                <w:color w:val="auto"/>
                <w:sz w:val="24"/>
                <w:highlight w:val="none"/>
              </w:rPr>
              <w:t>由评委在分值范围内打分。（0-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0-</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53" w:type="dxa"/>
            <w:vMerge w:val="continue"/>
            <w:tcBorders>
              <w:left w:val="single" w:color="auto" w:sz="4" w:space="0"/>
              <w:right w:val="single" w:color="auto" w:sz="4" w:space="0"/>
            </w:tcBorders>
            <w:vAlign w:val="center"/>
          </w:tcPr>
          <w:p>
            <w:pPr>
              <w:rPr>
                <w:rFonts w:ascii="宋体" w:hAnsi="宋体" w:cs="仿宋_GB2312"/>
                <w:color w:val="auto"/>
                <w:sz w:val="24"/>
                <w:highlight w:val="none"/>
              </w:rPr>
            </w:pPr>
            <w:bookmarkStart w:id="2" w:name="OLE_LINK17" w:colFirst="1" w:colLast="1"/>
          </w:p>
        </w:tc>
        <w:tc>
          <w:tcPr>
            <w:tcW w:w="646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color w:val="auto"/>
                <w:sz w:val="24"/>
                <w:highlight w:val="none"/>
              </w:rPr>
            </w:pPr>
            <w:r>
              <w:rPr>
                <w:rFonts w:hint="eastAsia" w:ascii="宋体" w:hAnsi="宋体" w:cs="仿宋_GB2312"/>
                <w:color w:val="auto"/>
                <w:sz w:val="24"/>
                <w:highlight w:val="none"/>
              </w:rPr>
              <w:t>投标产品参数偏离情况。所有参数满足招标要求得基本分</w:t>
            </w:r>
            <w:r>
              <w:rPr>
                <w:rFonts w:ascii="宋体" w:hAnsi="宋体" w:cs="仿宋_GB2312"/>
                <w:color w:val="auto"/>
                <w:sz w:val="24"/>
                <w:highlight w:val="none"/>
              </w:rPr>
              <w:t>1</w:t>
            </w:r>
            <w:r>
              <w:rPr>
                <w:rFonts w:hint="eastAsia" w:ascii="宋体" w:hAnsi="宋体" w:cs="仿宋_GB2312"/>
                <w:color w:val="auto"/>
                <w:sz w:val="24"/>
                <w:highlight w:val="none"/>
              </w:rPr>
              <w:t>8分，负偏离一项扣1分。有实质正偏离每项加</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分，最多加</w:t>
            </w:r>
            <w:r>
              <w:rPr>
                <w:rFonts w:hint="eastAsia" w:ascii="宋体" w:hAnsi="宋体" w:cs="仿宋_GB2312"/>
                <w:color w:val="auto"/>
                <w:sz w:val="24"/>
                <w:highlight w:val="none"/>
                <w:lang w:val="en-US" w:eastAsia="zh-CN"/>
              </w:rPr>
              <w:t>8</w:t>
            </w:r>
            <w:r>
              <w:rPr>
                <w:rFonts w:hint="eastAsia" w:ascii="宋体" w:hAnsi="宋体" w:cs="仿宋_GB2312"/>
                <w:color w:val="auto"/>
                <w:sz w:val="24"/>
                <w:highlight w:val="none"/>
              </w:rPr>
              <w:t>分</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0-2</w:t>
            </w:r>
            <w:r>
              <w:rPr>
                <w:rFonts w:hint="eastAsia" w:ascii="宋体" w:hAnsi="宋体" w:cs="仿宋_GB2312"/>
                <w:color w:val="auto"/>
                <w:sz w:val="24"/>
                <w:highlight w:val="none"/>
                <w:lang w:val="en-US" w:eastAsia="zh-CN"/>
              </w:rPr>
              <w:t>6</w:t>
            </w:r>
            <w:r>
              <w:rPr>
                <w:rFonts w:hint="eastAsia" w:ascii="宋体" w:hAnsi="宋体" w:cs="仿宋_GB2312"/>
                <w:color w:val="auto"/>
                <w:sz w:val="24"/>
                <w:highlight w:val="none"/>
              </w:rPr>
              <w:t>分</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53" w:type="dxa"/>
            <w:vMerge w:val="continue"/>
            <w:tcBorders>
              <w:left w:val="single" w:color="auto" w:sz="4" w:space="0"/>
              <w:right w:val="single" w:color="auto" w:sz="4" w:space="0"/>
            </w:tcBorders>
            <w:vAlign w:val="center"/>
          </w:tcPr>
          <w:p>
            <w:pPr>
              <w:rPr>
                <w:rFonts w:ascii="宋体" w:hAnsi="宋体" w:cs="仿宋_GB2312"/>
                <w:color w:val="auto"/>
                <w:sz w:val="24"/>
                <w:highlight w:val="none"/>
              </w:rPr>
            </w:pPr>
            <w:bookmarkStart w:id="3" w:name="OLE_LINK18" w:colFirst="1" w:colLast="1"/>
          </w:p>
        </w:tc>
        <w:tc>
          <w:tcPr>
            <w:tcW w:w="646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color w:val="auto"/>
                <w:sz w:val="24"/>
                <w:highlight w:val="none"/>
              </w:rPr>
            </w:pPr>
            <w:r>
              <w:rPr>
                <w:rFonts w:hint="eastAsia" w:ascii="宋体" w:hAnsi="宋体" w:cs="仿宋_GB2312"/>
                <w:color w:val="auto"/>
                <w:sz w:val="24"/>
                <w:highlight w:val="none"/>
              </w:rPr>
              <w:t>对本项目的施工组织方案1分。</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53" w:type="dxa"/>
            <w:vMerge w:val="continue"/>
            <w:tcBorders>
              <w:left w:val="single" w:color="auto" w:sz="4" w:space="0"/>
              <w:right w:val="single" w:color="auto" w:sz="4" w:space="0"/>
            </w:tcBorders>
            <w:vAlign w:val="center"/>
          </w:tcPr>
          <w:p>
            <w:pPr>
              <w:rPr>
                <w:rFonts w:ascii="宋体" w:hAnsi="宋体" w:cs="仿宋_GB2312"/>
                <w:color w:val="auto"/>
                <w:sz w:val="24"/>
                <w:highlight w:val="none"/>
              </w:rPr>
            </w:pPr>
            <w:bookmarkStart w:id="4" w:name="OLE_LINK19" w:colFirst="1" w:colLast="1"/>
          </w:p>
        </w:tc>
        <w:tc>
          <w:tcPr>
            <w:tcW w:w="646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color w:val="auto"/>
                <w:sz w:val="24"/>
                <w:highlight w:val="none"/>
              </w:rPr>
            </w:pPr>
            <w:r>
              <w:rPr>
                <w:rFonts w:hint="eastAsia" w:ascii="宋体" w:hAnsi="宋体" w:cs="仿宋_GB2312"/>
                <w:color w:val="auto"/>
                <w:sz w:val="24"/>
                <w:highlight w:val="none"/>
              </w:rPr>
              <w:t>对项目的供货保障1分。</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53" w:type="dxa"/>
            <w:vMerge w:val="continue"/>
            <w:tcBorders>
              <w:left w:val="single" w:color="auto" w:sz="4" w:space="0"/>
              <w:right w:val="single" w:color="auto" w:sz="4" w:space="0"/>
            </w:tcBorders>
            <w:vAlign w:val="center"/>
          </w:tcPr>
          <w:p>
            <w:pPr>
              <w:rPr>
                <w:rFonts w:ascii="宋体" w:hAnsi="宋体" w:cs="仿宋_GB2312"/>
                <w:color w:val="auto"/>
                <w:sz w:val="24"/>
                <w:highlight w:val="none"/>
              </w:rPr>
            </w:pPr>
          </w:p>
        </w:tc>
        <w:tc>
          <w:tcPr>
            <w:tcW w:w="646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color w:val="auto"/>
                <w:sz w:val="24"/>
                <w:highlight w:val="none"/>
              </w:rPr>
            </w:pPr>
            <w:r>
              <w:rPr>
                <w:rFonts w:hint="eastAsia" w:ascii="宋体" w:hAnsi="宋体" w:cs="仿宋_GB2312"/>
                <w:color w:val="auto"/>
                <w:sz w:val="24"/>
                <w:highlight w:val="none"/>
              </w:rPr>
              <w:t>软硬件适配调试保障1分。</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53" w:type="dxa"/>
            <w:vMerge w:val="continue"/>
            <w:tcBorders>
              <w:left w:val="single" w:color="auto" w:sz="4" w:space="0"/>
              <w:right w:val="single" w:color="auto" w:sz="4" w:space="0"/>
            </w:tcBorders>
            <w:vAlign w:val="center"/>
          </w:tcPr>
          <w:p>
            <w:pPr>
              <w:rPr>
                <w:rFonts w:ascii="宋体" w:hAnsi="宋体" w:cs="仿宋_GB2312"/>
                <w:color w:val="auto"/>
                <w:sz w:val="24"/>
                <w:highlight w:val="none"/>
              </w:rPr>
            </w:pPr>
          </w:p>
        </w:tc>
        <w:tc>
          <w:tcPr>
            <w:tcW w:w="646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color w:val="auto"/>
                <w:sz w:val="24"/>
                <w:highlight w:val="none"/>
              </w:rPr>
            </w:pPr>
            <w:r>
              <w:rPr>
                <w:rFonts w:hint="eastAsia" w:ascii="宋体" w:hAnsi="宋体" w:cs="仿宋_GB2312"/>
                <w:color w:val="auto"/>
                <w:sz w:val="24"/>
                <w:highlight w:val="none"/>
              </w:rPr>
              <w:t>安装调试工期安排1分。</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53" w:type="dxa"/>
            <w:vMerge w:val="continue"/>
            <w:tcBorders>
              <w:left w:val="single" w:color="auto" w:sz="4" w:space="0"/>
              <w:right w:val="single" w:color="auto" w:sz="4" w:space="0"/>
            </w:tcBorders>
            <w:vAlign w:val="center"/>
          </w:tcPr>
          <w:p>
            <w:pPr>
              <w:rPr>
                <w:rFonts w:ascii="宋体" w:hAnsi="宋体" w:cs="仿宋_GB2312"/>
                <w:color w:val="auto"/>
                <w:sz w:val="24"/>
                <w:highlight w:val="none"/>
              </w:rPr>
            </w:pPr>
          </w:p>
        </w:tc>
        <w:tc>
          <w:tcPr>
            <w:tcW w:w="646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color w:val="auto"/>
                <w:sz w:val="24"/>
                <w:highlight w:val="none"/>
              </w:rPr>
            </w:pPr>
            <w:r>
              <w:rPr>
                <w:rFonts w:hint="eastAsia" w:ascii="宋体" w:hAnsi="宋体" w:cs="仿宋_GB2312"/>
                <w:color w:val="auto"/>
                <w:sz w:val="24"/>
                <w:highlight w:val="none"/>
              </w:rPr>
              <w:t>质量保障措施1分。</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0-1分</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53" w:type="dxa"/>
            <w:vMerge w:val="continue"/>
            <w:tcBorders>
              <w:left w:val="single" w:color="auto" w:sz="4" w:space="0"/>
              <w:right w:val="single" w:color="auto" w:sz="4" w:space="0"/>
            </w:tcBorders>
            <w:vAlign w:val="center"/>
          </w:tcPr>
          <w:p>
            <w:pPr>
              <w:rPr>
                <w:rFonts w:ascii="宋体" w:hAnsi="宋体" w:cs="仿宋_GB2312"/>
                <w:color w:val="auto"/>
                <w:sz w:val="24"/>
                <w:highlight w:val="none"/>
              </w:rPr>
            </w:pPr>
          </w:p>
        </w:tc>
        <w:tc>
          <w:tcPr>
            <w:tcW w:w="646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color w:val="auto"/>
                <w:sz w:val="24"/>
                <w:highlight w:val="none"/>
              </w:rPr>
            </w:pPr>
            <w:r>
              <w:rPr>
                <w:rFonts w:hint="eastAsia" w:ascii="宋体" w:hAnsi="宋体" w:cs="仿宋_GB2312"/>
                <w:color w:val="auto"/>
                <w:sz w:val="24"/>
                <w:highlight w:val="none"/>
              </w:rPr>
              <w:t>项目实施过程中的相关保密工作方案、保密管控措施。</w:t>
            </w:r>
            <w:r>
              <w:rPr>
                <w:rFonts w:hint="eastAsia" w:ascii="宋体" w:hAnsi="宋体" w:cs="宋体"/>
                <w:color w:val="auto"/>
                <w:sz w:val="24"/>
                <w:highlight w:val="none"/>
              </w:rPr>
              <w:t>由评委在分值范围内打分。</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0-5分</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53" w:type="dxa"/>
            <w:vMerge w:val="continue"/>
            <w:tcBorders>
              <w:left w:val="single" w:color="auto" w:sz="4" w:space="0"/>
              <w:right w:val="single" w:color="auto" w:sz="4" w:space="0"/>
            </w:tcBorders>
            <w:vAlign w:val="center"/>
          </w:tcPr>
          <w:p>
            <w:pPr>
              <w:rPr>
                <w:rFonts w:ascii="宋体" w:hAnsi="宋体" w:cs="仿宋_GB2312"/>
                <w:color w:val="auto"/>
                <w:sz w:val="24"/>
                <w:highlight w:val="none"/>
              </w:rPr>
            </w:pPr>
            <w:bookmarkStart w:id="5" w:name="OLE_LINK29" w:colFirst="2" w:colLast="2"/>
          </w:p>
        </w:tc>
        <w:tc>
          <w:tcPr>
            <w:tcW w:w="6460" w:type="dxa"/>
            <w:tcBorders>
              <w:top w:val="single" w:color="auto" w:sz="4" w:space="0"/>
              <w:left w:val="single" w:color="auto" w:sz="4" w:space="0"/>
              <w:right w:val="single" w:color="auto" w:sz="4" w:space="0"/>
            </w:tcBorders>
            <w:vAlign w:val="center"/>
          </w:tcPr>
          <w:p>
            <w:pPr>
              <w:rPr>
                <w:rFonts w:ascii="宋体" w:hAnsi="宋体" w:cs="仿宋_GB2312"/>
                <w:color w:val="auto"/>
                <w:sz w:val="24"/>
                <w:highlight w:val="none"/>
              </w:rPr>
            </w:pPr>
            <w:r>
              <w:rPr>
                <w:rFonts w:hint="eastAsia" w:ascii="宋体" w:hAnsi="宋体" w:cs="仿宋_GB2312"/>
                <w:color w:val="auto"/>
                <w:sz w:val="24"/>
                <w:highlight w:val="none"/>
              </w:rPr>
              <w:t>根据对等保测评工作的理解、测评标准要求掌握情况、测评准备、配置联调、保障措施打分。</w:t>
            </w:r>
            <w:r>
              <w:rPr>
                <w:rFonts w:hint="eastAsia" w:ascii="宋体" w:hAnsi="宋体" w:cs="宋体"/>
                <w:color w:val="auto"/>
                <w:sz w:val="24"/>
                <w:highlight w:val="none"/>
              </w:rPr>
              <w:t>由评委在分值范围内打分。</w:t>
            </w:r>
          </w:p>
        </w:tc>
        <w:tc>
          <w:tcPr>
            <w:tcW w:w="1052" w:type="dxa"/>
            <w:tcBorders>
              <w:top w:val="single" w:color="auto" w:sz="4" w:space="0"/>
              <w:left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53" w:type="dxa"/>
            <w:vMerge w:val="continue"/>
            <w:tcBorders>
              <w:left w:val="single" w:color="auto" w:sz="4" w:space="0"/>
              <w:bottom w:val="single" w:color="auto" w:sz="4" w:space="0"/>
              <w:right w:val="single" w:color="auto" w:sz="4" w:space="0"/>
            </w:tcBorders>
            <w:vAlign w:val="center"/>
          </w:tcPr>
          <w:p>
            <w:pPr>
              <w:rPr>
                <w:rFonts w:ascii="宋体" w:hAnsi="宋体" w:cs="仿宋_GB2312"/>
                <w:color w:val="auto"/>
                <w:sz w:val="24"/>
                <w:highlight w:val="none"/>
              </w:rPr>
            </w:pPr>
          </w:p>
        </w:tc>
        <w:tc>
          <w:tcPr>
            <w:tcW w:w="6460" w:type="dxa"/>
            <w:tcBorders>
              <w:top w:val="single" w:color="auto" w:sz="4" w:space="0"/>
              <w:left w:val="single" w:color="auto" w:sz="4" w:space="0"/>
              <w:right w:val="single" w:color="auto" w:sz="4" w:space="0"/>
            </w:tcBorders>
            <w:vAlign w:val="center"/>
          </w:tcPr>
          <w:p>
            <w:pPr>
              <w:rPr>
                <w:rFonts w:ascii="宋体" w:hAnsi="宋体" w:cs="仿宋_GB2312"/>
                <w:color w:val="auto"/>
                <w:sz w:val="24"/>
                <w:highlight w:val="none"/>
              </w:rPr>
            </w:pPr>
            <w:r>
              <w:rPr>
                <w:rFonts w:hint="eastAsia" w:ascii="宋体" w:hAnsi="宋体" w:cs="仿宋_GB2312"/>
                <w:color w:val="auto"/>
                <w:sz w:val="24"/>
                <w:highlight w:val="none"/>
              </w:rPr>
              <w:t>项目人员配置要求：投标供应商项目团队人员配置情况，项目组人员的素质、技术能力、历史从业项目实施经验等。</w:t>
            </w:r>
          </w:p>
          <w:p>
            <w:pPr>
              <w:rPr>
                <w:rFonts w:ascii="宋体" w:hAnsi="宋体" w:cs="仿宋_GB2312"/>
                <w:color w:val="auto"/>
                <w:sz w:val="24"/>
                <w:highlight w:val="none"/>
              </w:rPr>
            </w:pPr>
            <w:r>
              <w:rPr>
                <w:rFonts w:hint="eastAsia" w:ascii="宋体" w:hAnsi="宋体" w:cs="仿宋_GB2312"/>
                <w:color w:val="auto"/>
                <w:sz w:val="24"/>
                <w:highlight w:val="none"/>
              </w:rPr>
              <w:t>项目</w:t>
            </w:r>
            <w:r>
              <w:rPr>
                <w:rFonts w:ascii="宋体" w:hAnsi="宋体" w:cs="仿宋_GB2312"/>
                <w:color w:val="auto"/>
                <w:sz w:val="24"/>
                <w:highlight w:val="none"/>
              </w:rPr>
              <w:t>经理具有：</w:t>
            </w:r>
          </w:p>
          <w:p>
            <w:pPr>
              <w:rPr>
                <w:rFonts w:ascii="宋体" w:hAnsi="宋体" w:cs="仿宋_GB2312"/>
                <w:color w:val="auto"/>
                <w:sz w:val="24"/>
                <w:highlight w:val="none"/>
              </w:rPr>
            </w:pPr>
            <w:r>
              <w:rPr>
                <w:rFonts w:hint="eastAsia" w:ascii="宋体" w:hAnsi="宋体" w:cs="仿宋_GB2312"/>
                <w:color w:val="auto"/>
                <w:sz w:val="24"/>
                <w:highlight w:val="none"/>
              </w:rPr>
              <w:t>1、信息系统高级项目管理师和涉密人员</w:t>
            </w:r>
            <w:r>
              <w:rPr>
                <w:rFonts w:ascii="宋体" w:hAnsi="宋体" w:cs="仿宋_GB2312"/>
                <w:color w:val="auto"/>
                <w:sz w:val="24"/>
                <w:highlight w:val="none"/>
              </w:rPr>
              <w:t>结业证书</w:t>
            </w:r>
            <w:r>
              <w:rPr>
                <w:rFonts w:hint="eastAsia" w:ascii="宋体" w:hAnsi="宋体" w:cs="仿宋_GB2312"/>
                <w:color w:val="auto"/>
                <w:sz w:val="24"/>
                <w:highlight w:val="none"/>
              </w:rPr>
              <w:t>，各得1.5分，总共3分。</w:t>
            </w:r>
          </w:p>
          <w:p>
            <w:pPr>
              <w:rPr>
                <w:rFonts w:ascii="宋体" w:hAnsi="宋体" w:cs="仿宋_GB2312"/>
                <w:color w:val="auto"/>
                <w:sz w:val="24"/>
                <w:highlight w:val="none"/>
              </w:rPr>
            </w:pPr>
            <w:r>
              <w:rPr>
                <w:rFonts w:hint="eastAsia" w:ascii="宋体" w:hAnsi="宋体" w:cs="仿宋_GB2312"/>
                <w:color w:val="auto"/>
                <w:sz w:val="24"/>
                <w:highlight w:val="none"/>
              </w:rPr>
              <w:t>项目组人员具有：</w:t>
            </w:r>
          </w:p>
          <w:p>
            <w:pPr>
              <w:rPr>
                <w:rFonts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、具有安全I</w:t>
            </w:r>
            <w:r>
              <w:rPr>
                <w:rFonts w:ascii="宋体" w:hAnsi="宋体" w:cs="仿宋_GB2312"/>
                <w:color w:val="auto"/>
                <w:sz w:val="24"/>
                <w:highlight w:val="none"/>
              </w:rPr>
              <w:t>E</w:t>
            </w:r>
            <w:r>
              <w:rPr>
                <w:rFonts w:hint="eastAsia" w:ascii="宋体" w:hAnsi="宋体" w:cs="仿宋_GB2312"/>
                <w:color w:val="auto"/>
                <w:sz w:val="24"/>
                <w:highlight w:val="none"/>
              </w:rPr>
              <w:t>级高级认证工程师，得1.5分；</w:t>
            </w:r>
          </w:p>
          <w:p>
            <w:pPr>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、具有C</w:t>
            </w:r>
            <w:r>
              <w:rPr>
                <w:rFonts w:ascii="宋体" w:hAnsi="宋体" w:cs="仿宋_GB2312"/>
                <w:color w:val="auto"/>
                <w:sz w:val="24"/>
                <w:highlight w:val="none"/>
              </w:rPr>
              <w:t>ISP</w:t>
            </w:r>
            <w:r>
              <w:rPr>
                <w:rFonts w:hint="eastAsia" w:ascii="宋体" w:hAnsi="宋体" w:cs="仿宋_GB2312"/>
                <w:color w:val="auto"/>
                <w:sz w:val="24"/>
                <w:highlight w:val="none"/>
              </w:rPr>
              <w:t>安全认证工程师，得</w:t>
            </w:r>
            <w:r>
              <w:rPr>
                <w:rFonts w:ascii="宋体" w:hAnsi="宋体" w:cs="仿宋_GB2312"/>
                <w:color w:val="auto"/>
                <w:sz w:val="24"/>
                <w:highlight w:val="none"/>
              </w:rPr>
              <w:t>1</w:t>
            </w:r>
            <w:r>
              <w:rPr>
                <w:rFonts w:hint="eastAsia" w:ascii="宋体" w:hAnsi="宋体" w:cs="仿宋_GB2312"/>
                <w:color w:val="auto"/>
                <w:sz w:val="24"/>
                <w:highlight w:val="none"/>
              </w:rPr>
              <w:t>分；</w:t>
            </w:r>
          </w:p>
          <w:p>
            <w:pPr>
              <w:pStyle w:val="11"/>
              <w:ind w:firstLine="0"/>
              <w:rPr>
                <w:rFonts w:ascii="宋体" w:hAnsi="宋体" w:cs="仿宋_GB2312"/>
                <w:color w:val="auto"/>
                <w:sz w:val="24"/>
                <w:szCs w:val="24"/>
                <w:highlight w:val="none"/>
              </w:rPr>
            </w:pPr>
            <w:r>
              <w:rPr>
                <w:rFonts w:ascii="宋体" w:hAnsi="宋体" w:cs="仿宋_GB2312"/>
                <w:color w:val="auto"/>
                <w:sz w:val="24"/>
                <w:szCs w:val="24"/>
                <w:highlight w:val="none"/>
              </w:rPr>
              <w:t>3</w:t>
            </w:r>
            <w:r>
              <w:rPr>
                <w:rFonts w:hint="eastAsia" w:ascii="宋体" w:hAnsi="宋体" w:cs="仿宋_GB2312"/>
                <w:color w:val="auto"/>
                <w:sz w:val="24"/>
                <w:szCs w:val="24"/>
                <w:highlight w:val="none"/>
              </w:rPr>
              <w:t>、具有信息技术应用创新专业证书，得1分</w:t>
            </w:r>
          </w:p>
          <w:p>
            <w:pPr>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、具有涉密人员上岗证或</w:t>
            </w:r>
            <w:r>
              <w:rPr>
                <w:rFonts w:ascii="宋体" w:hAnsi="宋体" w:cs="仿宋_GB2312"/>
                <w:color w:val="auto"/>
                <w:sz w:val="24"/>
                <w:highlight w:val="none"/>
              </w:rPr>
              <w:t>结业证书</w:t>
            </w:r>
            <w:r>
              <w:rPr>
                <w:rFonts w:hint="eastAsia" w:ascii="宋体" w:hAnsi="宋体" w:cs="仿宋_GB2312"/>
                <w:color w:val="auto"/>
                <w:sz w:val="24"/>
                <w:highlight w:val="none"/>
              </w:rPr>
              <w:t>，每个得0.5分；最高</w:t>
            </w:r>
            <w:r>
              <w:rPr>
                <w:rFonts w:ascii="宋体" w:hAnsi="宋体" w:cs="仿宋_GB2312"/>
                <w:color w:val="auto"/>
                <w:sz w:val="24"/>
                <w:highlight w:val="none"/>
              </w:rPr>
              <w:t>1.5</w:t>
            </w:r>
            <w:r>
              <w:rPr>
                <w:rFonts w:hint="eastAsia" w:ascii="宋体" w:hAnsi="宋体" w:cs="仿宋_GB2312"/>
                <w:color w:val="auto"/>
                <w:sz w:val="24"/>
                <w:highlight w:val="none"/>
              </w:rPr>
              <w:t>分；</w:t>
            </w:r>
          </w:p>
          <w:p>
            <w:pPr>
              <w:rPr>
                <w:rFonts w:ascii="宋体" w:hAnsi="宋体" w:cs="仿宋_GB2312"/>
                <w:color w:val="auto"/>
                <w:sz w:val="24"/>
                <w:highlight w:val="none"/>
              </w:rPr>
            </w:pPr>
            <w:r>
              <w:rPr>
                <w:rFonts w:hint="eastAsia" w:ascii="宋体" w:hAnsi="宋体" w:cs="仿宋_GB2312"/>
                <w:color w:val="auto"/>
                <w:sz w:val="24"/>
                <w:highlight w:val="none"/>
              </w:rPr>
              <w:t>以上人员需提供相关社保证明（如提供复印件，需加盖投标供应商公章）。</w:t>
            </w:r>
          </w:p>
        </w:tc>
        <w:tc>
          <w:tcPr>
            <w:tcW w:w="1052" w:type="dxa"/>
            <w:tcBorders>
              <w:top w:val="single" w:color="auto" w:sz="4" w:space="0"/>
              <w:left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0-</w:t>
            </w:r>
            <w:r>
              <w:rPr>
                <w:rFonts w:ascii="宋体" w:hAnsi="宋体" w:cs="仿宋_GB2312"/>
                <w:color w:val="auto"/>
                <w:sz w:val="24"/>
                <w:highlight w:val="none"/>
              </w:rPr>
              <w:t>8</w:t>
            </w:r>
            <w:r>
              <w:rPr>
                <w:rFonts w:hint="eastAsia" w:ascii="宋体" w:hAnsi="宋体" w:cs="仿宋_GB2312"/>
                <w:color w:val="auto"/>
                <w:sz w:val="24"/>
                <w:highlight w:val="none"/>
              </w:rPr>
              <w:t>分</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53" w:type="dxa"/>
            <w:vMerge w:val="restart"/>
            <w:tcBorders>
              <w:top w:val="single" w:color="auto" w:sz="4" w:space="0"/>
              <w:left w:val="single" w:color="auto" w:sz="4" w:space="0"/>
              <w:right w:val="single" w:color="auto" w:sz="4" w:space="0"/>
            </w:tcBorders>
            <w:vAlign w:val="center"/>
          </w:tcPr>
          <w:p>
            <w:pPr>
              <w:rPr>
                <w:rFonts w:ascii="宋体" w:hAnsi="宋体" w:cs="仿宋_GB2312"/>
                <w:color w:val="auto"/>
                <w:sz w:val="24"/>
                <w:highlight w:val="none"/>
              </w:rPr>
            </w:pPr>
            <w:bookmarkStart w:id="6" w:name="OLE_LINK41" w:colFirst="1" w:colLast="1"/>
            <w:r>
              <w:rPr>
                <w:rFonts w:hint="eastAsia" w:ascii="宋体" w:hAnsi="宋体" w:cs="仿宋_GB2312"/>
                <w:color w:val="auto"/>
                <w:sz w:val="24"/>
                <w:highlight w:val="none"/>
              </w:rPr>
              <w:t>商务资信18分</w:t>
            </w:r>
          </w:p>
        </w:tc>
        <w:tc>
          <w:tcPr>
            <w:tcW w:w="646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color w:val="auto"/>
                <w:sz w:val="24"/>
                <w:highlight w:val="none"/>
              </w:rPr>
            </w:pPr>
            <w:r>
              <w:rPr>
                <w:rFonts w:hint="eastAsia" w:ascii="宋体" w:hAnsi="宋体" w:cs="仿宋_GB2312"/>
                <w:color w:val="auto"/>
                <w:sz w:val="24"/>
                <w:highlight w:val="none"/>
              </w:rPr>
              <w:t>具有ISO质量管理体系认证得1分；</w:t>
            </w:r>
          </w:p>
          <w:p>
            <w:pPr>
              <w:rPr>
                <w:rFonts w:ascii="宋体" w:hAnsi="宋体" w:cs="仿宋_GB2312"/>
                <w:color w:val="auto"/>
                <w:sz w:val="24"/>
                <w:highlight w:val="none"/>
              </w:rPr>
            </w:pPr>
            <w:r>
              <w:rPr>
                <w:rFonts w:hint="eastAsia" w:ascii="宋体" w:hAnsi="宋体" w:cs="仿宋_GB2312"/>
                <w:color w:val="auto"/>
                <w:sz w:val="24"/>
                <w:highlight w:val="none"/>
              </w:rPr>
              <w:t>具有ISO信息安全管理体系认证证书得1分；</w:t>
            </w:r>
          </w:p>
          <w:p>
            <w:pPr>
              <w:pStyle w:val="11"/>
              <w:ind w:firstLine="0"/>
              <w:rPr>
                <w:color w:val="auto"/>
                <w:sz w:val="24"/>
                <w:szCs w:val="22"/>
                <w:highlight w:val="none"/>
              </w:rPr>
            </w:pPr>
            <w:r>
              <w:rPr>
                <w:rFonts w:hint="eastAsia" w:ascii="宋体" w:hAnsi="宋体" w:cs="仿宋_GB2312"/>
                <w:color w:val="auto"/>
                <w:sz w:val="24"/>
                <w:szCs w:val="24"/>
                <w:highlight w:val="none"/>
              </w:rPr>
              <w:t>具有涉密信息系统集成资质证书得1分；</w:t>
            </w:r>
          </w:p>
          <w:p>
            <w:pPr>
              <w:rPr>
                <w:rFonts w:ascii="宋体" w:hAnsi="宋体" w:cs="仿宋_GB2312"/>
                <w:color w:val="auto"/>
                <w:sz w:val="24"/>
                <w:highlight w:val="none"/>
              </w:rPr>
            </w:pPr>
            <w:r>
              <w:rPr>
                <w:rFonts w:hint="eastAsia" w:ascii="宋体" w:hAnsi="宋体" w:cs="仿宋_GB2312"/>
                <w:color w:val="auto"/>
                <w:sz w:val="24"/>
                <w:highlight w:val="none"/>
              </w:rPr>
              <w:t>具有ITSS运维证书的，贰级及以上得2分，叁级得1分。</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53" w:type="dxa"/>
            <w:vMerge w:val="continue"/>
            <w:tcBorders>
              <w:left w:val="single" w:color="auto" w:sz="4" w:space="0"/>
              <w:right w:val="single" w:color="auto" w:sz="4" w:space="0"/>
            </w:tcBorders>
            <w:vAlign w:val="center"/>
          </w:tcPr>
          <w:p>
            <w:pPr>
              <w:rPr>
                <w:rFonts w:ascii="宋体" w:hAnsi="宋体" w:cs="仿宋_GB2312"/>
                <w:color w:val="auto"/>
                <w:sz w:val="24"/>
                <w:highlight w:val="none"/>
              </w:rPr>
            </w:pPr>
          </w:p>
        </w:tc>
        <w:tc>
          <w:tcPr>
            <w:tcW w:w="646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color w:val="auto"/>
                <w:sz w:val="24"/>
                <w:highlight w:val="none"/>
              </w:rPr>
            </w:pPr>
            <w:r>
              <w:rPr>
                <w:rFonts w:hint="eastAsia" w:ascii="宋体" w:hAnsi="宋体" w:cs="仿宋_GB2312"/>
                <w:color w:val="auto"/>
                <w:sz w:val="24"/>
                <w:highlight w:val="none"/>
              </w:rPr>
              <w:t>投标供应商自201</w:t>
            </w:r>
            <w:r>
              <w:rPr>
                <w:rFonts w:ascii="宋体" w:hAnsi="宋体" w:cs="仿宋_GB2312"/>
                <w:color w:val="auto"/>
                <w:sz w:val="24"/>
                <w:highlight w:val="none"/>
              </w:rPr>
              <w:t>9</w:t>
            </w:r>
            <w:r>
              <w:rPr>
                <w:rFonts w:hint="eastAsia" w:ascii="宋体" w:hAnsi="宋体" w:cs="仿宋_GB2312"/>
                <w:color w:val="auto"/>
                <w:sz w:val="24"/>
                <w:highlight w:val="none"/>
              </w:rPr>
              <w:t>年以来（以合同签订时间为准）具有类似案例的，每个得1分，最高得5分</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0-5分</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3" w:type="dxa"/>
            <w:vMerge w:val="continue"/>
            <w:tcBorders>
              <w:left w:val="single" w:color="auto" w:sz="4" w:space="0"/>
              <w:right w:val="single" w:color="auto" w:sz="4" w:space="0"/>
            </w:tcBorders>
            <w:vAlign w:val="center"/>
          </w:tcPr>
          <w:p>
            <w:pPr>
              <w:rPr>
                <w:rFonts w:ascii="宋体" w:hAnsi="宋体" w:cs="仿宋_GB2312"/>
                <w:color w:val="auto"/>
                <w:sz w:val="24"/>
                <w:highlight w:val="none"/>
              </w:rPr>
            </w:pPr>
            <w:bookmarkStart w:id="7" w:name="OLE_LINK45" w:colFirst="1" w:colLast="1"/>
          </w:p>
        </w:tc>
        <w:tc>
          <w:tcPr>
            <w:tcW w:w="6460" w:type="dxa"/>
            <w:tcBorders>
              <w:top w:val="single" w:color="auto" w:sz="4" w:space="0"/>
              <w:left w:val="single" w:color="auto" w:sz="4" w:space="0"/>
              <w:right w:val="single" w:color="auto" w:sz="4" w:space="0"/>
            </w:tcBorders>
            <w:vAlign w:val="center"/>
          </w:tcPr>
          <w:p>
            <w:pPr>
              <w:rPr>
                <w:rFonts w:ascii="宋体" w:hAnsi="宋体" w:cs="仿宋_GB2312"/>
                <w:color w:val="auto"/>
                <w:sz w:val="24"/>
                <w:highlight w:val="none"/>
              </w:rPr>
            </w:pPr>
            <w:r>
              <w:rPr>
                <w:rFonts w:hint="eastAsia" w:ascii="宋体" w:hAnsi="宋体" w:cs="仿宋_GB2312"/>
                <w:color w:val="auto"/>
                <w:sz w:val="24"/>
                <w:highlight w:val="none"/>
              </w:rPr>
              <w:t>售后人员配置情况，</w:t>
            </w:r>
            <w:r>
              <w:rPr>
                <w:rFonts w:hint="eastAsia" w:ascii="宋体" w:hAnsi="宋体" w:cs="宋体"/>
                <w:color w:val="auto"/>
                <w:sz w:val="24"/>
                <w:highlight w:val="none"/>
              </w:rPr>
              <w:t>由评委在分值范围内打分。</w:t>
            </w:r>
          </w:p>
        </w:tc>
        <w:tc>
          <w:tcPr>
            <w:tcW w:w="1052" w:type="dxa"/>
            <w:tcBorders>
              <w:top w:val="single" w:color="auto" w:sz="4" w:space="0"/>
              <w:left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0-3分</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53" w:type="dxa"/>
            <w:vMerge w:val="continue"/>
            <w:tcBorders>
              <w:left w:val="single" w:color="auto" w:sz="4" w:space="0"/>
              <w:right w:val="single" w:color="auto" w:sz="4" w:space="0"/>
            </w:tcBorders>
            <w:vAlign w:val="center"/>
          </w:tcPr>
          <w:p>
            <w:pPr>
              <w:rPr>
                <w:rFonts w:ascii="宋体" w:hAnsi="宋体" w:cs="仿宋_GB2312"/>
                <w:color w:val="auto"/>
                <w:sz w:val="24"/>
                <w:highlight w:val="none"/>
              </w:rPr>
            </w:pPr>
          </w:p>
        </w:tc>
        <w:tc>
          <w:tcPr>
            <w:tcW w:w="6460" w:type="dxa"/>
            <w:tcBorders>
              <w:top w:val="single" w:color="auto" w:sz="4" w:space="0"/>
              <w:left w:val="single" w:color="auto" w:sz="4" w:space="0"/>
              <w:bottom w:val="single" w:color="auto" w:sz="4" w:space="0"/>
              <w:right w:val="single" w:color="auto" w:sz="4" w:space="0"/>
            </w:tcBorders>
            <w:vAlign w:val="center"/>
          </w:tcPr>
          <w:p>
            <w:pPr>
              <w:rPr>
                <w:rFonts w:ascii="宋体" w:hAnsi="宋体" w:cs="仿宋_GB2312"/>
                <w:color w:val="auto"/>
                <w:sz w:val="24"/>
                <w:highlight w:val="none"/>
              </w:rPr>
            </w:pPr>
            <w:r>
              <w:rPr>
                <w:rFonts w:hint="eastAsia" w:ascii="宋体" w:hAnsi="宋体" w:cs="仿宋_GB2312"/>
                <w:color w:val="auto"/>
                <w:sz w:val="24"/>
                <w:highlight w:val="none"/>
              </w:rPr>
              <w:t>故障响应修复时间，</w:t>
            </w:r>
            <w:r>
              <w:rPr>
                <w:rFonts w:hint="eastAsia" w:ascii="宋体" w:hAnsi="宋体" w:cs="宋体"/>
                <w:color w:val="auto"/>
                <w:sz w:val="24"/>
                <w:highlight w:val="none"/>
              </w:rPr>
              <w:t>由评委在分值范围内打分。</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53" w:type="dxa"/>
            <w:vMerge w:val="continue"/>
            <w:tcBorders>
              <w:left w:val="single" w:color="auto" w:sz="4" w:space="0"/>
              <w:right w:val="single" w:color="auto" w:sz="4" w:space="0"/>
            </w:tcBorders>
            <w:vAlign w:val="center"/>
          </w:tcPr>
          <w:p>
            <w:pPr>
              <w:rPr>
                <w:rFonts w:ascii="宋体" w:hAnsi="宋体" w:cs="仿宋_GB2312"/>
                <w:color w:val="auto"/>
                <w:sz w:val="24"/>
                <w:highlight w:val="none"/>
              </w:rPr>
            </w:pPr>
          </w:p>
        </w:tc>
        <w:tc>
          <w:tcPr>
            <w:tcW w:w="6460" w:type="dxa"/>
            <w:tcBorders>
              <w:top w:val="single" w:color="auto" w:sz="4" w:space="0"/>
              <w:left w:val="single" w:color="auto" w:sz="4" w:space="0"/>
              <w:right w:val="single" w:color="auto" w:sz="4" w:space="0"/>
            </w:tcBorders>
            <w:vAlign w:val="center"/>
          </w:tcPr>
          <w:p>
            <w:pPr>
              <w:rPr>
                <w:rFonts w:ascii="宋体" w:hAnsi="宋体" w:cs="仿宋_GB2312"/>
                <w:color w:val="auto"/>
                <w:sz w:val="24"/>
                <w:highlight w:val="none"/>
              </w:rPr>
            </w:pPr>
            <w:r>
              <w:rPr>
                <w:rFonts w:ascii="宋体" w:hAnsi="宋体" w:cs="仿宋_GB2312"/>
                <w:color w:val="auto"/>
                <w:sz w:val="24"/>
                <w:highlight w:val="none"/>
              </w:rPr>
              <w:t>技术培训</w:t>
            </w:r>
            <w:r>
              <w:rPr>
                <w:rFonts w:hint="eastAsia" w:ascii="宋体" w:hAnsi="宋体" w:cs="仿宋_GB2312"/>
                <w:color w:val="auto"/>
                <w:sz w:val="24"/>
                <w:highlight w:val="none"/>
              </w:rPr>
              <w:t>方案，</w:t>
            </w:r>
            <w:r>
              <w:rPr>
                <w:rFonts w:hint="eastAsia" w:ascii="宋体" w:hAnsi="宋体" w:cs="宋体"/>
                <w:color w:val="auto"/>
                <w:sz w:val="24"/>
                <w:highlight w:val="none"/>
              </w:rPr>
              <w:t>由评委在分值范围内打分。</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0-2分</w:t>
            </w:r>
          </w:p>
        </w:tc>
      </w:tr>
      <w:bookmarkEnd w:id="0"/>
    </w:tbl>
    <w:p>
      <w:pPr>
        <w:rPr>
          <w:color w:val="auto"/>
          <w:highlight w:val="none"/>
        </w:rPr>
      </w:pPr>
    </w:p>
    <w:p>
      <w:pPr>
        <w:pStyle w:val="11"/>
        <w:ind w:firstLine="0"/>
        <w:rPr>
          <w:color w:val="auto"/>
          <w:highlight w:val="none"/>
        </w:rPr>
      </w:pPr>
    </w:p>
    <w:p>
      <w:pPr>
        <w:spacing w:line="360" w:lineRule="auto"/>
        <w:ind w:firstLine="2891" w:firstLineChars="900"/>
        <w:rPr>
          <w:rFonts w:ascii="宋体" w:hAnsi="宋体" w:cs="宋体"/>
          <w:b/>
          <w:bCs/>
          <w:color w:val="auto"/>
          <w:sz w:val="32"/>
          <w:szCs w:val="32"/>
          <w:highlight w:val="none"/>
        </w:rPr>
      </w:pPr>
    </w:p>
    <w:p>
      <w:pPr>
        <w:spacing w:line="360" w:lineRule="auto"/>
        <w:ind w:firstLine="2891" w:firstLineChars="900"/>
        <w:rPr>
          <w:rFonts w:ascii="宋体" w:hAnsi="宋体" w:cs="宋体"/>
          <w:b/>
          <w:bCs/>
          <w:color w:val="auto"/>
          <w:sz w:val="32"/>
          <w:szCs w:val="32"/>
          <w:highlight w:val="none"/>
        </w:rPr>
      </w:pPr>
    </w:p>
    <w:p>
      <w:pPr>
        <w:pStyle w:val="12"/>
        <w:ind w:left="0" w:leftChars="0" w:firstLine="0" w:firstLineChars="0"/>
        <w:rPr>
          <w:color w:val="auto"/>
          <w:highlight w:val="none"/>
        </w:rPr>
      </w:pPr>
    </w:p>
    <w:p>
      <w:pPr>
        <w:rPr>
          <w:color w:val="auto"/>
          <w:highlight w:val="none"/>
        </w:rPr>
      </w:pPr>
    </w:p>
    <w:p>
      <w:pPr>
        <w:spacing w:line="360" w:lineRule="auto"/>
        <w:ind w:firstLine="2891" w:firstLineChars="900"/>
        <w:rPr>
          <w:rFonts w:hint="eastAsia" w:ascii="宋体" w:hAnsi="宋体" w:cs="宋体"/>
          <w:b/>
          <w:bCs/>
          <w:color w:val="auto"/>
          <w:sz w:val="32"/>
          <w:szCs w:val="32"/>
          <w:highlight w:val="none"/>
        </w:rPr>
      </w:pPr>
    </w:p>
    <w:p>
      <w:pPr>
        <w:spacing w:line="360" w:lineRule="auto"/>
        <w:ind w:firstLine="2891" w:firstLineChars="900"/>
        <w:rPr>
          <w:rFonts w:ascii="宋体" w:hAnsi="宋体" w:cs="宋体"/>
          <w:b/>
          <w:bCs/>
          <w:color w:val="auto"/>
          <w:sz w:val="32"/>
          <w:szCs w:val="32"/>
          <w:highlight w:val="none"/>
        </w:rPr>
      </w:pPr>
      <w:r>
        <w:rPr>
          <w:rFonts w:hint="eastAsia" w:ascii="宋体" w:hAnsi="宋体" w:cs="宋体"/>
          <w:b/>
          <w:bCs/>
          <w:color w:val="auto"/>
          <w:sz w:val="32"/>
          <w:szCs w:val="32"/>
          <w:highlight w:val="none"/>
        </w:rPr>
        <w:t>第四章公开招标需求</w:t>
      </w:r>
    </w:p>
    <w:p>
      <w:pPr>
        <w:keepNext/>
        <w:keepLines/>
        <w:tabs>
          <w:tab w:val="left" w:pos="0"/>
        </w:tabs>
        <w:spacing w:line="360" w:lineRule="auto"/>
        <w:outlineLvl w:val="2"/>
        <w:rPr>
          <w:rFonts w:ascii="宋体" w:hAnsi="宋体"/>
          <w:b/>
          <w:bCs/>
          <w:color w:val="auto"/>
          <w:kern w:val="0"/>
          <w:sz w:val="24"/>
          <w:highlight w:val="none"/>
          <w:lang w:bidi="en-US"/>
        </w:rPr>
      </w:pPr>
      <w:r>
        <w:rPr>
          <w:rFonts w:hint="eastAsia" w:ascii="宋体" w:hAnsi="宋体"/>
          <w:b/>
          <w:bCs/>
          <w:color w:val="auto"/>
          <w:kern w:val="0"/>
          <w:sz w:val="24"/>
          <w:highlight w:val="none"/>
          <w:lang w:bidi="en-US"/>
        </w:rPr>
        <w:t>（一）采购内容</w:t>
      </w:r>
    </w:p>
    <w:tbl>
      <w:tblPr>
        <w:tblStyle w:val="28"/>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833"/>
        <w:gridCol w:w="2202"/>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tabs>
                <w:tab w:val="left" w:pos="0"/>
              </w:tabs>
              <w:spacing w:line="360" w:lineRule="auto"/>
              <w:rPr>
                <w:rFonts w:ascii="宋体" w:hAnsi="宋体"/>
                <w:b/>
                <w:color w:val="auto"/>
                <w:kern w:val="0"/>
                <w:sz w:val="24"/>
                <w:highlight w:val="none"/>
                <w:lang w:eastAsia="en-US" w:bidi="en-US"/>
              </w:rPr>
            </w:pPr>
            <w:r>
              <w:rPr>
                <w:rFonts w:hint="eastAsia" w:ascii="宋体" w:hAnsi="宋体"/>
                <w:b/>
                <w:color w:val="auto"/>
                <w:kern w:val="0"/>
                <w:sz w:val="24"/>
                <w:highlight w:val="none"/>
                <w:lang w:eastAsia="en-US" w:bidi="en-US"/>
              </w:rPr>
              <w:t>序号</w:t>
            </w:r>
          </w:p>
        </w:tc>
        <w:tc>
          <w:tcPr>
            <w:tcW w:w="3833" w:type="dxa"/>
            <w:tcBorders>
              <w:top w:val="single" w:color="auto" w:sz="4" w:space="0"/>
              <w:left w:val="nil"/>
              <w:bottom w:val="single" w:color="auto" w:sz="4" w:space="0"/>
              <w:right w:val="single" w:color="auto" w:sz="4" w:space="0"/>
            </w:tcBorders>
            <w:shd w:val="clear" w:color="auto" w:fill="FFFFFF"/>
            <w:noWrap/>
            <w:vAlign w:val="center"/>
          </w:tcPr>
          <w:p>
            <w:pPr>
              <w:tabs>
                <w:tab w:val="left" w:pos="0"/>
              </w:tabs>
              <w:spacing w:line="360" w:lineRule="auto"/>
              <w:jc w:val="center"/>
              <w:rPr>
                <w:rFonts w:ascii="宋体" w:hAnsi="宋体"/>
                <w:b/>
                <w:color w:val="auto"/>
                <w:kern w:val="0"/>
                <w:sz w:val="24"/>
                <w:highlight w:val="none"/>
                <w:lang w:eastAsia="en-US" w:bidi="en-US"/>
              </w:rPr>
            </w:pPr>
            <w:r>
              <w:rPr>
                <w:rFonts w:hint="eastAsia" w:ascii="宋体" w:hAnsi="宋体"/>
                <w:b/>
                <w:color w:val="auto"/>
                <w:kern w:val="0"/>
                <w:sz w:val="24"/>
                <w:highlight w:val="none"/>
                <w:lang w:eastAsia="en-US" w:bidi="en-US"/>
              </w:rPr>
              <w:t>名称</w:t>
            </w:r>
          </w:p>
        </w:tc>
        <w:tc>
          <w:tcPr>
            <w:tcW w:w="2202" w:type="dxa"/>
            <w:tcBorders>
              <w:top w:val="single" w:color="auto" w:sz="4" w:space="0"/>
              <w:left w:val="nil"/>
              <w:bottom w:val="single" w:color="auto" w:sz="4" w:space="0"/>
              <w:right w:val="single" w:color="auto" w:sz="4" w:space="0"/>
            </w:tcBorders>
            <w:shd w:val="clear" w:color="auto" w:fill="FFFFFF"/>
            <w:noWrap/>
            <w:vAlign w:val="center"/>
          </w:tcPr>
          <w:p>
            <w:pPr>
              <w:tabs>
                <w:tab w:val="left" w:pos="0"/>
              </w:tabs>
              <w:spacing w:line="360" w:lineRule="auto"/>
              <w:jc w:val="center"/>
              <w:rPr>
                <w:rFonts w:ascii="宋体" w:hAnsi="宋体"/>
                <w:b/>
                <w:bCs/>
                <w:color w:val="auto"/>
                <w:kern w:val="0"/>
                <w:sz w:val="24"/>
                <w:highlight w:val="none"/>
                <w:lang w:bidi="en-US"/>
              </w:rPr>
            </w:pPr>
            <w:r>
              <w:rPr>
                <w:rFonts w:hint="eastAsia" w:ascii="宋体" w:hAnsi="宋体"/>
                <w:b/>
                <w:bCs/>
                <w:color w:val="auto"/>
                <w:kern w:val="0"/>
                <w:sz w:val="24"/>
                <w:highlight w:val="none"/>
                <w:lang w:bidi="en-US"/>
              </w:rPr>
              <w:t>数量</w:t>
            </w:r>
          </w:p>
        </w:tc>
        <w:tc>
          <w:tcPr>
            <w:tcW w:w="2202" w:type="dxa"/>
            <w:tcBorders>
              <w:top w:val="single" w:color="auto" w:sz="4" w:space="0"/>
              <w:left w:val="nil"/>
              <w:bottom w:val="single" w:color="auto" w:sz="4" w:space="0"/>
              <w:right w:val="single" w:color="auto" w:sz="4" w:space="0"/>
            </w:tcBorders>
            <w:shd w:val="clear" w:color="auto" w:fill="FFFFFF"/>
            <w:noWrap/>
            <w:vAlign w:val="center"/>
          </w:tcPr>
          <w:p>
            <w:pPr>
              <w:tabs>
                <w:tab w:val="left" w:pos="0"/>
              </w:tabs>
              <w:spacing w:line="360" w:lineRule="auto"/>
              <w:jc w:val="center"/>
              <w:rPr>
                <w:rFonts w:ascii="宋体" w:hAnsi="宋体"/>
                <w:b/>
                <w:color w:val="auto"/>
                <w:kern w:val="0"/>
                <w:sz w:val="24"/>
                <w:highlight w:val="none"/>
                <w:lang w:bidi="en-US"/>
              </w:rPr>
            </w:pPr>
            <w:r>
              <w:rPr>
                <w:rFonts w:hint="eastAsia" w:ascii="宋体" w:hAnsi="宋体"/>
                <w:b/>
                <w:color w:val="auto"/>
                <w:kern w:val="0"/>
                <w:sz w:val="24"/>
                <w:highlight w:val="none"/>
                <w:lang w:bidi="en-US"/>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宋体" w:hAnsi="宋体"/>
                <w:b/>
                <w:color w:val="auto"/>
                <w:kern w:val="0"/>
                <w:sz w:val="24"/>
                <w:highlight w:val="none"/>
                <w:lang w:eastAsia="en-US" w:bidi="en-US"/>
              </w:rPr>
            </w:pPr>
            <w:r>
              <w:rPr>
                <w:rFonts w:hint="eastAsia" w:ascii="宋体" w:hAnsi="宋体"/>
                <w:b/>
                <w:color w:val="auto"/>
                <w:kern w:val="0"/>
                <w:sz w:val="24"/>
                <w:highlight w:val="none"/>
                <w:lang w:eastAsia="en-US" w:bidi="en-US"/>
              </w:rPr>
              <w:t>1</w:t>
            </w:r>
          </w:p>
        </w:tc>
        <w:tc>
          <w:tcPr>
            <w:tcW w:w="3833" w:type="dxa"/>
            <w:tcBorders>
              <w:top w:val="single" w:color="auto" w:sz="4" w:space="0"/>
              <w:left w:val="nil"/>
              <w:bottom w:val="single" w:color="auto" w:sz="4" w:space="0"/>
              <w:right w:val="single" w:color="auto" w:sz="4" w:space="0"/>
            </w:tcBorders>
            <w:noWrap/>
            <w:vAlign w:val="center"/>
          </w:tcPr>
          <w:p>
            <w:pPr>
              <w:tabs>
                <w:tab w:val="left" w:pos="0"/>
              </w:tabs>
              <w:spacing w:line="360" w:lineRule="auto"/>
              <w:jc w:val="center"/>
              <w:rPr>
                <w:rFonts w:ascii="宋体" w:hAnsi="宋体"/>
                <w:b/>
                <w:color w:val="auto"/>
                <w:kern w:val="0"/>
                <w:sz w:val="24"/>
                <w:highlight w:val="none"/>
                <w:lang w:bidi="en-US"/>
              </w:rPr>
            </w:pPr>
            <w:r>
              <w:rPr>
                <w:rFonts w:hint="eastAsia" w:ascii="宋体" w:hAnsi="宋体"/>
                <w:b/>
                <w:color w:val="auto"/>
                <w:kern w:val="0"/>
                <w:sz w:val="24"/>
                <w:highlight w:val="none"/>
                <w:lang w:bidi="en-US"/>
              </w:rPr>
              <w:t>检察工作网网络安全建设项目</w:t>
            </w:r>
          </w:p>
        </w:tc>
        <w:tc>
          <w:tcPr>
            <w:tcW w:w="2202"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宋体" w:hAnsi="宋体"/>
                <w:b/>
                <w:color w:val="auto"/>
                <w:kern w:val="0"/>
                <w:sz w:val="24"/>
                <w:highlight w:val="none"/>
                <w:lang w:bidi="en-US"/>
              </w:rPr>
            </w:pPr>
            <w:r>
              <w:rPr>
                <w:rFonts w:hint="eastAsia" w:ascii="宋体" w:hAnsi="宋体"/>
                <w:b/>
                <w:color w:val="auto"/>
                <w:kern w:val="0"/>
                <w:sz w:val="24"/>
                <w:highlight w:val="none"/>
                <w:lang w:bidi="en-US"/>
              </w:rPr>
              <w:t>1项</w:t>
            </w:r>
          </w:p>
        </w:tc>
        <w:tc>
          <w:tcPr>
            <w:tcW w:w="2202" w:type="dxa"/>
            <w:tcBorders>
              <w:top w:val="single" w:color="auto" w:sz="4" w:space="0"/>
              <w:left w:val="nil"/>
              <w:bottom w:val="single" w:color="auto" w:sz="4" w:space="0"/>
              <w:right w:val="single" w:color="auto" w:sz="4" w:space="0"/>
            </w:tcBorders>
            <w:vAlign w:val="center"/>
          </w:tcPr>
          <w:p>
            <w:pPr>
              <w:tabs>
                <w:tab w:val="left" w:pos="0"/>
              </w:tabs>
              <w:spacing w:line="360" w:lineRule="auto"/>
              <w:jc w:val="center"/>
              <w:rPr>
                <w:rFonts w:ascii="宋体" w:hAnsi="宋体"/>
                <w:b/>
                <w:color w:val="auto"/>
                <w:kern w:val="0"/>
                <w:sz w:val="24"/>
                <w:highlight w:val="none"/>
                <w:lang w:bidi="en-US"/>
              </w:rPr>
            </w:pPr>
            <w:r>
              <w:rPr>
                <w:rFonts w:hint="eastAsia" w:ascii="宋体" w:hAnsi="宋体"/>
                <w:b/>
                <w:color w:val="auto"/>
                <w:kern w:val="0"/>
                <w:sz w:val="24"/>
                <w:highlight w:val="none"/>
                <w:lang w:bidi="en-US"/>
              </w:rPr>
              <w:t>113万元</w:t>
            </w:r>
          </w:p>
        </w:tc>
      </w:tr>
    </w:tbl>
    <w:p>
      <w:pPr>
        <w:pStyle w:val="11"/>
        <w:rPr>
          <w:color w:val="auto"/>
          <w:highlight w:val="none"/>
          <w:lang w:eastAsia="en-US"/>
        </w:rPr>
      </w:pPr>
    </w:p>
    <w:p>
      <w:pPr>
        <w:pStyle w:val="6"/>
        <w:spacing w:before="120" w:after="0" w:line="360" w:lineRule="auto"/>
        <w:rPr>
          <w:rFonts w:ascii="宋体" w:hAnsi="宋体"/>
          <w:color w:val="auto"/>
          <w:sz w:val="24"/>
          <w:szCs w:val="24"/>
          <w:highlight w:val="none"/>
        </w:rPr>
      </w:pPr>
      <w:r>
        <w:rPr>
          <w:rFonts w:hint="eastAsia" w:ascii="宋体" w:hAnsi="宋体"/>
          <w:color w:val="auto"/>
          <w:sz w:val="24"/>
          <w:szCs w:val="24"/>
          <w:highlight w:val="none"/>
        </w:rPr>
        <w:t>（二）设备采购清单</w:t>
      </w:r>
    </w:p>
    <w:tbl>
      <w:tblPr>
        <w:tblStyle w:val="28"/>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093"/>
        <w:gridCol w:w="3684"/>
        <w:gridCol w:w="73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12" w:type="dxa"/>
            <w:shd w:val="clear" w:color="000000" w:fill="808080"/>
            <w:vAlign w:val="center"/>
          </w:tcPr>
          <w:p>
            <w:pPr>
              <w:widowControl/>
              <w:spacing w:before="60" w:after="6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093" w:type="dxa"/>
            <w:shd w:val="clear" w:color="000000" w:fill="808080"/>
            <w:vAlign w:val="center"/>
          </w:tcPr>
          <w:p>
            <w:pPr>
              <w:widowControl/>
              <w:spacing w:before="60" w:after="6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产品名称</w:t>
            </w:r>
          </w:p>
        </w:tc>
        <w:tc>
          <w:tcPr>
            <w:tcW w:w="3684" w:type="dxa"/>
            <w:shd w:val="clear" w:color="000000" w:fill="808080"/>
            <w:vAlign w:val="center"/>
          </w:tcPr>
          <w:p>
            <w:pPr>
              <w:widowControl/>
              <w:spacing w:before="60" w:after="6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配置说明</w:t>
            </w:r>
          </w:p>
        </w:tc>
        <w:tc>
          <w:tcPr>
            <w:tcW w:w="737" w:type="dxa"/>
            <w:shd w:val="clear" w:color="000000" w:fill="808080"/>
            <w:vAlign w:val="center"/>
          </w:tcPr>
          <w:p>
            <w:pPr>
              <w:widowControl/>
              <w:spacing w:before="60" w:after="6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662" w:type="dxa"/>
            <w:shd w:val="clear" w:color="000000" w:fill="808080"/>
            <w:vAlign w:val="center"/>
          </w:tcPr>
          <w:p>
            <w:pPr>
              <w:widowControl/>
              <w:spacing w:before="60" w:after="6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shd w:val="clear" w:color="000000" w:fill="FFFFFF"/>
            <w:vAlign w:val="center"/>
          </w:tcPr>
          <w:p>
            <w:pPr>
              <w:widowControl/>
              <w:spacing w:before="60" w:after="60"/>
              <w:jc w:val="center"/>
              <w:rPr>
                <w:rFonts w:ascii="宋体" w:hAnsi="宋体" w:cs="宋体"/>
                <w:color w:val="auto"/>
                <w:kern w:val="0"/>
                <w:sz w:val="24"/>
                <w:highlight w:val="none"/>
              </w:rPr>
            </w:pPr>
            <w:bookmarkStart w:id="8" w:name="_Hlk97107431"/>
            <w:r>
              <w:rPr>
                <w:rFonts w:hint="eastAsia" w:ascii="宋体" w:hAnsi="宋体" w:cs="宋体"/>
                <w:color w:val="auto"/>
                <w:kern w:val="0"/>
                <w:sz w:val="24"/>
                <w:highlight w:val="none"/>
              </w:rPr>
              <w:t>1</w:t>
            </w:r>
          </w:p>
        </w:tc>
        <w:tc>
          <w:tcPr>
            <w:tcW w:w="2093" w:type="dxa"/>
            <w:shd w:val="clear" w:color="000000" w:fill="FFFFFF"/>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核心交换机</w:t>
            </w:r>
          </w:p>
        </w:tc>
        <w:tc>
          <w:tcPr>
            <w:tcW w:w="3684" w:type="dxa"/>
            <w:shd w:val="clear" w:color="000000" w:fill="FFFFFF"/>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配置见“详细招标参数”</w:t>
            </w:r>
          </w:p>
        </w:tc>
        <w:tc>
          <w:tcPr>
            <w:tcW w:w="737" w:type="dxa"/>
            <w:shd w:val="clear" w:color="000000" w:fill="FFFFFF"/>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62" w:type="dxa"/>
            <w:shd w:val="clear" w:color="000000" w:fill="FFFFFF"/>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shd w:val="clear" w:color="000000" w:fill="FFFFFF"/>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093" w:type="dxa"/>
            <w:shd w:val="clear" w:color="000000" w:fill="FFFFFF"/>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万兆板卡</w:t>
            </w:r>
          </w:p>
        </w:tc>
        <w:tc>
          <w:tcPr>
            <w:tcW w:w="3684" w:type="dxa"/>
            <w:shd w:val="clear" w:color="000000" w:fill="FFFFFF"/>
            <w:vAlign w:val="center"/>
          </w:tcPr>
          <w:p>
            <w:pPr>
              <w:widowControl/>
              <w:spacing w:before="60" w:after="60"/>
              <w:rPr>
                <w:rFonts w:ascii="宋体" w:hAnsi="宋体" w:cs="宋体"/>
                <w:color w:val="auto"/>
                <w:kern w:val="0"/>
                <w:sz w:val="24"/>
                <w:highlight w:val="none"/>
              </w:rPr>
            </w:pPr>
            <w:r>
              <w:rPr>
                <w:rFonts w:hint="eastAsia" w:ascii="宋体" w:hAnsi="宋体" w:cs="宋体"/>
                <w:color w:val="auto"/>
                <w:kern w:val="0"/>
                <w:sz w:val="24"/>
                <w:highlight w:val="none"/>
              </w:rPr>
              <w:t>配置见“详细招标参数”</w:t>
            </w:r>
          </w:p>
        </w:tc>
        <w:tc>
          <w:tcPr>
            <w:tcW w:w="737" w:type="dxa"/>
            <w:shd w:val="clear" w:color="000000" w:fill="FFFFFF"/>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62" w:type="dxa"/>
            <w:shd w:val="clear" w:color="000000" w:fill="FFFFFF"/>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shd w:val="clear" w:color="000000" w:fill="FFFFFF"/>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093" w:type="dxa"/>
            <w:shd w:val="clear" w:color="000000" w:fill="FFFFFF"/>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杀毒软件（国产）</w:t>
            </w:r>
          </w:p>
        </w:tc>
        <w:tc>
          <w:tcPr>
            <w:tcW w:w="3684" w:type="dxa"/>
            <w:shd w:val="clear" w:color="000000" w:fill="FFFFFF"/>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配置见“详细招标参数”</w:t>
            </w:r>
          </w:p>
        </w:tc>
        <w:tc>
          <w:tcPr>
            <w:tcW w:w="737" w:type="dxa"/>
            <w:shd w:val="clear" w:color="000000" w:fill="FFFFFF"/>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62" w:type="dxa"/>
            <w:shd w:val="clear" w:color="000000" w:fill="FFFFFF"/>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shd w:val="clear" w:color="000000" w:fill="FFFFFF"/>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093" w:type="dxa"/>
            <w:shd w:val="clear" w:color="000000" w:fill="FFFFFF"/>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杀毒软件（非国产）</w:t>
            </w:r>
          </w:p>
        </w:tc>
        <w:tc>
          <w:tcPr>
            <w:tcW w:w="3684" w:type="dxa"/>
            <w:shd w:val="clear" w:color="000000" w:fill="FFFFFF"/>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配置见“详细招标参数”</w:t>
            </w:r>
          </w:p>
        </w:tc>
        <w:tc>
          <w:tcPr>
            <w:tcW w:w="737" w:type="dxa"/>
            <w:shd w:val="clear" w:color="000000" w:fill="FFFFFF"/>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62" w:type="dxa"/>
            <w:shd w:val="clear" w:color="000000" w:fill="FFFFFF"/>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093" w:type="dxa"/>
            <w:shd w:val="clear" w:color="auto" w:fill="auto"/>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杀毒软件服务器</w:t>
            </w:r>
          </w:p>
        </w:tc>
        <w:tc>
          <w:tcPr>
            <w:tcW w:w="3684" w:type="dxa"/>
            <w:shd w:val="clear" w:color="auto" w:fill="auto"/>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配置见“详细招标参数”</w:t>
            </w:r>
          </w:p>
        </w:tc>
        <w:tc>
          <w:tcPr>
            <w:tcW w:w="737"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62"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093" w:type="dxa"/>
            <w:shd w:val="clear" w:color="auto" w:fill="auto"/>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堡垒机运维审计</w:t>
            </w:r>
          </w:p>
        </w:tc>
        <w:tc>
          <w:tcPr>
            <w:tcW w:w="3684" w:type="dxa"/>
            <w:shd w:val="clear" w:color="auto" w:fill="auto"/>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配置见“详细招标参数”</w:t>
            </w:r>
          </w:p>
        </w:tc>
        <w:tc>
          <w:tcPr>
            <w:tcW w:w="737"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62"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093" w:type="dxa"/>
            <w:shd w:val="clear" w:color="auto" w:fill="auto"/>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数据库审计系统</w:t>
            </w:r>
          </w:p>
        </w:tc>
        <w:tc>
          <w:tcPr>
            <w:tcW w:w="3684" w:type="dxa"/>
            <w:shd w:val="clear" w:color="auto" w:fill="auto"/>
            <w:vAlign w:val="center"/>
          </w:tcPr>
          <w:p>
            <w:pPr>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配置见“详细招标参数”</w:t>
            </w:r>
          </w:p>
        </w:tc>
        <w:tc>
          <w:tcPr>
            <w:tcW w:w="737"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62"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093" w:type="dxa"/>
            <w:shd w:val="clear" w:color="auto" w:fill="auto"/>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备份存储</w:t>
            </w:r>
          </w:p>
        </w:tc>
        <w:tc>
          <w:tcPr>
            <w:tcW w:w="3684" w:type="dxa"/>
            <w:shd w:val="clear" w:color="auto" w:fill="auto"/>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配置见“详细招标参数”</w:t>
            </w:r>
          </w:p>
        </w:tc>
        <w:tc>
          <w:tcPr>
            <w:tcW w:w="737"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62"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093" w:type="dxa"/>
            <w:shd w:val="clear" w:color="auto" w:fill="auto"/>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终端准入系统</w:t>
            </w:r>
          </w:p>
        </w:tc>
        <w:tc>
          <w:tcPr>
            <w:tcW w:w="3684" w:type="dxa"/>
            <w:shd w:val="clear" w:color="auto" w:fill="auto"/>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配置见“详细招标参数”</w:t>
            </w:r>
          </w:p>
        </w:tc>
        <w:tc>
          <w:tcPr>
            <w:tcW w:w="737"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62"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0</w:t>
            </w:r>
          </w:p>
        </w:tc>
        <w:tc>
          <w:tcPr>
            <w:tcW w:w="2093" w:type="dxa"/>
            <w:shd w:val="clear" w:color="auto" w:fill="auto"/>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日志审计系统</w:t>
            </w:r>
          </w:p>
        </w:tc>
        <w:tc>
          <w:tcPr>
            <w:tcW w:w="3684" w:type="dxa"/>
            <w:shd w:val="clear" w:color="auto" w:fill="auto"/>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配置见“详细招标参数”</w:t>
            </w:r>
          </w:p>
        </w:tc>
        <w:tc>
          <w:tcPr>
            <w:tcW w:w="737"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62" w:type="dxa"/>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Merge w:val="restart"/>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1</w:t>
            </w:r>
          </w:p>
        </w:tc>
        <w:tc>
          <w:tcPr>
            <w:tcW w:w="2093" w:type="dxa"/>
            <w:vMerge w:val="restart"/>
            <w:shd w:val="clear" w:color="auto" w:fill="auto"/>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态势感知系统</w:t>
            </w:r>
          </w:p>
        </w:tc>
        <w:tc>
          <w:tcPr>
            <w:tcW w:w="3684" w:type="dxa"/>
            <w:shd w:val="clear" w:color="auto" w:fill="auto"/>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安全预警监测平台1套</w:t>
            </w:r>
          </w:p>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配置见“详细招标参数”</w:t>
            </w:r>
          </w:p>
        </w:tc>
        <w:tc>
          <w:tcPr>
            <w:tcW w:w="737" w:type="dxa"/>
            <w:vMerge w:val="restart"/>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62" w:type="dxa"/>
            <w:vMerge w:val="restart"/>
            <w:shd w:val="clear" w:color="auto" w:fill="auto"/>
            <w:vAlign w:val="center"/>
          </w:tcPr>
          <w:p>
            <w:pPr>
              <w:widowControl/>
              <w:spacing w:before="60" w:after="60"/>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Merge w:val="continue"/>
            <w:tcBorders>
              <w:bottom w:val="single" w:color="auto" w:sz="4" w:space="0"/>
            </w:tcBorders>
            <w:vAlign w:val="center"/>
          </w:tcPr>
          <w:p>
            <w:pPr>
              <w:widowControl/>
              <w:spacing w:before="60" w:after="60"/>
              <w:jc w:val="left"/>
              <w:rPr>
                <w:rFonts w:ascii="宋体" w:hAnsi="宋体" w:cs="宋体"/>
                <w:color w:val="auto"/>
                <w:kern w:val="0"/>
                <w:sz w:val="24"/>
                <w:highlight w:val="none"/>
              </w:rPr>
            </w:pPr>
          </w:p>
        </w:tc>
        <w:tc>
          <w:tcPr>
            <w:tcW w:w="2093" w:type="dxa"/>
            <w:vMerge w:val="continue"/>
            <w:tcBorders>
              <w:bottom w:val="single" w:color="auto" w:sz="4" w:space="0"/>
            </w:tcBorders>
            <w:vAlign w:val="center"/>
          </w:tcPr>
          <w:p>
            <w:pPr>
              <w:widowControl/>
              <w:spacing w:before="60" w:after="60"/>
              <w:jc w:val="left"/>
              <w:rPr>
                <w:rFonts w:ascii="宋体" w:hAnsi="宋体" w:cs="宋体"/>
                <w:color w:val="auto"/>
                <w:kern w:val="0"/>
                <w:sz w:val="24"/>
                <w:highlight w:val="none"/>
              </w:rPr>
            </w:pPr>
          </w:p>
        </w:tc>
        <w:tc>
          <w:tcPr>
            <w:tcW w:w="3684" w:type="dxa"/>
            <w:tcBorders>
              <w:bottom w:val="single" w:color="auto" w:sz="4" w:space="0"/>
            </w:tcBorders>
            <w:shd w:val="clear" w:color="auto" w:fill="auto"/>
            <w:vAlign w:val="center"/>
          </w:tcPr>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安全预警平台探针1套</w:t>
            </w:r>
          </w:p>
          <w:p>
            <w:pPr>
              <w:widowControl/>
              <w:spacing w:before="60" w:after="60"/>
              <w:jc w:val="left"/>
              <w:rPr>
                <w:rFonts w:ascii="宋体" w:hAnsi="宋体" w:cs="宋体"/>
                <w:color w:val="auto"/>
                <w:kern w:val="0"/>
                <w:sz w:val="24"/>
                <w:highlight w:val="none"/>
              </w:rPr>
            </w:pPr>
            <w:r>
              <w:rPr>
                <w:rFonts w:hint="eastAsia" w:ascii="宋体" w:hAnsi="宋体" w:cs="宋体"/>
                <w:color w:val="auto"/>
                <w:kern w:val="0"/>
                <w:sz w:val="24"/>
                <w:highlight w:val="none"/>
              </w:rPr>
              <w:t>配置见“详细招标参数”</w:t>
            </w:r>
          </w:p>
        </w:tc>
        <w:tc>
          <w:tcPr>
            <w:tcW w:w="737" w:type="dxa"/>
            <w:vMerge w:val="continue"/>
            <w:tcBorders>
              <w:bottom w:val="single" w:color="auto" w:sz="4" w:space="0"/>
            </w:tcBorders>
            <w:vAlign w:val="center"/>
          </w:tcPr>
          <w:p>
            <w:pPr>
              <w:widowControl/>
              <w:spacing w:before="60" w:after="60"/>
              <w:jc w:val="left"/>
              <w:rPr>
                <w:rFonts w:ascii="宋体" w:hAnsi="宋体" w:cs="宋体"/>
                <w:color w:val="auto"/>
                <w:kern w:val="0"/>
                <w:sz w:val="24"/>
                <w:highlight w:val="none"/>
              </w:rPr>
            </w:pPr>
          </w:p>
        </w:tc>
        <w:tc>
          <w:tcPr>
            <w:tcW w:w="1662" w:type="dxa"/>
            <w:vMerge w:val="continue"/>
            <w:tcBorders>
              <w:bottom w:val="single" w:color="auto" w:sz="4" w:space="0"/>
            </w:tcBorders>
            <w:vAlign w:val="center"/>
          </w:tcPr>
          <w:p>
            <w:pPr>
              <w:widowControl/>
              <w:spacing w:before="60" w:after="60"/>
              <w:jc w:val="left"/>
              <w:rPr>
                <w:rFonts w:ascii="宋体" w:hAnsi="宋体" w:cs="宋体"/>
                <w:color w:val="auto"/>
                <w:kern w:val="0"/>
                <w:sz w:val="24"/>
                <w:highlight w:val="none"/>
              </w:rPr>
            </w:pPr>
          </w:p>
        </w:tc>
      </w:tr>
    </w:tbl>
    <w:p>
      <w:pPr>
        <w:pStyle w:val="6"/>
        <w:spacing w:before="120" w:after="0" w:line="360" w:lineRule="auto"/>
        <w:rPr>
          <w:rFonts w:ascii="宋体" w:hAnsi="宋体"/>
          <w:color w:val="auto"/>
          <w:sz w:val="24"/>
          <w:szCs w:val="24"/>
          <w:highlight w:val="none"/>
        </w:rPr>
      </w:pPr>
      <w:r>
        <w:rPr>
          <w:rFonts w:hint="eastAsia" w:ascii="宋体" w:hAnsi="宋体"/>
          <w:color w:val="auto"/>
          <w:sz w:val="24"/>
          <w:szCs w:val="24"/>
          <w:highlight w:val="none"/>
        </w:rPr>
        <w:t>（三）详细招标参数</w:t>
      </w:r>
    </w:p>
    <w:p>
      <w:pPr>
        <w:pStyle w:val="7"/>
        <w:spacing w:before="120" w:after="0" w:line="360" w:lineRule="auto"/>
        <w:ind w:firstLine="149" w:firstLineChars="62"/>
        <w:rPr>
          <w:rFonts w:ascii="宋体" w:hAnsi="宋体"/>
          <w:color w:val="auto"/>
          <w:sz w:val="24"/>
          <w:szCs w:val="24"/>
          <w:highlight w:val="none"/>
        </w:rPr>
      </w:pPr>
      <w:r>
        <w:rPr>
          <w:rFonts w:hint="eastAsia" w:ascii="宋体" w:hAnsi="宋体"/>
          <w:color w:val="auto"/>
          <w:sz w:val="24"/>
          <w:szCs w:val="24"/>
          <w:highlight w:val="none"/>
        </w:rPr>
        <w:t>核心交换机</w:t>
      </w:r>
    </w:p>
    <w:tbl>
      <w:tblPr>
        <w:tblStyle w:val="28"/>
        <w:tblW w:w="8505" w:type="dxa"/>
        <w:jc w:val="center"/>
        <w:tblLayout w:type="autofit"/>
        <w:tblCellMar>
          <w:top w:w="0" w:type="dxa"/>
          <w:left w:w="108" w:type="dxa"/>
          <w:bottom w:w="0" w:type="dxa"/>
          <w:right w:w="108" w:type="dxa"/>
        </w:tblCellMar>
      </w:tblPr>
      <w:tblGrid>
        <w:gridCol w:w="1625"/>
        <w:gridCol w:w="6880"/>
      </w:tblGrid>
      <w:tr>
        <w:tblPrEx>
          <w:tblCellMar>
            <w:top w:w="0" w:type="dxa"/>
            <w:left w:w="108" w:type="dxa"/>
            <w:bottom w:w="0" w:type="dxa"/>
            <w:right w:w="108" w:type="dxa"/>
          </w:tblCellMar>
        </w:tblPrEx>
        <w:trPr>
          <w:trHeight w:val="340" w:hRule="atLeast"/>
          <w:jc w:val="center"/>
        </w:trPr>
        <w:tc>
          <w:tcPr>
            <w:tcW w:w="1625" w:type="dxa"/>
            <w:tcBorders>
              <w:top w:val="single" w:color="auto" w:sz="4" w:space="0"/>
              <w:left w:val="single" w:color="auto" w:sz="4" w:space="0"/>
              <w:bottom w:val="single" w:color="auto" w:sz="4" w:space="0"/>
              <w:right w:val="single" w:color="auto" w:sz="4" w:space="0"/>
            </w:tcBorders>
            <w:shd w:val="clear" w:color="000000" w:fill="FFFFFF" w:themeFill="background1"/>
            <w:noWrap/>
            <w:vAlign w:val="center"/>
          </w:tcPr>
          <w:p>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指标项</w:t>
            </w:r>
          </w:p>
        </w:tc>
        <w:tc>
          <w:tcPr>
            <w:tcW w:w="6880"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功能及技术参数，标</w:t>
            </w:r>
            <w:r>
              <w:rPr>
                <w:rFonts w:hint="eastAsia" w:ascii="宋体" w:hAnsi="宋体" w:cs="宋体"/>
                <w:b/>
                <w:bCs/>
                <w:color w:val="auto"/>
                <w:kern w:val="0"/>
                <w:sz w:val="24"/>
                <w:highlight w:val="none"/>
                <w:lang w:eastAsia="zh-CN"/>
              </w:rPr>
              <w:t>▲为实质性参数</w:t>
            </w:r>
            <w:r>
              <w:rPr>
                <w:rFonts w:hint="eastAsia" w:ascii="宋体" w:hAnsi="宋体" w:cs="宋体"/>
                <w:b/>
                <w:bCs/>
                <w:color w:val="auto"/>
                <w:kern w:val="0"/>
                <w:sz w:val="24"/>
                <w:highlight w:val="none"/>
              </w:rPr>
              <w:t>，不允许负偏离</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硬件规格</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业务槽位≥6个，主控槽位≥2个。电源槽位数≥2个，配置双主控，双电源，双风扇。模块热插拔，单个模块故障不影响整机运行。</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硬件要求</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使用国产自主安全CPU,使用国产自主安全交换芯片，需详细说明CPU、交换芯片厂商和规格型号。</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配置要求</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配置不少于36个10/100/1000自适应电口，不少于12个千兆光口，不少于12块千兆光模块，不少于8个万兆光口，不少于16个万兆光模块</w:t>
            </w:r>
          </w:p>
        </w:tc>
      </w:tr>
      <w:tr>
        <w:tblPrEx>
          <w:tblCellMar>
            <w:top w:w="0" w:type="dxa"/>
            <w:left w:w="108" w:type="dxa"/>
            <w:bottom w:w="0" w:type="dxa"/>
            <w:right w:w="108" w:type="dxa"/>
          </w:tblCellMar>
        </w:tblPrEx>
        <w:trPr>
          <w:trHeight w:val="340" w:hRule="atLeast"/>
          <w:jc w:val="center"/>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设备性能</w:t>
            </w:r>
          </w:p>
        </w:tc>
        <w:tc>
          <w:tcPr>
            <w:tcW w:w="6880"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交换容量≥</w:t>
            </w:r>
            <w:r>
              <w:rPr>
                <w:rFonts w:ascii="宋体" w:hAnsi="宋体" w:cs="宋体"/>
                <w:color w:val="auto"/>
                <w:kern w:val="0"/>
                <w:sz w:val="24"/>
                <w:highlight w:val="none"/>
              </w:rPr>
              <w:t>15.36</w:t>
            </w:r>
            <w:r>
              <w:rPr>
                <w:rFonts w:hint="eastAsia" w:ascii="宋体" w:hAnsi="宋体" w:cs="宋体"/>
                <w:color w:val="auto"/>
                <w:kern w:val="0"/>
                <w:sz w:val="24"/>
                <w:highlight w:val="none"/>
              </w:rPr>
              <w:t>Tbps；包转发率≥2880Mpps·</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MAC容量</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MAC地址表容量≥128K</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VLAN功能</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支持4K个VLAN，支持基于端口、MAC、IP子网、协议的VLAN；</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生成树协议</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STP/RSTP/MSTP。</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ARP功能</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ARP Guard，DAI，静态ARP捆绑，ARP Proxy。</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风暴抑制</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支持广播、组播、未知单播风暴抑制。</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链路聚合</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支持端口负载均衡、支持LACP，每链路聚合组支持8个端口。</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路由协议</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支持静态路由、RIP、OSPF、BGP等动态路由协议。</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组播功能</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支持IGMP、IGMP Snooping；PIM-SM/SSM、PIM-DM等三层组播协议。</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MPLS VPN </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支持MPLS VPN</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可靠性功能</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支持VRRP，支持BFD for VRRP/Static/RIP/OSPF等。</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认证功能</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支持Local认证，Radius，AAA、802.1x认证。</w:t>
            </w:r>
          </w:p>
        </w:tc>
      </w:tr>
      <w:tr>
        <w:tblPrEx>
          <w:tblCellMar>
            <w:top w:w="0" w:type="dxa"/>
            <w:left w:w="108" w:type="dxa"/>
            <w:bottom w:w="0" w:type="dxa"/>
            <w:right w:w="108" w:type="dxa"/>
          </w:tblCellMar>
        </w:tblPrEx>
        <w:trPr>
          <w:trHeight w:val="340" w:hRule="atLeast"/>
          <w:jc w:val="center"/>
        </w:trPr>
        <w:tc>
          <w:tcPr>
            <w:tcW w:w="16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安全可靠</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支持CPU 保护功能，如ICMP Flood拦截、SYN Flood攻击拦截等，CPU根据不同协议进行限速保护。</w:t>
            </w:r>
          </w:p>
        </w:tc>
      </w:tr>
      <w:tr>
        <w:tblPrEx>
          <w:tblCellMar>
            <w:top w:w="0" w:type="dxa"/>
            <w:left w:w="108" w:type="dxa"/>
            <w:bottom w:w="0" w:type="dxa"/>
            <w:right w:w="108" w:type="dxa"/>
          </w:tblCellMar>
        </w:tblPrEx>
        <w:trPr>
          <w:trHeight w:val="340"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支持MSTP协议国密算法加密；RIP、OSPF协议支持国密认证算法</w:t>
            </w:r>
          </w:p>
        </w:tc>
      </w:tr>
      <w:tr>
        <w:tblPrEx>
          <w:tblCellMar>
            <w:top w:w="0" w:type="dxa"/>
            <w:left w:w="108" w:type="dxa"/>
            <w:bottom w:w="0" w:type="dxa"/>
            <w:right w:w="108" w:type="dxa"/>
          </w:tblCellMar>
        </w:tblPrEx>
        <w:trPr>
          <w:trHeight w:val="340"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支持配置文件国密算法加密，防护设备配置环境信息泄漏</w:t>
            </w:r>
          </w:p>
        </w:tc>
      </w:tr>
      <w:tr>
        <w:tblPrEx>
          <w:tblCellMar>
            <w:top w:w="0" w:type="dxa"/>
            <w:left w:w="108" w:type="dxa"/>
            <w:bottom w:w="0" w:type="dxa"/>
            <w:right w:w="108" w:type="dxa"/>
          </w:tblCellMar>
        </w:tblPrEx>
        <w:trPr>
          <w:trHeight w:val="340" w:hRule="atLeast"/>
          <w:jc w:val="center"/>
        </w:trPr>
        <w:tc>
          <w:tcPr>
            <w:tcW w:w="1625" w:type="dxa"/>
            <w:vMerge w:val="continue"/>
            <w:tcBorders>
              <w:top w:val="nil"/>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交换机可作为认证客户端实现设备入网的安全认证。</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可信计算</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支持扩展可信芯片，并可支持可信计算</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SDN功能</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支持openflow1.3协议标准。</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ACL</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支持标准、扩展ACL，基于MAC的ACL、基于时间ACL等</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Qos</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支持SP、WDRR、SP+WDRR、SP、WRR等队列技术，支持RED、WRED等拥塞避免控制，端口限速的粒度≤8K</w:t>
            </w:r>
          </w:p>
        </w:tc>
      </w:tr>
      <w:tr>
        <w:tblPrEx>
          <w:tblCellMar>
            <w:top w:w="0" w:type="dxa"/>
            <w:left w:w="108" w:type="dxa"/>
            <w:bottom w:w="0" w:type="dxa"/>
            <w:right w:w="108" w:type="dxa"/>
          </w:tblCellMar>
        </w:tblPrEx>
        <w:trPr>
          <w:trHeight w:val="340" w:hRule="atLeast"/>
          <w:jc w:val="center"/>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网络管理</w:t>
            </w:r>
          </w:p>
        </w:tc>
        <w:tc>
          <w:tcPr>
            <w:tcW w:w="6880"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支持Telnet、Console、SNMP等管理方式</w:t>
            </w:r>
          </w:p>
        </w:tc>
      </w:tr>
      <w:tr>
        <w:tblPrEx>
          <w:tblCellMar>
            <w:top w:w="0" w:type="dxa"/>
            <w:left w:w="108" w:type="dxa"/>
            <w:bottom w:w="0" w:type="dxa"/>
            <w:right w:w="108" w:type="dxa"/>
          </w:tblCellMar>
        </w:tblPrEx>
        <w:trPr>
          <w:trHeight w:val="340" w:hRule="atLeast"/>
          <w:jc w:val="center"/>
        </w:trPr>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产品资质</w:t>
            </w:r>
          </w:p>
        </w:tc>
        <w:tc>
          <w:tcPr>
            <w:tcW w:w="6880" w:type="dxa"/>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具备IPV4/IPV6入网许可证。</w:t>
            </w:r>
          </w:p>
        </w:tc>
      </w:tr>
    </w:tbl>
    <w:p>
      <w:pPr>
        <w:pStyle w:val="7"/>
        <w:spacing w:before="120" w:after="0" w:line="360" w:lineRule="auto"/>
        <w:ind w:firstLine="149" w:firstLineChars="62"/>
        <w:rPr>
          <w:rFonts w:ascii="宋体" w:hAnsi="宋体"/>
          <w:color w:val="auto"/>
          <w:sz w:val="24"/>
          <w:szCs w:val="24"/>
          <w:highlight w:val="none"/>
        </w:rPr>
      </w:pPr>
      <w:r>
        <w:rPr>
          <w:rFonts w:hint="eastAsia" w:ascii="宋体" w:hAnsi="宋体"/>
          <w:color w:val="auto"/>
          <w:sz w:val="24"/>
          <w:szCs w:val="24"/>
          <w:highlight w:val="none"/>
        </w:rPr>
        <w:t>万兆板卡</w:t>
      </w:r>
    </w:p>
    <w:tbl>
      <w:tblPr>
        <w:tblStyle w:val="28"/>
        <w:tblW w:w="8505" w:type="dxa"/>
        <w:jc w:val="center"/>
        <w:tblLayout w:type="autofit"/>
        <w:tblCellMar>
          <w:top w:w="0" w:type="dxa"/>
          <w:left w:w="108" w:type="dxa"/>
          <w:bottom w:w="0" w:type="dxa"/>
          <w:right w:w="108" w:type="dxa"/>
        </w:tblCellMar>
      </w:tblPr>
      <w:tblGrid>
        <w:gridCol w:w="1625"/>
        <w:gridCol w:w="6880"/>
      </w:tblGrid>
      <w:tr>
        <w:tblPrEx>
          <w:tblCellMar>
            <w:top w:w="0" w:type="dxa"/>
            <w:left w:w="108" w:type="dxa"/>
            <w:bottom w:w="0" w:type="dxa"/>
            <w:right w:w="108" w:type="dxa"/>
          </w:tblCellMar>
        </w:tblPrEx>
        <w:trPr>
          <w:trHeight w:val="340" w:hRule="atLeast"/>
          <w:jc w:val="center"/>
        </w:trPr>
        <w:tc>
          <w:tcPr>
            <w:tcW w:w="1603" w:type="dxa"/>
            <w:tcBorders>
              <w:top w:val="single" w:color="auto" w:sz="4" w:space="0"/>
              <w:left w:val="single" w:color="auto" w:sz="4" w:space="0"/>
              <w:bottom w:val="single" w:color="auto" w:sz="4" w:space="0"/>
              <w:right w:val="single" w:color="auto" w:sz="4" w:space="0"/>
            </w:tcBorders>
            <w:shd w:val="clear" w:color="000000" w:fill="FFFFFF" w:themeFill="background1"/>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指标项</w:t>
            </w:r>
          </w:p>
        </w:tc>
        <w:tc>
          <w:tcPr>
            <w:tcW w:w="6789"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功能及技术参数，标</w:t>
            </w:r>
            <w:r>
              <w:rPr>
                <w:rFonts w:hint="eastAsia" w:ascii="宋体" w:hAnsi="宋体" w:cs="宋体"/>
                <w:b/>
                <w:bCs/>
                <w:color w:val="auto"/>
                <w:kern w:val="0"/>
                <w:sz w:val="24"/>
                <w:highlight w:val="none"/>
                <w:lang w:eastAsia="zh-CN"/>
              </w:rPr>
              <w:t>▲为实质性参数</w:t>
            </w:r>
            <w:r>
              <w:rPr>
                <w:rFonts w:hint="eastAsia" w:ascii="宋体" w:hAnsi="宋体" w:cs="宋体"/>
                <w:b/>
                <w:bCs/>
                <w:color w:val="auto"/>
                <w:kern w:val="0"/>
                <w:sz w:val="24"/>
                <w:highlight w:val="none"/>
              </w:rPr>
              <w:t>，不允许负偏离</w:t>
            </w:r>
          </w:p>
        </w:tc>
      </w:tr>
      <w:tr>
        <w:tblPrEx>
          <w:tblCellMar>
            <w:top w:w="0" w:type="dxa"/>
            <w:left w:w="108" w:type="dxa"/>
            <w:bottom w:w="0" w:type="dxa"/>
            <w:right w:w="108" w:type="dxa"/>
          </w:tblCellMar>
        </w:tblPrEx>
        <w:trPr>
          <w:trHeight w:val="340" w:hRule="atLeast"/>
          <w:jc w:val="center"/>
        </w:trPr>
        <w:tc>
          <w:tcPr>
            <w:tcW w:w="1603" w:type="dxa"/>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具体配置</w:t>
            </w:r>
          </w:p>
        </w:tc>
        <w:tc>
          <w:tcPr>
            <w:tcW w:w="6789"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不少于8端口万兆以太网接口业务模块(SFP+，LC)，安装在老核心交换机上，通过次板卡与新增核心做双活。</w:t>
            </w:r>
          </w:p>
        </w:tc>
      </w:tr>
    </w:tbl>
    <w:p>
      <w:pPr>
        <w:pStyle w:val="7"/>
        <w:spacing w:before="120" w:after="0" w:line="360" w:lineRule="auto"/>
        <w:ind w:firstLine="149" w:firstLineChars="62"/>
        <w:rPr>
          <w:rFonts w:ascii="宋体" w:hAnsi="宋体"/>
          <w:color w:val="auto"/>
          <w:sz w:val="24"/>
          <w:szCs w:val="24"/>
          <w:highlight w:val="none"/>
        </w:rPr>
      </w:pPr>
      <w:r>
        <w:rPr>
          <w:rFonts w:hint="eastAsia" w:ascii="宋体" w:hAnsi="宋体"/>
          <w:color w:val="auto"/>
          <w:sz w:val="24"/>
          <w:szCs w:val="24"/>
          <w:highlight w:val="none"/>
        </w:rPr>
        <w:t>杀毒软件（国产）</w:t>
      </w:r>
    </w:p>
    <w:tbl>
      <w:tblPr>
        <w:tblStyle w:val="28"/>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58"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b/>
                <w:bCs/>
                <w:color w:val="auto"/>
                <w:kern w:val="0"/>
                <w:sz w:val="24"/>
                <w:highlight w:val="none"/>
              </w:rPr>
              <w:t>指标项</w:t>
            </w:r>
          </w:p>
        </w:tc>
        <w:tc>
          <w:tcPr>
            <w:tcW w:w="4042" w:type="pct"/>
            <w:shd w:val="clear" w:color="auto" w:fill="auto"/>
            <w:vAlign w:val="center"/>
          </w:tcPr>
          <w:p>
            <w:pPr>
              <w:widowControl/>
              <w:spacing w:line="276"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功能及技术参数，标</w:t>
            </w:r>
            <w:r>
              <w:rPr>
                <w:rFonts w:hint="eastAsia" w:ascii="宋体" w:hAnsi="宋体" w:cs="宋体"/>
                <w:b/>
                <w:bCs/>
                <w:color w:val="auto"/>
                <w:kern w:val="0"/>
                <w:sz w:val="24"/>
                <w:highlight w:val="none"/>
                <w:lang w:eastAsia="zh-CN"/>
              </w:rPr>
              <w:t>▲为实质性参数</w:t>
            </w:r>
            <w:r>
              <w:rPr>
                <w:rFonts w:hint="eastAsia" w:ascii="宋体" w:hAnsi="宋体" w:cs="宋体"/>
                <w:b/>
                <w:bCs/>
                <w:color w:val="auto"/>
                <w:kern w:val="0"/>
                <w:sz w:val="24"/>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58" w:type="pct"/>
            <w:shd w:val="clear" w:color="auto" w:fill="auto"/>
            <w:vAlign w:val="center"/>
          </w:tcPr>
          <w:p>
            <w:pPr>
              <w:widowControl/>
              <w:spacing w:line="276" w:lineRule="auto"/>
              <w:rPr>
                <w:rFonts w:ascii="宋体" w:hAnsi="宋体" w:cs="宋体"/>
                <w:b/>
                <w:bCs/>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rPr>
              <w:t>授权许可</w:t>
            </w:r>
          </w:p>
        </w:tc>
        <w:tc>
          <w:tcPr>
            <w:tcW w:w="4042" w:type="pct"/>
            <w:shd w:val="clear" w:color="auto" w:fill="auto"/>
            <w:vAlign w:val="center"/>
          </w:tcPr>
          <w:p>
            <w:pPr>
              <w:widowControl/>
              <w:spacing w:line="276" w:lineRule="auto"/>
              <w:rPr>
                <w:rFonts w:ascii="宋体" w:hAnsi="宋体" w:cs="宋体"/>
                <w:b/>
                <w:bCs/>
                <w:color w:val="auto"/>
                <w:kern w:val="0"/>
                <w:sz w:val="24"/>
                <w:highlight w:val="none"/>
              </w:rPr>
            </w:pPr>
            <w:r>
              <w:rPr>
                <w:rFonts w:hint="eastAsia" w:ascii="宋体" w:hAnsi="宋体" w:cs="宋体"/>
                <w:color w:val="auto"/>
                <w:kern w:val="0"/>
                <w:sz w:val="24"/>
                <w:highlight w:val="none"/>
              </w:rPr>
              <w:t>本次配置不少于1套国产管理端，不少于</w:t>
            </w:r>
            <w:r>
              <w:rPr>
                <w:rFonts w:ascii="宋体" w:hAnsi="宋体" w:cs="宋体"/>
                <w:color w:val="auto"/>
                <w:kern w:val="0"/>
                <w:sz w:val="24"/>
                <w:highlight w:val="none"/>
              </w:rPr>
              <w:t>100</w:t>
            </w:r>
            <w:r>
              <w:rPr>
                <w:rFonts w:hint="eastAsia" w:ascii="宋体" w:hAnsi="宋体" w:cs="宋体"/>
                <w:color w:val="auto"/>
                <w:kern w:val="0"/>
                <w:sz w:val="24"/>
                <w:highlight w:val="none"/>
              </w:rPr>
              <w:t>个国产终端</w:t>
            </w:r>
            <w:r>
              <w:rPr>
                <w:rFonts w:ascii="宋体" w:hAnsi="宋体" w:cs="宋体"/>
                <w:color w:val="auto"/>
                <w:kern w:val="0"/>
                <w:sz w:val="24"/>
                <w:highlight w:val="none"/>
              </w:rPr>
              <w:t>授权，</w:t>
            </w:r>
            <w:r>
              <w:rPr>
                <w:rFonts w:hint="eastAsia" w:ascii="宋体" w:hAnsi="宋体" w:cs="宋体"/>
                <w:color w:val="auto"/>
                <w:kern w:val="0"/>
                <w:sz w:val="24"/>
                <w:highlight w:val="none"/>
              </w:rPr>
              <w:t>不少于</w:t>
            </w:r>
            <w:r>
              <w:rPr>
                <w:rFonts w:ascii="宋体" w:hAnsi="宋体" w:cs="宋体"/>
                <w:color w:val="auto"/>
                <w:kern w:val="0"/>
                <w:sz w:val="24"/>
                <w:highlight w:val="none"/>
              </w:rPr>
              <w:t>3</w:t>
            </w:r>
            <w:r>
              <w:rPr>
                <w:rFonts w:hint="eastAsia" w:ascii="宋体" w:hAnsi="宋体" w:cs="宋体"/>
                <w:color w:val="auto"/>
                <w:kern w:val="0"/>
                <w:sz w:val="24"/>
                <w:highlight w:val="none"/>
              </w:rPr>
              <w:t>个国产</w:t>
            </w:r>
            <w:r>
              <w:rPr>
                <w:rFonts w:ascii="宋体" w:hAnsi="宋体" w:cs="宋体"/>
                <w:color w:val="auto"/>
                <w:kern w:val="0"/>
                <w:sz w:val="24"/>
                <w:highlight w:val="none"/>
              </w:rPr>
              <w:t>服务器授权</w:t>
            </w:r>
            <w:r>
              <w:rPr>
                <w:rFonts w:hint="eastAsia" w:ascii="宋体" w:hAnsi="宋体" w:cs="宋体"/>
                <w:color w:val="auto"/>
                <w:kern w:val="0"/>
                <w:sz w:val="24"/>
                <w:highlight w:val="none"/>
              </w:rPr>
              <w:t>，三年病毒库升级服务。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控制中心平台要求</w:t>
            </w:r>
          </w:p>
        </w:tc>
        <w:tc>
          <w:tcPr>
            <w:tcW w:w="4042" w:type="pct"/>
            <w:shd w:val="clear" w:color="auto" w:fill="auto"/>
            <w:vAlign w:val="center"/>
          </w:tcPr>
          <w:p>
            <w:pPr>
              <w:widowControl/>
              <w:spacing w:line="276"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支持：中标麒麟服务器V7.0（龙芯3B3000、鲲鹏920）、银河麒麟服务器V4.0（飞腾FT1500A、FT2000+）</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麒麟v10服务器（龙芯3B3000、鲲鹏920、FT2000+、兆芯C/E）、UOS20 sp1服务器（龙芯3B4000、兆芯C/E）、中科方德（龙芯、飞腾、申威、X86）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客户端平台要求</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支持：中标麒麟（龙芯、兆芯、申威、鲲鹏920）V7.0、银河麒麟（飞腾FT1500A、FT2000+）V4.0、银河麒麟V10(龙芯、飞腾、X64)、银河麒麟(龙芯、飞腾、X64)V10.1、UOS20 sp1(龙芯、龙芯3A5000、鲲鹏920、麒麟9006C、飞腾、X86、兆芯)、中科方德（龙芯、飞腾、申威、X86）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模式切换</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单机客户端在接入控制中心后，自动转换为网络工作模式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跨平台管理</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支持跨平台统一管理，控制中心可统一接入管理网络中的WINDOWS系统终端防病毒、LINUX系统终端防病毒、国产通用终端、国产专用终端防病毒（投标时提供截图证明材料）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级联部署</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控制中心支持多级级联部署，并支持病毒查杀日志上报；支持病毒库从上级升级；支持上级控制中心对下级控制中心自动动态授权分配或手动自定义分配授权点数；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安全概况监测</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展示全网已部署终端数、在线率、运行天数、日均在线时长、待处理任务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服务器性能监测</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展示服务器性能数据，并支持自动刷新，包括：CPU使用率，内存使用率，系统盘占用，网络流量，数据库连接数，服务器时间。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任务监测</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管理所有下发到终端的任务，支持查看当前最新任务的类型、状态、下发时间、进度，可取消由本管理员发起的任务，支持查看历史任务类型、下发时间、进度，可删除由本管理员发起的历史任务。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文件分发</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文件分发：支持文件分发到单个终端、部门终端、全网终端的功能，并支持分发到终端桌面、下载目录；支持文件分发落地后立即执行，指定时间执行，带参数执行；支持设置终端接收文件后提示确认、不提示。支持设置分发任务有限时间，如一周或者具体的制定日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升级管理</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升级管理：支持对指定范围的终端下发升级主程序、升级病毒库、升级补丁库任务，支持查看终端版本分布、病毒库版本分布饼状图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资源监控</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支持对终端进行CPU和内存占用的资源实时监测，并可将占用和使用情况上报管控中心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58" w:type="pct"/>
            <w:shd w:val="clear" w:color="auto" w:fill="auto"/>
            <w:noWrap/>
            <w:vAlign w:val="center"/>
          </w:tcPr>
          <w:p>
            <w:pPr>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终端接入规则</w:t>
            </w:r>
          </w:p>
        </w:tc>
        <w:tc>
          <w:tcPr>
            <w:tcW w:w="4042" w:type="pct"/>
            <w:shd w:val="clear" w:color="auto" w:fill="auto"/>
            <w:noWrap/>
            <w:vAlign w:val="center"/>
          </w:tcPr>
          <w:p>
            <w:pPr>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可以设置接入终端的IP范围白名单和黑名单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服务器访问规则</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可以设置服务器访问的白名单IP地址段，只有在白名单范围内的IP可以访问控制中心，增强安全性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restar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策略模板</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支持创建策略模板，模板可复用，可作为基准创建新模板；添加策略时按场景关联模板，使用更灵活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支持策略模板优先级，策略可以关联多个模板，模板中策略存在冲突时，可以自动处置策略冲突，按照优先级高的执行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策略生效条件（场景策略）</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支持生效规则和生效时间条件设定，策略可以根据生效规则下发到不同范围类型的终端上去，同时可针对多个策略设置的不同的生效时间条件，确保策略在管理员指定的时间和条件范围内生效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单点策略</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支持单点策略下发，可以针对特定终端下发不同的策略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分组策略</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支持分组策略下发，可以针对不同的终端分组（部门）下发不同的策略；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策略锁定</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高权限安全管理员锁定策略后，其它子安全管理员无法修改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平台区分</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支持分别针对不同的类型的终端设置不同的策略，而不强制要求将不同类型的终端划分到不同的分组，提高管理灵活性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restar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基本策略</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终端密码防护：支持防退出密码保护和防卸载密码保护，支持静态密码和动态密码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升级策略：支持可选自动升级策略和非自动升级策略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时间同步：支持客户端与控制中心的时间同步；支持客户端与NTP服务器的时间同步。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资产登记，支持设置弹窗提醒，保证资产登记率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终端状态监控：支持上报国产终端设备的使用状态，便于分析终端使用是否满足真替真用的政策要求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策略刷新间隔：控制中心安全防护策略修改后，客户端策略更新的时间间隔可以根据实际需要灵活调整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终端模定制：支持模块化定制，可安装卸载终端模块；支持对logo和标题进行定制修改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终端概况</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可查看全网或特定分组内终端的安全情况，包括计算机名、IP地址、病毒数、病毒库更新时间，支持通过自定义标签、终端类型、操作系统、在线状态、计算机名称、IP、MAC、使用人等多个条件的与/或组合进行终端筛选，支持保存筛选条件；支持对终端进行分组转移和手动删除终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单点维护</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支持注册终端的概览信息、策略信息、病毒查杀日志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病毒查杀</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支持通过分组或条件筛选对指定范围的终端下发快速扫描、全盘扫描、强力查杀、隔离区文件恢复；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 w:type="pct"/>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终端日志</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病毒分析统计报表：支持终端病毒分析趋势分析和统计，包含病毒查杀趋势、病毒种类占比、触发方式趋势、病毒排行榜；支持报表导出；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统计分析方式：支持按分组统计、按终端名统计、按病毒统计多种统计方式；支持各类统计导出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支持病毒日志详情中按病毒名搜索，便于追查网内是否已有外部安全事件暴露的病毒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黑白名单添加方式</w:t>
            </w:r>
          </w:p>
        </w:tc>
        <w:tc>
          <w:tcPr>
            <w:tcW w:w="4042" w:type="pct"/>
            <w:shd w:val="clear" w:color="auto" w:fill="auto"/>
            <w:vAlign w:val="center"/>
          </w:tcPr>
          <w:p>
            <w:pPr>
              <w:widowControl/>
              <w:spacing w:line="276"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黑白名单添加方式：</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支持通过填写文件MD5、SHA1值上传；支持通过导入文件的方式上传，适合黑白名单较多的情况；支持根据客户端上报的扫描结果添加黑白名单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8" w:type="pct"/>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实时防护</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文件实时监控：针对文件复制粘贴、移动、重命名等操作实时监控，发现威胁文件及时告警并隔离；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监控文件执行操作，发现有恶意进程启动时，及时告警并拦截阻止程序运行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查杀方式</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支持文件监控、文件右键手动扫描、定时扫描，以及全盘扫描、快速扫描和自定义扫描等，对恶意代码进行清除、删除，并支持备份。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病毒扫描策略</w:t>
            </w: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扫描类型设定：支持扫描所有文件、仅扫描程序及文档文件选择；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病毒发现处理：发现病毒时处理方式可选择杀毒软件自动处理病毒，也可选择用户选择处理；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资源占用选择：终端病毒扫描时，资源占用选择不限制、低资源、平衡型；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定时扫描查杀</w:t>
            </w: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定时扫描开启：支持定时扫描查杀的启用和关闭；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扫描类型设定：支持全盘扫描和快速扫描选择；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扫描频率设定：支持日、周、月的方式设定扫描周期频率；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扫描时间设定：支持定时扫描执行时间点的设定；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多定时任务：支持在策略中定义多个定时查杀任务；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终端用户策略锁定</w:t>
            </w: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实时防护锁定：实时防护是否允许终端用户开启或关闭；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扫描任务锁定：扫描时是否允许终端用户暂停、停止扫描任务；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客户端安全防护</w:t>
            </w: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支持客户端杀毒软件防非授权退出和软件自保护，可以做到防止用户私自退出安全防护，防止用户或第三方软件对安全防护软件的强退破坏（投标时提供截图证明材料）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检测能力</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国产专用机终端恶意代码检出率不低于99.5%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误报率</w:t>
            </w:r>
          </w:p>
        </w:tc>
        <w:tc>
          <w:tcPr>
            <w:tcW w:w="4042" w:type="pct"/>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国产专用机终端恶意代码误报率不高于0.1%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58" w:type="pct"/>
            <w:shd w:val="clear" w:color="auto" w:fill="auto"/>
            <w:vAlign w:val="center"/>
          </w:tcPr>
          <w:p>
            <w:pPr>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UKEY绑定</w:t>
            </w:r>
          </w:p>
        </w:tc>
        <w:tc>
          <w:tcPr>
            <w:tcW w:w="4042" w:type="pct"/>
            <w:shd w:val="clear" w:color="auto" w:fill="auto"/>
            <w:vAlign w:val="center"/>
          </w:tcPr>
          <w:p>
            <w:pPr>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支持对UKEY进行远程绑定，绑定无需插入UKEY，即可绑定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UKEY登录</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支持多对多登录，即一个用户可以登录多台终端设备，以及多个设备的多个用户；不同用户也可以支持登录同一个终端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进程性能监控</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可以通过设定阈值和指定进程的方式，监控终端进程的性能信息，服务进程设定的时间周期内满负荷占用CPU及内存资源时，上报审计信息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修复类型</w:t>
            </w:r>
          </w:p>
        </w:tc>
        <w:tc>
          <w:tcPr>
            <w:tcW w:w="4042"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要求产品具有定时修复漏洞功能，同时可以设置筛选高危漏洞、功能性补丁等修复类型；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漏洞编号查询</w:t>
            </w:r>
          </w:p>
        </w:tc>
        <w:tc>
          <w:tcPr>
            <w:tcW w:w="4042" w:type="pct"/>
            <w:shd w:val="clear" w:color="auto" w:fill="auto"/>
            <w:noWrap/>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支持按CVE编号查询漏洞，支持按KB或KYSA补丁号查询漏洞，管理员可快速关注高危漏洞，查看漏洞修复情况，如果还有未修复的终端则可立即下发修复任务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58"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销售许可证</w:t>
            </w:r>
          </w:p>
        </w:tc>
        <w:tc>
          <w:tcPr>
            <w:tcW w:w="4042"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提供公安部颁发的《计算机信息系统安全专用产品销售许可证》网络版防病毒（一级品）内网主机监测（一级）资质证书。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restar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检验报告</w:t>
            </w:r>
          </w:p>
        </w:tc>
        <w:tc>
          <w:tcPr>
            <w:tcW w:w="4042"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提供国家计算机病毒应急处理中心颁发的防病毒产品检验报告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提供公安部颁发的内网主机检测检验报告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restar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兼容性证明</w:t>
            </w:r>
          </w:p>
          <w:p>
            <w:pPr>
              <w:pStyle w:val="11"/>
              <w:ind w:firstLine="0"/>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（投标时提供相关证明材料）</w:t>
            </w:r>
          </w:p>
        </w:tc>
        <w:tc>
          <w:tcPr>
            <w:tcW w:w="4042"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提供产品与UOS操作系统的互相认证证明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noWrap/>
            <w:vAlign w:val="center"/>
          </w:tcPr>
          <w:p>
            <w:pPr>
              <w:widowControl/>
              <w:spacing w:line="276" w:lineRule="auto"/>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noWrap/>
            <w:vAlign w:val="center"/>
          </w:tcPr>
          <w:p>
            <w:pPr>
              <w:widowControl/>
              <w:spacing w:line="276" w:lineRule="auto"/>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银河麒麟桌面操作系统V10兼容证书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厂商资质（投标时提供相关证明材料）</w:t>
            </w:r>
          </w:p>
        </w:tc>
        <w:tc>
          <w:tcPr>
            <w:tcW w:w="4042"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厂商具备</w:t>
            </w:r>
            <w:r>
              <w:rPr>
                <w:rFonts w:ascii="宋体" w:hAnsi="宋体" w:cs="宋体"/>
                <w:color w:val="auto"/>
                <w:kern w:val="0"/>
                <w:sz w:val="24"/>
                <w:highlight w:val="none"/>
              </w:rPr>
              <w:t>CCRC信息安全服务资质-安全运维服务资质(一级)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厂商为CNCERT反网络诈骗领域应急服务支撑单位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厂商为</w:t>
            </w:r>
            <w:r>
              <w:rPr>
                <w:rFonts w:ascii="宋体" w:hAnsi="宋体" w:cs="宋体"/>
                <w:color w:val="auto"/>
                <w:kern w:val="0"/>
                <w:sz w:val="24"/>
                <w:highlight w:val="none"/>
              </w:rPr>
              <w:t>CNCERT网络安全应急服务支撑单位（国家级）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厂商要求为“信息安全等级保护关键技术国家工程实验室”理事单位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58" w:type="pct"/>
            <w:vMerge w:val="continue"/>
            <w:shd w:val="clear" w:color="auto" w:fill="auto"/>
            <w:vAlign w:val="center"/>
          </w:tcPr>
          <w:p>
            <w:pPr>
              <w:widowControl/>
              <w:spacing w:line="276" w:lineRule="auto"/>
              <w:jc w:val="left"/>
              <w:rPr>
                <w:rFonts w:ascii="宋体" w:hAnsi="宋体" w:cs="宋体"/>
                <w:color w:val="auto"/>
                <w:kern w:val="0"/>
                <w:sz w:val="24"/>
                <w:highlight w:val="none"/>
              </w:rPr>
            </w:pPr>
          </w:p>
        </w:tc>
        <w:tc>
          <w:tcPr>
            <w:tcW w:w="4042"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设备厂商具备国家信息安全测评授权单位（注册信息安全人员培训机构）</w:t>
            </w:r>
          </w:p>
        </w:tc>
      </w:tr>
    </w:tbl>
    <w:p>
      <w:pPr>
        <w:pStyle w:val="7"/>
        <w:spacing w:before="120" w:after="0" w:line="360" w:lineRule="auto"/>
        <w:ind w:firstLine="149" w:firstLineChars="62"/>
        <w:rPr>
          <w:rFonts w:ascii="宋体" w:hAnsi="宋体"/>
          <w:color w:val="auto"/>
          <w:sz w:val="24"/>
          <w:szCs w:val="24"/>
          <w:highlight w:val="none"/>
        </w:rPr>
      </w:pPr>
      <w:r>
        <w:rPr>
          <w:rFonts w:hint="eastAsia" w:ascii="宋体" w:hAnsi="宋体"/>
          <w:color w:val="auto"/>
          <w:sz w:val="24"/>
          <w:szCs w:val="24"/>
          <w:highlight w:val="none"/>
        </w:rPr>
        <w:t>杀毒软件（非国产）</w:t>
      </w:r>
    </w:p>
    <w:tbl>
      <w:tblPr>
        <w:tblStyle w:val="28"/>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59" w:type="pct"/>
            <w:shd w:val="clear" w:color="000000" w:fill="auto"/>
            <w:vAlign w:val="center"/>
          </w:tcPr>
          <w:p>
            <w:pPr>
              <w:spacing w:line="276" w:lineRule="auto"/>
              <w:rPr>
                <w:rFonts w:ascii="宋体" w:hAnsi="宋体"/>
                <w:b/>
                <w:bCs/>
                <w:color w:val="auto"/>
                <w:sz w:val="24"/>
                <w:highlight w:val="none"/>
              </w:rPr>
            </w:pPr>
            <w:r>
              <w:rPr>
                <w:rFonts w:hint="eastAsia" w:ascii="宋体" w:hAnsi="宋体" w:cs="宋体"/>
                <w:b/>
                <w:bCs/>
                <w:color w:val="auto"/>
                <w:kern w:val="0"/>
                <w:sz w:val="24"/>
                <w:highlight w:val="none"/>
              </w:rPr>
              <w:t>指标项</w:t>
            </w:r>
          </w:p>
        </w:tc>
        <w:tc>
          <w:tcPr>
            <w:tcW w:w="4041" w:type="pct"/>
            <w:shd w:val="clear" w:color="000000" w:fill="auto"/>
            <w:vAlign w:val="center"/>
          </w:tcPr>
          <w:p>
            <w:pPr>
              <w:spacing w:line="276" w:lineRule="auto"/>
              <w:rPr>
                <w:rFonts w:ascii="宋体" w:hAnsi="宋体"/>
                <w:b/>
                <w:bCs/>
                <w:color w:val="auto"/>
                <w:sz w:val="24"/>
                <w:highlight w:val="none"/>
              </w:rPr>
            </w:pPr>
            <w:r>
              <w:rPr>
                <w:rFonts w:hint="eastAsia" w:ascii="宋体" w:hAnsi="宋体" w:cs="宋体"/>
                <w:b/>
                <w:bCs/>
                <w:color w:val="auto"/>
                <w:kern w:val="0"/>
                <w:sz w:val="24"/>
                <w:highlight w:val="none"/>
              </w:rPr>
              <w:t>功能及技术参数，标</w:t>
            </w:r>
            <w:r>
              <w:rPr>
                <w:rFonts w:hint="eastAsia" w:ascii="宋体" w:hAnsi="宋体" w:cs="宋体"/>
                <w:b/>
                <w:bCs/>
                <w:color w:val="auto"/>
                <w:kern w:val="0"/>
                <w:sz w:val="24"/>
                <w:highlight w:val="none"/>
                <w:lang w:eastAsia="zh-CN"/>
              </w:rPr>
              <w:t>▲为实质性参数</w:t>
            </w:r>
            <w:r>
              <w:rPr>
                <w:rFonts w:hint="eastAsia" w:ascii="宋体" w:hAnsi="宋体" w:cs="宋体"/>
                <w:b/>
                <w:bCs/>
                <w:color w:val="auto"/>
                <w:kern w:val="0"/>
                <w:sz w:val="24"/>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59" w:type="pct"/>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控制中心要求</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控制中心支持级联方式和单一部署两种方式，控制中心根据客户端点数的增加支持横向扩展，操作系统支持Windows Server 2008 R2/2012/2012 R2/2016的64位版本（简体中文版）；支持CentOS 7、Redhat 7等Linux系统；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控制中心支持安装在虚拟机上；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客户端要求</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操作系统：Windows XP_SP3及以上/Windows Vista/Windows 7/Windows 8/Windows 10；Windows Server 2008/Windows Server 2012/Windows Server 2016/Windows Server 2019；macOS X 10.11/macOS X 10.12/macOS X 10.13/macOS X 10.14/macOS X 10.15/macOS X 10.16/macOS X 11.0；CentOS 5~8/Red Hat Enterprise Linux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rPr>
              <w:t>终端许可管理</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本次配置1套非国产管理端，</w:t>
            </w:r>
            <w:r>
              <w:rPr>
                <w:rFonts w:ascii="宋体" w:hAnsi="宋体" w:cs="宋体"/>
                <w:color w:val="auto"/>
                <w:kern w:val="0"/>
                <w:sz w:val="24"/>
                <w:highlight w:val="none"/>
              </w:rPr>
              <w:t>50</w:t>
            </w:r>
            <w:r>
              <w:rPr>
                <w:rFonts w:hint="eastAsia" w:ascii="宋体" w:hAnsi="宋体" w:cs="宋体"/>
                <w:color w:val="auto"/>
                <w:kern w:val="0"/>
                <w:sz w:val="24"/>
                <w:highlight w:val="none"/>
              </w:rPr>
              <w:t>个非国产终端</w:t>
            </w:r>
            <w:r>
              <w:rPr>
                <w:rFonts w:ascii="宋体" w:hAnsi="宋体" w:cs="宋体"/>
                <w:color w:val="auto"/>
                <w:kern w:val="0"/>
                <w:sz w:val="24"/>
                <w:highlight w:val="none"/>
              </w:rPr>
              <w:t>授权，3个</w:t>
            </w:r>
            <w:r>
              <w:rPr>
                <w:rFonts w:hint="eastAsia" w:ascii="宋体" w:hAnsi="宋体" w:cs="宋体"/>
                <w:color w:val="auto"/>
                <w:kern w:val="0"/>
                <w:sz w:val="24"/>
                <w:highlight w:val="none"/>
              </w:rPr>
              <w:t>非国产</w:t>
            </w:r>
            <w:r>
              <w:rPr>
                <w:rFonts w:ascii="宋体" w:hAnsi="宋体" w:cs="宋体"/>
                <w:color w:val="auto"/>
                <w:kern w:val="0"/>
                <w:sz w:val="24"/>
                <w:highlight w:val="none"/>
              </w:rPr>
              <w:t>服务器端授权</w:t>
            </w:r>
            <w:r>
              <w:rPr>
                <w:rFonts w:hint="eastAsia" w:ascii="宋体" w:hAnsi="宋体" w:cs="宋体"/>
                <w:color w:val="auto"/>
                <w:kern w:val="0"/>
                <w:sz w:val="24"/>
                <w:highlight w:val="none"/>
              </w:rPr>
              <w:t>，三年病毒库升级服务。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59"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语言要求</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产品全功能支持简体中文/繁体中体/英语自由切换。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9" w:type="pct"/>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控制中心管理</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支持根据分组、计算机名称、IP地址、操作系统、在线状态等条件的组合筛选出符合条件的终端进行管理；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单个页面展示终端部署统计、终端安全趋势、终端状态（文件防护开启率、未安装补丁终端率、终端病毒更新率和终端版本更新率）、终端程序版本、终端在线统计、病毒库版本分布、安全更新和重要补丁安全趋势等信息，均可通过图形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支持定时公告功能，可配置开机显示、周期显示和立即推送。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支持对单个客户端进行维护，终端视角查看终端基本信息，包括计算机名、型号、IP、MAC地址、工作组、域信息、本次开机时间、上次关机时间、应用功能、在线状态；</w:t>
            </w:r>
          </w:p>
          <w:p>
            <w:pPr>
              <w:widowControl/>
              <w:spacing w:line="276"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所功能应用策略情况；</w:t>
            </w:r>
          </w:p>
          <w:p>
            <w:pPr>
              <w:widowControl/>
              <w:spacing w:line="276"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硬件信息展示，包括CPU、主板、内存、磁盘存储、显卡、显示器、声卡、网卡等信息；</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实时进程信息展示，包括进程名称、PID、进程用户名、命令行、占用内存、CPU占用、MD5等信息；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管理控制中心当登录账号输入密码错误次数超过锁定阈值后账号将被锁定，且可设置锁定时间，该时间内账号登录请求不被接受。同时应支持双因子认证登录方式，提高安全性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客户端主程序、病毒库版本支持按分组和多批次进行灰度更新，保持在低风险中完成终端能力更新。支持设置不同终端类型设置和每批次观察时长。当检测到新版本将从第一批次重新观察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支持在线更新病毒库、补丁库、威胁情报等数据，并且支持“按月、按周、按天、按小时”灵活设置更新时间。支持隔离网环境更新数据。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支持文件下载分级缓存，支持下载文件限速和日志上传限速，可设置带宽最大使量和限速时间，避免过多占用网络带宽，影响业务办公。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定义不同权限管理员角色，通过角色能够对有相同权限需求的用户进行授权，达到复用的能力；而对于没有复用的权限，可通过基于规则方式进行授权，支持角色层级管理，可至少达到5级新建角色。简化管理员对角色的管理成本，提高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支持终端用户和管理员是一套账号管理系统，简化账号管理复杂度，一个账号解决所有身份认证，既可以用于终端登录，也可以用于管理管理中心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支持控制中心迁移、数据备份、数据恢复；支持多升级服务器；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支持不同分组，客户端轻量化模式一键切换功能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支持自定义告警规则，例如系统一段时间内病毒和未知文件超过一定数量后会通过邮件发送给收件人查阅。支持邮件和阿里云平台的短信告警通知。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59" w:type="pct"/>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客户端管理</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支持终端密码保护功能，支持终端“防退出”密码保护、“防卸载”密码保护、防安装密码保护。支持设置自我保护功能，可有效防止客户端进程被恶意终止、注入、提高客户端进程、数据、配置的安全性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支持自定义定制客户端标题、皮肤、语言、产品LOGO、企业LOGO、认证弹窗LOGO。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9"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病毒防护概况</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病毒防护概况：终端基础信息、病毒库版本、发现病毒数、未处理病毒数、最后查杀时间、文件防护状态、引擎使用状态、扩展病毒库版本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9"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病毒查杀日志</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病毒防护日志包含：病毒查杀日志、查杀任务日志、攻击防护日志、系统防护日志、按分组、按终端、按时间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9" w:type="pc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病毒防护报表</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病毒报表支持病毒查杀趋势、扫描触发方式趋势、发现病毒趋势、终端感染趋势、病毒类型统计、病毒处理结果统计、病毒发现触、方式统计、趋势图表、按分组、按终端、按病毒名称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pct"/>
            <w:vMerge w:val="restart"/>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黑白名单</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支持手动导入、导出黑白名单，添加黑白名单。支持通过文件导入添加黑白名单。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支持通过文件数字签名添加黑白名单管理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pct"/>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病毒扫描</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支持信任区设置，病毒扫描或实时防护时不扫描目录或文件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病毒扫描支持扫描所有文件和仅扫描程序及文档文件设置，支持对压缩包文件设置最大扫描层数和大小，当发现压缩包内存在病毒时，还需继续扫描压缩包内其他文件。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支持对终端当扫描到感染型病毒、顽固木马时，自动进入深度查模式，可设置禁止终端用户管理路径或文件白名单、禁止终端用户管理扩展名白名单、扫描时不允许终端用户暂停或停止扫描任务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支持对压缩包内的病毒扫描，支持多层压缩包的扫描，可自定义配置压缩包的扫描层数，至少大约10层模式下的扫描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主动防御</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支持对进程防护、注册表防护、驱动防护、U盘安全防护、邮件防护、下载防护、IM防护、局域网文件防护、网页安全防护、勒索软件防护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pct"/>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网络防护</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支持自动阻止远程登录行为，防护黑客远程爆破和拦截恶意的远程登录（投标时提供截图证明材料）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支持网络入侵拦截对流入本机的网络包数据和行为进行检测，根据策略在网络层拦截漏洞攻击、黑客入侵等威胁。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支持僵尸网络攻击防护，对流出本机的网络包数据和行为进行检测，根据策略在网络层拦截后门攻击、C2连接等威胁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支持防护对流出本机的网络包数据和行为进行检测，根据策略在网络层拦截后门攻击、C2连接等威胁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支持ARP攻击防护根据策略检测和拦截局域网中的ARP欺骗攻击行为。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9"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终端病毒处理弹窗</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客户端弹窗支持免打扰模式和智能模式，使用免打扰模式可以对不能弹窗的终端设备中避免弹窗。使用智能模式是智能调整弹窗，对已知的病毒自动处理，对未知的病毒提示处理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杀毒引擎</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支持不少于三个杀毒引擎混合使用，提高病毒检出率（投标时提供截图证明材料）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补丁类型</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支持对Windows操作系统、IE、.NET Framework、Office、Adobe Flash Player、Adobe Acrobat和Adobe Acrobat Reader DC、硬件驱动更新等软件进行补丁修复。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支持精细配置按照操作系统版本修复漏洞，支持精细配置按照Office版本修复漏洞。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9"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灰度发布</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管理员预先设置好灰度发布批次和漏洞修复策略（分时间段、按级别、排除有兼容性问题的补丁等），每当控制台更新补丁库，自动化编排完成漏洞修复——将全网终端划分为由小到大的多个批次，根据企业环境，自动先推送给第一个小批次分组，如无问题自动推送给下一个批次，直到推送给全网。如有问题，只需将有问题的补丁添加到排除列表和卸载已安装的终端即可。整个推送安装过程自动化编排，无需管理员过多参与，只需在有问题时添加排除列表和下发卸载补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漏洞修复设置</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支持开启自动修复漏洞，包括开机时修复，并支持随机延迟执行、间隔修复和按时间段修复，可设置延迟时间、间隔修复时间和修复时间段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支持影响到编辑Office文档时提醒，可取消此次修复任务。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允许终端用户手动修复漏洞，如果发现“修复内容”中设置的需要修复的漏洞和功能缺陷没有修复成功则提醒终端用户修复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补丁日志</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支持展示终端信息、补丁号、补丁级别、补丁类型、安装日期、事件上报时间、事件类型、结果、详细描述。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支持按终端统计补丁安装和生效情况，支持按照终端维度统计，统计每台终端的各个级别的补丁未安装数量，以及已安装、已安装未生效、已排除的总数量，并支持导出统计报表。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基线核查项</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支持终端安全基线检查，可自定义基线检查项，可自定义终端端定性标准，通过基线检查分数设定，定义出高危、中危、低危和安全，同时产品内置等保2.0基线模板（投标时提供截图证明材料）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系统状态基线核查，应包括：是否安装关键和重要系统补丁、是否安装防病毒软件、工作组命名检查、是否加入域、计算计命名检查、系统备份还原点检查、系统重要目录对Everyone或Guests来宾账户开放检查、空口令检查、操作系统是否开启Hardware DEP Available保护检查、系统隐藏用户检查、关键进程是否运行或禁止检查、禁止开放端口检查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访问控制应包括：Guest账户状态、将本地账户使用空白密码限制为仅控制台登录、允许Windows自动边接到建议的开放式热点或与联系人共享的网络以及提供付费服务的热点、允许用户使用远程桌面服务、管理员账户状态、允许ICMP重定向覆盖OSPF生成的路由、检查是否关闭了默认共享、不显示上次登录、清除虚拟内存页面文件、重命名管理员账户、提示用户在密码过期之前更改密码、操作系统UAC用户账户控制是否开启至指定级别、设置活动但空闲的远程桌面服务会话的时间限制、TCP/IP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资源控制应包括：引用远程DNS或NetBIOS名称或地址、远程桌面服务、Remote Procedure Call (RPC) Locator (RpcLocator)、Remote Registry (RemoteRegistry)、Remote Desktop Configuration (SessionEnv)、Remote Desktop Services UserMode Port Redirector (UmRdpService)、Telnet服务器、IE受信任站点检查、Routing and Remote Access (RemoteAccess)、防火墙状态、服务管理事件和事件日志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外设管理</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支持对终端各种外设（USB存储、硬盘、存储卡、光驱、打印机、扫描仪、摄像头、手机、平板等）、接口（USB口、串口、并口、1394、PCMIA）设置使用权限，并支持生效时间设置。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支持外设库管理，可统计终端外接的各种设备，包括厂商和设备类型、产品、数量、PID、VID和设备来源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支持对支持对外设进行多维度的放行，包括设备名称、PID/VID、实例路径，通过添加实现例外或加黑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9"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知识库</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统计终端的出口地址列表，搜集终端连接的无线信号信息统一展示，标识出ssid可连通互联网，可连通服务器的情况，汇总展示内网终端上报的进程信息，支持设置进程匹配规则，其它业务可直接调用创建好的进程规则或者进程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网络防护</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支持对网卡进行防护，支持阻止终端修改IP地址、使用动态IP地址、热点创建和IPV6地址使用等，可自定义提示内容和生效时间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pct"/>
            <w:vMerge w:val="restar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产品资质（投标时提供相关证明材料）</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具备信息技术产品安全测试证书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59" w:type="pct"/>
            <w:vMerge w:val="restar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厂商资质（投标时提供相关证明材料）</w:t>
            </w: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设备厂商具备信息化建设及服务能力评价资质(一级)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厂商为</w:t>
            </w:r>
            <w:r>
              <w:rPr>
                <w:rFonts w:ascii="宋体" w:hAnsi="宋体" w:cs="宋体"/>
                <w:color w:val="auto"/>
                <w:kern w:val="0"/>
                <w:sz w:val="24"/>
                <w:highlight w:val="none"/>
              </w:rPr>
              <w:t>CNCERT网络安全应急服务支撑单位（国家级）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厂商为CNCERT反网络诈骗领域应急服务支撑单位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59" w:type="pct"/>
            <w:vMerge w:val="continue"/>
            <w:vAlign w:val="center"/>
          </w:tcPr>
          <w:p>
            <w:pPr>
              <w:widowControl/>
              <w:spacing w:line="276" w:lineRule="auto"/>
              <w:jc w:val="left"/>
              <w:rPr>
                <w:rFonts w:ascii="宋体" w:hAnsi="宋体" w:cs="宋体"/>
                <w:color w:val="auto"/>
                <w:kern w:val="0"/>
                <w:sz w:val="24"/>
                <w:highlight w:val="none"/>
              </w:rPr>
            </w:pPr>
          </w:p>
        </w:tc>
        <w:tc>
          <w:tcPr>
            <w:tcW w:w="4041" w:type="pct"/>
            <w:shd w:val="clear" w:color="auto" w:fill="auto"/>
            <w:vAlign w:val="center"/>
          </w:tcPr>
          <w:p>
            <w:pPr>
              <w:widowControl/>
              <w:spacing w:line="276" w:lineRule="auto"/>
              <w:jc w:val="left"/>
              <w:rPr>
                <w:rFonts w:ascii="宋体" w:hAnsi="宋体" w:cs="宋体"/>
                <w:color w:val="auto"/>
                <w:kern w:val="0"/>
                <w:sz w:val="24"/>
                <w:highlight w:val="none"/>
              </w:rPr>
            </w:pPr>
          </w:p>
        </w:tc>
      </w:tr>
    </w:tbl>
    <w:p>
      <w:pPr>
        <w:pStyle w:val="7"/>
        <w:spacing w:before="120" w:after="0" w:line="360" w:lineRule="auto"/>
        <w:ind w:firstLine="149" w:firstLineChars="62"/>
        <w:rPr>
          <w:rFonts w:ascii="宋体" w:hAnsi="宋体"/>
          <w:color w:val="auto"/>
          <w:sz w:val="24"/>
          <w:szCs w:val="24"/>
          <w:highlight w:val="none"/>
        </w:rPr>
      </w:pPr>
      <w:r>
        <w:rPr>
          <w:rFonts w:hint="eastAsia" w:ascii="宋体" w:hAnsi="宋体"/>
          <w:color w:val="auto"/>
          <w:sz w:val="24"/>
          <w:szCs w:val="24"/>
          <w:highlight w:val="none"/>
        </w:rPr>
        <w:t>杀毒软件服务器</w:t>
      </w:r>
    </w:p>
    <w:tbl>
      <w:tblPr>
        <w:tblStyle w:val="2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9" w:type="pct"/>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指标项</w:t>
            </w:r>
          </w:p>
        </w:tc>
        <w:tc>
          <w:tcPr>
            <w:tcW w:w="3991" w:type="pct"/>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功能及技术参数，标</w:t>
            </w:r>
            <w:r>
              <w:rPr>
                <w:rFonts w:hint="eastAsia" w:ascii="宋体" w:hAnsi="宋体" w:cs="宋体"/>
                <w:b/>
                <w:bCs/>
                <w:color w:val="auto"/>
                <w:kern w:val="0"/>
                <w:sz w:val="24"/>
                <w:highlight w:val="none"/>
                <w:lang w:eastAsia="zh-CN"/>
              </w:rPr>
              <w:t>▲为实质性参数</w:t>
            </w:r>
            <w:r>
              <w:rPr>
                <w:rFonts w:hint="eastAsia" w:ascii="宋体" w:hAnsi="宋体" w:cs="宋体"/>
                <w:b/>
                <w:bCs/>
                <w:color w:val="auto"/>
                <w:kern w:val="0"/>
                <w:sz w:val="24"/>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9" w:type="pct"/>
            <w:noWrap/>
            <w:vAlign w:val="center"/>
          </w:tcPr>
          <w:p>
            <w:pPr>
              <w:widowControl/>
              <w:spacing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▲硬件平台</w:t>
            </w:r>
          </w:p>
        </w:tc>
        <w:tc>
          <w:tcPr>
            <w:tcW w:w="3991" w:type="pct"/>
            <w:vAlign w:val="center"/>
          </w:tcPr>
          <w:p>
            <w:pPr>
              <w:widowControl/>
              <w:spacing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要求产品必须在信创名录内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9" w:type="pct"/>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品牌</w:t>
            </w:r>
          </w:p>
        </w:tc>
        <w:tc>
          <w:tcPr>
            <w:tcW w:w="3991" w:type="pc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国内知名品牌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9" w:type="pct"/>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服务器外观</w:t>
            </w:r>
          </w:p>
        </w:tc>
        <w:tc>
          <w:tcPr>
            <w:tcW w:w="3991" w:type="pc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≥2U机架式并提供机架安装套件；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09" w:type="pct"/>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CPU </w:t>
            </w:r>
          </w:p>
        </w:tc>
        <w:tc>
          <w:tcPr>
            <w:tcW w:w="3991" w:type="pc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配置≥1颗FT-2000+ 64核处理器，单核主频2.2GHz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09" w:type="pct"/>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内存</w:t>
            </w:r>
          </w:p>
        </w:tc>
        <w:tc>
          <w:tcPr>
            <w:tcW w:w="3991" w:type="pc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≥8个DDR4内存槽位，配置≥2*64GB DDR4  RDIMM ECC内存；最大可扩展≥256GB内存；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9" w:type="pct"/>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硬盘</w:t>
            </w:r>
          </w:p>
        </w:tc>
        <w:tc>
          <w:tcPr>
            <w:tcW w:w="3991" w:type="pc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配置≥2个2TB 7200RPM SATA和1个</w:t>
            </w:r>
            <w:r>
              <w:rPr>
                <w:rFonts w:ascii="宋体" w:hAnsi="宋体" w:cs="宋体"/>
                <w:color w:val="auto"/>
                <w:kern w:val="0"/>
                <w:sz w:val="24"/>
                <w:highlight w:val="none"/>
              </w:rPr>
              <w:t>512</w:t>
            </w:r>
            <w:r>
              <w:rPr>
                <w:rFonts w:hint="eastAsia" w:ascii="宋体" w:hAnsi="宋体" w:cs="宋体"/>
                <w:color w:val="auto"/>
                <w:kern w:val="0"/>
                <w:sz w:val="24"/>
                <w:highlight w:val="none"/>
              </w:rPr>
              <w:t>G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9" w:type="pct"/>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RAID卡</w:t>
            </w:r>
          </w:p>
        </w:tc>
        <w:tc>
          <w:tcPr>
            <w:tcW w:w="3991" w:type="pc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支持RAID 0/1/5/10/50，支持Cache超级电容保护，支持RAID级别迁移、自诊断、Web远程设置等功能；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009" w:type="pct"/>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以太网卡端口</w:t>
            </w:r>
          </w:p>
        </w:tc>
        <w:tc>
          <w:tcPr>
            <w:tcW w:w="3991" w:type="pc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配置≥</w:t>
            </w:r>
            <w:r>
              <w:rPr>
                <w:rFonts w:ascii="宋体" w:hAnsi="宋体" w:cs="宋体"/>
                <w:color w:val="auto"/>
                <w:kern w:val="0"/>
                <w:sz w:val="24"/>
                <w:highlight w:val="none"/>
              </w:rPr>
              <w:t>2</w:t>
            </w:r>
            <w:r>
              <w:rPr>
                <w:rFonts w:hint="eastAsia" w:ascii="宋体" w:hAnsi="宋体" w:cs="宋体"/>
                <w:color w:val="auto"/>
                <w:kern w:val="0"/>
                <w:sz w:val="24"/>
                <w:highlight w:val="none"/>
              </w:rPr>
              <w:t>个自适应千兆以太网接口（RJ45）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9" w:type="pct"/>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其他接口</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配置</w:t>
            </w:r>
          </w:p>
        </w:tc>
        <w:tc>
          <w:tcPr>
            <w:tcW w:w="3991" w:type="pc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机箱外部≥6个USB 3.0接口、1个RJ45 BMC专用管理接口、一个COM接口和1个VGA接口；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09" w:type="pct"/>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PCIe插槽配置</w:t>
            </w:r>
          </w:p>
        </w:tc>
        <w:tc>
          <w:tcPr>
            <w:tcW w:w="3991" w:type="pc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可支持≥5个PCIe X8扩展插槽；可支持≥2个PCIe X16扩展插槽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9" w:type="pct"/>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电源</w:t>
            </w:r>
          </w:p>
        </w:tc>
        <w:tc>
          <w:tcPr>
            <w:tcW w:w="3991" w:type="pc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可选550W/800W 80plus铂金1+1冗余电源，配置550W 80plus铂金1+1冗余电源；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9" w:type="pct"/>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操作系统</w:t>
            </w:r>
          </w:p>
        </w:tc>
        <w:tc>
          <w:tcPr>
            <w:tcW w:w="3991" w:type="pc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提供并安装银河麒麟操作系统；</w:t>
            </w:r>
          </w:p>
        </w:tc>
      </w:tr>
    </w:tbl>
    <w:p>
      <w:pPr>
        <w:pStyle w:val="7"/>
        <w:spacing w:before="120" w:after="0" w:line="360" w:lineRule="auto"/>
        <w:ind w:firstLine="149" w:firstLineChars="62"/>
        <w:rPr>
          <w:rFonts w:ascii="宋体" w:hAnsi="宋体"/>
          <w:color w:val="auto"/>
          <w:sz w:val="24"/>
          <w:szCs w:val="24"/>
          <w:highlight w:val="none"/>
        </w:rPr>
      </w:pPr>
      <w:r>
        <w:rPr>
          <w:rFonts w:hint="eastAsia" w:ascii="宋体" w:hAnsi="宋体"/>
          <w:color w:val="auto"/>
          <w:sz w:val="24"/>
          <w:szCs w:val="24"/>
          <w:highlight w:val="none"/>
        </w:rPr>
        <w:t>堡垒机运维审计</w:t>
      </w:r>
    </w:p>
    <w:tbl>
      <w:tblPr>
        <w:tblStyle w:val="2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6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tcBorders>
              <w:bottom w:val="single" w:color="auto" w:sz="4" w:space="0"/>
            </w:tcBorders>
            <w:shd w:val="clear" w:color="000000" w:fill="BFBFBF"/>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指标项</w:t>
            </w:r>
          </w:p>
        </w:tc>
        <w:tc>
          <w:tcPr>
            <w:tcW w:w="6845" w:type="dxa"/>
            <w:tcBorders>
              <w:bottom w:val="single" w:color="auto" w:sz="4" w:space="0"/>
            </w:tcBorders>
            <w:shd w:val="clear" w:color="000000" w:fill="BFBFBF"/>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功能及技术参数，标</w:t>
            </w:r>
            <w:r>
              <w:rPr>
                <w:rFonts w:hint="eastAsia" w:ascii="宋体" w:hAnsi="宋体" w:cs="宋体"/>
                <w:b/>
                <w:bCs/>
                <w:color w:val="auto"/>
                <w:kern w:val="0"/>
                <w:sz w:val="24"/>
                <w:highlight w:val="none"/>
                <w:lang w:eastAsia="zh-CN"/>
              </w:rPr>
              <w:t>▲为实质性参数</w:t>
            </w:r>
            <w:r>
              <w:rPr>
                <w:rFonts w:hint="eastAsia" w:ascii="宋体" w:hAnsi="宋体" w:cs="宋体"/>
                <w:b/>
                <w:bCs/>
                <w:color w:val="auto"/>
                <w:kern w:val="0"/>
                <w:sz w:val="24"/>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shd w:val="clear" w:color="000000" w:fill="FFFFFF" w:themeFill="background1"/>
            <w:vAlign w:val="center"/>
          </w:tcPr>
          <w:p>
            <w:pPr>
              <w:widowControl/>
              <w:spacing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▲硬件平台</w:t>
            </w:r>
          </w:p>
        </w:tc>
        <w:tc>
          <w:tcPr>
            <w:tcW w:w="6845" w:type="dxa"/>
            <w:shd w:val="clear" w:color="000000" w:fill="FFFFFF" w:themeFill="background1"/>
            <w:vAlign w:val="center"/>
          </w:tcPr>
          <w:p>
            <w:pPr>
              <w:widowControl/>
              <w:spacing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要求产品必须在信创名录内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restart"/>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整体要求</w:t>
            </w: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系统应为2U标准式机架硬件设备，全内置封闭式结构，CPU采用飞腾FT-1500A/16（1.5GHz，16核），操作系统采用银河麒麟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交流双电源, ≥1个管理口，≥1个HA口，≥6个千兆电口，≥4个千兆光口，≥2个万兆光口，内存≥32G；配置授权管理≥30台设备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设备带液晶屏，可以查看设备的相关信息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硬盘存储空间≥1</w:t>
            </w:r>
            <w:r>
              <w:rPr>
                <w:rFonts w:ascii="宋体" w:hAnsi="宋体" w:cs="宋体"/>
                <w:color w:val="auto"/>
                <w:kern w:val="0"/>
                <w:sz w:val="24"/>
                <w:highlight w:val="none"/>
              </w:rPr>
              <w:t>28G+</w:t>
            </w:r>
            <w:r>
              <w:rPr>
                <w:rFonts w:hint="eastAsia" w:ascii="宋体" w:hAnsi="宋体" w:cs="宋体"/>
                <w:color w:val="auto"/>
                <w:kern w:val="0"/>
                <w:sz w:val="24"/>
                <w:highlight w:val="none"/>
              </w:rPr>
              <w:t>4T, 最大可管理设备数≥7000台；图形并发会话数≥300个,字符并发会话数≥300个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restar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功能要求</w:t>
            </w: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支持IP和端口DNAT网络环境部署，通过映射后的IP和端口信息能够访问堡垒机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支持域名方式web访问到堡垒机，并支持托管设备运维操作；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除用户身份认证外，对特定目标设备访问还需要高级管理员授权才能访问。授权审批方式支持web审批；投标时提供截图证明材料</w:t>
            </w:r>
          </w:p>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除用户身份认证外，对特定命令的执行需要更高级管理员授权才能执行。授权审批方式支持web操作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产品支持SSH(V1、V2)、TELNET、RDP、VNC、X11、FTP、SFTP；支持文件共享；可支持RDP、VNC的客户端直接访问堡垒机，支持FTP客户端Wincp直接访问堡垒机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支持自动发现运维人员运维过程中创建的后门账号行为，并以列表方式向设备管理员展示托管设备中所有的后门账号信息。投标时提供截图证明材料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支持自动发现运维人员离职后遗留不用僵尸账号，并以列表方式向管理员展示托管设备中所有的僵尸账号，支持自定义未使用天数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支持自动发现托管设备中长时间不被运维的僵尸设备，并以列表方式向管理员展示僵尸设备，支持自定义未访问天数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支持数据库审计功能，堡垒机以录屏加独立S</w:t>
            </w:r>
            <w:r>
              <w:rPr>
                <w:rFonts w:ascii="宋体" w:hAnsi="宋体" w:cs="宋体"/>
                <w:color w:val="auto"/>
                <w:kern w:val="0"/>
                <w:sz w:val="24"/>
                <w:highlight w:val="none"/>
              </w:rPr>
              <w:t>QL</w:t>
            </w:r>
            <w:r>
              <w:rPr>
                <w:rFonts w:hint="eastAsia" w:ascii="宋体" w:hAnsi="宋体" w:cs="宋体"/>
                <w:color w:val="auto"/>
                <w:kern w:val="0"/>
                <w:sz w:val="24"/>
                <w:highlight w:val="none"/>
              </w:rPr>
              <w:t>命令的形式审计运维人员的操作能够准确快速的定位数据库语句执行的状态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支持HTTP、HTTPS操作审计，HTTP/HTTPS协议可以直接代理。可控制用户访问web服务器的url地址，可控制用户上传/下载文件到web服务器。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支持客户端访问方式运维设备：支持通过SecurCRT、Putty等常用的命令行客户端工具登录堡垒机并访问目标设备，并支持会话克隆；支客户端程序一键快速访问目标托管设备进行运维；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支持本地文件客户端程序，如winscp,xftp等客户端直接访问堡垒机选取托管设备进行运维；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支持对运维操作行为进行记录，包括访问起始和终止时间、用户名、用户IP地址、目标设备IP、设备名称、协议类型、事件等级及操作内容回放。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堡垒机可以按时间、统计单位、服务类型、用户（用户组）、设备（设备组）及各类子报表类型定制报表，报表支持Word、excel格式导出；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管理员可以统计出某段时间内，高危命令执行的情况；针对被审计对象可以统计出用户信息、设备信息，统计结果支持excle方式导出。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提供周期生成报表，用于审计或者上报，提供给用户按照自定义规则自动周期生成报表的功能。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目标设备登录方式支持自动登录：运维人员不必知道目标设备帐号及密码，无需进行二次登录认证，实现单点登录；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目标设备登录方式支持手工登录：运维人员每次通过堡垒机登录目标设备都需要手工输入目标设备用户名密码；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目标设备登录方式支持半自动登录：即第一次登录目标设备时运维人员需手工输入目标设备帐号和密码并允许堡垒机保存该帐号密码，运维人员在后期登录时即可实现自动登录目标设备。投标时提供截图证明材料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支持批量导入/导出/修改目标设备信息。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支持定期自动修改目标设备密码功能。设备管理员可以按条件生成该设备的改密历史报告。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支持自动填写特权密码，从普通管理模式进入到特权模式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支持实时监控通过SSH、SFTP、RDP、VNC 、Telnet、FTP、X11等协议的操作行为；对监控到的非法操作，可实时手工切断。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0"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产品资质要求</w:t>
            </w:r>
          </w:p>
        </w:tc>
        <w:tc>
          <w:tcPr>
            <w:tcW w:w="6845" w:type="dxa"/>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。通过全球IPv6测试中心IPv6 Ready Logo测试认证。拥有信息技术产品安全测评证书（分级评估证书EAL3+）。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60" w:type="dxa"/>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厂商资质</w:t>
            </w:r>
          </w:p>
        </w:tc>
        <w:tc>
          <w:tcPr>
            <w:tcW w:w="6845" w:type="dxa"/>
            <w:shd w:val="clear" w:color="auto" w:fill="auto"/>
            <w:vAlign w:val="bottom"/>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CNCERT网络安全应急服务支撑单位（国家级），投标时提供证书复印件及官网截图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shd w:val="clear" w:color="auto" w:fill="auto"/>
            <w:vAlign w:val="bottom"/>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国家信息安全测评信息安全服务资质证书-安全开发类（二级），投标时提供证书复印件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shd w:val="clear" w:color="auto" w:fill="auto"/>
            <w:vAlign w:val="bottom"/>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厂商须证明通过软件能力成熟度CMMI Level 5 (V2.0)认证。</w:t>
            </w:r>
          </w:p>
        </w:tc>
      </w:tr>
    </w:tbl>
    <w:p>
      <w:pPr>
        <w:pStyle w:val="7"/>
        <w:spacing w:before="120" w:after="0" w:line="360" w:lineRule="auto"/>
        <w:ind w:firstLine="149" w:firstLineChars="62"/>
        <w:rPr>
          <w:rFonts w:ascii="宋体" w:hAnsi="宋体"/>
          <w:color w:val="auto"/>
          <w:sz w:val="24"/>
          <w:szCs w:val="24"/>
          <w:highlight w:val="none"/>
        </w:rPr>
      </w:pPr>
      <w:r>
        <w:rPr>
          <w:rFonts w:hint="eastAsia" w:ascii="宋体" w:hAnsi="宋体"/>
          <w:color w:val="auto"/>
          <w:sz w:val="24"/>
          <w:szCs w:val="24"/>
          <w:highlight w:val="none"/>
        </w:rPr>
        <w:t>数据库审计系统</w:t>
      </w:r>
    </w:p>
    <w:tbl>
      <w:tblPr>
        <w:tblStyle w:val="2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6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660"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指标项</w:t>
            </w: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功能及技术参数，标</w:t>
            </w:r>
            <w:r>
              <w:rPr>
                <w:rFonts w:hint="eastAsia" w:ascii="宋体" w:hAnsi="宋体" w:cs="宋体"/>
                <w:b/>
                <w:bCs/>
                <w:color w:val="auto"/>
                <w:kern w:val="0"/>
                <w:sz w:val="24"/>
                <w:highlight w:val="none"/>
                <w:lang w:eastAsia="zh-CN"/>
              </w:rPr>
              <w:t>▲为实质性参数</w:t>
            </w:r>
            <w:r>
              <w:rPr>
                <w:rFonts w:hint="eastAsia" w:ascii="宋体" w:hAnsi="宋体" w:cs="宋体"/>
                <w:b/>
                <w:bCs/>
                <w:color w:val="auto"/>
                <w:kern w:val="0"/>
                <w:sz w:val="24"/>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660" w:type="dxa"/>
            <w:vAlign w:val="center"/>
          </w:tcPr>
          <w:p>
            <w:pPr>
              <w:widowControl/>
              <w:spacing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▲硬件平台</w:t>
            </w:r>
          </w:p>
        </w:tc>
        <w:tc>
          <w:tcPr>
            <w:tcW w:w="6845" w:type="dxa"/>
            <w:vAlign w:val="center"/>
          </w:tcPr>
          <w:p>
            <w:pPr>
              <w:widowControl/>
              <w:spacing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要求产品必须在信创名录内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660" w:type="dxa"/>
            <w:vMerge w:val="restart"/>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设备要求</w:t>
            </w: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2U标准机架式硬件设备，全内置封闭式结构， CPU采用国产化飞腾</w:t>
            </w:r>
            <w:r>
              <w:rPr>
                <w:rFonts w:ascii="宋体" w:hAnsi="宋体" w:cs="宋体"/>
                <w:color w:val="auto"/>
                <w:kern w:val="0"/>
                <w:sz w:val="24"/>
                <w:highlight w:val="none"/>
              </w:rPr>
              <w:t>FT-1500A/16</w:t>
            </w:r>
            <w:r>
              <w:rPr>
                <w:rFonts w:hint="eastAsia" w:ascii="宋体" w:hAnsi="宋体" w:cs="宋体"/>
                <w:color w:val="auto"/>
                <w:kern w:val="0"/>
                <w:sz w:val="24"/>
                <w:highlight w:val="none"/>
              </w:rPr>
              <w:t>（1</w:t>
            </w:r>
            <w:r>
              <w:rPr>
                <w:rFonts w:ascii="宋体" w:hAnsi="宋体" w:cs="宋体"/>
                <w:color w:val="auto"/>
                <w:kern w:val="0"/>
                <w:sz w:val="24"/>
                <w:highlight w:val="none"/>
              </w:rPr>
              <w:t>.5GH</w:t>
            </w:r>
            <w:r>
              <w:rPr>
                <w:rFonts w:hint="eastAsia" w:ascii="宋体" w:hAnsi="宋体" w:cs="宋体"/>
                <w:color w:val="auto"/>
                <w:kern w:val="0"/>
                <w:sz w:val="24"/>
                <w:highlight w:val="none"/>
              </w:rPr>
              <w:t>z，1</w:t>
            </w:r>
            <w:r>
              <w:rPr>
                <w:rFonts w:ascii="宋体" w:hAnsi="宋体" w:cs="宋体"/>
                <w:color w:val="auto"/>
                <w:kern w:val="0"/>
                <w:sz w:val="24"/>
                <w:highlight w:val="none"/>
              </w:rPr>
              <w:t>6</w:t>
            </w:r>
            <w:r>
              <w:rPr>
                <w:rFonts w:hint="eastAsia" w:ascii="宋体" w:hAnsi="宋体" w:cs="宋体"/>
                <w:color w:val="auto"/>
                <w:kern w:val="0"/>
                <w:sz w:val="24"/>
                <w:highlight w:val="none"/>
              </w:rPr>
              <w:t>核），操作系统采用银河麒麟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千兆管理口≥</w:t>
            </w:r>
            <w:r>
              <w:rPr>
                <w:rFonts w:ascii="宋体" w:hAnsi="宋体" w:cs="宋体"/>
                <w:color w:val="auto"/>
                <w:kern w:val="0"/>
                <w:sz w:val="24"/>
                <w:highlight w:val="none"/>
              </w:rPr>
              <w:t>2</w:t>
            </w:r>
            <w:r>
              <w:rPr>
                <w:rFonts w:hint="eastAsia" w:ascii="宋体" w:hAnsi="宋体" w:cs="宋体"/>
                <w:color w:val="auto"/>
                <w:kern w:val="0"/>
                <w:sz w:val="24"/>
                <w:highlight w:val="none"/>
              </w:rPr>
              <w:t>个，千兆电口≥</w:t>
            </w:r>
            <w:r>
              <w:rPr>
                <w:rFonts w:ascii="宋体" w:hAnsi="宋体" w:cs="宋体"/>
                <w:color w:val="auto"/>
                <w:kern w:val="0"/>
                <w:sz w:val="24"/>
                <w:highlight w:val="none"/>
              </w:rPr>
              <w:t>6</w:t>
            </w:r>
            <w:r>
              <w:rPr>
                <w:rFonts w:hint="eastAsia" w:ascii="宋体" w:hAnsi="宋体" w:cs="宋体"/>
                <w:color w:val="auto"/>
                <w:kern w:val="0"/>
                <w:sz w:val="24"/>
                <w:highlight w:val="none"/>
              </w:rPr>
              <w:t>个,千兆光口≥4个,万兆光口≥</w:t>
            </w:r>
            <w:r>
              <w:rPr>
                <w:rFonts w:ascii="宋体" w:hAnsi="宋体" w:cs="宋体"/>
                <w:color w:val="auto"/>
                <w:kern w:val="0"/>
                <w:sz w:val="24"/>
                <w:highlight w:val="none"/>
              </w:rPr>
              <w:t>2</w:t>
            </w:r>
            <w:r>
              <w:rPr>
                <w:rFonts w:hint="eastAsia" w:ascii="宋体" w:hAnsi="宋体" w:cs="宋体"/>
                <w:color w:val="auto"/>
                <w:kern w:val="0"/>
                <w:sz w:val="24"/>
                <w:highlight w:val="none"/>
              </w:rPr>
              <w:t>个,扩展槽位≥5；内存≥</w:t>
            </w:r>
            <w:r>
              <w:rPr>
                <w:rFonts w:ascii="宋体" w:hAnsi="宋体" w:cs="宋体"/>
                <w:color w:val="auto"/>
                <w:kern w:val="0"/>
                <w:sz w:val="24"/>
                <w:highlight w:val="none"/>
              </w:rPr>
              <w:t>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存储空间≥1T+ 128G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60"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产品性能</w:t>
            </w: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SQL处理性能≥40000条/秒，纯数据库网络吞吐量≥400Mbps，在线日志量4亿条以上，归档日志量15亿条以上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660"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部署方式</w:t>
            </w: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设备支持旁路模式部署，通过端口镜像方式对数据库流量进行审计和告警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660"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数据库类型</w:t>
            </w: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支持主流国产化数据库：DM、Oscar、Kingbase、Gbase，HighGo DB以及Oracle、SQL Server、MySQL、DB2、Sybase、PostgreSQL、Informix、Hbase、MongoDB、HIVE、Redis、Cache等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660"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数据库自动发现</w:t>
            </w: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支持数据库自动发现。设备无需添加、即插即用。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60" w:type="dxa"/>
            <w:vMerge w:val="restar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审计能力</w:t>
            </w: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审计要素包含执行人who：审计到前端的应用用户、数据库用户名、主机名称、操作系统用户等；</w:t>
            </w:r>
          </w:p>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执行方式how：通过哪些客户端应用程序或第三方工具执行得操作，如：DDL、DML、DCL；</w:t>
            </w:r>
          </w:p>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影响范围（影响行数）Range：该操作执行的影响范围，如查询、修改或删除的记录行数；</w:t>
            </w:r>
          </w:p>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执行结果ResultSet：执行成功与否的结果以及返回结果集，如查询操作的返回内容；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审计内容包含可记录以下会话终端信息：IP、MAC、Port、工具名(程序名)；</w:t>
            </w:r>
          </w:p>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系统可记录会话登录时间、会话时长；</w:t>
            </w:r>
          </w:p>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系统可记录以下数据库操作信息：操作类型（DDL、DML、DCL等）、操作时间、执行时长、操作成功与失败、操作对象（表、列、存储过程名称）、SQL语句；</w:t>
            </w:r>
          </w:p>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系统可记录数据库操作影响的范围信息：如查询、修改、删除操作的影响行数,以及返回行数；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能够准确审计长SQL语句；能够有效分割、准确审计多SQL语句；能够准确审计绑定变量的SQL语句，投标时提供截图证明材料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系统可根据数据库操作影响行数、返回行数对审计记录进行过滤；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60"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敏感信息遮蔽</w:t>
            </w: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对审计结果集敏感内容可进行屏蔽。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60"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SQL语句客户化翻译</w:t>
            </w: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对详细信息中的SQL语句能进行客户化翻译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660"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响应方式</w:t>
            </w: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系统可根据不同的安全级别采用不同的响应方式，包括记录、告警；</w:t>
            </w:r>
          </w:p>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系统支持的告警方式包括：邮件、短信、SYSLOG、SNMP；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660"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设备安全性</w:t>
            </w: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660"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产品资质</w:t>
            </w: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具备计算机信息系统安全专用产品销售许可证，必须为数据库安全审计类（增强级）。投标时提供证书的复印件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660" w:type="dxa"/>
            <w:vMerge w:val="restar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厂商资质</w:t>
            </w:r>
          </w:p>
        </w:tc>
        <w:tc>
          <w:tcPr>
            <w:tcW w:w="6845" w:type="dxa"/>
            <w:vAlign w:val="center"/>
          </w:tcPr>
          <w:p>
            <w:pPr>
              <w:widowControl/>
              <w:spacing w:line="276" w:lineRule="auto"/>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CNCERT网络安全应急服务支撑单位（国家级），投标时提供证书复印件及官网截图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国家信息安全测评信息安全服务资质证书-安全工程类（三级），投标时提供证书复印件</w:t>
            </w:r>
          </w:p>
        </w:tc>
      </w:tr>
    </w:tbl>
    <w:p>
      <w:pPr>
        <w:pStyle w:val="7"/>
        <w:spacing w:before="120" w:after="0" w:line="360" w:lineRule="auto"/>
        <w:ind w:firstLine="149" w:firstLineChars="62"/>
        <w:rPr>
          <w:rFonts w:hint="eastAsia" w:ascii="宋体" w:hAnsi="宋体"/>
          <w:color w:val="auto"/>
          <w:sz w:val="24"/>
          <w:szCs w:val="24"/>
          <w:highlight w:val="none"/>
        </w:rPr>
      </w:pPr>
    </w:p>
    <w:p>
      <w:pPr>
        <w:rPr>
          <w:rFonts w:hint="eastAsia" w:ascii="宋体" w:hAnsi="宋体"/>
          <w:color w:val="auto"/>
          <w:sz w:val="24"/>
          <w:szCs w:val="24"/>
          <w:highlight w:val="none"/>
        </w:rPr>
      </w:pPr>
    </w:p>
    <w:p>
      <w:pPr>
        <w:pStyle w:val="7"/>
        <w:spacing w:before="120" w:after="0" w:line="360" w:lineRule="auto"/>
      </w:pPr>
      <w:r>
        <w:rPr>
          <w:rFonts w:hint="eastAsia" w:ascii="宋体" w:hAnsi="宋体"/>
          <w:color w:val="auto"/>
          <w:sz w:val="24"/>
          <w:szCs w:val="24"/>
          <w:highlight w:val="none"/>
        </w:rPr>
        <w:t>备份存储</w:t>
      </w:r>
    </w:p>
    <w:tbl>
      <w:tblPr>
        <w:tblStyle w:val="2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6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660" w:type="dxa"/>
            <w:shd w:val="clear" w:color="auto" w:fill="D8D8D8"/>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指标项</w:t>
            </w:r>
          </w:p>
        </w:tc>
        <w:tc>
          <w:tcPr>
            <w:tcW w:w="6845" w:type="dxa"/>
            <w:shd w:val="clear" w:color="auto" w:fill="D8D8D8"/>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功能及技术参数，标</w:t>
            </w:r>
            <w:r>
              <w:rPr>
                <w:rFonts w:hint="eastAsia" w:ascii="宋体" w:hAnsi="宋体" w:cs="宋体"/>
                <w:b/>
                <w:bCs/>
                <w:color w:val="auto"/>
                <w:kern w:val="0"/>
                <w:sz w:val="24"/>
                <w:highlight w:val="none"/>
                <w:lang w:eastAsia="zh-CN"/>
              </w:rPr>
              <w:t>▲为实质性参数</w:t>
            </w:r>
            <w:r>
              <w:rPr>
                <w:rFonts w:hint="eastAsia" w:ascii="宋体" w:hAnsi="宋体" w:cs="宋体"/>
                <w:b/>
                <w:bCs/>
                <w:color w:val="auto"/>
                <w:kern w:val="0"/>
                <w:sz w:val="24"/>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60"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硬盘</w:t>
            </w:r>
          </w:p>
        </w:tc>
        <w:tc>
          <w:tcPr>
            <w:tcW w:w="6845" w:type="dxa"/>
            <w:shd w:val="clear" w:color="auto" w:fill="FFFFFF"/>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支持在线扩容，可通过后期在线添加磁盘和扩展磁盘柜的方式，进行备份介质容量的增加。</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配置不少于4*3.5寸4T 7200RPM/SATA硬盘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660"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缓存</w:t>
            </w:r>
          </w:p>
        </w:tc>
        <w:tc>
          <w:tcPr>
            <w:tcW w:w="6845" w:type="dxa"/>
            <w:shd w:val="clear" w:color="auto" w:fill="FFFFFF"/>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不少于32GB 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660"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备份许可</w:t>
            </w:r>
          </w:p>
        </w:tc>
        <w:tc>
          <w:tcPr>
            <w:tcW w:w="6845" w:type="dxa"/>
            <w:shd w:val="clear" w:color="auto" w:fill="FFFFFF"/>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本次配置不少于1个备份管理中心、1个数据库备份授权，2个文件系统授权。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60"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网络接口</w:t>
            </w:r>
          </w:p>
        </w:tc>
        <w:tc>
          <w:tcPr>
            <w:tcW w:w="6845" w:type="dxa"/>
            <w:shd w:val="clear" w:color="auto" w:fill="FFFFFF"/>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不少于2个千兆网络端口，不少于2个8GB 光纤口，网络端口都可用且可分配不同的备份任务。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1660" w:type="dxa"/>
            <w:vMerge w:val="restar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平台兼容性</w:t>
            </w: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支持Windows、Linux、UNIX、AIX、Solaris、 HP-UX等主流操作系统，以及龙芯、飞腾架构下中标麒麟、银河麒麟等自主可控操作系统。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支持在华为自研的高性能低功耗ARM架构64位处理器的服务器上部署备份服务。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 w:hRule="atLeast"/>
          <w:jc w:val="center"/>
        </w:trPr>
        <w:tc>
          <w:tcPr>
            <w:tcW w:w="1660" w:type="dxa"/>
            <w:vMerge w:val="restar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文件保护</w:t>
            </w: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支持在同一文件备份作业中采用多通道并发备份，提高备份和恢复的速度。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文件执行完全备份后的备份集，无需还原数据，直接通过挂载方式实现即时恢复。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60" w:type="dxa"/>
            <w:vMerge w:val="restar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对象存储保护</w:t>
            </w: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支持对象存储中存储桶和对象的备份（完全备份、增量备份、合成备份）与恢复。且支持单文件细粒度的备份和恢复。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支持对象存储中备份数据，恢复到 Linux、Unix、Hadoop 分布式文件系统（HDFS）中，实现对象存储数据在不同文件系统中转换恢复。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支持对象存储的备份数据，无需还原数据，直接通过挂载方式，实现数据的即时恢复。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60" w:type="dxa"/>
            <w:vMerge w:val="restar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操作系统保护</w:t>
            </w: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支持linux 和windows操作系统的备份及异机恢复，支持操作系统备份与恢复的UEFI引导方式。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操作系统恢复过程中提供驱动程序更换界面，允许客户针对不同的驱动程序做调整。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支持把Windows 操作系统的备份数据直接生成为VMWare、KVM、H3C CAS等虚拟平台支持数据，通过挂载方式实现即时恢复。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60" w:type="dxa"/>
            <w:vMerge w:val="restar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数据库应用保护</w:t>
            </w: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支持主流的数据库备份恢复，包括但不限于Oracle、 SQL Server、 MySQL、 Sybase、 DB2、 Informix、 MongoDB、PostgreSQL 、Caché、SAP HANA、Exchange、SharePoint、Domino等主流数据库应用。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支持MySQL的逻辑备份和物理备份（完全备份、增量备份、日志备份、连续日志备份），通过物理备份实现对数据库的热备份。支持MySQL基于物理备份的备份数据（非CDP备份数据），实现任意时间点的恢复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支持采用ON-Bar方式实现对Informix的任意时间点备份/恢复，并支持自动配置ON-Bar的相关配置文件，以及设置自动日志备份。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支持国产主流的数据备份恢复，包括但不限于达梦（DM）、人大金仓（kingbase）、南大通用（GBase）、神舟通用（ShenTong）、瀚高（HighGoDB）、优炫（UXDB）等数据库。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在作业配置向导界面中提供时间导轨滚动条，通过拉动滚动条，提供以秒为进度单位来选定恢复时间点，实现数据库可以在任意时间点上的恢复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60" w:type="dxa"/>
            <w:vMerge w:val="restar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云平台保护</w:t>
            </w: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支持VMware、Hyper-V、Xenserver、Xen、KVM、FusionCompute、FusionCloud、H3C CAS、OpenStack、CNware、RHEV等虚拟机的备份恢复（不能采用guest host 操作系统备份恢复方式）。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针对VMware、H3C CAS等虚拟化平台，支持通过挂载方式实现虚拟机的即时恢复。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支持VMware策略化配置合成备份。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支持备份产品和VMware vCenter平台信息联动，在VMware vCenter的管理界面上可以直接查看备份产品中虚拟机备份任务的状态。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支持以 V</w:t>
            </w:r>
            <w:r>
              <w:rPr>
                <w:rFonts w:ascii="宋体" w:hAnsi="宋体" w:cs="宋体"/>
                <w:color w:val="auto"/>
                <w:kern w:val="0"/>
                <w:sz w:val="24"/>
                <w:highlight w:val="none"/>
              </w:rPr>
              <w:t>Mware vAPP 分组来展现虚拟机</w:t>
            </w:r>
            <w:r>
              <w:rPr>
                <w:rFonts w:hint="eastAsia" w:ascii="宋体" w:hAnsi="宋体" w:cs="宋体"/>
                <w:color w:val="auto"/>
                <w:kern w:val="0"/>
                <w:sz w:val="24"/>
                <w:highlight w:val="none"/>
              </w:rPr>
              <w:t>，</w:t>
            </w:r>
            <w:r>
              <w:rPr>
                <w:rFonts w:ascii="宋体" w:hAnsi="宋体" w:cs="宋体"/>
                <w:color w:val="auto"/>
                <w:kern w:val="0"/>
                <w:sz w:val="24"/>
                <w:highlight w:val="none"/>
              </w:rPr>
              <w:t>并以</w:t>
            </w:r>
            <w:r>
              <w:rPr>
                <w:rFonts w:hint="eastAsia" w:ascii="宋体" w:hAnsi="宋体" w:cs="宋体"/>
                <w:color w:val="auto"/>
                <w:kern w:val="0"/>
                <w:sz w:val="24"/>
                <w:highlight w:val="none"/>
              </w:rPr>
              <w:t xml:space="preserve"> vAPP 分组为对象创建备份作业，包括完全备份、差异备份、增量备份，从而达到对vAPP 分组内所有虚拟机的备份要求。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支持KVM、H3C CAS、XenServer、CNware等虚拟平台下虚拟机的差异备份。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660"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可用性验证</w:t>
            </w: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支持对Oracle、SQL Server、MySQL、DB2、PostgreSQL、Informix、Sybase、达梦、Kingbase、Gbase、Domino等主流数据库的备份集进行定时容灾演练，以此检验备份集的可用性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660" w:type="dxa"/>
            <w:vMerge w:val="restart"/>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产品资质证书</w:t>
            </w: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厂商提供投标产品必须具有由公安部颁发的《安全产品销售许可证》。（投标时提供证书复印件）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660" w:type="dxa"/>
            <w:vMerge w:val="continue"/>
            <w:vAlign w:val="center"/>
          </w:tcPr>
          <w:p>
            <w:pPr>
              <w:widowControl/>
              <w:spacing w:line="276" w:lineRule="auto"/>
              <w:jc w:val="left"/>
              <w:rPr>
                <w:rFonts w:ascii="宋体" w:hAnsi="宋体" w:cs="宋体"/>
                <w:color w:val="auto"/>
                <w:kern w:val="0"/>
                <w:sz w:val="24"/>
                <w:highlight w:val="none"/>
              </w:rPr>
            </w:pPr>
          </w:p>
        </w:tc>
        <w:tc>
          <w:tcPr>
            <w:tcW w:w="6845" w:type="dxa"/>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厂商提供投标产品必须具有国家保密科技测评中心颁发的《涉密信息系统产品检测证书》（投标时提供证书复印件）</w:t>
            </w:r>
          </w:p>
        </w:tc>
      </w:tr>
    </w:tbl>
    <w:p>
      <w:pPr>
        <w:pStyle w:val="7"/>
        <w:spacing w:before="120" w:after="0" w:line="360" w:lineRule="auto"/>
        <w:ind w:firstLine="149" w:firstLineChars="62"/>
        <w:rPr>
          <w:rFonts w:ascii="宋体" w:hAnsi="宋体"/>
          <w:color w:val="auto"/>
          <w:sz w:val="24"/>
          <w:szCs w:val="24"/>
          <w:highlight w:val="none"/>
        </w:rPr>
      </w:pPr>
      <w:r>
        <w:rPr>
          <w:rFonts w:hint="eastAsia" w:ascii="宋体" w:hAnsi="宋体"/>
          <w:color w:val="auto"/>
          <w:sz w:val="24"/>
          <w:szCs w:val="24"/>
          <w:highlight w:val="none"/>
        </w:rPr>
        <w:t>终端准入系统</w:t>
      </w:r>
    </w:p>
    <w:tbl>
      <w:tblPr>
        <w:tblStyle w:val="28"/>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9" w:type="pct"/>
            <w:shd w:val="clear" w:color="000000" w:fill="FFFFFF"/>
            <w:vAlign w:val="center"/>
          </w:tcPr>
          <w:p>
            <w:pPr>
              <w:widowControl/>
              <w:spacing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指标项</w:t>
            </w:r>
          </w:p>
        </w:tc>
        <w:tc>
          <w:tcPr>
            <w:tcW w:w="4021" w:type="pct"/>
            <w:shd w:val="clear" w:color="000000" w:fill="FFFFFF"/>
            <w:vAlign w:val="center"/>
          </w:tcPr>
          <w:p>
            <w:pPr>
              <w:widowControl/>
              <w:spacing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功能及技术参数，标</w:t>
            </w:r>
            <w:r>
              <w:rPr>
                <w:rFonts w:hint="eastAsia" w:ascii="宋体" w:hAnsi="宋体" w:cs="宋体"/>
                <w:b/>
                <w:bCs/>
                <w:color w:val="auto"/>
                <w:kern w:val="0"/>
                <w:sz w:val="24"/>
                <w:highlight w:val="none"/>
                <w:lang w:eastAsia="zh-CN"/>
              </w:rPr>
              <w:t>▲为实质性参数</w:t>
            </w:r>
            <w:r>
              <w:rPr>
                <w:rFonts w:hint="eastAsia" w:ascii="宋体" w:hAnsi="宋体" w:cs="宋体"/>
                <w:b/>
                <w:bCs/>
                <w:color w:val="auto"/>
                <w:kern w:val="0"/>
                <w:sz w:val="24"/>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9" w:type="pct"/>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设备规格</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w:t>
            </w:r>
            <w:r>
              <w:rPr>
                <w:rFonts w:ascii="宋体" w:hAnsi="宋体" w:cs="宋体"/>
                <w:color w:val="auto"/>
                <w:kern w:val="0"/>
                <w:sz w:val="24"/>
                <w:highlight w:val="none"/>
              </w:rPr>
              <w:t>300个终端接入</w:t>
            </w:r>
            <w:r>
              <w:rPr>
                <w:rFonts w:hint="eastAsia" w:ascii="宋体" w:hAnsi="宋体" w:cs="宋体"/>
                <w:color w:val="auto"/>
                <w:kern w:val="0"/>
                <w:sz w:val="24"/>
                <w:highlight w:val="none"/>
              </w:rPr>
              <w:t>，</w:t>
            </w:r>
            <w:r>
              <w:rPr>
                <w:rFonts w:ascii="宋体" w:hAnsi="宋体" w:cs="宋体"/>
                <w:color w:val="auto"/>
                <w:kern w:val="0"/>
                <w:sz w:val="24"/>
                <w:highlight w:val="none"/>
              </w:rPr>
              <w:t>≥6个千兆电口</w:t>
            </w:r>
            <w:r>
              <w:rPr>
                <w:rFonts w:hint="eastAsia" w:ascii="宋体" w:hAnsi="宋体" w:cs="宋体"/>
                <w:color w:val="auto"/>
                <w:kern w:val="0"/>
                <w:sz w:val="24"/>
                <w:highlight w:val="none"/>
              </w:rPr>
              <w:t>，</w:t>
            </w:r>
            <w:r>
              <w:rPr>
                <w:rFonts w:hint="eastAsia" w:ascii="宋体" w:hAnsi="宋体" w:cs="宋体"/>
                <w:color w:val="auto"/>
                <w:kern w:val="0"/>
                <w:sz w:val="24"/>
                <w:highlight w:val="none"/>
              </w:rPr>
              <w:t>每秒事务数（TPS)：≥1000（次/秒），</w:t>
            </w:r>
            <w:r>
              <w:rPr>
                <w:rFonts w:hint="eastAsia" w:ascii="宋体" w:hAnsi="宋体" w:cs="宋体"/>
                <w:color w:val="auto"/>
                <w:kern w:val="0"/>
                <w:sz w:val="24"/>
                <w:highlight w:val="none"/>
              </w:rPr>
              <w:t>整机流量处理能力</w:t>
            </w:r>
            <w:r>
              <w:rPr>
                <w:rFonts w:ascii="宋体" w:hAnsi="宋体" w:cs="宋体"/>
                <w:color w:val="auto"/>
                <w:kern w:val="0"/>
                <w:sz w:val="24"/>
                <w:highlight w:val="none"/>
              </w:rPr>
              <w:t>：≥500Mbps，</w:t>
            </w:r>
            <w:r>
              <w:rPr>
                <w:rFonts w:hint="eastAsia" w:ascii="宋体" w:hAnsi="宋体" w:cs="宋体"/>
                <w:color w:val="auto"/>
                <w:kern w:val="0"/>
                <w:sz w:val="24"/>
                <w:highlight w:val="none"/>
              </w:rPr>
              <w:t>最大并发连接数≥1000（条）。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9" w:type="pct"/>
            <w:shd w:val="clear" w:color="000000" w:fill="FFFFFF"/>
            <w:vAlign w:val="center"/>
          </w:tcPr>
          <w:p>
            <w:pPr>
              <w:widowControl/>
              <w:spacing w:line="276" w:lineRule="auto"/>
              <w:jc w:val="left"/>
              <w:rPr>
                <w:rFonts w:ascii="宋体" w:hAnsi="宋体" w:cs="宋体"/>
                <w:color w:val="auto"/>
                <w:kern w:val="0"/>
                <w:sz w:val="24"/>
                <w:highlight w:val="none"/>
              </w:rPr>
            </w:pPr>
            <w:r>
              <w:rPr>
                <w:rFonts w:ascii="宋体" w:hAnsi="宋体" w:cs="宋体"/>
                <w:color w:val="auto"/>
                <w:kern w:val="0"/>
                <w:sz w:val="24"/>
                <w:highlight w:val="none"/>
              </w:rPr>
              <w:t>管理架构</w:t>
            </w:r>
          </w:p>
        </w:tc>
        <w:tc>
          <w:tcPr>
            <w:tcW w:w="4021" w:type="pct"/>
            <w:shd w:val="clear" w:color="000000" w:fill="FFFFFF"/>
            <w:vAlign w:val="center"/>
          </w:tcPr>
          <w:p>
            <w:pPr>
              <w:widowControl/>
              <w:spacing w:line="276" w:lineRule="auto"/>
              <w:jc w:val="left"/>
              <w:rPr>
                <w:rFonts w:ascii="宋体" w:hAnsi="宋体" w:cs="宋体"/>
                <w:color w:val="auto"/>
                <w:kern w:val="0"/>
                <w:sz w:val="24"/>
                <w:highlight w:val="none"/>
              </w:rPr>
            </w:pPr>
            <w:r>
              <w:rPr>
                <w:rFonts w:ascii="宋体" w:hAnsi="宋体" w:cs="宋体"/>
                <w:color w:val="auto"/>
                <w:kern w:val="0"/>
                <w:sz w:val="24"/>
                <w:highlight w:val="none"/>
              </w:rPr>
              <w:t>系</w:t>
            </w:r>
            <w:r>
              <w:rPr>
                <w:rFonts w:hint="eastAsia" w:ascii="宋体" w:hAnsi="宋体" w:cs="宋体"/>
                <w:color w:val="auto"/>
                <w:kern w:val="0"/>
                <w:sz w:val="24"/>
                <w:highlight w:val="none"/>
              </w:rPr>
              <w:t>统</w:t>
            </w:r>
            <w:r>
              <w:rPr>
                <w:rFonts w:ascii="宋体" w:hAnsi="宋体" w:cs="宋体"/>
                <w:color w:val="auto"/>
                <w:kern w:val="0"/>
                <w:sz w:val="24"/>
                <w:highlight w:val="none"/>
              </w:rPr>
              <w:t>控制中心采用B/S架构，支持管理</w:t>
            </w:r>
            <w:r>
              <w:rPr>
                <w:rFonts w:hint="eastAsia" w:ascii="宋体" w:hAnsi="宋体" w:cs="宋体"/>
                <w:color w:val="auto"/>
                <w:kern w:val="0"/>
                <w:sz w:val="24"/>
                <w:highlight w:val="none"/>
              </w:rPr>
              <w:t>员</w:t>
            </w:r>
            <w:r>
              <w:rPr>
                <w:rFonts w:ascii="宋体" w:hAnsi="宋体" w:cs="宋体"/>
                <w:color w:val="auto"/>
                <w:kern w:val="0"/>
                <w:sz w:val="24"/>
                <w:highlight w:val="none"/>
              </w:rPr>
              <w:t>分</w:t>
            </w:r>
            <w:r>
              <w:rPr>
                <w:rFonts w:hint="eastAsia" w:ascii="宋体" w:hAnsi="宋体" w:cs="宋体"/>
                <w:color w:val="auto"/>
                <w:kern w:val="0"/>
                <w:sz w:val="24"/>
                <w:highlight w:val="none"/>
              </w:rPr>
              <w:t>区</w:t>
            </w:r>
            <w:r>
              <w:rPr>
                <w:rFonts w:ascii="宋体" w:hAnsi="宋体" w:cs="宋体"/>
                <w:color w:val="auto"/>
                <w:kern w:val="0"/>
                <w:sz w:val="24"/>
                <w:highlight w:val="none"/>
              </w:rPr>
              <w:t>分</w:t>
            </w:r>
            <w:r>
              <w:rPr>
                <w:rFonts w:hint="eastAsia" w:ascii="宋体" w:hAnsi="宋体" w:cs="宋体"/>
                <w:color w:val="auto"/>
                <w:kern w:val="0"/>
                <w:sz w:val="24"/>
                <w:highlight w:val="none"/>
              </w:rPr>
              <w:t>权</w:t>
            </w:r>
            <w:r>
              <w:rPr>
                <w:rFonts w:ascii="宋体" w:hAnsi="宋体" w:cs="宋体"/>
                <w:color w:val="auto"/>
                <w:kern w:val="0"/>
                <w:sz w:val="24"/>
                <w:highlight w:val="none"/>
              </w:rPr>
              <w:t>管理模式，</w:t>
            </w:r>
            <w:r>
              <w:rPr>
                <w:rFonts w:hint="eastAsia" w:ascii="宋体" w:hAnsi="宋体" w:cs="宋体"/>
                <w:color w:val="auto"/>
                <w:kern w:val="0"/>
                <w:sz w:val="24"/>
                <w:highlight w:val="none"/>
              </w:rPr>
              <w:t>灵</w:t>
            </w:r>
            <w:r>
              <w:rPr>
                <w:rFonts w:ascii="宋体" w:hAnsi="宋体" w:cs="宋体"/>
                <w:color w:val="auto"/>
                <w:kern w:val="0"/>
                <w:sz w:val="24"/>
                <w:highlight w:val="none"/>
              </w:rPr>
              <w:t>活配置管理</w:t>
            </w:r>
            <w:r>
              <w:rPr>
                <w:rFonts w:hint="eastAsia" w:ascii="宋体" w:hAnsi="宋体" w:cs="宋体"/>
                <w:color w:val="auto"/>
                <w:kern w:val="0"/>
                <w:sz w:val="24"/>
                <w:highlight w:val="none"/>
              </w:rPr>
              <w:t>权</w:t>
            </w:r>
            <w:r>
              <w:rPr>
                <w:rFonts w:ascii="宋体" w:hAnsi="宋体" w:cs="宋体"/>
                <w:color w:val="auto"/>
                <w:kern w:val="0"/>
                <w:sz w:val="24"/>
                <w:highlight w:val="none"/>
              </w:rPr>
              <w:t>限，适</w:t>
            </w:r>
            <w:r>
              <w:rPr>
                <w:rFonts w:hint="eastAsia" w:ascii="宋体" w:hAnsi="宋体" w:cs="宋体"/>
                <w:color w:val="auto"/>
                <w:kern w:val="0"/>
                <w:sz w:val="24"/>
                <w:highlight w:val="none"/>
              </w:rPr>
              <w:t>应</w:t>
            </w:r>
            <w:r>
              <w:rPr>
                <w:rFonts w:ascii="宋体" w:hAnsi="宋体" w:cs="宋体"/>
                <w:color w:val="auto"/>
                <w:kern w:val="0"/>
                <w:sz w:val="24"/>
                <w:highlight w:val="none"/>
              </w:rPr>
              <w:t>大型分</w:t>
            </w:r>
            <w:r>
              <w:rPr>
                <w:rFonts w:hint="eastAsia" w:ascii="宋体" w:hAnsi="宋体" w:cs="宋体"/>
                <w:color w:val="auto"/>
                <w:kern w:val="0"/>
                <w:sz w:val="24"/>
                <w:highlight w:val="none"/>
              </w:rPr>
              <w:t>级</w:t>
            </w:r>
            <w:r>
              <w:rPr>
                <w:rFonts w:ascii="宋体" w:hAnsi="宋体" w:cs="宋体"/>
                <w:color w:val="auto"/>
                <w:kern w:val="0"/>
                <w:sz w:val="24"/>
                <w:highlight w:val="none"/>
              </w:rPr>
              <w:t>管理</w:t>
            </w:r>
            <w:r>
              <w:rPr>
                <w:rFonts w:hint="eastAsia" w:ascii="宋体" w:hAnsi="宋体" w:cs="宋体"/>
                <w:color w:val="auto"/>
                <w:kern w:val="0"/>
                <w:sz w:val="24"/>
                <w:highlight w:val="none"/>
              </w:rPr>
              <w:t>组织</w:t>
            </w:r>
            <w:r>
              <w:rPr>
                <w:rFonts w:ascii="宋体" w:hAnsi="宋体" w:cs="宋体"/>
                <w:color w:val="auto"/>
                <w:kern w:val="0"/>
                <w:sz w:val="24"/>
                <w:highlight w:val="none"/>
              </w:rPr>
              <w:t>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集中管理</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w:t>
            </w:r>
            <w:r>
              <w:rPr>
                <w:rFonts w:hint="eastAsia" w:ascii="宋体" w:hAnsi="宋体" w:cs="宋体"/>
                <w:color w:val="auto"/>
                <w:kern w:val="0"/>
                <w:sz w:val="24"/>
                <w:highlight w:val="none"/>
              </w:rPr>
              <w:t>设备</w:t>
            </w:r>
            <w:r>
              <w:rPr>
                <w:rFonts w:ascii="宋体" w:hAnsi="宋体" w:cs="宋体"/>
                <w:color w:val="auto"/>
                <w:kern w:val="0"/>
                <w:sz w:val="24"/>
                <w:highlight w:val="none"/>
              </w:rPr>
              <w:t>集中管理，可在同一管理平台集中管理所有</w:t>
            </w:r>
            <w:r>
              <w:rPr>
                <w:rFonts w:hint="eastAsia" w:ascii="宋体" w:hAnsi="宋体" w:cs="宋体"/>
                <w:color w:val="auto"/>
                <w:kern w:val="0"/>
                <w:sz w:val="24"/>
                <w:highlight w:val="none"/>
              </w:rPr>
              <w:t>设备</w:t>
            </w:r>
            <w:r>
              <w:rPr>
                <w:rFonts w:ascii="宋体" w:hAnsi="宋体" w:cs="宋体"/>
                <w:color w:val="auto"/>
                <w:kern w:val="0"/>
                <w:sz w:val="24"/>
                <w:highlight w:val="none"/>
              </w:rPr>
              <w:t>，支持</w:t>
            </w:r>
            <w:r>
              <w:rPr>
                <w:rFonts w:hint="eastAsia" w:ascii="宋体" w:hAnsi="宋体" w:cs="宋体"/>
                <w:color w:val="auto"/>
                <w:kern w:val="0"/>
                <w:sz w:val="24"/>
                <w:highlight w:val="none"/>
              </w:rPr>
              <w:t>设备</w:t>
            </w:r>
            <w:r>
              <w:rPr>
                <w:rFonts w:ascii="宋体" w:hAnsi="宋体" w:cs="宋体"/>
                <w:color w:val="auto"/>
                <w:kern w:val="0"/>
                <w:sz w:val="24"/>
                <w:highlight w:val="none"/>
              </w:rPr>
              <w:t>分</w:t>
            </w:r>
            <w:r>
              <w:rPr>
                <w:rFonts w:hint="eastAsia" w:ascii="宋体" w:hAnsi="宋体" w:cs="宋体"/>
                <w:color w:val="auto"/>
                <w:kern w:val="0"/>
                <w:sz w:val="24"/>
                <w:highlight w:val="none"/>
              </w:rPr>
              <w:t>组</w:t>
            </w:r>
            <w:r>
              <w:rPr>
                <w:rFonts w:ascii="宋体" w:hAnsi="宋体" w:cs="宋体"/>
                <w:color w:val="auto"/>
                <w:kern w:val="0"/>
                <w:sz w:val="24"/>
                <w:highlight w:val="none"/>
              </w:rPr>
              <w:t>，</w:t>
            </w:r>
            <w:r>
              <w:rPr>
                <w:rFonts w:hint="eastAsia" w:ascii="宋体" w:hAnsi="宋体" w:cs="宋体"/>
                <w:color w:val="auto"/>
                <w:kern w:val="0"/>
                <w:sz w:val="24"/>
                <w:highlight w:val="none"/>
              </w:rPr>
              <w:t>权</w:t>
            </w:r>
            <w:r>
              <w:rPr>
                <w:rFonts w:ascii="宋体" w:hAnsi="宋体" w:cs="宋体"/>
                <w:color w:val="auto"/>
                <w:kern w:val="0"/>
                <w:sz w:val="24"/>
                <w:highlight w:val="none"/>
              </w:rPr>
              <w:t>限管理，策略</w:t>
            </w:r>
            <w:r>
              <w:rPr>
                <w:rFonts w:hint="eastAsia" w:ascii="宋体" w:hAnsi="宋体" w:cs="宋体"/>
                <w:color w:val="auto"/>
                <w:kern w:val="0"/>
                <w:sz w:val="24"/>
                <w:highlight w:val="none"/>
              </w:rPr>
              <w:t>统</w:t>
            </w:r>
            <w:r>
              <w:rPr>
                <w:rFonts w:ascii="宋体" w:hAnsi="宋体" w:cs="宋体"/>
                <w:color w:val="auto"/>
                <w:kern w:val="0"/>
                <w:sz w:val="24"/>
                <w:highlight w:val="none"/>
              </w:rPr>
              <w:t>一下</w:t>
            </w:r>
            <w:r>
              <w:rPr>
                <w:rFonts w:hint="eastAsia" w:ascii="宋体" w:hAnsi="宋体" w:cs="宋体"/>
                <w:color w:val="auto"/>
                <w:kern w:val="0"/>
                <w:sz w:val="24"/>
                <w:highlight w:val="none"/>
              </w:rPr>
              <w:t>发</w:t>
            </w:r>
            <w:r>
              <w:rPr>
                <w:rFonts w:ascii="宋体" w:hAnsi="宋体" w:cs="宋体"/>
                <w:color w:val="auto"/>
                <w:kern w:val="0"/>
                <w:sz w:val="24"/>
                <w:highlight w:val="none"/>
              </w:rPr>
              <w:t>、</w:t>
            </w:r>
            <w:r>
              <w:rPr>
                <w:rFonts w:hint="eastAsia" w:ascii="宋体" w:hAnsi="宋体" w:cs="宋体"/>
                <w:color w:val="auto"/>
                <w:kern w:val="0"/>
                <w:sz w:val="24"/>
                <w:highlight w:val="none"/>
              </w:rPr>
              <w:t>统</w:t>
            </w:r>
            <w:r>
              <w:rPr>
                <w:rFonts w:ascii="宋体" w:hAnsi="宋体" w:cs="宋体"/>
                <w:color w:val="auto"/>
                <w:kern w:val="0"/>
                <w:sz w:val="24"/>
                <w:highlight w:val="none"/>
              </w:rPr>
              <w:t>一</w:t>
            </w:r>
            <w:r>
              <w:rPr>
                <w:rFonts w:hint="eastAsia" w:ascii="宋体" w:hAnsi="宋体" w:cs="宋体"/>
                <w:color w:val="auto"/>
                <w:kern w:val="0"/>
                <w:sz w:val="24"/>
                <w:highlight w:val="none"/>
              </w:rPr>
              <w:t>认证</w:t>
            </w:r>
            <w:r>
              <w:rPr>
                <w:rFonts w:ascii="宋体" w:hAnsi="宋体" w:cs="宋体"/>
                <w:color w:val="auto"/>
                <w:kern w:val="0"/>
                <w:sz w:val="24"/>
                <w:highlight w:val="none"/>
              </w:rPr>
              <w:t>，</w:t>
            </w:r>
            <w:r>
              <w:rPr>
                <w:rFonts w:hint="eastAsia" w:ascii="宋体" w:hAnsi="宋体" w:cs="宋体"/>
                <w:color w:val="auto"/>
                <w:kern w:val="0"/>
                <w:sz w:val="24"/>
                <w:highlight w:val="none"/>
              </w:rPr>
              <w:t>统</w:t>
            </w:r>
            <w:r>
              <w:rPr>
                <w:rFonts w:ascii="宋体" w:hAnsi="宋体" w:cs="宋体"/>
                <w:color w:val="auto"/>
                <w:kern w:val="0"/>
                <w:sz w:val="24"/>
                <w:highlight w:val="none"/>
              </w:rPr>
              <w:t>一升</w:t>
            </w:r>
            <w:r>
              <w:rPr>
                <w:rFonts w:hint="eastAsia" w:ascii="宋体" w:hAnsi="宋体" w:cs="宋体"/>
                <w:color w:val="auto"/>
                <w:kern w:val="0"/>
                <w:sz w:val="24"/>
                <w:highlight w:val="none"/>
              </w:rPr>
              <w:t>级</w:t>
            </w:r>
            <w:r>
              <w:rPr>
                <w:rFonts w:ascii="宋体" w:hAnsi="宋体" w:cs="宋体"/>
                <w:color w:val="auto"/>
                <w:kern w:val="0"/>
                <w:sz w:val="24"/>
                <w:highlight w:val="none"/>
              </w:rPr>
              <w:t>等操作，</w:t>
            </w:r>
            <w:r>
              <w:rPr>
                <w:rFonts w:hint="eastAsia" w:ascii="宋体" w:hAnsi="宋体" w:cs="宋体"/>
                <w:color w:val="auto"/>
                <w:kern w:val="0"/>
                <w:sz w:val="24"/>
                <w:highlight w:val="none"/>
              </w:rPr>
              <w:t>实现</w:t>
            </w:r>
            <w:r>
              <w:rPr>
                <w:rFonts w:ascii="宋体" w:hAnsi="宋体" w:cs="宋体"/>
                <w:color w:val="auto"/>
                <w:kern w:val="0"/>
                <w:sz w:val="24"/>
                <w:highlight w:val="none"/>
              </w:rPr>
              <w:t>分布式部署、集中管理，</w:t>
            </w:r>
            <w:r>
              <w:rPr>
                <w:rFonts w:hint="eastAsia" w:ascii="宋体" w:hAnsi="宋体" w:cs="宋体"/>
                <w:color w:val="auto"/>
                <w:kern w:val="0"/>
                <w:sz w:val="24"/>
                <w:highlight w:val="none"/>
              </w:rPr>
              <w:t>满</w:t>
            </w:r>
            <w:r>
              <w:rPr>
                <w:rFonts w:ascii="宋体" w:hAnsi="宋体" w:cs="宋体"/>
                <w:color w:val="auto"/>
                <w:kern w:val="0"/>
                <w:sz w:val="24"/>
                <w:highlight w:val="none"/>
              </w:rPr>
              <w:t>足大型网</w:t>
            </w:r>
            <w:r>
              <w:rPr>
                <w:rFonts w:hint="eastAsia" w:ascii="宋体" w:hAnsi="宋体" w:cs="宋体"/>
                <w:color w:val="auto"/>
                <w:kern w:val="0"/>
                <w:sz w:val="24"/>
                <w:highlight w:val="none"/>
              </w:rPr>
              <w:t>络环</w:t>
            </w:r>
            <w:r>
              <w:rPr>
                <w:rFonts w:ascii="宋体" w:hAnsi="宋体" w:cs="宋体"/>
                <w:color w:val="auto"/>
                <w:kern w:val="0"/>
                <w:sz w:val="24"/>
                <w:highlight w:val="none"/>
              </w:rPr>
              <w:t>境下的部署要求</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9" w:type="pct"/>
            <w:vMerge w:val="restar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部署方式</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支持旁路部署方式，不改变网络架构，可扩展性大，避免串行设备部署导致单点故障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79" w:type="pct"/>
            <w:vMerge w:val="continue"/>
            <w:vAlign w:val="center"/>
          </w:tcPr>
          <w:p>
            <w:pPr>
              <w:widowControl/>
              <w:spacing w:line="276" w:lineRule="auto"/>
              <w:jc w:val="left"/>
              <w:rPr>
                <w:rFonts w:ascii="宋体" w:hAnsi="宋体" w:cs="宋体"/>
                <w:color w:val="auto"/>
                <w:kern w:val="0"/>
                <w:sz w:val="24"/>
                <w:highlight w:val="none"/>
              </w:rPr>
            </w:pP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支持策略路由，透明网桥模式部署模式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79" w:type="pct"/>
            <w:vMerge w:val="continue"/>
            <w:vAlign w:val="center"/>
          </w:tcPr>
          <w:p>
            <w:pPr>
              <w:widowControl/>
              <w:spacing w:line="276" w:lineRule="auto"/>
              <w:jc w:val="left"/>
              <w:rPr>
                <w:rFonts w:ascii="宋体" w:hAnsi="宋体" w:cs="宋体"/>
                <w:color w:val="auto"/>
                <w:kern w:val="0"/>
                <w:sz w:val="24"/>
                <w:highlight w:val="none"/>
              </w:rPr>
            </w:pP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支持无客户端、有客户端的部署模式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流量复制</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设备</w:t>
            </w:r>
            <w:r>
              <w:rPr>
                <w:rFonts w:ascii="宋体" w:hAnsi="宋体" w:cs="宋体"/>
                <w:color w:val="auto"/>
                <w:kern w:val="0"/>
                <w:sz w:val="24"/>
                <w:highlight w:val="none"/>
              </w:rPr>
              <w:t>支持</w:t>
            </w:r>
            <w:r>
              <w:rPr>
                <w:rFonts w:hint="eastAsia" w:ascii="宋体" w:hAnsi="宋体" w:cs="宋体"/>
                <w:color w:val="auto"/>
                <w:kern w:val="0"/>
                <w:sz w:val="24"/>
                <w:highlight w:val="none"/>
              </w:rPr>
              <w:t>将镜</w:t>
            </w:r>
            <w:r>
              <w:rPr>
                <w:rFonts w:ascii="宋体" w:hAnsi="宋体" w:cs="宋体"/>
                <w:color w:val="auto"/>
                <w:kern w:val="0"/>
                <w:sz w:val="24"/>
                <w:highlight w:val="none"/>
              </w:rPr>
              <w:t>像流量复制一份</w:t>
            </w:r>
            <w:r>
              <w:rPr>
                <w:rFonts w:hint="eastAsia" w:ascii="宋体" w:hAnsi="宋体" w:cs="宋体"/>
                <w:color w:val="auto"/>
                <w:kern w:val="0"/>
                <w:sz w:val="24"/>
                <w:highlight w:val="none"/>
              </w:rPr>
              <w:t>输</w:t>
            </w:r>
            <w:r>
              <w:rPr>
                <w:rFonts w:ascii="宋体" w:hAnsi="宋体" w:cs="宋体"/>
                <w:color w:val="auto"/>
                <w:kern w:val="0"/>
                <w:sz w:val="24"/>
                <w:highlight w:val="none"/>
              </w:rPr>
              <w:t>出</w:t>
            </w:r>
            <w:r>
              <w:rPr>
                <w:rFonts w:hint="eastAsia" w:ascii="宋体" w:hAnsi="宋体" w:cs="宋体"/>
                <w:color w:val="auto"/>
                <w:kern w:val="0"/>
                <w:sz w:val="24"/>
                <w:highlight w:val="none"/>
              </w:rPr>
              <w:t>给</w:t>
            </w:r>
            <w:r>
              <w:rPr>
                <w:rFonts w:ascii="宋体" w:hAnsi="宋体" w:cs="宋体"/>
                <w:color w:val="auto"/>
                <w:kern w:val="0"/>
                <w:sz w:val="24"/>
                <w:highlight w:val="none"/>
              </w:rPr>
              <w:t>其他流量</w:t>
            </w:r>
            <w:r>
              <w:rPr>
                <w:rFonts w:hint="eastAsia" w:ascii="宋体" w:hAnsi="宋体" w:cs="宋体"/>
                <w:color w:val="auto"/>
                <w:kern w:val="0"/>
                <w:sz w:val="24"/>
                <w:highlight w:val="none"/>
              </w:rPr>
              <w:t>监测类设备</w:t>
            </w:r>
            <w:r>
              <w:rPr>
                <w:rFonts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9" w:type="pct"/>
            <w:shd w:val="clear" w:color="000000" w:fill="FFFFFF"/>
            <w:vAlign w:val="center"/>
          </w:tcPr>
          <w:p>
            <w:pPr>
              <w:widowControl/>
              <w:spacing w:line="276" w:lineRule="auto"/>
              <w:jc w:val="left"/>
              <w:rPr>
                <w:rFonts w:ascii="宋体" w:hAnsi="宋体" w:cs="宋体"/>
                <w:color w:val="auto"/>
                <w:kern w:val="0"/>
                <w:sz w:val="24"/>
                <w:highlight w:val="none"/>
              </w:rPr>
            </w:pPr>
            <w:r>
              <w:rPr>
                <w:rFonts w:ascii="宋体" w:hAnsi="宋体" w:cs="宋体"/>
                <w:color w:val="auto"/>
                <w:kern w:val="0"/>
                <w:sz w:val="24"/>
                <w:highlight w:val="none"/>
              </w:rPr>
              <w:t>设备类型识别</w:t>
            </w:r>
          </w:p>
        </w:tc>
        <w:tc>
          <w:tcPr>
            <w:tcW w:w="4021" w:type="pct"/>
            <w:shd w:val="clear" w:color="000000" w:fill="FFFFFF"/>
            <w:vAlign w:val="center"/>
          </w:tcPr>
          <w:p>
            <w:pPr>
              <w:widowControl/>
              <w:spacing w:line="276" w:lineRule="auto"/>
              <w:jc w:val="left"/>
              <w:rPr>
                <w:rFonts w:ascii="宋体" w:hAnsi="宋体" w:cs="宋体"/>
                <w:color w:val="auto"/>
                <w:kern w:val="0"/>
                <w:sz w:val="24"/>
                <w:highlight w:val="none"/>
              </w:rPr>
            </w:pPr>
            <w:r>
              <w:rPr>
                <w:rFonts w:ascii="宋体" w:hAnsi="宋体" w:cs="宋体"/>
                <w:color w:val="auto"/>
                <w:kern w:val="0"/>
                <w:sz w:val="24"/>
                <w:highlight w:val="none"/>
              </w:rPr>
              <w:t>通过快速扫描方法，实现对网络中视频设备及其他设备数量和类型的分类统计，能够识别包括摄像头、NVR、DVR、存储服务器及其他计算机、交换机、服务器、移动终端等设备类型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视频设备信息采集</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能够准确获取各类网络视频摄像机厂商及型号，覆盖海康威视、大华、宇视、科达、天地伟业、华为、安讯士、罗普特、索尼、菲力尔、英飞拓、云天励飞、英迪高、汉邦高科、乔安科技、易视云、华迈等市场主流视频设备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设备配置采集</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能够识别设备的设备名称、操作系统、开放网络端口、运行网络应用等配置信息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9" w:type="pct"/>
            <w:shd w:val="clear" w:color="000000" w:fill="FFFFFF"/>
            <w:vAlign w:val="center"/>
          </w:tcPr>
          <w:p>
            <w:pPr>
              <w:widowControl/>
              <w:spacing w:line="276" w:lineRule="auto"/>
              <w:jc w:val="center"/>
              <w:rPr>
                <w:rFonts w:ascii="宋体" w:hAnsi="宋体" w:cs="宋体"/>
                <w:color w:val="auto"/>
                <w:kern w:val="0"/>
                <w:sz w:val="24"/>
                <w:highlight w:val="none"/>
              </w:rPr>
            </w:pPr>
            <w:r>
              <w:rPr>
                <w:rFonts w:ascii="宋体" w:hAnsi="宋体" w:cs="宋体"/>
                <w:color w:val="auto"/>
                <w:kern w:val="0"/>
                <w:sz w:val="24"/>
                <w:highlight w:val="none"/>
              </w:rPr>
              <w:t>生命周期管理</w:t>
            </w:r>
          </w:p>
        </w:tc>
        <w:tc>
          <w:tcPr>
            <w:tcW w:w="4021" w:type="pct"/>
            <w:shd w:val="clear" w:color="000000" w:fill="FFFFFF"/>
            <w:vAlign w:val="center"/>
          </w:tcPr>
          <w:p>
            <w:pPr>
              <w:widowControl/>
              <w:spacing w:line="276"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能准确感知终端的上线离线事件，详细记录了终端的上线时间，上线位置，离线时间等信息，方便管理员及时了解网络终端状况</w:t>
            </w:r>
          </w:p>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当网络内出现新设备接入或设备离线时可及时告警，通知管理员处理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9" w:type="pct"/>
            <w:shd w:val="clear" w:color="000000" w:fill="FFFFFF"/>
            <w:vAlign w:val="center"/>
          </w:tcPr>
          <w:p>
            <w:pPr>
              <w:widowControl/>
              <w:spacing w:line="276" w:lineRule="auto"/>
              <w:jc w:val="center"/>
              <w:rPr>
                <w:rFonts w:ascii="宋体" w:hAnsi="宋体" w:cs="宋体"/>
                <w:color w:val="auto"/>
                <w:kern w:val="0"/>
                <w:sz w:val="24"/>
                <w:highlight w:val="none"/>
              </w:rPr>
            </w:pPr>
            <w:r>
              <w:rPr>
                <w:rFonts w:ascii="宋体" w:hAnsi="宋体" w:cs="宋体"/>
                <w:color w:val="auto"/>
                <w:kern w:val="0"/>
                <w:sz w:val="24"/>
                <w:highlight w:val="none"/>
              </w:rPr>
              <w:t>网络设备管理</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支持可网管型交换机信息的图形化展示，通过面板的形式详尽展现了交换机型号信息、交换机的端口数、各接口状态以及各接口下联的终端详细信息，方便管理员掌握全网网络设备信息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入网审核</w:t>
            </w:r>
          </w:p>
        </w:tc>
        <w:tc>
          <w:tcPr>
            <w:tcW w:w="4021" w:type="pct"/>
            <w:shd w:val="clear" w:color="000000" w:fill="FFFFFF"/>
            <w:vAlign w:val="center"/>
          </w:tcPr>
          <w:p>
            <w:pPr>
              <w:widowControl/>
              <w:spacing w:line="276" w:lineRule="auto"/>
              <w:jc w:val="left"/>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支持入网设备的审批机制，强制接入设备必须经过资产登记后方可入网。</w:t>
            </w:r>
          </w:p>
          <w:p>
            <w:pPr>
              <w:widowControl/>
              <w:spacing w:line="276" w:lineRule="auto"/>
              <w:jc w:val="left"/>
              <w:rPr>
                <w:rFonts w:ascii="宋体" w:hAnsi="宋体" w:cs="宋体"/>
                <w:color w:val="auto"/>
                <w:kern w:val="0"/>
                <w:sz w:val="24"/>
                <w:highlight w:val="none"/>
              </w:rPr>
            </w:pPr>
            <w:r>
              <w:rPr>
                <w:rFonts w:ascii="宋体" w:hAnsi="宋体" w:cs="宋体"/>
                <w:color w:val="auto"/>
                <w:kern w:val="0"/>
                <w:sz w:val="24"/>
                <w:highlight w:val="none"/>
              </w:rPr>
              <w:t>登记的资产信息字段支持自定义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审批延时</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针对摄像头等低风险设备，允许未经审批的设备临时入网一段时间。方便设备抢修等应急事件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例外设备</w:t>
            </w:r>
          </w:p>
        </w:tc>
        <w:tc>
          <w:tcPr>
            <w:tcW w:w="4021" w:type="pct"/>
            <w:shd w:val="clear" w:color="000000" w:fill="FFFFFF"/>
            <w:vAlign w:val="center"/>
          </w:tcPr>
          <w:p>
            <w:pPr>
              <w:widowControl/>
              <w:spacing w:line="276" w:lineRule="auto"/>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支持根据IP地址设置例外设备，例外的设备无需执行准入控制策略</w:t>
            </w:r>
          </w:p>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支持根据MAC地址设置例外设备，例外的设备无论使用什么IP均无需执行准入控制策略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GB/T28181、GB35114支持</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支持GB/T28181及GB35114标准的识别，可以筛选出支持GB/T28181及GB35114协议的视频设备并禁止不支持的终端入网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IP-MAC绑定</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支持手动或自动学习IP/MAC绑定关系，通过配置策略可对网络内设备随意变更IP地址的行为或随意使用其他设备IP地址的行为进行快速发现和有效阻断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黑名单管理</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支持导入或联动第三方安全系统进行非常设备的加黑处置，对于黑名单中的IP/MAC地址，一律阻断其网络访问流量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外联扫描</w:t>
            </w:r>
          </w:p>
        </w:tc>
        <w:tc>
          <w:tcPr>
            <w:tcW w:w="4021" w:type="pct"/>
            <w:shd w:val="clear" w:color="000000" w:fill="FFFFFF"/>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支持在不安装客户端安全软件的基础上，发现网络内同时连接内网和互联网的PC或哑终端，支持发现外联设备的主机名、IP、MAC、外网出口IP信息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非法外联检测服务器</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支持在互联网部署非法外联检测服务器，对终端的违规外联事件进行取证和事件告警，支持以短信、邮件的方式进行外联告警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控制方式</w:t>
            </w:r>
          </w:p>
        </w:tc>
        <w:tc>
          <w:tcPr>
            <w:tcW w:w="4021" w:type="pct"/>
            <w:shd w:val="clear" w:color="000000" w:fill="FFFFFF"/>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产</w:t>
            </w:r>
            <w:r>
              <w:rPr>
                <w:rFonts w:ascii="宋体" w:hAnsi="宋体" w:cs="宋体"/>
                <w:color w:val="auto"/>
                <w:kern w:val="0"/>
                <w:sz w:val="24"/>
                <w:highlight w:val="none"/>
              </w:rPr>
              <w:t>品支持多种</w:t>
            </w:r>
            <w:r>
              <w:rPr>
                <w:rFonts w:hint="eastAsia" w:ascii="宋体" w:hAnsi="宋体" w:cs="宋体"/>
                <w:color w:val="auto"/>
                <w:kern w:val="0"/>
                <w:sz w:val="24"/>
                <w:highlight w:val="none"/>
              </w:rPr>
              <w:t>认证</w:t>
            </w:r>
            <w:r>
              <w:rPr>
                <w:rFonts w:ascii="宋体" w:hAnsi="宋体" w:cs="宋体"/>
                <w:color w:val="auto"/>
                <w:kern w:val="0"/>
                <w:sz w:val="24"/>
                <w:highlight w:val="none"/>
              </w:rPr>
              <w:t>控制方式，支持802.1x、portal、DHCP、MAB MAC、策略路由、旁路</w:t>
            </w:r>
            <w:r>
              <w:rPr>
                <w:rFonts w:hint="eastAsia" w:ascii="宋体" w:hAnsi="宋体" w:cs="宋体"/>
                <w:color w:val="auto"/>
                <w:kern w:val="0"/>
                <w:sz w:val="24"/>
                <w:highlight w:val="none"/>
              </w:rPr>
              <w:t>镜</w:t>
            </w:r>
            <w:r>
              <w:rPr>
                <w:rFonts w:ascii="宋体" w:hAnsi="宋体" w:cs="宋体"/>
                <w:color w:val="auto"/>
                <w:kern w:val="0"/>
                <w:sz w:val="24"/>
                <w:highlight w:val="none"/>
              </w:rPr>
              <w:t>像、WebAuth等方式，支持</w:t>
            </w:r>
            <w:r>
              <w:rPr>
                <w:rFonts w:hint="eastAsia" w:ascii="宋体" w:hAnsi="宋体" w:cs="宋体"/>
                <w:color w:val="auto"/>
                <w:kern w:val="0"/>
                <w:sz w:val="24"/>
                <w:highlight w:val="none"/>
              </w:rPr>
              <w:t>无线</w:t>
            </w:r>
            <w:r>
              <w:rPr>
                <w:rFonts w:ascii="宋体" w:hAnsi="宋体" w:cs="宋体"/>
                <w:color w:val="auto"/>
                <w:kern w:val="0"/>
                <w:sz w:val="24"/>
                <w:highlight w:val="none"/>
              </w:rPr>
              <w:t>和有</w:t>
            </w:r>
            <w:r>
              <w:rPr>
                <w:rFonts w:hint="eastAsia" w:ascii="宋体" w:hAnsi="宋体" w:cs="宋体"/>
                <w:color w:val="auto"/>
                <w:kern w:val="0"/>
                <w:sz w:val="24"/>
                <w:highlight w:val="none"/>
              </w:rPr>
              <w:t>线环</w:t>
            </w:r>
            <w:r>
              <w:rPr>
                <w:rFonts w:ascii="宋体" w:hAnsi="宋体" w:cs="宋体"/>
                <w:color w:val="auto"/>
                <w:kern w:val="0"/>
                <w:sz w:val="24"/>
                <w:highlight w:val="none"/>
              </w:rPr>
              <w:t>境下的接入控制，适</w:t>
            </w:r>
            <w:r>
              <w:rPr>
                <w:rFonts w:hint="eastAsia" w:ascii="宋体" w:hAnsi="宋体" w:cs="宋体"/>
                <w:color w:val="auto"/>
                <w:kern w:val="0"/>
                <w:sz w:val="24"/>
                <w:highlight w:val="none"/>
              </w:rPr>
              <w:t>应</w:t>
            </w:r>
            <w:r>
              <w:rPr>
                <w:rFonts w:ascii="宋体" w:hAnsi="宋体" w:cs="宋体"/>
                <w:color w:val="auto"/>
                <w:kern w:val="0"/>
                <w:sz w:val="24"/>
                <w:highlight w:val="none"/>
              </w:rPr>
              <w:t>复</w:t>
            </w:r>
            <w:r>
              <w:rPr>
                <w:rFonts w:hint="eastAsia" w:ascii="宋体" w:hAnsi="宋体" w:cs="宋体"/>
                <w:color w:val="auto"/>
                <w:kern w:val="0"/>
                <w:sz w:val="24"/>
                <w:highlight w:val="none"/>
              </w:rPr>
              <w:t>杂</w:t>
            </w:r>
            <w:r>
              <w:rPr>
                <w:rFonts w:ascii="宋体" w:hAnsi="宋体" w:cs="宋体"/>
                <w:color w:val="auto"/>
                <w:kern w:val="0"/>
                <w:sz w:val="24"/>
                <w:highlight w:val="none"/>
              </w:rPr>
              <w:t>网</w:t>
            </w:r>
            <w:r>
              <w:rPr>
                <w:rFonts w:hint="eastAsia" w:ascii="宋体" w:hAnsi="宋体" w:cs="宋体"/>
                <w:color w:val="auto"/>
                <w:kern w:val="0"/>
                <w:sz w:val="24"/>
                <w:highlight w:val="none"/>
              </w:rPr>
              <w:t>络环</w:t>
            </w:r>
            <w:r>
              <w:rPr>
                <w:rFonts w:ascii="宋体" w:hAnsi="宋体" w:cs="宋体"/>
                <w:color w:val="auto"/>
                <w:kern w:val="0"/>
                <w:sz w:val="24"/>
                <w:highlight w:val="none"/>
              </w:rPr>
              <w:t>境下的接入控制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身份认证</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支持根据设备类型配置认证策略，PC需经过用户名密码认证后才可入网，非PC设备无需身份认证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https重定向</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针对未认证或不合规的设备，当终端访问http、https网站时，支持对其网站访问重定向至引导页面进行身份认证或修复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本地用户管理</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支持本地用户信息管理系统，支持管理员创建或用户注册用户信息，支持自定义用户信息扩展字段，支持有效期、密码策略限制、同时认证在线限制等安全性设置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用户身份认证源</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支持LDAP、Email、Http认证源三种认证源配置，支持认证源顺序调整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域检查</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支持检查终端用户是否加入AD域，并能与AD域进行联动认证，便于用户统一管理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文件检查</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支持对文件共享检查，检查终端用户是否存在共享目录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补丁检查</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支持对不同类别补丁完整性检查，检查类别：高危漏洞、可选高危、其他及功能性补丁，并对未安装的PC进行引导安装，支持自定义必须安装和禁止安装补丁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U盘运行检查</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外设使用安全检查，检查是否插入自动运行风险性U盘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注册表检查</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支持对关键位置注册表的检查，关键位置文件检查；检查指定的可疑文件或可疑注册表项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Guest检查</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支持系统Guest帐户检查、空口令检查，保证账号安全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操作系统检查</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支持操作系统OS版本检查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非法外联检查</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支持非法外联检查，支持多个外联地址检查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IP获取方式检查</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支持网络配置获取方式检查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计算机名检查</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支持检查计算机的命名是否符合统一规范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开放端口检查</w:t>
            </w:r>
          </w:p>
        </w:tc>
        <w:tc>
          <w:tcPr>
            <w:tcW w:w="4021" w:type="pct"/>
            <w:shd w:val="clear" w:color="000000" w:fill="FFFFFF"/>
            <w:vAlign w:val="center"/>
          </w:tcPr>
          <w:p>
            <w:pPr>
              <w:widowControl/>
              <w:spacing w:line="276" w:lineRule="auto"/>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支持终端开放端口检查，确保开放端口满足合规要求</w:t>
            </w:r>
          </w:p>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支持客户端主动封禁违规端口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弱密码检查</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支持终端密码策略合规性检查和终端密码强度检查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9"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IE代理检查</w:t>
            </w:r>
          </w:p>
        </w:tc>
        <w:tc>
          <w:tcPr>
            <w:tcW w:w="4021" w:type="pct"/>
            <w:shd w:val="clear" w:color="000000" w:fill="FFFFFF"/>
            <w:vAlign w:val="center"/>
          </w:tcPr>
          <w:p>
            <w:pPr>
              <w:widowControl/>
              <w:spacing w:line="276" w:lineRule="auto"/>
              <w:rPr>
                <w:rFonts w:ascii="宋体" w:hAnsi="宋体" w:cs="宋体"/>
                <w:color w:val="auto"/>
                <w:kern w:val="0"/>
                <w:sz w:val="24"/>
                <w:highlight w:val="none"/>
              </w:rPr>
            </w:pPr>
            <w:r>
              <w:rPr>
                <w:rFonts w:ascii="宋体" w:hAnsi="宋体" w:cs="宋体"/>
                <w:color w:val="auto"/>
                <w:kern w:val="0"/>
                <w:sz w:val="24"/>
                <w:highlight w:val="none"/>
              </w:rPr>
              <w:t>支持IE代理检查</w:t>
            </w:r>
          </w:p>
        </w:tc>
      </w:tr>
    </w:tbl>
    <w:p>
      <w:pPr>
        <w:pStyle w:val="7"/>
        <w:spacing w:before="120" w:after="0" w:line="360" w:lineRule="auto"/>
        <w:ind w:firstLine="149" w:firstLineChars="62"/>
        <w:rPr>
          <w:rFonts w:ascii="宋体" w:hAnsi="宋体"/>
          <w:color w:val="auto"/>
          <w:sz w:val="24"/>
          <w:szCs w:val="24"/>
          <w:highlight w:val="none"/>
        </w:rPr>
      </w:pPr>
      <w:r>
        <w:rPr>
          <w:rFonts w:hint="eastAsia" w:ascii="宋体" w:hAnsi="宋体"/>
          <w:color w:val="auto"/>
          <w:sz w:val="24"/>
          <w:szCs w:val="24"/>
          <w:highlight w:val="none"/>
        </w:rPr>
        <w:t>日志审计系统</w:t>
      </w:r>
    </w:p>
    <w:tbl>
      <w:tblPr>
        <w:tblStyle w:val="2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指标项</w:t>
            </w:r>
          </w:p>
        </w:tc>
        <w:tc>
          <w:tcPr>
            <w:tcW w:w="6843" w:type="dxa"/>
            <w:shd w:val="clear" w:color="auto" w:fill="auto"/>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功能及技术参数，标</w:t>
            </w:r>
            <w:r>
              <w:rPr>
                <w:rFonts w:hint="eastAsia" w:ascii="宋体" w:hAnsi="宋体" w:cs="宋体"/>
                <w:b/>
                <w:bCs/>
                <w:color w:val="auto"/>
                <w:kern w:val="0"/>
                <w:sz w:val="24"/>
                <w:highlight w:val="none"/>
                <w:lang w:eastAsia="zh-CN"/>
              </w:rPr>
              <w:t>▲为实质性参数</w:t>
            </w:r>
            <w:r>
              <w:rPr>
                <w:rFonts w:hint="eastAsia" w:ascii="宋体" w:hAnsi="宋体" w:cs="宋体"/>
                <w:b/>
                <w:bCs/>
                <w:color w:val="auto"/>
                <w:kern w:val="0"/>
                <w:sz w:val="24"/>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shd w:val="clear" w:color="auto" w:fill="auto"/>
            <w:noWrap/>
            <w:vAlign w:val="center"/>
          </w:tcPr>
          <w:p>
            <w:pPr>
              <w:widowControl/>
              <w:spacing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▲硬件平台</w:t>
            </w:r>
          </w:p>
        </w:tc>
        <w:tc>
          <w:tcPr>
            <w:tcW w:w="6843" w:type="dxa"/>
            <w:shd w:val="clear" w:color="auto" w:fill="auto"/>
            <w:noWrap/>
            <w:vAlign w:val="center"/>
          </w:tcPr>
          <w:p>
            <w:pPr>
              <w:widowControl/>
              <w:spacing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要求产品必须在信创名录内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硬件指标</w:t>
            </w:r>
          </w:p>
        </w:tc>
        <w:tc>
          <w:tcPr>
            <w:tcW w:w="6843" w:type="dxa"/>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2U标准机架式硬件设备，全内置封闭式结构， CPU采用国产化飞腾FT-1500A/16（1.5GHz，16核），操作系统采用银河麒麟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千兆管理口≥2个，千兆电口≥4个,千兆光口≥4个,万兆光口≥2个；内存≥32G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存储空间≥4T + 128G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配置要求</w:t>
            </w:r>
          </w:p>
        </w:tc>
        <w:tc>
          <w:tcPr>
            <w:tcW w:w="6843" w:type="dxa"/>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本次要求支持≥50个日志源接入，支持可扩展日志源接入数量；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系统架构</w:t>
            </w:r>
          </w:p>
        </w:tc>
        <w:tc>
          <w:tcPr>
            <w:tcW w:w="6843" w:type="dxa"/>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支持内置采集器，不依赖其他设备即可进行日志采集；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性能指标</w:t>
            </w:r>
          </w:p>
        </w:tc>
        <w:tc>
          <w:tcPr>
            <w:tcW w:w="6843" w:type="dxa"/>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平均处理性能≥2000EPS；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日志管理</w:t>
            </w: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系统应能实现海量日志数据的采集并保存原始日志数据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系统应能够对异构日志格式进行统一化处理并保存统一化处理后的日志数据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系统应支持界面配置即可完成未识别日志接入，无需编写xml。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系统应支持规则自适应日志接入，应支持将新接收的日志信息与系统内置规则、自定义规则进行匹配，将匹配度最高的规则与接收到的日志进行关联，完成自动接入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系统应支持NAT环境下的Agent部署模式，投标时提供截图证明材料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系统应支持正则、KV、格式串等多种灵活的提取方式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系统应支持自动生成正则以高效的辅助提取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系统应能够实现对海量日志数据快速查询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系统应能够实现范式化日志的枚举值管理，实现对范式化日志字段的灵活翻译。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系统应支持IPv4、IPv6日志数据的采集、范式化、分析、展示。投标时提供截图证明材料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系统应支持日志源监控能力，包括采集器维度及资产维度的监控，资产维度支持展示资产详细信息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日志转发</w:t>
            </w: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系统应提供日志转发功能，应支持日志转发多个目标地址，可实现原始日志、范式化日志的转发，且不丢失原始日志源IP信息，投标时提供截图证明材料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日志备份恢复</w:t>
            </w: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系统应支持按类型、按日期(天)，手动、自动备份日志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系统应支持将产生硬件故障但能WEB访问设备上的数据备机到新设备上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日志查询分析</w:t>
            </w: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系统应支持全文检索、模糊检索、正则检索等多种方式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事件告警</w:t>
            </w: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系统应内置事件分类，并支持自定义事件分类，可定义事件分类的风险级别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系统应内置丰富的事件规则，应支持自定义事件规则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系统应支持基于事件分类的告警规则，支持短信、声音、邮件、界面提示等多种告警方式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资产管理</w:t>
            </w: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系统应支持资产监控，支持根据设备类别对资产进行分类，根据IP可下钻至资产的整体数据、告警及关联事件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系统应支持手工注册资产，支持对资产进行修改/删除、批量导入/导出/添加/修改/删除等多种方式的管理；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系统应支持从日志进行资产发现，投标时提供截图证明材料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系统应支持按资产查看资产日志、事件、资产告警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系统应支持资产以拓扑图形式展示，鼠标移动至资产图标可展示对应的资产信息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报表管理</w:t>
            </w: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系统应能够按照多种维度统计日志信息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系统应能支持自定义报表模板、报表目录、LOGO等。投标时提供截图证明材料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统计项管理</w:t>
            </w: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系统应支持生成折线图、趋势图、饼图、柱状图、表格等统计项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系统应支持自定义统计项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系统应支持统计项引用到报表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用户管理</w:t>
            </w: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系统应支持管理员、审计员、操作员多种权限设置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系统应支持来访IP限制，对暴力猜测IP地址进行锁定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系统自身安全性管理</w:t>
            </w:r>
          </w:p>
        </w:tc>
        <w:tc>
          <w:tcPr>
            <w:tcW w:w="6843" w:type="dxa"/>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系统应支持自身日志记录并可查询、自身CPU、内存和磁盘使用率可监控并以图形化方式动态显示，且支持状态监控和主动告警；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657" w:type="dxa"/>
            <w:vMerge w:val="restart"/>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厂商资质</w:t>
            </w:r>
          </w:p>
        </w:tc>
        <w:tc>
          <w:tcPr>
            <w:tcW w:w="6843" w:type="dxa"/>
            <w:shd w:val="clear" w:color="auto" w:fill="auto"/>
            <w:vAlign w:val="center"/>
          </w:tcPr>
          <w:p>
            <w:pPr>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CNCERT网络安全应急服务支撑单位（国家级），投标时提供证书复印件及官网截图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国家信息安全测评信息安全服务资质证书-安全开发类（二级），投标时提供证书复印件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7" w:type="dxa"/>
            <w:vMerge w:val="continue"/>
            <w:vAlign w:val="center"/>
          </w:tcPr>
          <w:p>
            <w:pPr>
              <w:widowControl/>
              <w:spacing w:line="276" w:lineRule="auto"/>
              <w:jc w:val="left"/>
              <w:rPr>
                <w:rFonts w:ascii="宋体" w:hAnsi="宋体" w:cs="宋体"/>
                <w:color w:val="auto"/>
                <w:kern w:val="0"/>
                <w:sz w:val="24"/>
                <w:highlight w:val="none"/>
              </w:rPr>
            </w:pPr>
          </w:p>
        </w:tc>
        <w:tc>
          <w:tcPr>
            <w:tcW w:w="6843" w:type="dxa"/>
            <w:shd w:val="clear" w:color="auto" w:fill="auto"/>
            <w:vAlign w:val="center"/>
          </w:tcPr>
          <w:p>
            <w:pPr>
              <w:widowControl/>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国家信息安全测评信息安全服务资质证书-安全工程类（三级），投标时提供证书复印件</w:t>
            </w:r>
          </w:p>
        </w:tc>
      </w:tr>
    </w:tbl>
    <w:p>
      <w:pPr>
        <w:pStyle w:val="7"/>
        <w:spacing w:before="120" w:after="0" w:line="360" w:lineRule="auto"/>
        <w:ind w:firstLine="149" w:firstLineChars="62"/>
        <w:rPr>
          <w:rFonts w:ascii="宋体" w:hAnsi="宋体"/>
          <w:color w:val="auto"/>
          <w:sz w:val="24"/>
          <w:szCs w:val="24"/>
          <w:highlight w:val="none"/>
        </w:rPr>
      </w:pPr>
      <w:r>
        <w:rPr>
          <w:rFonts w:hint="eastAsia" w:ascii="宋体" w:hAnsi="宋体"/>
          <w:color w:val="auto"/>
          <w:sz w:val="24"/>
          <w:szCs w:val="24"/>
          <w:highlight w:val="none"/>
        </w:rPr>
        <w:t>态势感知系统平台</w:t>
      </w:r>
    </w:p>
    <w:tbl>
      <w:tblPr>
        <w:tblStyle w:val="2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tcBorders>
              <w:bottom w:val="single" w:color="auto" w:sz="4" w:space="0"/>
            </w:tcBorders>
            <w:shd w:val="clear" w:color="auto" w:fill="auto"/>
            <w:vAlign w:val="center"/>
          </w:tcPr>
          <w:p>
            <w:pPr>
              <w:widowControl/>
              <w:spacing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指标项</w:t>
            </w:r>
          </w:p>
        </w:tc>
        <w:tc>
          <w:tcPr>
            <w:tcW w:w="4016" w:type="pct"/>
            <w:tcBorders>
              <w:bottom w:val="single" w:color="auto" w:sz="4" w:space="0"/>
            </w:tcBorders>
            <w:shd w:val="clear" w:color="auto" w:fill="auto"/>
            <w:vAlign w:val="center"/>
          </w:tcPr>
          <w:p>
            <w:pPr>
              <w:widowControl/>
              <w:spacing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功能及技术参数，标</w:t>
            </w:r>
            <w:r>
              <w:rPr>
                <w:rFonts w:hint="eastAsia" w:ascii="宋体" w:hAnsi="宋体" w:cs="宋体"/>
                <w:b/>
                <w:bCs/>
                <w:color w:val="auto"/>
                <w:kern w:val="0"/>
                <w:sz w:val="24"/>
                <w:highlight w:val="none"/>
                <w:lang w:eastAsia="zh-CN"/>
              </w:rPr>
              <w:t>▲为实质性参数</w:t>
            </w:r>
            <w:r>
              <w:rPr>
                <w:rFonts w:hint="eastAsia" w:ascii="宋体" w:hAnsi="宋体" w:cs="宋体"/>
                <w:b/>
                <w:bCs/>
                <w:color w:val="auto"/>
                <w:kern w:val="0"/>
                <w:sz w:val="24"/>
                <w:highlight w:val="none"/>
              </w:rPr>
              <w:t>，不允许负偏离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产品形态</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为灵活适应现场环境，必须满足软硬一体化形态和纯软件形态部署模式；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部署方式</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支持单台服务器部署，支持扩展2节点集群部署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▲硬件规格</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ascii="宋体" w:hAnsi="宋体" w:cs="宋体"/>
                <w:color w:val="auto"/>
                <w:kern w:val="0"/>
                <w:sz w:val="24"/>
                <w:highlight w:val="none"/>
              </w:rPr>
              <w:t>内存</w:t>
            </w:r>
            <w:r>
              <w:rPr>
                <w:rFonts w:hint="eastAsia" w:ascii="宋体" w:hAnsi="宋体" w:cs="宋体"/>
                <w:color w:val="auto"/>
                <w:kern w:val="0"/>
                <w:sz w:val="24"/>
                <w:highlight w:val="none"/>
              </w:rPr>
              <w:t>≥128</w:t>
            </w:r>
            <w:r>
              <w:rPr>
                <w:rFonts w:ascii="宋体" w:hAnsi="宋体" w:cs="宋体"/>
                <w:color w:val="auto"/>
                <w:kern w:val="0"/>
                <w:sz w:val="24"/>
                <w:highlight w:val="none"/>
              </w:rPr>
              <w:t>GB，</w:t>
            </w:r>
            <w:r>
              <w:rPr>
                <w:rFonts w:hint="eastAsia" w:ascii="宋体" w:hAnsi="宋体" w:cs="宋体"/>
                <w:color w:val="auto"/>
                <w:kern w:val="0"/>
                <w:sz w:val="24"/>
                <w:highlight w:val="none"/>
              </w:rPr>
              <w:t>硬盘不少于</w:t>
            </w:r>
            <w:r>
              <w:rPr>
                <w:rFonts w:ascii="宋体" w:hAnsi="宋体" w:cs="宋体"/>
                <w:color w:val="auto"/>
                <w:kern w:val="0"/>
                <w:sz w:val="24"/>
                <w:highlight w:val="none"/>
              </w:rPr>
              <w:t>960G SSD固态硬盘</w:t>
            </w:r>
            <w:r>
              <w:rPr>
                <w:rFonts w:hint="eastAsia" w:ascii="宋体" w:hAnsi="宋体" w:cs="宋体"/>
                <w:color w:val="auto"/>
                <w:kern w:val="0"/>
                <w:sz w:val="24"/>
                <w:highlight w:val="none"/>
              </w:rPr>
              <w:t>+8</w:t>
            </w:r>
            <w:r>
              <w:rPr>
                <w:rFonts w:ascii="宋体" w:hAnsi="宋体" w:cs="宋体"/>
                <w:color w:val="auto"/>
                <w:kern w:val="0"/>
                <w:sz w:val="24"/>
                <w:highlight w:val="none"/>
              </w:rPr>
              <w:t>*4TB企业级SATA 3.5寸硬盘</w:t>
            </w:r>
            <w:r>
              <w:rPr>
                <w:rFonts w:hint="eastAsia" w:ascii="宋体" w:hAnsi="宋体" w:cs="宋体"/>
                <w:color w:val="auto"/>
                <w:kern w:val="0"/>
                <w:sz w:val="24"/>
                <w:highlight w:val="none"/>
              </w:rPr>
              <w:t>；冗余双电源、≥</w:t>
            </w:r>
            <w:r>
              <w:rPr>
                <w:rFonts w:ascii="宋体" w:hAnsi="宋体" w:cs="宋体"/>
                <w:color w:val="auto"/>
                <w:kern w:val="0"/>
                <w:sz w:val="24"/>
                <w:highlight w:val="none"/>
              </w:rPr>
              <w:t>4*GE管理电口</w:t>
            </w:r>
            <w:r>
              <w:rPr>
                <w:rFonts w:hint="eastAsia" w:ascii="宋体" w:hAnsi="宋体" w:cs="宋体"/>
                <w:color w:val="auto"/>
                <w:kern w:val="0"/>
                <w:sz w:val="24"/>
                <w:highlight w:val="none"/>
              </w:rPr>
              <w:t>。至少提供</w:t>
            </w:r>
            <w:r>
              <w:rPr>
                <w:rFonts w:ascii="宋体" w:hAnsi="宋体" w:cs="宋体"/>
                <w:color w:val="auto"/>
                <w:kern w:val="0"/>
                <w:sz w:val="24"/>
                <w:highlight w:val="none"/>
              </w:rPr>
              <w:t>50个日志数据源的采集能力</w:t>
            </w:r>
            <w:r>
              <w:rPr>
                <w:rFonts w:hint="eastAsia" w:ascii="宋体" w:hAnsi="宋体" w:cs="宋体"/>
                <w:color w:val="auto"/>
                <w:kern w:val="0"/>
                <w:sz w:val="24"/>
                <w:highlight w:val="none"/>
              </w:rPr>
              <w:t>，三年威胁情报升级服务。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数据采集与存储</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支持接入并管理日志采集器、流量采集器，可支持第三方采集器接入（投标时提供截图证明材料）；</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w:t>
            </w:r>
            <w:r>
              <w:rPr>
                <w:rFonts w:ascii="宋体" w:hAnsi="宋体" w:cs="宋体"/>
                <w:color w:val="auto"/>
                <w:kern w:val="0"/>
                <w:sz w:val="24"/>
                <w:highlight w:val="none"/>
              </w:rPr>
              <w:t>Syslog、SNMP Trap、Netflow、JDBC、WMI、FTP、SFTP、agent等采集方式；</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日志接入支持界面交互式配置，通过图形化界面配置日志解析条件，利用正则表达式、分隔符、</w:t>
            </w:r>
            <w:r>
              <w:rPr>
                <w:rFonts w:ascii="宋体" w:hAnsi="宋体" w:cs="宋体"/>
                <w:color w:val="auto"/>
                <w:kern w:val="0"/>
                <w:sz w:val="24"/>
                <w:highlight w:val="none"/>
              </w:rPr>
              <w:t>Key-Value、JSON等方法定义解析规则，系统自动生成解析规则，无需通过代码编写解析规则</w:t>
            </w:r>
            <w:r>
              <w:rPr>
                <w:rFonts w:hint="eastAsia" w:ascii="宋体" w:hAnsi="宋体" w:cs="宋体"/>
                <w:color w:val="auto"/>
                <w:kern w:val="0"/>
                <w:sz w:val="24"/>
                <w:highlight w:val="none"/>
              </w:rPr>
              <w:t>；</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支持自定义过滤规则功能，通过配置</w:t>
            </w:r>
            <w:r>
              <w:rPr>
                <w:rFonts w:ascii="宋体" w:hAnsi="宋体" w:cs="宋体"/>
                <w:color w:val="auto"/>
                <w:kern w:val="0"/>
                <w:sz w:val="24"/>
                <w:highlight w:val="none"/>
              </w:rPr>
              <w:t>AND、OR等嵌套关联逻辑、条件及丰富的操作符来实现复杂的日志过滤需求；支持自定义富化规则功能，可引用值映射表来实现富化规则；</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支持自定义日志类型功能，支持对日志类型名称、存储方式、存储时间、分区方式、重要度等基础属性信息进行配置，达到分类存储日志的目的；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威胁情报</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支持本地威胁情报的检索，检索类型支持域名、</w:t>
            </w:r>
            <w:r>
              <w:rPr>
                <w:rFonts w:ascii="宋体" w:hAnsi="宋体" w:cs="宋体"/>
                <w:color w:val="auto"/>
                <w:kern w:val="0"/>
                <w:sz w:val="24"/>
                <w:highlight w:val="none"/>
              </w:rPr>
              <w:t>IP地址、文件MD5值；威胁情报内容支持IOC、攻击链阶段、置信度、类型描述、威胁家族、攻击事件/团伙、影响平台、情报状态、威胁描述等；</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支持云端威胁情报查询，查询结果需包含：IP主机信息、IP位置信息、域名流行度、情报IOC详情、</w:t>
            </w:r>
            <w:r>
              <w:rPr>
                <w:rFonts w:ascii="宋体" w:hAnsi="宋体" w:cs="宋体"/>
                <w:color w:val="auto"/>
                <w:kern w:val="0"/>
                <w:sz w:val="24"/>
                <w:highlight w:val="none"/>
              </w:rPr>
              <w:t>相关样本、</w:t>
            </w:r>
            <w:r>
              <w:rPr>
                <w:rFonts w:hint="eastAsia" w:ascii="宋体" w:hAnsi="宋体" w:cs="宋体"/>
                <w:color w:val="auto"/>
                <w:kern w:val="0"/>
                <w:sz w:val="24"/>
                <w:highlight w:val="none"/>
              </w:rPr>
              <w:t>可视化</w:t>
            </w:r>
            <w:r>
              <w:rPr>
                <w:rFonts w:ascii="宋体" w:hAnsi="宋体" w:cs="宋体"/>
                <w:color w:val="auto"/>
                <w:kern w:val="0"/>
                <w:sz w:val="24"/>
                <w:highlight w:val="none"/>
              </w:rPr>
              <w:t>分析、</w:t>
            </w:r>
            <w:r>
              <w:rPr>
                <w:rFonts w:hint="eastAsia" w:ascii="宋体" w:hAnsi="宋体" w:cs="宋体"/>
                <w:color w:val="auto"/>
                <w:kern w:val="0"/>
                <w:sz w:val="24"/>
                <w:highlight w:val="none"/>
              </w:rPr>
              <w:t>域名解析记录</w:t>
            </w:r>
            <w:r>
              <w:rPr>
                <w:rFonts w:ascii="宋体" w:hAnsi="宋体" w:cs="宋体"/>
                <w:color w:val="auto"/>
                <w:kern w:val="0"/>
                <w:sz w:val="24"/>
                <w:highlight w:val="none"/>
              </w:rPr>
              <w:t>、</w:t>
            </w:r>
            <w:r>
              <w:rPr>
                <w:rFonts w:hint="eastAsia" w:ascii="宋体" w:hAnsi="宋体" w:cs="宋体"/>
                <w:color w:val="auto"/>
                <w:kern w:val="0"/>
                <w:sz w:val="24"/>
                <w:highlight w:val="none"/>
              </w:rPr>
              <w:t>域名</w:t>
            </w:r>
            <w:r>
              <w:rPr>
                <w:rFonts w:ascii="宋体" w:hAnsi="宋体" w:cs="宋体"/>
                <w:color w:val="auto"/>
                <w:kern w:val="0"/>
                <w:sz w:val="24"/>
                <w:highlight w:val="none"/>
              </w:rPr>
              <w:t>注册信息</w:t>
            </w:r>
            <w:r>
              <w:rPr>
                <w:rFonts w:hint="eastAsia" w:ascii="宋体" w:hAnsi="宋体" w:cs="宋体"/>
                <w:color w:val="auto"/>
                <w:kern w:val="0"/>
                <w:sz w:val="24"/>
                <w:highlight w:val="none"/>
              </w:rPr>
              <w:t>、</w:t>
            </w:r>
            <w:r>
              <w:rPr>
                <w:rFonts w:ascii="宋体" w:hAnsi="宋体" w:cs="宋体"/>
                <w:color w:val="auto"/>
                <w:kern w:val="0"/>
                <w:sz w:val="24"/>
                <w:highlight w:val="none"/>
              </w:rPr>
              <w:t>关联域名</w:t>
            </w:r>
            <w:r>
              <w:rPr>
                <w:rFonts w:hint="eastAsia" w:ascii="宋体" w:hAnsi="宋体" w:cs="宋体"/>
                <w:color w:val="auto"/>
                <w:kern w:val="0"/>
                <w:sz w:val="24"/>
                <w:highlight w:val="none"/>
              </w:rPr>
              <w:t>、</w:t>
            </w:r>
            <w:r>
              <w:rPr>
                <w:rFonts w:ascii="宋体" w:hAnsi="宋体" w:cs="宋体"/>
                <w:color w:val="auto"/>
                <w:kern w:val="0"/>
                <w:sz w:val="24"/>
                <w:highlight w:val="none"/>
              </w:rPr>
              <w:t>数字证书等信息</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支持自定义威胁情报，支持类型包含</w:t>
            </w:r>
            <w:r>
              <w:rPr>
                <w:rFonts w:ascii="宋体" w:hAnsi="宋体" w:cs="宋体"/>
                <w:color w:val="auto"/>
                <w:kern w:val="0"/>
                <w:sz w:val="24"/>
                <w:highlight w:val="none"/>
              </w:rPr>
              <w:t>IP</w:t>
            </w:r>
            <w:r>
              <w:rPr>
                <w:rFonts w:hint="eastAsia" w:ascii="宋体" w:hAnsi="宋体" w:cs="宋体"/>
                <w:color w:val="auto"/>
                <w:kern w:val="0"/>
                <w:sz w:val="24"/>
                <w:highlight w:val="none"/>
              </w:rPr>
              <w:t>地址</w:t>
            </w:r>
            <w:r>
              <w:rPr>
                <w:rFonts w:ascii="宋体" w:hAnsi="宋体" w:cs="宋体"/>
                <w:color w:val="auto"/>
                <w:kern w:val="0"/>
                <w:sz w:val="24"/>
                <w:highlight w:val="none"/>
              </w:rPr>
              <w:t>、域名</w:t>
            </w:r>
            <w:r>
              <w:rPr>
                <w:rFonts w:hint="eastAsia" w:ascii="宋体" w:hAnsi="宋体" w:cs="宋体"/>
                <w:color w:val="auto"/>
                <w:kern w:val="0"/>
                <w:sz w:val="24"/>
                <w:highlight w:val="none"/>
              </w:rPr>
              <w:t>、MD5</w:t>
            </w:r>
            <w:r>
              <w:rPr>
                <w:rFonts w:ascii="宋体" w:hAnsi="宋体" w:cs="宋体"/>
                <w:color w:val="auto"/>
                <w:kern w:val="0"/>
                <w:sz w:val="24"/>
                <w:highlight w:val="none"/>
              </w:rPr>
              <w:t>、</w:t>
            </w:r>
            <w:r>
              <w:rPr>
                <w:rFonts w:hint="eastAsia" w:ascii="宋体" w:hAnsi="宋体" w:cs="宋体"/>
                <w:color w:val="auto"/>
                <w:kern w:val="0"/>
                <w:sz w:val="24"/>
                <w:highlight w:val="none"/>
              </w:rPr>
              <w:t>域名:URI</w:t>
            </w:r>
            <w:r>
              <w:rPr>
                <w:rFonts w:ascii="宋体" w:hAnsi="宋体" w:cs="宋体"/>
                <w:color w:val="auto"/>
                <w:kern w:val="0"/>
                <w:sz w:val="24"/>
                <w:highlight w:val="none"/>
              </w:rPr>
              <w:t>、IP地址:</w:t>
            </w:r>
            <w:r>
              <w:rPr>
                <w:rFonts w:hint="eastAsia" w:ascii="宋体" w:hAnsi="宋体" w:cs="宋体"/>
                <w:color w:val="auto"/>
                <w:kern w:val="0"/>
                <w:sz w:val="24"/>
                <w:highlight w:val="none"/>
              </w:rPr>
              <w:t>URI、域名:端口、I</w:t>
            </w:r>
            <w:r>
              <w:rPr>
                <w:rFonts w:ascii="宋体" w:hAnsi="宋体" w:cs="宋体"/>
                <w:color w:val="auto"/>
                <w:kern w:val="0"/>
                <w:sz w:val="24"/>
                <w:highlight w:val="none"/>
              </w:rPr>
              <w:t>P</w:t>
            </w:r>
            <w:r>
              <w:rPr>
                <w:rFonts w:hint="eastAsia" w:ascii="宋体" w:hAnsi="宋体" w:cs="宋体"/>
                <w:color w:val="auto"/>
                <w:kern w:val="0"/>
                <w:sz w:val="24"/>
                <w:highlight w:val="none"/>
              </w:rPr>
              <w:t>地址:端口、域名:端口:</w:t>
            </w:r>
            <w:r>
              <w:rPr>
                <w:rFonts w:ascii="宋体" w:hAnsi="宋体" w:cs="宋体"/>
                <w:color w:val="auto"/>
                <w:kern w:val="0"/>
                <w:sz w:val="24"/>
                <w:highlight w:val="none"/>
              </w:rPr>
              <w:t>URI</w:t>
            </w:r>
            <w:r>
              <w:rPr>
                <w:rFonts w:hint="eastAsia" w:ascii="宋体" w:hAnsi="宋体" w:cs="宋体"/>
                <w:color w:val="auto"/>
                <w:kern w:val="0"/>
                <w:sz w:val="24"/>
                <w:highlight w:val="none"/>
              </w:rPr>
              <w:t>、IP地址:端口</w:t>
            </w:r>
            <w:r>
              <w:rPr>
                <w:rFonts w:ascii="宋体" w:hAnsi="宋体" w:cs="宋体"/>
                <w:color w:val="auto"/>
                <w:kern w:val="0"/>
                <w:sz w:val="24"/>
                <w:highlight w:val="none"/>
              </w:rPr>
              <w:t>:</w:t>
            </w:r>
            <w:r>
              <w:rPr>
                <w:rFonts w:hint="eastAsia" w:ascii="宋体" w:hAnsi="宋体" w:cs="宋体"/>
                <w:color w:val="auto"/>
                <w:kern w:val="0"/>
                <w:sz w:val="24"/>
                <w:highlight w:val="none"/>
              </w:rPr>
              <w:t>URI。</w:t>
            </w:r>
            <w:r>
              <w:rPr>
                <w:rFonts w:ascii="宋体" w:hAnsi="宋体" w:cs="宋体"/>
                <w:color w:val="auto"/>
                <w:kern w:val="0"/>
                <w:sz w:val="24"/>
                <w:highlight w:val="none"/>
              </w:rPr>
              <w:t>支持自定义IPv6的威胁情报（投标时提供截图证明材料）</w:t>
            </w:r>
          </w:p>
          <w:p>
            <w:pPr>
              <w:widowControl/>
              <w:spacing w:line="276" w:lineRule="auto"/>
              <w:jc w:val="left"/>
              <w:rPr>
                <w:rFonts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资产管理</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主机资产管理，主机资产分类应包括IOT设备、服务器、工作主机、网络设备、安全设备、终端安全管理、数据库服务器、中间件服务器、存储设备、应用服务器、安全域、虚拟化设备；支持对主机资产的服务信息进行管理，服务信息应包括：IP地址、端口、协议、服务名、服务版本和Banner；</w:t>
            </w:r>
            <w:r>
              <w:rPr>
                <w:rFonts w:ascii="宋体" w:hAnsi="宋体" w:cs="宋体"/>
                <w:color w:val="auto"/>
                <w:kern w:val="0"/>
                <w:sz w:val="24"/>
                <w:highlight w:val="none"/>
              </w:rPr>
              <w:t>支持对IPV6资产的管理；</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支持通过网络流量解析发现资产信息、支持通过脆弱性发现资产信息；支持网站资产的新增、编辑、删除和检索，支持管理网站资产的资产名称、URL地址</w:t>
            </w:r>
            <w:r>
              <w:rPr>
                <w:rFonts w:ascii="宋体" w:hAnsi="宋体" w:cs="宋体"/>
                <w:color w:val="auto"/>
                <w:kern w:val="0"/>
                <w:sz w:val="24"/>
                <w:highlight w:val="none"/>
              </w:rPr>
              <w:t>、技术框架</w:t>
            </w:r>
            <w:r>
              <w:rPr>
                <w:rFonts w:hint="eastAsia" w:ascii="宋体" w:hAnsi="宋体" w:cs="宋体"/>
                <w:color w:val="auto"/>
                <w:kern w:val="0"/>
                <w:sz w:val="24"/>
                <w:highlight w:val="none"/>
              </w:rPr>
              <w:t>及版本</w:t>
            </w:r>
            <w:r>
              <w:rPr>
                <w:rFonts w:ascii="宋体" w:hAnsi="宋体" w:cs="宋体"/>
                <w:color w:val="auto"/>
                <w:kern w:val="0"/>
                <w:sz w:val="24"/>
                <w:highlight w:val="none"/>
              </w:rPr>
              <w:t>、</w:t>
            </w:r>
            <w:r>
              <w:rPr>
                <w:rFonts w:hint="eastAsia" w:ascii="宋体" w:hAnsi="宋体" w:cs="宋体"/>
                <w:color w:val="auto"/>
                <w:kern w:val="0"/>
                <w:sz w:val="24"/>
                <w:highlight w:val="none"/>
              </w:rPr>
              <w:t>网站标题、使用状态、责任人、地理位置、资产分组、资产价值等</w:t>
            </w:r>
            <w:r>
              <w:rPr>
                <w:rFonts w:ascii="宋体" w:hAnsi="宋体" w:cs="宋体"/>
                <w:color w:val="auto"/>
                <w:kern w:val="0"/>
                <w:sz w:val="24"/>
                <w:highlight w:val="none"/>
              </w:rPr>
              <w:t>属性，支持网站资产关联主机IP；</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支持资产分类的自定义扩展，支持对发现资产的方式进行优先级配置，支持对资产更新策略进行配置来动态更新资产信息。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威胁预警</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重大网络安全事件（如永恒之蓝）进行威胁预警，通过厂商对重大网络安全事件的追踪生成预警包，通过预警包导入完成网络安全事件的影响面评估，并持续的跟进事态的发展，快速完成重大网络安全事件的预警及处置；</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针对此类风险支持统计潜在风险资产数、受攻击资产数、失陷资产数以支持对重大网络安全事件进行威胁预警。</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针对此类风险支持统计潜在风险资产数、受攻击资产数、失陷资产数以及资产的日同比及周同比对比。支持影响面趋势视图统计分析。支持基于网段潜在风险资产数、受攻击资产数、失陷资产数责任人等影响面分布。</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支持根据风险资产数量统计自定义关键点节点条件，比如大面积爆发、有效控制、威胁缓解等。支持事态扩散过程发展趋势图的展示及详细告警列表及告警信息展示（投标时提供截图证明材料）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脆弱性管理</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系统至少支持绿盟、启明、网神、天融信、</w:t>
            </w:r>
            <w:r>
              <w:rPr>
                <w:rFonts w:ascii="宋体" w:hAnsi="宋体" w:cs="宋体"/>
                <w:color w:val="auto"/>
                <w:kern w:val="0"/>
                <w:sz w:val="24"/>
                <w:highlight w:val="none"/>
              </w:rPr>
              <w:t>Tenable五款漏扫报告的解析识别和导入管理，支持人工漏洞报告导入，使用模板进行漏洞信息的导入</w:t>
            </w:r>
            <w:r>
              <w:rPr>
                <w:rFonts w:hint="eastAsia" w:ascii="宋体" w:hAnsi="宋体" w:cs="宋体"/>
                <w:color w:val="auto"/>
                <w:kern w:val="0"/>
                <w:sz w:val="24"/>
                <w:highlight w:val="none"/>
              </w:rPr>
              <w:t>；</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支持对绿盟、启明、网神、</w:t>
            </w:r>
            <w:r>
              <w:rPr>
                <w:rFonts w:ascii="宋体" w:hAnsi="宋体" w:cs="宋体"/>
                <w:color w:val="auto"/>
                <w:kern w:val="0"/>
                <w:sz w:val="24"/>
                <w:highlight w:val="none"/>
              </w:rPr>
              <w:t>Tenable中至少两款主流扫描设备进行漏洞扫描任务调度和弱口令扫描任务调度，</w:t>
            </w:r>
            <w:r>
              <w:rPr>
                <w:rFonts w:hint="eastAsia" w:ascii="宋体" w:hAnsi="宋体" w:cs="宋体"/>
                <w:color w:val="auto"/>
                <w:kern w:val="0"/>
                <w:sz w:val="24"/>
                <w:highlight w:val="none"/>
              </w:rPr>
              <w:t>支持对绿盟、启明、网神、盛华安至少三款第三方配置核查扫描报告及人工配置核查报告的的解析识别和导入管理；</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支持通过网络流量同步漏洞、弱口令信息；支持直接同步服务器管理系统的漏洞信息；支持直接同步绿盟漏扫设备的漏扫任务及扫描结果；支持直接同步盛华安配置核查系统的配置核查扫描任务和扫描结果；</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漏洞信息、弱口令、配置核查可直接调用工单系统，漏洞信息可直接添加到调查任务，支持添加到已有任务或创建新的调查任务；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威胁检测</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支持接入各种类型数据包括但不限于：设备日志、网络流量、失陷类威胁情报数据、资产数据、漏洞数据等数据进行关联分析，支持对</w:t>
            </w:r>
            <w:r>
              <w:rPr>
                <w:rFonts w:ascii="宋体" w:hAnsi="宋体" w:cs="宋体"/>
                <w:color w:val="auto"/>
                <w:kern w:val="0"/>
                <w:sz w:val="24"/>
                <w:highlight w:val="none"/>
              </w:rPr>
              <w:t>IPV6日志进行关联分析；支持图形化连线拖拽的交互配置方式灵活组合规则建模中的计算单元，计算单元至少包括关联分析、统计分析和序列分析等以应对不同威胁场景建模；</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支持基线分析功能，对数据进行基线学习生成行为基线，通过基线比对方式产生异常行为告警。基线分析模型至少支持</w:t>
            </w:r>
            <w:r>
              <w:rPr>
                <w:rFonts w:ascii="宋体" w:hAnsi="宋体" w:cs="宋体"/>
                <w:color w:val="auto"/>
                <w:kern w:val="0"/>
                <w:sz w:val="24"/>
                <w:highlight w:val="none"/>
              </w:rPr>
              <w:t>日志过滤、行为统计、基线学习、基线比较4类计算单元</w:t>
            </w:r>
            <w:r>
              <w:rPr>
                <w:rFonts w:hint="eastAsia" w:ascii="宋体" w:hAnsi="宋体" w:cs="宋体"/>
                <w:color w:val="auto"/>
                <w:kern w:val="0"/>
                <w:sz w:val="24"/>
                <w:highlight w:val="none"/>
              </w:rPr>
              <w:t>。</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支持通过告警模块，进行安全分析模块间的快速跳转，可快速跳转模块至少包含资产、实体分析、日志检索。支持对告警进行</w:t>
            </w:r>
            <w:r>
              <w:rPr>
                <w:rFonts w:ascii="宋体" w:hAnsi="宋体" w:cs="宋体"/>
                <w:color w:val="auto"/>
                <w:kern w:val="0"/>
                <w:sz w:val="24"/>
                <w:highlight w:val="none"/>
              </w:rPr>
              <w:t>ATT&amp;CK攻击战术、攻击技术的标识，并支持通过告警关联到ATT&amp;CK知识库。</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告警管理功能至少预置</w:t>
            </w:r>
            <w:r>
              <w:rPr>
                <w:rFonts w:ascii="宋体" w:hAnsi="宋体" w:cs="宋体"/>
                <w:color w:val="auto"/>
                <w:kern w:val="0"/>
                <w:sz w:val="24"/>
                <w:highlight w:val="none"/>
              </w:rPr>
              <w:t>11种常</w:t>
            </w:r>
            <w:r>
              <w:rPr>
                <w:rFonts w:hint="eastAsia" w:ascii="宋体" w:hAnsi="宋体" w:cs="宋体"/>
                <w:color w:val="auto"/>
                <w:kern w:val="0"/>
                <w:sz w:val="24"/>
                <w:highlight w:val="none"/>
              </w:rPr>
              <w:t>见</w:t>
            </w:r>
            <w:r>
              <w:rPr>
                <w:rFonts w:ascii="宋体" w:hAnsi="宋体" w:cs="宋体"/>
                <w:color w:val="auto"/>
                <w:kern w:val="0"/>
                <w:sz w:val="24"/>
                <w:highlight w:val="none"/>
              </w:rPr>
              <w:t>场景的</w:t>
            </w:r>
            <w:r>
              <w:rPr>
                <w:rFonts w:hint="eastAsia" w:ascii="宋体" w:hAnsi="宋体" w:cs="宋体"/>
                <w:color w:val="auto"/>
                <w:kern w:val="0"/>
                <w:sz w:val="24"/>
                <w:highlight w:val="none"/>
              </w:rPr>
              <w:t>告警</w:t>
            </w:r>
            <w:r>
              <w:rPr>
                <w:rFonts w:ascii="宋体" w:hAnsi="宋体" w:cs="宋体"/>
                <w:color w:val="auto"/>
                <w:kern w:val="0"/>
                <w:sz w:val="24"/>
                <w:highlight w:val="none"/>
              </w:rPr>
              <w:t>快速筛选</w:t>
            </w:r>
            <w:r>
              <w:rPr>
                <w:rFonts w:hint="eastAsia" w:ascii="宋体" w:hAnsi="宋体" w:cs="宋体"/>
                <w:color w:val="auto"/>
                <w:kern w:val="0"/>
                <w:sz w:val="24"/>
                <w:highlight w:val="none"/>
              </w:rPr>
              <w:t>器</w:t>
            </w:r>
            <w:r>
              <w:rPr>
                <w:rFonts w:ascii="宋体" w:hAnsi="宋体" w:cs="宋体"/>
                <w:color w:val="auto"/>
                <w:kern w:val="0"/>
                <w:sz w:val="24"/>
                <w:highlight w:val="none"/>
              </w:rPr>
              <w:t>，包括今日新增威胁告警、今日第一次出现的告警</w:t>
            </w:r>
            <w:r>
              <w:rPr>
                <w:rFonts w:hint="eastAsia" w:ascii="宋体" w:hAnsi="宋体" w:cs="宋体"/>
                <w:color w:val="auto"/>
                <w:kern w:val="0"/>
                <w:sz w:val="24"/>
                <w:highlight w:val="none"/>
              </w:rPr>
              <w:t>、</w:t>
            </w:r>
            <w:r>
              <w:rPr>
                <w:rFonts w:ascii="宋体" w:hAnsi="宋体" w:cs="宋体"/>
                <w:color w:val="auto"/>
                <w:kern w:val="0"/>
                <w:sz w:val="24"/>
                <w:highlight w:val="none"/>
              </w:rPr>
              <w:t>命中威胁情报告警、外部威胁攻击告警、</w:t>
            </w:r>
            <w:r>
              <w:rPr>
                <w:rFonts w:hint="eastAsia" w:ascii="宋体" w:hAnsi="宋体" w:cs="宋体"/>
                <w:color w:val="auto"/>
                <w:kern w:val="0"/>
                <w:sz w:val="24"/>
                <w:highlight w:val="none"/>
              </w:rPr>
              <w:t>外部攻击成功主机失陷告警、</w:t>
            </w:r>
            <w:r>
              <w:rPr>
                <w:rFonts w:ascii="宋体" w:hAnsi="宋体" w:cs="宋体"/>
                <w:color w:val="auto"/>
                <w:kern w:val="0"/>
                <w:sz w:val="24"/>
                <w:highlight w:val="none"/>
              </w:rPr>
              <w:t>资产外联告警、恶意文件告警、横向移动攻击告警</w:t>
            </w:r>
            <w:r>
              <w:rPr>
                <w:rFonts w:hint="eastAsia" w:ascii="宋体" w:hAnsi="宋体" w:cs="宋体"/>
                <w:color w:val="auto"/>
                <w:kern w:val="0"/>
                <w:sz w:val="24"/>
                <w:highlight w:val="none"/>
              </w:rPr>
              <w:t>、横向移动失陷危急告警、主机安全危急告警、</w:t>
            </w:r>
            <w:r>
              <w:rPr>
                <w:rFonts w:ascii="宋体" w:hAnsi="宋体" w:cs="宋体"/>
                <w:color w:val="auto"/>
                <w:kern w:val="0"/>
                <w:sz w:val="24"/>
                <w:highlight w:val="none"/>
              </w:rPr>
              <w:t>Web安全</w:t>
            </w:r>
            <w:r>
              <w:rPr>
                <w:rFonts w:hint="eastAsia" w:ascii="宋体" w:hAnsi="宋体" w:cs="宋体"/>
                <w:color w:val="auto"/>
                <w:kern w:val="0"/>
                <w:sz w:val="24"/>
                <w:highlight w:val="none"/>
              </w:rPr>
              <w:t>危急</w:t>
            </w:r>
            <w:r>
              <w:rPr>
                <w:rFonts w:ascii="宋体" w:hAnsi="宋体" w:cs="宋体"/>
                <w:color w:val="auto"/>
                <w:kern w:val="0"/>
                <w:sz w:val="24"/>
                <w:highlight w:val="none"/>
              </w:rPr>
              <w:t>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联动处置</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与本次采购的非国产杀毒软件联动命令包含：全网终端隔离特定文件，特定终端隔离特定文件、隔离特定终端；支持对同一安全防护策略批量下发给多台联动设备。</w:t>
            </w:r>
            <w:r>
              <w:rPr>
                <w:rFonts w:ascii="宋体" w:hAnsi="宋体" w:cs="宋体"/>
                <w:color w:val="auto"/>
                <w:kern w:val="0"/>
                <w:sz w:val="24"/>
                <w:highlight w:val="none"/>
              </w:rPr>
              <w:t>（投标时提供截图证明材料）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场景分析</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具备失陷情报分析、热点恶意软件分析、账号安全分析、邮件安全分析场景；</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账号安全分析场景应包含异地账号登陆、暴力破解、弱口令检测、明文密码泄露、</w:t>
            </w:r>
            <w:r>
              <w:rPr>
                <w:rFonts w:ascii="宋体" w:hAnsi="宋体" w:cs="宋体"/>
                <w:color w:val="auto"/>
                <w:kern w:val="0"/>
                <w:sz w:val="24"/>
                <w:highlight w:val="none"/>
              </w:rPr>
              <w:t>VPN账号登录行为统计场景；邮件安全分析</w:t>
            </w:r>
            <w:r>
              <w:rPr>
                <w:rFonts w:hint="eastAsia" w:ascii="宋体" w:hAnsi="宋体" w:cs="宋体"/>
                <w:color w:val="auto"/>
                <w:kern w:val="0"/>
                <w:sz w:val="24"/>
                <w:highlight w:val="none"/>
              </w:rPr>
              <w:t>场景</w:t>
            </w:r>
            <w:r>
              <w:rPr>
                <w:rFonts w:ascii="宋体" w:hAnsi="宋体" w:cs="宋体"/>
                <w:color w:val="auto"/>
                <w:kern w:val="0"/>
                <w:sz w:val="24"/>
                <w:highlight w:val="none"/>
              </w:rPr>
              <w:t>包含邮件</w:t>
            </w:r>
            <w:r>
              <w:rPr>
                <w:rFonts w:hint="eastAsia" w:ascii="宋体" w:hAnsi="宋体" w:cs="宋体"/>
                <w:color w:val="auto"/>
                <w:kern w:val="0"/>
                <w:sz w:val="24"/>
                <w:highlight w:val="none"/>
              </w:rPr>
              <w:t>威胁</w:t>
            </w:r>
            <w:r>
              <w:rPr>
                <w:rFonts w:ascii="宋体" w:hAnsi="宋体" w:cs="宋体"/>
                <w:color w:val="auto"/>
                <w:kern w:val="0"/>
                <w:sz w:val="24"/>
                <w:highlight w:val="none"/>
              </w:rPr>
              <w:t>分析、敏感关键词邮件列表、敏感后缀邮件列表（投标时提供截图证明材料）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事件调查</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通过创建事件调查任务对威胁事件和可疑事件进行调查分析，调查任务中可添加的证据数据包括：日志、告警、漏洞、弱口令、配置核查、文本；支持对以攻击者和受害者情况视角对调查任务中的数据做统计分析；支持调查结果的图形化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实体分析</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支持以IP地址、域名</w:t>
            </w:r>
            <w:r>
              <w:rPr>
                <w:rFonts w:ascii="宋体" w:hAnsi="宋体" w:cs="宋体"/>
                <w:color w:val="auto"/>
                <w:kern w:val="0"/>
                <w:sz w:val="24"/>
                <w:highlight w:val="none"/>
              </w:rPr>
              <w:t>作为实体的快速分析能力</w:t>
            </w:r>
            <w:r>
              <w:rPr>
                <w:rFonts w:hint="eastAsia" w:ascii="宋体" w:hAnsi="宋体" w:cs="宋体"/>
                <w:color w:val="auto"/>
                <w:kern w:val="0"/>
                <w:sz w:val="24"/>
                <w:highlight w:val="none"/>
              </w:rPr>
              <w:t>。</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对于外部</w:t>
            </w:r>
            <w:r>
              <w:rPr>
                <w:rFonts w:ascii="宋体" w:hAnsi="宋体" w:cs="宋体"/>
                <w:color w:val="auto"/>
                <w:kern w:val="0"/>
                <w:sz w:val="24"/>
                <w:highlight w:val="none"/>
              </w:rPr>
              <w:t>IP分析，</w:t>
            </w:r>
            <w:r>
              <w:rPr>
                <w:rFonts w:hint="eastAsia" w:ascii="宋体" w:hAnsi="宋体" w:cs="宋体"/>
                <w:color w:val="auto"/>
                <w:kern w:val="0"/>
                <w:sz w:val="24"/>
                <w:highlight w:val="none"/>
              </w:rPr>
              <w:t>支持集中展示</w:t>
            </w:r>
            <w:r>
              <w:rPr>
                <w:rFonts w:ascii="宋体" w:hAnsi="宋体" w:cs="宋体"/>
                <w:color w:val="auto"/>
                <w:kern w:val="0"/>
                <w:sz w:val="24"/>
                <w:highlight w:val="none"/>
              </w:rPr>
              <w:t>该IP相关的威胁</w:t>
            </w:r>
            <w:r>
              <w:rPr>
                <w:rFonts w:hint="eastAsia" w:ascii="宋体" w:hAnsi="宋体" w:cs="宋体"/>
                <w:color w:val="auto"/>
                <w:kern w:val="0"/>
                <w:sz w:val="24"/>
                <w:highlight w:val="none"/>
              </w:rPr>
              <w:t>趋势、攻击阶段、威胁分类、威胁关联情况等数据以及该IP对资产的登录分析</w:t>
            </w:r>
            <w:r>
              <w:rPr>
                <w:rFonts w:ascii="宋体" w:hAnsi="宋体" w:cs="宋体"/>
                <w:color w:val="auto"/>
                <w:kern w:val="0"/>
                <w:sz w:val="24"/>
                <w:highlight w:val="none"/>
              </w:rPr>
              <w:t>等</w:t>
            </w:r>
            <w:r>
              <w:rPr>
                <w:rFonts w:hint="eastAsia" w:ascii="宋体" w:hAnsi="宋体" w:cs="宋体"/>
                <w:color w:val="auto"/>
                <w:kern w:val="0"/>
                <w:sz w:val="24"/>
                <w:highlight w:val="none"/>
              </w:rPr>
              <w:t>；</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对于内部</w:t>
            </w:r>
            <w:r>
              <w:rPr>
                <w:rFonts w:ascii="宋体" w:hAnsi="宋体" w:cs="宋体"/>
                <w:color w:val="auto"/>
                <w:kern w:val="0"/>
                <w:sz w:val="24"/>
                <w:highlight w:val="none"/>
              </w:rPr>
              <w:t>IP分析，</w:t>
            </w:r>
            <w:r>
              <w:rPr>
                <w:rFonts w:hint="eastAsia" w:ascii="宋体" w:hAnsi="宋体" w:cs="宋体"/>
                <w:color w:val="auto"/>
                <w:kern w:val="0"/>
                <w:sz w:val="24"/>
                <w:highlight w:val="none"/>
              </w:rPr>
              <w:t>支持集中展示</w:t>
            </w:r>
            <w:r>
              <w:rPr>
                <w:rFonts w:ascii="宋体" w:hAnsi="宋体" w:cs="宋体"/>
                <w:color w:val="auto"/>
                <w:kern w:val="0"/>
                <w:sz w:val="24"/>
                <w:highlight w:val="none"/>
              </w:rPr>
              <w:t>该IP相关的</w:t>
            </w:r>
            <w:r>
              <w:rPr>
                <w:rFonts w:hint="eastAsia" w:ascii="宋体" w:hAnsi="宋体" w:cs="宋体"/>
                <w:color w:val="auto"/>
                <w:kern w:val="0"/>
                <w:sz w:val="24"/>
                <w:highlight w:val="none"/>
              </w:rPr>
              <w:t>威胁信息、脆弱性信息、暴露面、登录分析、外连分析数据等；</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对于域名</w:t>
            </w:r>
            <w:r>
              <w:rPr>
                <w:rFonts w:ascii="宋体" w:hAnsi="宋体" w:cs="宋体"/>
                <w:color w:val="auto"/>
                <w:kern w:val="0"/>
                <w:sz w:val="24"/>
                <w:highlight w:val="none"/>
              </w:rPr>
              <w:t>分析</w:t>
            </w:r>
            <w:r>
              <w:rPr>
                <w:rFonts w:hint="eastAsia" w:ascii="宋体" w:hAnsi="宋体" w:cs="宋体"/>
                <w:color w:val="auto"/>
                <w:kern w:val="0"/>
                <w:sz w:val="24"/>
                <w:highlight w:val="none"/>
              </w:rPr>
              <w:t>，支持集中展示该域名相关的鉴定结果、威胁情报信息、访问源统计、解析结果、首次出现时间、访问趋势等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工单处置</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工单处理流程对告警事件、漏洞、弱口令及配置核查问题进行跟踪；支持将安全事件以工单形式通过邮件、短信、消息中心、企业微信通知到工单的创建人、责任人与相关人；可对工单自定义逾期提醒时间；</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支持对最近</w:t>
            </w:r>
            <w:r>
              <w:rPr>
                <w:rFonts w:ascii="宋体" w:hAnsi="宋体" w:cs="宋体"/>
                <w:color w:val="auto"/>
                <w:kern w:val="0"/>
                <w:sz w:val="24"/>
                <w:highlight w:val="none"/>
              </w:rPr>
              <w:t>1天、7天、30天等维度以仪表视图的方式展示新增工单量、处置中工单量、处置工单量、工单处置周期分布、新增工单变化趋势、处置中工单优先级分布、新增工单状态分布、责任人处置工单排行、责任人新增工单排行、最近的工单等统计数据</w:t>
            </w:r>
            <w:r>
              <w:rPr>
                <w:rFonts w:hint="eastAsia" w:ascii="宋体" w:hAnsi="宋体" w:cs="宋体"/>
                <w:color w:val="auto"/>
                <w:kern w:val="0"/>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联动处置</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支持与同品牌上网行为管理系统、防火墙、终端安全管理、Web应用防火墙、安全准入系统进行联动处置，支持对接第三方防火墙联动。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级联管理</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支持下级平台将数据进行上报至上级平台。上报数据包含告警数据、资产数据、脆弱性数据（漏洞、配置核查、弱口令）和资产风险信息。</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支持上级向下级平台下发数据订阅策略，告警数据支持按照告警时间、危害等级、攻击结论、置信度进行上报。脆弱性、资产数据支持按照时间和危害等级进行上报。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态势大屏展示</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支持态势大屏展示，至少包括资产风险态势、全网脆弱性态势、外部威胁态势、内网威胁态势、安全运营态势、威胁预警态势、综合安全态势、攻击者态势、资产态势；</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资产态势支持统计展示全网资产分布情况，并且支持按照资产分组展示对应的资产数量、风险值和风险等级的明细列表；支持统计资产总数，以及统计资产注册状态占比情况；支持统计资产上开放的端口情况、服务情况、协议情况；支持统计资产发现来源（资产探查、数据同步、脆弱性发现、流量解析、人工方式）的分布情况；支持按照资产发现来源（资产探查、数据同步、脆弱性发现、流量解析、人工方式）统计最近</w:t>
            </w:r>
            <w:r>
              <w:rPr>
                <w:rFonts w:ascii="宋体" w:hAnsi="宋体" w:cs="宋体"/>
                <w:color w:val="auto"/>
                <w:kern w:val="0"/>
                <w:sz w:val="24"/>
                <w:highlight w:val="none"/>
              </w:rPr>
              <w:t>30天资产发现的趋势（投标时提供截图证明材料）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系统管理</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支持双因子认证方式登录系统，认证方式支持短信和邮箱，支持对登录的并发会话数的设置，限制同时登陆系统的用户数量；</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支持通过企业微信、钉钉、蓝信方式向个人或群发送系统消息通知</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可对平台日志采集发送速率、平台数据处理速率、</w:t>
            </w:r>
            <w:r>
              <w:rPr>
                <w:rFonts w:ascii="宋体" w:hAnsi="宋体" w:cs="宋体"/>
                <w:color w:val="auto"/>
                <w:kern w:val="0"/>
                <w:sz w:val="24"/>
                <w:highlight w:val="none"/>
              </w:rPr>
              <w:t>ES入库速率、HIVE入库速率、流量采集器发送速率、平台接收速率等维度进行最近5分钟、最近24小时、最近7天维度的监控；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产品影响力</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提供第三方市场调查机构出具的产品市场排名前三或解决方案排名前三的证明报告，仅限IDC、赛迪顾问（CCID）、数世咨询三家大型咨询机构报告（投标时提供相关报告证明材料）；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vMerge w:val="restart"/>
            <w:tcBorders>
              <w:top w:val="single" w:color="auto" w:sz="4" w:space="0"/>
              <w:left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资质要求（投标时提供相关证明材料）</w:t>
            </w: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厂商具备信息通信行业企业信用等级评价--运维服务领域(AAA)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vMerge w:val="continue"/>
            <w:tcBorders>
              <w:left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厂商为</w:t>
            </w:r>
            <w:r>
              <w:rPr>
                <w:rFonts w:ascii="宋体" w:hAnsi="宋体" w:cs="宋体"/>
                <w:color w:val="auto"/>
                <w:kern w:val="0"/>
                <w:sz w:val="24"/>
                <w:highlight w:val="none"/>
              </w:rPr>
              <w:t>CNCERT网络安全应急服务支撑单位（国家级）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vMerge w:val="continue"/>
            <w:tcBorders>
              <w:left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厂商拥有自己的漏洞平台，具备自主知识产权、且平台上注册不少于60000人的白帽专家数量（并能提供链接地址及证明材料)且同时提供软件著作权证书证明。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vMerge w:val="continue"/>
            <w:tcBorders>
              <w:left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厂商具备信息化建设及服务能力评价资质</w:t>
            </w:r>
            <w:r>
              <w:rPr>
                <w:rFonts w:ascii="宋体" w:hAnsi="宋体" w:cs="宋体"/>
                <w:color w:val="auto"/>
                <w:kern w:val="0"/>
                <w:sz w:val="24"/>
                <w:highlight w:val="none"/>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 w:type="pct"/>
            <w:vMerge w:val="continue"/>
            <w:tcBorders>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p>
        </w:tc>
        <w:tc>
          <w:tcPr>
            <w:tcW w:w="4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厂商为中国网络空间安全协会大数据安全人才培养基地合作支撑单位</w:t>
            </w:r>
          </w:p>
        </w:tc>
      </w:tr>
    </w:tbl>
    <w:p>
      <w:pPr>
        <w:pStyle w:val="7"/>
        <w:spacing w:before="120" w:after="0" w:line="360" w:lineRule="auto"/>
        <w:ind w:firstLine="149" w:firstLineChars="62"/>
        <w:rPr>
          <w:rFonts w:ascii="宋体" w:hAnsi="宋体"/>
          <w:color w:val="auto"/>
          <w:sz w:val="24"/>
          <w:szCs w:val="24"/>
          <w:highlight w:val="none"/>
        </w:rPr>
      </w:pPr>
      <w:r>
        <w:rPr>
          <w:rFonts w:hint="eastAsia" w:ascii="宋体" w:hAnsi="宋体"/>
          <w:color w:val="auto"/>
          <w:sz w:val="24"/>
          <w:szCs w:val="24"/>
          <w:highlight w:val="none"/>
        </w:rPr>
        <w:t>态势感知系统探针</w:t>
      </w:r>
    </w:p>
    <w:tbl>
      <w:tblPr>
        <w:tblStyle w:val="28"/>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6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指标项</w:t>
            </w:r>
          </w:p>
        </w:tc>
        <w:tc>
          <w:tcPr>
            <w:tcW w:w="40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功能及技术参数，标</w:t>
            </w:r>
            <w:r>
              <w:rPr>
                <w:rFonts w:hint="eastAsia" w:ascii="宋体" w:hAnsi="宋体" w:cs="宋体"/>
                <w:b/>
                <w:bCs/>
                <w:color w:val="auto"/>
                <w:kern w:val="0"/>
                <w:sz w:val="24"/>
                <w:highlight w:val="none"/>
                <w:lang w:eastAsia="zh-CN"/>
              </w:rPr>
              <w:t>▲为实质性参数</w:t>
            </w:r>
            <w:r>
              <w:rPr>
                <w:rFonts w:hint="eastAsia" w:ascii="宋体" w:hAnsi="宋体" w:cs="宋体"/>
                <w:b/>
                <w:bCs/>
                <w:color w:val="auto"/>
                <w:kern w:val="0"/>
                <w:sz w:val="24"/>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81"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旁路部署</w:t>
            </w: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支持通过流量镜像的方式旁路部署在网络中，实现网络流量数据采集、威胁检测和日志外发，支持通过重置会话的方式阻断TCP威胁会话连接，支持通过流量被动识别资产。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81"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▲硬件规格</w:t>
            </w: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性能指标：≥</w:t>
            </w:r>
            <w:r>
              <w:rPr>
                <w:rFonts w:ascii="宋体" w:hAnsi="宋体" w:cs="宋体"/>
                <w:color w:val="auto"/>
                <w:kern w:val="0"/>
                <w:sz w:val="24"/>
                <w:highlight w:val="none"/>
              </w:rPr>
              <w:t>1Gbps，</w:t>
            </w:r>
            <w:r>
              <w:rPr>
                <w:rFonts w:hint="eastAsia" w:ascii="宋体" w:hAnsi="宋体" w:cs="宋体"/>
                <w:color w:val="auto"/>
                <w:kern w:val="0"/>
                <w:sz w:val="24"/>
                <w:highlight w:val="none"/>
              </w:rPr>
              <w:t>并发连接数</w:t>
            </w:r>
            <w:r>
              <w:rPr>
                <w:rFonts w:ascii="宋体" w:hAnsi="宋体" w:cs="宋体"/>
                <w:color w:val="auto"/>
                <w:kern w:val="0"/>
                <w:sz w:val="24"/>
                <w:highlight w:val="none"/>
              </w:rPr>
              <w:t>≥300万</w:t>
            </w:r>
            <w:r>
              <w:rPr>
                <w:rFonts w:hint="eastAsia" w:ascii="宋体" w:hAnsi="宋体" w:cs="宋体"/>
                <w:color w:val="auto"/>
                <w:kern w:val="0"/>
                <w:sz w:val="24"/>
                <w:highlight w:val="none"/>
              </w:rPr>
              <w:t>，新建连接数</w:t>
            </w:r>
            <w:r>
              <w:rPr>
                <w:rFonts w:ascii="宋体" w:hAnsi="宋体" w:cs="宋体"/>
                <w:color w:val="auto"/>
                <w:kern w:val="0"/>
                <w:sz w:val="24"/>
                <w:highlight w:val="none"/>
              </w:rPr>
              <w:t>≥10万/秒</w:t>
            </w:r>
            <w:r>
              <w:rPr>
                <w:rFonts w:hint="eastAsia" w:ascii="宋体" w:hAnsi="宋体" w:cs="宋体"/>
                <w:color w:val="auto"/>
                <w:kern w:val="0"/>
                <w:sz w:val="24"/>
                <w:highlight w:val="none"/>
              </w:rPr>
              <w:t>；</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硬件指标：</w:t>
            </w:r>
            <w:r>
              <w:rPr>
                <w:rFonts w:ascii="宋体" w:hAnsi="宋体" w:cs="宋体"/>
                <w:color w:val="auto"/>
                <w:kern w:val="0"/>
                <w:sz w:val="24"/>
                <w:highlight w:val="none"/>
              </w:rPr>
              <w:t>2U，≥6千兆网口，扩展槽位</w:t>
            </w:r>
            <w:r>
              <w:rPr>
                <w:rFonts w:hint="eastAsia" w:ascii="宋体" w:hAnsi="宋体" w:cs="宋体"/>
                <w:color w:val="auto"/>
                <w:kern w:val="0"/>
                <w:sz w:val="24"/>
                <w:highlight w:val="none"/>
              </w:rPr>
              <w:t>≥2，</w:t>
            </w:r>
            <w:r>
              <w:rPr>
                <w:rFonts w:ascii="宋体" w:hAnsi="宋体" w:cs="宋体"/>
                <w:color w:val="auto"/>
                <w:kern w:val="0"/>
                <w:sz w:val="24"/>
                <w:highlight w:val="none"/>
              </w:rPr>
              <w:t>≥1T 企业级硬盘，单电源</w:t>
            </w:r>
            <w:r>
              <w:rPr>
                <w:rFonts w:hint="eastAsia" w:ascii="宋体" w:hAnsi="宋体" w:cs="宋体"/>
                <w:color w:val="auto"/>
                <w:kern w:val="0"/>
                <w:sz w:val="24"/>
                <w:highlight w:val="none"/>
              </w:rPr>
              <w:t>，三年全功能特征库升级服务。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8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流量采集</w:t>
            </w: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采集过滤条件支持但不限于源地址、目的地址、服务、流量采样比、时间等；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支持离线采集，可通过手动PCAP导入或FTP等协议批量上传导入等方式对离线流量进行采集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8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流量识别与解析</w:t>
            </w: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支持精准识别通讯类、语音类、视频类、更新类、下载类、邮件类、金融类、理财类等多类别的应用识别，应用识别库3000+。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支持VXLAN、GRE 、VLAN 、MPLS的流量接入与解析，日志中可提现响应标识信息。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支持Oracle、MySQL、MSSQL、PostgreSQL、MongoDB、DB2等数据库行为的解析；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支持WebMail、SMTP、POP3、IMAP邮件行为解析；支持ICMP、DHCP、HTTP、TELNET、DNS、SSL等基础协议的解析；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支持如ftp、smb、oracle、mysql、mssql、postgresql、ssh、pop3、smtp的登录动作解析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支持LDAP、Kerberos、Radius等认证解析；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具有自定义解析流量能力，支持基于正则表达式、TLV格式、固定长度等提取模式对应用流量解析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文件还原</w:t>
            </w: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支持还原多种文件传输协议，包括：邮件（SMTP、POP3、IMAP、webmail）、Web（HTTP）、FTP、SMB、TFTP、QQ；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多种文件类型的筛选，可执行文件还原格式包含：bin、exe、bat、dll、sys、com、ax、acm、drv等；压缩文件还原格式包含：rar、zip、gz、7z、tar等；文档类型的还原格式包含：doc、docx、xls、txt、pptx、pdf、rtf、pp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威胁检测</w:t>
            </w: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系统具备全面的间谍软件检测能力，可检测常见的病毒蠕虫、僵尸网络、黑市工具、勒索软件、挖矿木马、隧道、代理通道、后门程序、远控木马等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系统具备全面的漏洞检测能力，可检测常见的溢出攻击、跨站脚本、SLQ注入、拒绝服务、跨站请求伪造、目录遍历、webshell上传等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系统支持Flood攻击检测，包括SYN Flood、ICMP Flood、UDP Flood和IP Flood；支持应用层Flood攻击检测，包括DNS Flood和HTTP Flood。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☆系统需支持按照协议类型对攻击事件规则的设置检测有效性，协议类型包括HTTP、DNS、FTP、ICMP、IMAP、IRC、Mongodb、NNTP、POP3、RIP、RLOGIN、SMTP、SNMP、TDS、TELNET、TFTP、TNS等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系统提供的攻击特征不应少于10000条有效最新攻击规则，特征库需支持自动及手动升级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本地集成威胁情报库，支持实现基于威胁情报的失陷主机检测，情报不少于200万（投标时提供截图证明材料）；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系统需具备专业的查毒引擎，独立的病毒库，支持通过对HTTP、FTP、SMTP、POP3、IMAP、SMB、TFTP、NFS协议进行恶意文件检测。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支持恶意文件例外，对指定特征的恶意文件及文件类型不进行查杀。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具有云端检测能力，并支持云端沙箱检测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系统需具备攻击检测能力的扩展功能，支持自定义恶意文件、自定义漏洞、自定义间谍软件、自定义威胁情报；</w:t>
            </w:r>
          </w:p>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漏洞与间谍软件需支持HTTP协议攻击特征自定义，提供http_host、http_method、http_url、http_referer等协议变量特征的自定义，支持设置协议变量的操作符，操作符包括等于、包含或通过正则表达式设置；</w:t>
            </w:r>
          </w:p>
          <w:p>
            <w:pPr>
              <w:widowControl/>
              <w:spacing w:line="276" w:lineRule="auto"/>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系统本地需具备攻击告警的过滤能力，能够针对IP地址或端口对攻击告警进行过滤，支持攻击特征高亮展示，方便分析人员事件分析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数据外发</w:t>
            </w: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通信模式支持但不限于KA**A、ZMQ、SYSLOG等协议，需支持多路外发，并支持外发多地址的负载均衡处理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支持灵活配置外发策略，日志类别可配置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传输模式支持加密、压缩、以及认证，认证包括但不限于kerberos认证、LDAP认证；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外发类别支持但不限于流量日志、威胁日志、资产日志、样本文件、威胁相关pcap等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SSL旁路解密</w:t>
            </w: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支持基于SSL协议的SMTPS、POP3S、IMAPS、HTTPS流量进行解密，可添加基于源目的地址及端口的过滤条件。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支持解密后的明文流量镜像至下游设备。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81"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旁路阻断</w:t>
            </w: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支持旁路IPv4和IPv6的IP阻断、URL重定向、DNS重定向。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资产识别</w:t>
            </w: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系统具有资产识别能力，能够根据流量识别资产的操作系统、服务、开放端口、banner信息等；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支持资产识别范围配置、支持资产识别展示及导出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流量及样本取证</w:t>
            </w: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支持威胁告警的相关pcap数据留存，支持本地下载及外发，外发通信协议包括但不限于KA**A、FTP、SFTP等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支持威胁告警的相关文件留存，支持本地下载及外发，外发通信协议包括但不限于FTP、SFTP等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81"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业务统计和状态监控</w:t>
            </w: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支持失陷主机、恶意文件检测、漏洞攻击检测的数量统计。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基于应用维度的TOP5、TOP10的24小时/7天的实时流量统计和可视化展示。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1"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安全管理</w:t>
            </w:r>
          </w:p>
        </w:tc>
        <w:tc>
          <w:tcPr>
            <w:tcW w:w="4019" w:type="pct"/>
            <w:vMerge w:val="restart"/>
            <w:tcBorders>
              <w:top w:val="single" w:color="auto" w:sz="4" w:space="0"/>
              <w:left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支持可信主机和可信MAC功能，仅可信地址可访问该设备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支持用户名/口令认证，HTTPS方式支持证书认证，WEB方式支持动态验证码认证，防止管理账号被暴力破解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1" w:type="pct"/>
            <w:vMerge w:val="restart"/>
            <w:tcBorders>
              <w:top w:val="single" w:color="auto" w:sz="4" w:space="0"/>
              <w:left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资质要求（投标时提供相关证明材料）</w:t>
            </w: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厂商具备中国通信企业协会通信网络安全服务能力评定证书</w:t>
            </w:r>
            <w:r>
              <w:rPr>
                <w:rFonts w:ascii="宋体" w:hAnsi="宋体" w:cs="宋体"/>
                <w:color w:val="auto"/>
                <w:kern w:val="0"/>
                <w:sz w:val="24"/>
                <w:highlight w:val="none"/>
              </w:rPr>
              <w:t>-应急响应</w:t>
            </w:r>
            <w:r>
              <w:rPr>
                <w:rFonts w:hint="eastAsia" w:ascii="宋体" w:hAnsi="宋体" w:cs="宋体"/>
                <w:color w:val="auto"/>
                <w:kern w:val="0"/>
                <w:sz w:val="24"/>
                <w:highlight w:val="none"/>
              </w:rPr>
              <w:t>（二级及以上）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81" w:type="pct"/>
            <w:vMerge w:val="continue"/>
            <w:tcBorders>
              <w:left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厂商具备信息通信行业企业信用等级评价--运维服务领域(AAA)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81" w:type="pct"/>
            <w:vMerge w:val="continue"/>
            <w:tcBorders>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p>
        </w:tc>
        <w:tc>
          <w:tcPr>
            <w:tcW w:w="4019"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color w:val="auto"/>
                <w:kern w:val="0"/>
                <w:sz w:val="24"/>
                <w:highlight w:val="none"/>
              </w:rPr>
            </w:pPr>
            <w:r>
              <w:rPr>
                <w:rFonts w:hint="eastAsia" w:ascii="宋体" w:hAnsi="宋体" w:cs="宋体"/>
                <w:color w:val="auto"/>
                <w:kern w:val="0"/>
                <w:sz w:val="24"/>
                <w:highlight w:val="none"/>
              </w:rPr>
              <w:t>厂商具备国测信息安全服务资质</w:t>
            </w:r>
            <w:r>
              <w:rPr>
                <w:rFonts w:ascii="宋体" w:hAnsi="宋体" w:cs="宋体"/>
                <w:color w:val="auto"/>
                <w:kern w:val="0"/>
                <w:sz w:val="24"/>
                <w:highlight w:val="none"/>
              </w:rPr>
              <w:t>-风险评估类（二级）</w:t>
            </w:r>
          </w:p>
        </w:tc>
      </w:tr>
    </w:tbl>
    <w:p>
      <w:pPr>
        <w:pStyle w:val="11"/>
        <w:ind w:firstLine="480"/>
        <w:rPr>
          <w:rFonts w:ascii="宋体" w:hAnsi="宋体"/>
          <w:color w:val="auto"/>
          <w:sz w:val="24"/>
          <w:szCs w:val="2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11"/>
        <w:ind w:firstLine="0"/>
        <w:rPr>
          <w:rFonts w:ascii="宋体" w:hAnsi="宋体"/>
          <w:b/>
          <w:bCs/>
          <w:color w:val="auto"/>
          <w:sz w:val="24"/>
          <w:szCs w:val="24"/>
          <w:highlight w:val="none"/>
        </w:rPr>
      </w:pPr>
      <w:r>
        <w:rPr>
          <w:rFonts w:hint="eastAsia" w:ascii="宋体" w:hAnsi="宋体"/>
          <w:b/>
          <w:bCs/>
          <w:color w:val="auto"/>
          <w:sz w:val="24"/>
          <w:szCs w:val="24"/>
          <w:highlight w:val="none"/>
        </w:rPr>
        <w:t>（四）其他要求：</w:t>
      </w:r>
    </w:p>
    <w:tbl>
      <w:tblPr>
        <w:tblStyle w:val="28"/>
        <w:tblW w:w="94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9"/>
        <w:gridCol w:w="7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201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 w:val="24"/>
                <w:highlight w:val="none"/>
              </w:rPr>
            </w:pPr>
            <w:r>
              <w:rPr>
                <w:rFonts w:hint="eastAsia" w:ascii="宋体" w:hAnsi="宋体" w:cs="宋体"/>
                <w:color w:val="auto"/>
                <w:sz w:val="24"/>
                <w:highlight w:val="none"/>
              </w:rPr>
              <w:t>交付（服务）时间及地点</w:t>
            </w:r>
          </w:p>
        </w:tc>
        <w:tc>
          <w:tcPr>
            <w:tcW w:w="7440"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rPr>
              <w:t>合同签订后30个工作日内交付安装并通过验收</w:t>
            </w:r>
            <w:r>
              <w:rPr>
                <w:rFonts w:hint="eastAsia" w:ascii="宋体" w:hAnsi="宋体" w:cs="宋体"/>
                <w:color w:val="auto"/>
                <w:sz w:val="24"/>
                <w:highlight w:val="none"/>
              </w:rPr>
              <w:t>。</w:t>
            </w:r>
          </w:p>
          <w:p>
            <w:pPr>
              <w:snapToGrid w:val="0"/>
              <w:rPr>
                <w:rFonts w:ascii="宋体" w:hAnsi="宋体" w:cs="宋体"/>
                <w:color w:val="auto"/>
                <w:sz w:val="24"/>
                <w:highlight w:val="none"/>
              </w:rPr>
            </w:pPr>
            <w:r>
              <w:rPr>
                <w:rFonts w:hint="eastAsia" w:ascii="宋体" w:hAnsi="宋体" w:cs="宋体"/>
                <w:color w:val="auto"/>
                <w:sz w:val="24"/>
                <w:highlight w:val="none"/>
              </w:rPr>
              <w:t>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201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 w:val="24"/>
                <w:highlight w:val="none"/>
              </w:rPr>
            </w:pPr>
            <w:r>
              <w:rPr>
                <w:rFonts w:hint="eastAsia" w:ascii="宋体" w:hAnsi="宋体" w:cs="宋体"/>
                <w:color w:val="auto"/>
                <w:sz w:val="24"/>
                <w:highlight w:val="none"/>
              </w:rPr>
              <w:t>付款方式</w:t>
            </w:r>
          </w:p>
        </w:tc>
        <w:tc>
          <w:tcPr>
            <w:tcW w:w="7440"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 w:val="24"/>
                <w:highlight w:val="none"/>
              </w:rPr>
            </w:pPr>
            <w:r>
              <w:rPr>
                <w:rFonts w:hint="eastAsia" w:ascii="宋体" w:hAnsi="宋体" w:cs="宋体"/>
                <w:color w:val="auto"/>
                <w:sz w:val="24"/>
                <w:highlight w:val="none"/>
              </w:rPr>
              <w:t>合同签订后支付合同金额的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预付款</w:t>
            </w:r>
            <w:r>
              <w:rPr>
                <w:rFonts w:hint="eastAsia" w:ascii="宋体" w:hAnsi="宋体" w:cs="宋体"/>
                <w:color w:val="auto"/>
                <w:sz w:val="24"/>
                <w:highlight w:val="none"/>
              </w:rPr>
              <w:t>，设备安装调试完成后支付至合同金额的80%，项目完成验收通过后支付剩余合同尾款。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201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 w:val="24"/>
                <w:highlight w:val="none"/>
              </w:rPr>
            </w:pPr>
            <w:r>
              <w:rPr>
                <w:rFonts w:hint="eastAsia" w:cs="宋体"/>
                <w:b/>
                <w:color w:val="auto"/>
                <w:kern w:val="0"/>
                <w:sz w:val="24"/>
                <w:highlight w:val="none"/>
              </w:rPr>
              <w:t>安装、调试</w:t>
            </w:r>
          </w:p>
        </w:tc>
        <w:tc>
          <w:tcPr>
            <w:tcW w:w="7440"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 w:val="24"/>
                <w:highlight w:val="none"/>
              </w:rPr>
            </w:pPr>
            <w:r>
              <w:rPr>
                <w:rFonts w:hint="eastAsia" w:ascii="宋体" w:hAnsi="宋体" w:cs="宋体"/>
                <w:color w:val="auto"/>
                <w:sz w:val="24"/>
                <w:highlight w:val="none"/>
              </w:rPr>
              <w:t>硬件的安装必须符合有关标准和规范。安装过程中采购人将对软硬件的安装进行监督。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2019" w:type="dxa"/>
            <w:tcBorders>
              <w:top w:val="single" w:color="auto" w:sz="4" w:space="0"/>
              <w:left w:val="single" w:color="auto" w:sz="4" w:space="0"/>
              <w:bottom w:val="single" w:color="auto" w:sz="4" w:space="0"/>
              <w:right w:val="single" w:color="auto" w:sz="4" w:space="0"/>
            </w:tcBorders>
            <w:noWrap/>
            <w:vAlign w:val="center"/>
          </w:tcPr>
          <w:p>
            <w:pPr>
              <w:snapToGrid w:val="0"/>
              <w:rPr>
                <w:rFonts w:cs="宋体"/>
                <w:b/>
                <w:color w:val="auto"/>
                <w:kern w:val="0"/>
                <w:sz w:val="24"/>
                <w:highlight w:val="none"/>
              </w:rPr>
            </w:pPr>
            <w:r>
              <w:rPr>
                <w:rFonts w:hint="eastAsia" w:cs="宋体"/>
                <w:b/>
                <w:color w:val="auto"/>
                <w:kern w:val="0"/>
                <w:sz w:val="24"/>
                <w:highlight w:val="none"/>
              </w:rPr>
              <w:t>项目验收</w:t>
            </w:r>
          </w:p>
        </w:tc>
        <w:tc>
          <w:tcPr>
            <w:tcW w:w="7440" w:type="dxa"/>
            <w:tcBorders>
              <w:top w:val="single" w:color="auto" w:sz="4" w:space="0"/>
              <w:left w:val="single" w:color="auto" w:sz="4" w:space="0"/>
              <w:bottom w:val="single" w:color="auto" w:sz="4" w:space="0"/>
              <w:right w:val="single" w:color="auto" w:sz="4" w:space="0"/>
            </w:tcBorders>
            <w:noWrap/>
            <w:vAlign w:val="center"/>
          </w:tcPr>
          <w:p>
            <w:pPr>
              <w:numPr>
                <w:ilvl w:val="255"/>
                <w:numId w:val="0"/>
              </w:numPr>
              <w:tabs>
                <w:tab w:val="left" w:pos="31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验收方法：所有工作完成后，采购人组织相关人员组成评审组进行验收。</w:t>
            </w:r>
          </w:p>
          <w:p>
            <w:pPr>
              <w:tabs>
                <w:tab w:val="left" w:pos="315"/>
              </w:tabs>
              <w:snapToGrid w:val="0"/>
              <w:spacing w:line="360" w:lineRule="auto"/>
              <w:rPr>
                <w:rFonts w:ascii="宋体" w:hAnsi="宋体" w:cs="宋体"/>
                <w:color w:val="auto"/>
                <w:sz w:val="24"/>
                <w:highlight w:val="none"/>
              </w:rPr>
            </w:pPr>
            <w:r>
              <w:rPr>
                <w:rFonts w:hint="eastAsia" w:ascii="宋体" w:hAnsi="宋体" w:cs="宋体"/>
                <w:color w:val="auto"/>
                <w:sz w:val="24"/>
                <w:highlight w:val="none"/>
              </w:rPr>
              <w:t>验收时间：由采购人根据项目试运行情况确定验收时间。采购人验收合格后应当出具验收报告。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201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 w:val="24"/>
                <w:highlight w:val="none"/>
              </w:rPr>
            </w:pPr>
            <w:r>
              <w:rPr>
                <w:rFonts w:hint="eastAsia" w:ascii="宋体" w:hAnsi="宋体" w:cs="宋体"/>
                <w:color w:val="auto"/>
                <w:sz w:val="24"/>
                <w:highlight w:val="none"/>
              </w:rPr>
              <w:t>培训</w:t>
            </w:r>
          </w:p>
        </w:tc>
        <w:tc>
          <w:tcPr>
            <w:tcW w:w="7440"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 w:val="24"/>
                <w:highlight w:val="none"/>
              </w:rPr>
            </w:pPr>
            <w:r>
              <w:rPr>
                <w:rFonts w:hint="eastAsia" w:ascii="宋体" w:hAnsi="宋体" w:cs="宋体"/>
                <w:color w:val="auto"/>
                <w:sz w:val="24"/>
                <w:highlight w:val="none"/>
              </w:rPr>
              <w:t>中标人应根据项目实际需要，自行设计满足采购人要求的培训服务，详细说明培训的方式、地点、人数、时间，培训内容包括软件的技术原理、操作、数据处理、基本维护等实质性内容。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201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 w:val="24"/>
                <w:highlight w:val="none"/>
              </w:rPr>
            </w:pPr>
            <w:r>
              <w:rPr>
                <w:rFonts w:hint="eastAsia" w:ascii="宋体" w:hAnsi="宋体" w:cs="宋体"/>
                <w:color w:val="auto"/>
                <w:sz w:val="24"/>
                <w:highlight w:val="none"/>
              </w:rPr>
              <w:t>质保</w:t>
            </w:r>
          </w:p>
        </w:tc>
        <w:tc>
          <w:tcPr>
            <w:tcW w:w="7440"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 w:val="24"/>
                <w:highlight w:val="none"/>
              </w:rPr>
            </w:pPr>
            <w:r>
              <w:rPr>
                <w:rFonts w:hint="eastAsia" w:ascii="宋体" w:hAnsi="宋体" w:cs="宋体"/>
                <w:color w:val="auto"/>
                <w:sz w:val="24"/>
                <w:highlight w:val="none"/>
              </w:rPr>
              <w:t>本项目整体需提供不少于三年质保服务，接到故障电话后1小时内响应，6小时内赶到客户现场进行故障处理，12小时内解决问题。若24小时内不能解决问题，需提供相应的备机。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201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 w:val="24"/>
                <w:highlight w:val="none"/>
              </w:rPr>
            </w:pPr>
            <w:r>
              <w:rPr>
                <w:rFonts w:hint="eastAsia" w:ascii="宋体" w:hAnsi="宋体" w:cs="宋体"/>
                <w:color w:val="auto"/>
                <w:sz w:val="24"/>
                <w:highlight w:val="none"/>
              </w:rPr>
              <w:t>其他</w:t>
            </w:r>
          </w:p>
        </w:tc>
        <w:tc>
          <w:tcPr>
            <w:tcW w:w="7440"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 w:val="24"/>
                <w:highlight w:val="none"/>
              </w:rPr>
            </w:pPr>
            <w:r>
              <w:rPr>
                <w:rFonts w:hint="eastAsia" w:ascii="宋体" w:hAnsi="宋体" w:cs="宋体"/>
                <w:color w:val="auto"/>
                <w:sz w:val="24"/>
                <w:highlight w:val="none"/>
              </w:rPr>
              <w:t>项目实施过程中可能涉及的所有财务成本已经包含投标总报价之中，对标书中未体现，但又是所必须的组件，中标方自行承担。</w:t>
            </w:r>
          </w:p>
        </w:tc>
      </w:tr>
    </w:tbl>
    <w:p>
      <w:pPr>
        <w:pStyle w:val="12"/>
        <w:ind w:left="0" w:leftChars="0"/>
        <w:rPr>
          <w:color w:val="auto"/>
          <w:highlight w:val="none"/>
        </w:rPr>
      </w:pPr>
    </w:p>
    <w:p>
      <w:pPr>
        <w:pStyle w:val="11"/>
        <w:rPr>
          <w:rFonts w:ascii="宋体" w:hAnsi="宋体" w:cs="宋体"/>
          <w:color w:val="auto"/>
          <w:sz w:val="24"/>
          <w:szCs w:val="24"/>
          <w:highlight w:val="none"/>
        </w:rPr>
      </w:pPr>
    </w:p>
    <w:p>
      <w:pPr>
        <w:pStyle w:val="12"/>
        <w:rPr>
          <w:rFonts w:ascii="宋体" w:hAnsi="宋体" w:cs="宋体"/>
          <w:color w:val="auto"/>
          <w:sz w:val="24"/>
          <w:highlight w:val="none"/>
        </w:rPr>
      </w:pPr>
    </w:p>
    <w:p>
      <w:pPr>
        <w:rPr>
          <w:rFonts w:ascii="宋体" w:hAnsi="宋体" w:cs="宋体"/>
          <w:color w:val="auto"/>
          <w:sz w:val="24"/>
          <w:highlight w:val="none"/>
        </w:rPr>
      </w:pPr>
    </w:p>
    <w:p>
      <w:pPr>
        <w:pStyle w:val="11"/>
        <w:rPr>
          <w:color w:val="auto"/>
          <w:highlight w:val="none"/>
        </w:rPr>
      </w:pPr>
    </w:p>
    <w:p>
      <w:pPr>
        <w:pStyle w:val="11"/>
        <w:rPr>
          <w:rFonts w:ascii="宋体" w:hAnsi="宋体" w:cs="宋体"/>
          <w:color w:val="auto"/>
          <w:sz w:val="24"/>
          <w:szCs w:val="24"/>
          <w:highlight w:val="none"/>
        </w:rPr>
      </w:pPr>
    </w:p>
    <w:p>
      <w:pPr>
        <w:pStyle w:val="12"/>
        <w:rPr>
          <w:rFonts w:ascii="宋体" w:hAnsi="宋体" w:cs="宋体"/>
          <w:color w:val="auto"/>
          <w:sz w:val="24"/>
          <w:highlight w:val="none"/>
        </w:rPr>
      </w:pPr>
    </w:p>
    <w:p>
      <w:pPr>
        <w:rPr>
          <w:rFonts w:ascii="宋体" w:hAnsi="宋体" w:cs="宋体"/>
          <w:color w:val="auto"/>
          <w:sz w:val="24"/>
          <w:highlight w:val="none"/>
        </w:rPr>
      </w:pPr>
    </w:p>
    <w:p>
      <w:pPr>
        <w:pStyle w:val="11"/>
        <w:rPr>
          <w:color w:val="auto"/>
          <w:highlight w:val="none"/>
        </w:rPr>
      </w:pPr>
    </w:p>
    <w:p>
      <w:pPr>
        <w:pStyle w:val="12"/>
        <w:rPr>
          <w:color w:val="auto"/>
          <w:highlight w:val="none"/>
        </w:rPr>
      </w:pPr>
    </w:p>
    <w:p>
      <w:pPr>
        <w:rPr>
          <w:color w:val="auto"/>
          <w:highlight w:val="none"/>
        </w:rPr>
      </w:pPr>
    </w:p>
    <w:p>
      <w:pPr>
        <w:pStyle w:val="11"/>
        <w:rPr>
          <w:color w:val="auto"/>
          <w:highlight w:val="none"/>
        </w:rPr>
      </w:pPr>
    </w:p>
    <w:p>
      <w:pPr>
        <w:pStyle w:val="12"/>
        <w:rPr>
          <w:color w:val="auto"/>
          <w:highlight w:val="none"/>
        </w:rPr>
      </w:pPr>
    </w:p>
    <w:p>
      <w:pPr>
        <w:rPr>
          <w:color w:val="auto"/>
          <w:highlight w:val="none"/>
        </w:rPr>
      </w:pPr>
    </w:p>
    <w:p>
      <w:pPr>
        <w:pStyle w:val="11"/>
        <w:rPr>
          <w:color w:val="auto"/>
          <w:highlight w:val="none"/>
        </w:rPr>
      </w:pPr>
    </w:p>
    <w:p>
      <w:pPr>
        <w:pStyle w:val="12"/>
        <w:rPr>
          <w:color w:val="auto"/>
          <w:highlight w:val="none"/>
        </w:rPr>
      </w:pPr>
    </w:p>
    <w:p>
      <w:pPr>
        <w:pStyle w:val="12"/>
        <w:ind w:left="0" w:leftChars="0" w:firstLine="0" w:firstLineChars="0"/>
        <w:rPr>
          <w:color w:val="auto"/>
          <w:highlight w:val="none"/>
        </w:rPr>
      </w:pPr>
    </w:p>
    <w:p>
      <w:pPr>
        <w:spacing w:line="360" w:lineRule="auto"/>
        <w:ind w:firstLine="723" w:firstLineChars="200"/>
        <w:jc w:val="center"/>
        <w:rPr>
          <w:rFonts w:asciiTheme="minorEastAsia" w:hAnsiTheme="minorEastAsia" w:eastAsiaTheme="minorEastAsia" w:cstheme="minorEastAsia"/>
          <w:b/>
          <w:bCs/>
          <w:color w:val="auto"/>
          <w:sz w:val="36"/>
          <w:szCs w:val="44"/>
          <w:highlight w:val="none"/>
        </w:rPr>
      </w:pPr>
      <w:r>
        <w:rPr>
          <w:rFonts w:hint="eastAsia" w:asciiTheme="minorEastAsia" w:hAnsiTheme="minorEastAsia" w:eastAsiaTheme="minorEastAsia" w:cstheme="minorEastAsia"/>
          <w:b/>
          <w:bCs/>
          <w:color w:val="auto"/>
          <w:sz w:val="36"/>
          <w:szCs w:val="44"/>
          <w:highlight w:val="none"/>
        </w:rPr>
        <w:t>第五章合同主要条款</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项目名称：</w:t>
      </w:r>
      <w:r>
        <w:rPr>
          <w:rFonts w:hint="eastAsia" w:ascii="宋体" w:hAnsi="宋体" w:cs="宋体"/>
          <w:color w:val="auto"/>
          <w:sz w:val="24"/>
          <w:highlight w:val="none"/>
        </w:rPr>
        <w:t>检察工作网网络安全建设项目</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项目编号：</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甲方（采购方）：</w:t>
      </w:r>
      <w:r>
        <w:rPr>
          <w:rFonts w:hint="eastAsia" w:ascii="宋体" w:hAnsi="宋体" w:cs="宋体"/>
          <w:color w:val="auto"/>
          <w:sz w:val="24"/>
          <w:highlight w:val="none"/>
        </w:rPr>
        <w:t>台州市人民检察院</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乙方（供应商）：</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鉴证方（招标方）：</w:t>
      </w:r>
      <w:r>
        <w:rPr>
          <w:rFonts w:hint="eastAsia" w:ascii="宋体" w:hAnsi="宋体" w:cs="宋体"/>
          <w:color w:val="auto"/>
          <w:sz w:val="24"/>
          <w:highlight w:val="none"/>
        </w:rPr>
        <w:t>浙江五石中正工程咨询有限公司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甲、乙双方根据台州市人民检察院检察工作网网络安全建设项目公开招标的结果，签署本合同。</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一、合同金额</w:t>
      </w:r>
    </w:p>
    <w:p>
      <w:pPr>
        <w:spacing w:line="360" w:lineRule="auto"/>
        <w:ind w:firstLine="480" w:firstLineChars="200"/>
        <w:rPr>
          <w:color w:val="auto"/>
          <w:highlight w:val="none"/>
        </w:rPr>
      </w:pPr>
      <w:r>
        <w:rPr>
          <w:rFonts w:hint="eastAsia" w:ascii="宋体" w:hAnsi="宋体" w:cs="宋体"/>
          <w:color w:val="auto"/>
          <w:sz w:val="24"/>
          <w:highlight w:val="none"/>
        </w:rPr>
        <w:t>本合同金额为（大写）：元（￥元）人民币。</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二、技术资料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1.乙方应按招标文件规定的时间向甲方提供有关技术资料。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三、知识产权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乙方应保证提供服务过程中不会侵犯任何第三方的知识产权。</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乙方收到中标通知书后向甲方缴纳合同金额</w:t>
      </w:r>
      <w:r>
        <w:rPr>
          <w:rFonts w:hint="eastAsia" w:ascii="宋体" w:hAnsi="宋体" w:cs="宋体"/>
          <w:color w:val="auto"/>
          <w:sz w:val="24"/>
          <w:highlight w:val="none"/>
          <w:lang w:val="en-US" w:eastAsia="zh-CN"/>
        </w:rPr>
        <w:t>1</w:t>
      </w:r>
      <w:r>
        <w:rPr>
          <w:rFonts w:ascii="宋体" w:hAnsi="宋体" w:cs="宋体"/>
          <w:color w:val="auto"/>
          <w:sz w:val="24"/>
          <w:highlight w:val="none"/>
        </w:rPr>
        <w:t>%</w:t>
      </w:r>
      <w:r>
        <w:rPr>
          <w:rFonts w:hint="eastAsia" w:ascii="宋体" w:hAnsi="宋体" w:cs="宋体"/>
          <w:color w:val="auto"/>
          <w:sz w:val="24"/>
          <w:highlight w:val="none"/>
        </w:rPr>
        <w:t>履约保证金，履约保证金在项目验收通过后无息退还</w:t>
      </w:r>
      <w:r>
        <w:rPr>
          <w:rFonts w:hint="eastAsia" w:ascii="宋体" w:hAnsi="宋体" w:cs="宋体"/>
          <w:color w:val="auto"/>
          <w:sz w:val="24"/>
          <w:highlight w:val="none"/>
        </w:rPr>
        <w:t>。（履约保证金可以采用保函、担保等形式）</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五、合同履行时间、履行方式及履行地点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1.履行时间：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2.履行方式：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3.履行地点：</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六、付款方式</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七、税费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八、质量保证及售后服务</w:t>
      </w:r>
      <w:bookmarkStart w:id="9" w:name="_GoBack"/>
      <w:bookmarkEnd w:id="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1.乙方应按招标文件规定向甲方提供服务。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2.乙方提供的服务成果对达不到要求者，根据实际情况，经双方协商，可按以下办法处理：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⑴重做：由乙方承担所发生的全部费用。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⑵解除合同。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3．如在服务过程中发生问题，乙方在接到甲方通知后在1小时内到达甲方现场。</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九、违约责任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1.甲方无正当理由拒收接受服务的，甲方向乙方偿付合同款项百分之五作为违约金。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2.甲方无故逾期验收和办理款项支付手续的,甲方应按逾期付款总额每日万分之五向乙方支付违约金。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3.乙方未能如期提供服务的，每日向甲方支付合同款项的万分之五作为违约金。乙方超过约定日期10个工作日仍不能提供服务的，甲方可解除本合同。</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乙方因未能如期提供服务或因其他违约行为导致甲方解除合同的，乙方应向甲方支付合同总值百分之五的违约金，如造成甲方损失超过违约金的，超出部分由乙方继续承担赔偿责任。</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十、不可抗力事件处理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十一、诉讼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双方在执行合同中所发生的一切争议，应通过协商解决。如协商不成，可向甲方所在地人民法院提起诉讼。</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十二、合同生效及其它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2.本合同未尽事宜，遵照《民法典》有关条文执行。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3.本合同一式六份。甲、乙双方各执两份，采购代理机构及政府采购监管处两份。本项目未尽事宜以招标文件、投标文件及澄清文件等为准。</w:t>
      </w:r>
    </w:p>
    <w:p>
      <w:pPr>
        <w:pStyle w:val="27"/>
        <w:rPr>
          <w:color w:val="auto"/>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甲方（公章）：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乙方（公章）：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法定代表人或委托代理人（签字）：</w:t>
      </w:r>
    </w:p>
    <w:p>
      <w:pPr>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开户银行（必填）：</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开户银行（必填）：</w:t>
      </w:r>
    </w:p>
    <w:p>
      <w:pPr>
        <w:spacing w:line="360" w:lineRule="auto"/>
        <w:rPr>
          <w:rFonts w:ascii="宋体" w:hAnsi="宋体" w:cs="宋体"/>
          <w:color w:val="auto"/>
          <w:sz w:val="24"/>
          <w:highlight w:val="none"/>
        </w:rPr>
      </w:pPr>
      <w:r>
        <w:rPr>
          <w:rFonts w:hint="eastAsia" w:ascii="宋体" w:hAnsi="宋体" w:cs="宋体"/>
          <w:color w:val="auto"/>
          <w:sz w:val="24"/>
          <w:highlight w:val="none"/>
        </w:rPr>
        <w:t>账号（必填）：</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账号（必填）：</w:t>
      </w:r>
    </w:p>
    <w:p>
      <w:pPr>
        <w:spacing w:line="360" w:lineRule="auto"/>
        <w:rPr>
          <w:rFonts w:ascii="宋体" w:hAnsi="宋体" w:cs="宋体"/>
          <w:color w:val="auto"/>
          <w:sz w:val="24"/>
          <w:highlight w:val="none"/>
        </w:rPr>
      </w:pPr>
      <w:r>
        <w:rPr>
          <w:rFonts w:hint="eastAsia" w:ascii="宋体" w:hAnsi="宋体" w:cs="宋体"/>
          <w:color w:val="auto"/>
          <w:sz w:val="24"/>
          <w:highlight w:val="none"/>
        </w:rPr>
        <w:t>签订时间：年月日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签订时间：年月日</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鉴证方（鉴证章）：</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日期：年月日</w:t>
      </w:r>
    </w:p>
    <w:p>
      <w:pPr>
        <w:spacing w:line="360" w:lineRule="auto"/>
        <w:jc w:val="center"/>
        <w:rPr>
          <w:rFonts w:asciiTheme="minorEastAsia" w:hAnsiTheme="minorEastAsia" w:eastAsiaTheme="minorEastAsia" w:cstheme="minorEastAsia"/>
          <w:b/>
          <w:bCs/>
          <w:color w:val="auto"/>
          <w:sz w:val="36"/>
          <w:szCs w:val="44"/>
          <w:highlight w:val="none"/>
        </w:rPr>
      </w:pPr>
    </w:p>
    <w:p>
      <w:pPr>
        <w:spacing w:line="360" w:lineRule="auto"/>
        <w:jc w:val="center"/>
        <w:rPr>
          <w:rFonts w:asciiTheme="minorEastAsia" w:hAnsiTheme="minorEastAsia" w:eastAsiaTheme="minorEastAsia" w:cstheme="minorEastAsia"/>
          <w:b/>
          <w:bCs/>
          <w:color w:val="auto"/>
          <w:sz w:val="36"/>
          <w:szCs w:val="44"/>
          <w:highlight w:val="none"/>
        </w:rPr>
      </w:pPr>
    </w:p>
    <w:p>
      <w:pPr>
        <w:spacing w:line="360" w:lineRule="auto"/>
        <w:jc w:val="center"/>
        <w:rPr>
          <w:rFonts w:ascii="宋体" w:hAnsi="宋体" w:cs="宋体"/>
          <w:b/>
          <w:bCs/>
          <w:color w:val="auto"/>
          <w:sz w:val="36"/>
          <w:szCs w:val="44"/>
          <w:highlight w:val="none"/>
        </w:rPr>
      </w:pPr>
    </w:p>
    <w:p>
      <w:pPr>
        <w:pStyle w:val="8"/>
        <w:rPr>
          <w:color w:val="auto"/>
          <w:highlight w:val="none"/>
          <w:lang w:val="en-US"/>
        </w:rPr>
      </w:pPr>
    </w:p>
    <w:p>
      <w:pPr>
        <w:rPr>
          <w:color w:val="auto"/>
          <w:highlight w:val="none"/>
        </w:rPr>
      </w:pPr>
    </w:p>
    <w:p>
      <w:pPr>
        <w:rPr>
          <w:color w:val="auto"/>
          <w:highlight w:val="none"/>
        </w:rPr>
      </w:pPr>
    </w:p>
    <w:p>
      <w:pPr>
        <w:pStyle w:val="11"/>
        <w:rPr>
          <w:color w:val="auto"/>
          <w:highlight w:val="none"/>
        </w:rPr>
      </w:pPr>
    </w:p>
    <w:p>
      <w:pPr>
        <w:pStyle w:val="12"/>
        <w:ind w:left="0" w:leftChars="0" w:firstLine="0" w:firstLineChars="0"/>
        <w:rPr>
          <w:color w:val="auto"/>
          <w:highlight w:val="none"/>
        </w:rPr>
      </w:pPr>
    </w:p>
    <w:p>
      <w:pPr>
        <w:spacing w:line="360" w:lineRule="auto"/>
        <w:jc w:val="center"/>
        <w:rPr>
          <w:rFonts w:hint="eastAsia" w:ascii="宋体" w:hAnsi="宋体" w:cs="宋体"/>
          <w:b/>
          <w:bCs/>
          <w:color w:val="auto"/>
          <w:sz w:val="36"/>
          <w:szCs w:val="44"/>
          <w:highlight w:val="none"/>
        </w:rPr>
      </w:pPr>
    </w:p>
    <w:p>
      <w:pPr>
        <w:spacing w:line="360" w:lineRule="auto"/>
        <w:jc w:val="center"/>
        <w:rPr>
          <w:rFonts w:hint="eastAsia" w:ascii="宋体" w:hAnsi="宋体" w:cs="宋体"/>
          <w:b/>
          <w:bCs/>
          <w:color w:val="auto"/>
          <w:sz w:val="36"/>
          <w:szCs w:val="44"/>
          <w:highlight w:val="none"/>
        </w:rPr>
      </w:pPr>
    </w:p>
    <w:p>
      <w:pPr>
        <w:spacing w:line="360" w:lineRule="auto"/>
        <w:jc w:val="center"/>
        <w:rPr>
          <w:rFonts w:hint="eastAsia" w:ascii="宋体" w:hAnsi="宋体" w:cs="宋体"/>
          <w:b/>
          <w:bCs/>
          <w:color w:val="auto"/>
          <w:sz w:val="36"/>
          <w:szCs w:val="44"/>
          <w:highlight w:val="none"/>
        </w:rPr>
      </w:pPr>
    </w:p>
    <w:p>
      <w:pPr>
        <w:spacing w:line="360" w:lineRule="auto"/>
        <w:jc w:val="center"/>
        <w:rPr>
          <w:rFonts w:hint="eastAsia" w:ascii="宋体" w:hAnsi="宋体" w:cs="宋体"/>
          <w:b/>
          <w:bCs/>
          <w:color w:val="auto"/>
          <w:sz w:val="36"/>
          <w:szCs w:val="44"/>
          <w:highlight w:val="none"/>
        </w:rPr>
      </w:pPr>
    </w:p>
    <w:p>
      <w:pPr>
        <w:spacing w:line="360" w:lineRule="auto"/>
        <w:jc w:val="center"/>
        <w:rPr>
          <w:rFonts w:hint="eastAsia" w:ascii="宋体" w:hAnsi="宋体" w:cs="宋体"/>
          <w:b/>
          <w:bCs/>
          <w:color w:val="auto"/>
          <w:sz w:val="36"/>
          <w:szCs w:val="44"/>
          <w:highlight w:val="none"/>
        </w:rPr>
      </w:pPr>
    </w:p>
    <w:p>
      <w:pPr>
        <w:spacing w:line="360" w:lineRule="auto"/>
        <w:jc w:val="center"/>
        <w:rPr>
          <w:rFonts w:hint="eastAsia" w:ascii="宋体" w:hAnsi="宋体" w:cs="宋体"/>
          <w:b/>
          <w:bCs/>
          <w:color w:val="auto"/>
          <w:sz w:val="36"/>
          <w:szCs w:val="44"/>
          <w:highlight w:val="none"/>
        </w:rPr>
      </w:pPr>
    </w:p>
    <w:p>
      <w:pPr>
        <w:spacing w:line="360" w:lineRule="auto"/>
        <w:jc w:val="center"/>
        <w:rPr>
          <w:rFonts w:hint="eastAsia" w:ascii="宋体" w:hAnsi="宋体" w:cs="宋体"/>
          <w:b/>
          <w:bCs/>
          <w:color w:val="auto"/>
          <w:sz w:val="36"/>
          <w:szCs w:val="44"/>
          <w:highlight w:val="none"/>
        </w:rPr>
      </w:pPr>
    </w:p>
    <w:p>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第六章投标文件格式附件</w:t>
      </w:r>
    </w:p>
    <w:p>
      <w:pPr>
        <w:rPr>
          <w:rFonts w:ascii="宋体" w:hAnsi="宋体" w:cs="宋体"/>
          <w:b/>
          <w:color w:val="auto"/>
          <w:kern w:val="0"/>
          <w:sz w:val="28"/>
          <w:szCs w:val="28"/>
          <w:highlight w:val="none"/>
        </w:rPr>
      </w:pPr>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w:t>
      </w:r>
      <w:r>
        <w:rPr>
          <w:rFonts w:hint="eastAsia" w:ascii="宋体" w:hAnsi="宋体" w:cs="宋体"/>
          <w:color w:val="auto"/>
          <w:sz w:val="30"/>
          <w:szCs w:val="30"/>
          <w:highlight w:val="none"/>
          <w:lang w:val="en-US" w:eastAsia="zh-CN"/>
        </w:rPr>
        <w:t xml:space="preserve">                                        </w:t>
      </w:r>
      <w:r>
        <w:rPr>
          <w:rFonts w:hint="eastAsia" w:ascii="宋体" w:hAnsi="宋体" w:cs="宋体"/>
          <w:bCs/>
          <w:color w:val="auto"/>
          <w:sz w:val="24"/>
          <w:highlight w:val="none"/>
        </w:rPr>
        <w:t>本</w:t>
      </w:r>
    </w:p>
    <w:p>
      <w:pPr>
        <w:spacing w:line="360" w:lineRule="auto"/>
        <w:rPr>
          <w:rFonts w:ascii="宋体" w:hAnsi="宋体" w:cs="宋体"/>
          <w:b/>
          <w:color w:val="auto"/>
          <w:sz w:val="30"/>
          <w:szCs w:val="30"/>
          <w:highlight w:val="none"/>
        </w:rPr>
      </w:pPr>
    </w:p>
    <w:p>
      <w:pP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pPr>
        <w:autoSpaceDE w:val="0"/>
        <w:autoSpaceDN w:val="0"/>
        <w:adjustRightInd w:val="0"/>
        <w:spacing w:line="360" w:lineRule="auto"/>
        <w:rPr>
          <w:rFonts w:ascii="宋体" w:hAnsi="宋体" w:cs="宋体"/>
          <w:color w:val="auto"/>
          <w:sz w:val="36"/>
          <w:szCs w:val="36"/>
          <w:highlight w:val="none"/>
        </w:rPr>
      </w:pP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资格证明文件目录</w:t>
      </w:r>
    </w:p>
    <w:p>
      <w:pPr>
        <w:spacing w:line="360" w:lineRule="auto"/>
        <w:rPr>
          <w:rFonts w:ascii="宋体" w:hAnsi="宋体" w:cs="宋体"/>
          <w:color w:val="auto"/>
          <w:sz w:val="24"/>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（1）投标声明书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附件2</w:t>
      </w:r>
      <w:r>
        <w:rPr>
          <w:rFonts w:hint="eastAsia" w:ascii="宋体" w:hAnsi="宋体" w:cs="宋体"/>
          <w:color w:val="auto"/>
          <w:sz w:val="24"/>
          <w:highlight w:val="none"/>
          <w:lang w:eastAsia="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（2）授权委托书</w:t>
      </w:r>
      <w:r>
        <w:rPr>
          <w:rFonts w:hint="eastAsia" w:ascii="宋体" w:hAnsi="宋体" w:cs="宋体"/>
          <w:color w:val="auto"/>
          <w:sz w:val="24"/>
          <w:highlight w:val="none"/>
          <w:lang w:eastAsia="zh-CN"/>
        </w:rPr>
        <w:t>；</w:t>
      </w:r>
      <w:r>
        <w:rPr>
          <w:rFonts w:hint="eastAsia" w:ascii="宋体" w:hAnsi="宋体" w:cs="宋体"/>
          <w:color w:val="auto"/>
          <w:sz w:val="24"/>
          <w:highlight w:val="none"/>
        </w:rPr>
        <w:t>（法定代表人亲自办理投标事宜的，则无需提交）</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附件3</w:t>
      </w:r>
      <w:r>
        <w:rPr>
          <w:rFonts w:hint="eastAsia" w:ascii="宋体" w:hAnsi="宋体" w:cs="宋体"/>
          <w:color w:val="auto"/>
          <w:sz w:val="24"/>
          <w:highlight w:val="none"/>
          <w:lang w:eastAsia="zh-CN"/>
        </w:rPr>
        <w:t>）</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（3）法人或者其他组织的营业执照等证明文件，自然人的身份证明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附件4</w:t>
      </w:r>
      <w:r>
        <w:rPr>
          <w:rFonts w:hint="eastAsia" w:ascii="宋体" w:hAnsi="宋体" w:cs="宋体"/>
          <w:color w:val="auto"/>
          <w:sz w:val="24"/>
          <w:highlight w:val="none"/>
          <w:lang w:eastAsia="zh-CN"/>
        </w:rPr>
        <w:t>）</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（4）具有良好的商业信誉和健全的财务会计制度的承诺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附件5</w:t>
      </w:r>
      <w:r>
        <w:rPr>
          <w:rFonts w:hint="eastAsia" w:ascii="宋体" w:hAnsi="宋体" w:cs="宋体"/>
          <w:color w:val="auto"/>
          <w:sz w:val="24"/>
          <w:highlight w:val="none"/>
          <w:lang w:eastAsia="zh-CN"/>
        </w:rPr>
        <w:t>）</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（5）依法缴纳税收和社会保障资金的承诺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附件6</w:t>
      </w:r>
      <w:r>
        <w:rPr>
          <w:rFonts w:hint="eastAsia" w:ascii="宋体" w:hAnsi="宋体" w:cs="宋体"/>
          <w:color w:val="auto"/>
          <w:sz w:val="24"/>
          <w:highlight w:val="none"/>
          <w:lang w:eastAsia="zh-CN"/>
        </w:rPr>
        <w:t>）</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（6）参加政府采购活动前三年内，在经营活动中没有重大违法记录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附件7</w:t>
      </w:r>
      <w:r>
        <w:rPr>
          <w:rFonts w:hint="eastAsia" w:ascii="宋体" w:hAnsi="宋体" w:cs="宋体"/>
          <w:color w:val="auto"/>
          <w:sz w:val="24"/>
          <w:highlight w:val="none"/>
          <w:lang w:eastAsia="zh-CN"/>
        </w:rPr>
        <w:t>）</w:t>
      </w:r>
    </w:p>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联合体协议；（如为联合体投标）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附件8）</w:t>
      </w:r>
    </w:p>
    <w:p>
      <w:pPr>
        <w:pStyle w:val="3"/>
        <w:rPr>
          <w:rFonts w:hint="default"/>
          <w:lang w:val="en-US"/>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需要说明的其他资料</w:t>
      </w:r>
      <w:r>
        <w:rPr>
          <w:rFonts w:hint="eastAsia" w:ascii="宋体" w:hAnsi="宋体" w:cs="宋体"/>
          <w:color w:val="auto"/>
          <w:sz w:val="24"/>
          <w:highlight w:val="none"/>
          <w:lang w:val="en-US" w:eastAsia="zh-CN"/>
        </w:rPr>
        <w:t>。</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pStyle w:val="8"/>
        <w:rPr>
          <w:color w:val="auto"/>
          <w:highlight w:val="none"/>
        </w:rPr>
      </w:pPr>
    </w:p>
    <w:p>
      <w:pPr>
        <w:rPr>
          <w:rFonts w:ascii="宋体" w:hAnsi="宋体" w:cs="宋体"/>
          <w:color w:val="auto"/>
          <w:sz w:val="24"/>
          <w:szCs w:val="32"/>
          <w:highlight w:val="none"/>
        </w:rPr>
      </w:pPr>
    </w:p>
    <w:p>
      <w:pPr>
        <w:pStyle w:val="21"/>
        <w:spacing w:line="360" w:lineRule="auto"/>
        <w:ind w:left="0" w:firstLine="0" w:firstLineChars="0"/>
        <w:outlineLvl w:val="2"/>
        <w:rPr>
          <w:rFonts w:ascii="宋体" w:hAnsi="宋体" w:cs="宋体"/>
          <w:b/>
          <w:color w:val="auto"/>
          <w:sz w:val="28"/>
          <w:highlight w:val="none"/>
        </w:rPr>
      </w:pPr>
    </w:p>
    <w:p>
      <w:pPr>
        <w:pStyle w:val="21"/>
        <w:spacing w:line="360" w:lineRule="auto"/>
        <w:ind w:left="0" w:firstLine="0" w:firstLineChars="0"/>
        <w:outlineLvl w:val="2"/>
        <w:rPr>
          <w:rFonts w:ascii="宋体" w:hAnsi="宋体" w:cs="宋体"/>
          <w:b/>
          <w:color w:val="auto"/>
          <w:sz w:val="28"/>
          <w:highlight w:val="none"/>
        </w:rPr>
      </w:pPr>
    </w:p>
    <w:p>
      <w:pPr>
        <w:pStyle w:val="21"/>
        <w:spacing w:line="360" w:lineRule="auto"/>
        <w:ind w:left="0" w:firstLine="0" w:firstLineChars="0"/>
        <w:outlineLvl w:val="2"/>
        <w:rPr>
          <w:rFonts w:ascii="宋体" w:hAnsi="宋体" w:cs="宋体"/>
          <w:b/>
          <w:color w:val="auto"/>
          <w:sz w:val="28"/>
          <w:highlight w:val="none"/>
        </w:rPr>
      </w:pPr>
    </w:p>
    <w:p>
      <w:pPr>
        <w:pStyle w:val="21"/>
        <w:spacing w:line="360" w:lineRule="auto"/>
        <w:ind w:left="0" w:firstLine="0" w:firstLineChars="0"/>
        <w:outlineLvl w:val="2"/>
        <w:rPr>
          <w:rFonts w:ascii="宋体" w:hAnsi="宋体" w:cs="宋体"/>
          <w:b/>
          <w:color w:val="auto"/>
          <w:sz w:val="28"/>
          <w:highlight w:val="none"/>
        </w:rPr>
      </w:pPr>
    </w:p>
    <w:p>
      <w:pPr>
        <w:pStyle w:val="21"/>
        <w:spacing w:line="360" w:lineRule="auto"/>
        <w:ind w:left="0" w:firstLine="0" w:firstLineChars="0"/>
        <w:outlineLvl w:val="2"/>
        <w:rPr>
          <w:rFonts w:ascii="宋体" w:hAnsi="宋体" w:cs="宋体"/>
          <w:b/>
          <w:color w:val="auto"/>
          <w:sz w:val="28"/>
          <w:highlight w:val="none"/>
        </w:rPr>
      </w:pPr>
    </w:p>
    <w:p>
      <w:pPr>
        <w:pStyle w:val="21"/>
        <w:spacing w:line="360" w:lineRule="auto"/>
        <w:ind w:left="0" w:firstLine="0" w:firstLineChars="0"/>
        <w:outlineLvl w:val="2"/>
        <w:rPr>
          <w:rFonts w:ascii="宋体" w:hAnsi="宋体" w:cs="宋体"/>
          <w:b/>
          <w:color w:val="auto"/>
          <w:sz w:val="28"/>
          <w:highlight w:val="none"/>
        </w:rPr>
      </w:pPr>
      <w:r>
        <w:rPr>
          <w:rFonts w:hint="eastAsia" w:ascii="宋体" w:hAnsi="宋体" w:cs="宋体"/>
          <w:b/>
          <w:color w:val="auto"/>
          <w:sz w:val="28"/>
          <w:highlight w:val="none"/>
        </w:rPr>
        <w:t xml:space="preserve">附件2 </w:t>
      </w:r>
    </w:p>
    <w:p>
      <w:pPr>
        <w:adjustRightInd w:val="0"/>
        <w:snapToGrid w:val="0"/>
        <w:spacing w:line="360" w:lineRule="auto"/>
        <w:ind w:right="480"/>
        <w:jc w:val="center"/>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
          <w:color w:val="auto"/>
          <w:kern w:val="0"/>
          <w:sz w:val="24"/>
          <w:highlight w:val="none"/>
          <w:lang w:val="zh-CN"/>
        </w:rPr>
        <w:t>投标声明书</w:t>
      </w:r>
    </w:p>
    <w:p>
      <w:pPr>
        <w:snapToGrid w:val="0"/>
        <w:spacing w:line="360" w:lineRule="auto"/>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u w:val="single"/>
        </w:rPr>
        <w:t>浙江五石中正工程咨询有限公司</w:t>
      </w:r>
      <w:r>
        <w:rPr>
          <w:rFonts w:hint="eastAsia" w:asciiTheme="minorEastAsia" w:hAnsiTheme="minorEastAsia" w:eastAsiaTheme="minorEastAsia" w:cstheme="minorEastAsia"/>
          <w:color w:val="auto"/>
          <w:sz w:val="24"/>
          <w:highlight w:val="none"/>
        </w:rPr>
        <w:t>（采购代理机构名称）：</w:t>
      </w:r>
    </w:p>
    <w:p>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系中华人民共和国合法企业，经营地址</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w:t>
      </w:r>
    </w:p>
    <w:p>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我（</w:t>
      </w:r>
      <w:r>
        <w:rPr>
          <w:rFonts w:hint="eastAsia" w:asciiTheme="minorEastAsia" w:hAnsiTheme="minorEastAsia" w:eastAsiaTheme="minorEastAsia" w:cstheme="minorEastAsia"/>
          <w:color w:val="auto"/>
          <w:kern w:val="0"/>
          <w:sz w:val="24"/>
          <w:highlight w:val="none"/>
          <w:u w:val="single"/>
        </w:rPr>
        <w:t>姓名</w:t>
      </w:r>
      <w:r>
        <w:rPr>
          <w:rFonts w:hint="eastAsia" w:asciiTheme="minorEastAsia" w:hAnsiTheme="minorEastAsia" w:eastAsiaTheme="minorEastAsia" w:cstheme="minorEastAsia"/>
          <w:color w:val="auto"/>
          <w:kern w:val="0"/>
          <w:sz w:val="24"/>
          <w:highlight w:val="none"/>
        </w:rPr>
        <w:t>）系（</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）的法定代表人，我公司自愿参加贵方组织的</w:t>
      </w:r>
      <w:r>
        <w:rPr>
          <w:rFonts w:hint="eastAsia" w:asciiTheme="minorEastAsia" w:hAnsiTheme="minorEastAsia" w:eastAsiaTheme="minorEastAsia" w:cstheme="minorEastAsia"/>
          <w:color w:val="auto"/>
          <w:kern w:val="0"/>
          <w:sz w:val="24"/>
          <w:highlight w:val="none"/>
          <w:u w:val="single"/>
        </w:rPr>
        <w:t>检察工作网网络安全建设项目</w:t>
      </w:r>
      <w:r>
        <w:rPr>
          <w:rFonts w:hint="eastAsia" w:asciiTheme="minorEastAsia" w:hAnsiTheme="minorEastAsia" w:eastAsiaTheme="minorEastAsia" w:cstheme="minorEastAsia"/>
          <w:color w:val="auto"/>
          <w:kern w:val="0"/>
          <w:sz w:val="24"/>
          <w:highlight w:val="none"/>
        </w:rPr>
        <w:t>（编号为）的投标，为此，我公司就本次投标有关事项郑重声明如下：</w:t>
      </w:r>
    </w:p>
    <w:p>
      <w:pPr>
        <w:snapToGrid w:val="0"/>
        <w:spacing w:line="360" w:lineRule="auto"/>
        <w:ind w:firstLine="480" w:firstLineChars="20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w:t>
      </w:r>
      <w:r>
        <w:rPr>
          <w:rFonts w:hint="eastAsia" w:asciiTheme="minorEastAsia" w:hAnsiTheme="minorEastAsia" w:eastAsiaTheme="minorEastAsia" w:cstheme="minorEastAsia"/>
          <w:color w:val="auto"/>
          <w:kern w:val="0"/>
          <w:sz w:val="24"/>
          <w:highlight w:val="none"/>
          <w:lang w:val="zh-CN"/>
        </w:rPr>
        <w:t>公司</w:t>
      </w:r>
      <w:r>
        <w:rPr>
          <w:rFonts w:hint="eastAsia" w:asciiTheme="minorEastAsia" w:hAnsiTheme="minorEastAsia" w:eastAsiaTheme="minorEastAsia" w:cstheme="minorEastAsia"/>
          <w:color w:val="auto"/>
          <w:sz w:val="24"/>
          <w:highlight w:val="none"/>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Theme="minorEastAsia" w:hAnsiTheme="minorEastAsia" w:eastAsiaTheme="minorEastAsia" w:cstheme="minorEastAsia"/>
          <w:color w:val="auto"/>
          <w:kern w:val="0"/>
          <w:sz w:val="24"/>
          <w:highlight w:val="none"/>
          <w:lang w:val="af-ZA"/>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kern w:val="0"/>
          <w:sz w:val="24"/>
          <w:highlight w:val="none"/>
        </w:rPr>
        <w:t>我</w:t>
      </w:r>
      <w:r>
        <w:rPr>
          <w:rFonts w:hint="eastAsia" w:asciiTheme="minorEastAsia" w:hAnsiTheme="minorEastAsia" w:eastAsiaTheme="minorEastAsia" w:cstheme="minorEastAsia"/>
          <w:color w:val="auto"/>
          <w:kern w:val="0"/>
          <w:sz w:val="24"/>
          <w:highlight w:val="none"/>
          <w:lang w:val="zh-CN"/>
        </w:rPr>
        <w:t>公司</w:t>
      </w:r>
      <w:r>
        <w:rPr>
          <w:rFonts w:hint="eastAsia" w:asciiTheme="minorEastAsia" w:hAnsiTheme="minorEastAsia" w:eastAsiaTheme="minorEastAsia" w:cstheme="minorEastAsia"/>
          <w:color w:val="auto"/>
          <w:kern w:val="0"/>
          <w:sz w:val="24"/>
          <w:highlight w:val="none"/>
        </w:rPr>
        <w:t>保证，</w:t>
      </w:r>
      <w:r>
        <w:rPr>
          <w:rFonts w:hint="eastAsia" w:asciiTheme="minorEastAsia" w:hAnsiTheme="minorEastAsia" w:eastAsiaTheme="minorEastAsia" w:cstheme="minorEastAsia"/>
          <w:color w:val="auto"/>
          <w:kern w:val="0"/>
          <w:sz w:val="24"/>
          <w:highlight w:val="none"/>
          <w:lang w:val="af-ZA"/>
        </w:rPr>
        <w:t>采购人在中华人民共和国境内使用</w:t>
      </w:r>
      <w:r>
        <w:rPr>
          <w:rFonts w:hint="eastAsia" w:asciiTheme="minorEastAsia" w:hAnsiTheme="minorEastAsia" w:eastAsiaTheme="minorEastAsia" w:cstheme="minorEastAsia"/>
          <w:color w:val="auto"/>
          <w:kern w:val="0"/>
          <w:sz w:val="24"/>
          <w:highlight w:val="none"/>
        </w:rPr>
        <w:t>我</w:t>
      </w:r>
      <w:r>
        <w:rPr>
          <w:rFonts w:hint="eastAsia" w:asciiTheme="minorEastAsia" w:hAnsiTheme="minorEastAsia" w:eastAsiaTheme="minorEastAsia" w:cstheme="minorEastAsia"/>
          <w:color w:val="auto"/>
          <w:kern w:val="0"/>
          <w:sz w:val="24"/>
          <w:highlight w:val="none"/>
          <w:lang w:val="zh-CN"/>
        </w:rPr>
        <w:t>公司</w:t>
      </w:r>
      <w:r>
        <w:rPr>
          <w:rFonts w:hint="eastAsia" w:asciiTheme="minorEastAsia" w:hAnsiTheme="minorEastAsia" w:eastAsiaTheme="minorEastAsia" w:cstheme="minorEastAsia"/>
          <w:color w:val="auto"/>
          <w:kern w:val="0"/>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af-ZA"/>
        </w:rPr>
        <w:t>5、我</w:t>
      </w:r>
      <w:r>
        <w:rPr>
          <w:rFonts w:hint="eastAsia" w:asciiTheme="minorEastAsia" w:hAnsiTheme="minorEastAsia" w:eastAsiaTheme="minorEastAsia" w:cstheme="minorEastAsia"/>
          <w:color w:val="auto"/>
          <w:kern w:val="0"/>
          <w:sz w:val="24"/>
          <w:highlight w:val="none"/>
          <w:lang w:val="zh-CN"/>
        </w:rPr>
        <w:t>公司</w:t>
      </w:r>
      <w:r>
        <w:rPr>
          <w:rFonts w:hint="eastAsia" w:asciiTheme="minorEastAsia" w:hAnsiTheme="minorEastAsia" w:eastAsiaTheme="minorEastAsia" w:cstheme="minorEastAsia"/>
          <w:color w:val="auto"/>
          <w:kern w:val="0"/>
          <w:sz w:val="24"/>
          <w:highlight w:val="none"/>
          <w:lang w:val="af-ZA"/>
        </w:rPr>
        <w:t>严格履行政府采购合同，不降低合同约定的产品质量和服务，不擅自变更、中止、终止合同，或拒绝履行合同义务；</w:t>
      </w:r>
    </w:p>
    <w:p>
      <w:pPr>
        <w:snapToGrid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6、以上事项如有虚假或隐瞒，我</w:t>
      </w:r>
      <w:r>
        <w:rPr>
          <w:rFonts w:hint="eastAsia" w:asciiTheme="minorEastAsia" w:hAnsiTheme="minorEastAsia" w:eastAsiaTheme="minorEastAsia" w:cstheme="minorEastAsia"/>
          <w:color w:val="auto"/>
          <w:kern w:val="0"/>
          <w:sz w:val="24"/>
          <w:highlight w:val="none"/>
          <w:lang w:val="zh-CN"/>
        </w:rPr>
        <w:t>公司</w:t>
      </w:r>
      <w:r>
        <w:rPr>
          <w:rFonts w:hint="eastAsia" w:asciiTheme="minorEastAsia" w:hAnsiTheme="minorEastAsia" w:eastAsiaTheme="minorEastAsia" w:cstheme="minorEastAsia"/>
          <w:color w:val="auto"/>
          <w:sz w:val="24"/>
          <w:highlight w:val="none"/>
        </w:rPr>
        <w:t>愿意承担一切后果，并不再寻求任何旨在减轻或免除法律责任的辩解。</w:t>
      </w:r>
    </w:p>
    <w:p>
      <w:pPr>
        <w:adjustRightInd w:val="0"/>
        <w:snapToGrid w:val="0"/>
        <w:spacing w:line="360" w:lineRule="auto"/>
        <w:jc w:val="left"/>
        <w:rPr>
          <w:rFonts w:asciiTheme="minorEastAsia" w:hAnsiTheme="minorEastAsia" w:eastAsiaTheme="minorEastAsia" w:cstheme="minorEastAsia"/>
          <w:color w:val="auto"/>
          <w:kern w:val="0"/>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投标人名称(公章)：</w:t>
      </w:r>
    </w:p>
    <w:p>
      <w:pPr>
        <w:adjustRightInd w:val="0"/>
        <w:snapToGrid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w:t>
      </w:r>
      <w:r>
        <w:rPr>
          <w:rFonts w:hint="eastAsia" w:asciiTheme="minorEastAsia" w:hAnsiTheme="minorEastAsia" w:eastAsiaTheme="minorEastAsia" w:cstheme="minorEastAsia"/>
          <w:color w:val="auto"/>
          <w:sz w:val="24"/>
          <w:highlight w:val="none"/>
        </w:rPr>
        <w:t>签字或盖章</w:t>
      </w:r>
      <w:r>
        <w:rPr>
          <w:rFonts w:hint="eastAsia" w:asciiTheme="minorEastAsia" w:hAnsiTheme="minorEastAsia" w:eastAsiaTheme="minorEastAsia" w:cstheme="minorEastAsia"/>
          <w:color w:val="auto"/>
          <w:kern w:val="0"/>
          <w:sz w:val="24"/>
          <w:highlight w:val="none"/>
          <w:lang w:val="zh-CN"/>
        </w:rPr>
        <w:t>)或授权委托代理人(签字)：</w:t>
      </w:r>
    </w:p>
    <w:p>
      <w:pPr>
        <w:adjustRightInd w:val="0"/>
        <w:snapToGrid w:val="0"/>
        <w:spacing w:line="360" w:lineRule="auto"/>
        <w:ind w:right="48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日期：年月日</w:t>
      </w:r>
    </w:p>
    <w:p>
      <w:pPr>
        <w:spacing w:line="360" w:lineRule="auto"/>
        <w:jc w:val="left"/>
        <w:rPr>
          <w:rFonts w:hint="eastAsia" w:ascii="宋体" w:hAnsi="宋体" w:cs="宋体"/>
          <w:b/>
          <w:color w:val="auto"/>
          <w:sz w:val="28"/>
          <w:highlight w:val="none"/>
        </w:rPr>
      </w:pPr>
    </w:p>
    <w:p>
      <w:pPr>
        <w:spacing w:line="360" w:lineRule="auto"/>
        <w:jc w:val="left"/>
        <w:rPr>
          <w:rFonts w:ascii="宋体" w:hAnsi="宋体" w:cs="宋体"/>
          <w:b/>
          <w:color w:val="auto"/>
          <w:sz w:val="28"/>
          <w:highlight w:val="none"/>
        </w:rPr>
      </w:pPr>
      <w:r>
        <w:rPr>
          <w:rFonts w:hint="eastAsia" w:ascii="宋体" w:hAnsi="宋体" w:cs="宋体"/>
          <w:b/>
          <w:color w:val="auto"/>
          <w:sz w:val="28"/>
          <w:highlight w:val="none"/>
        </w:rPr>
        <w:t>附件3</w:t>
      </w: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授权委托书</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浙江五石中正工程咨询有限公司</w:t>
      </w:r>
      <w:r>
        <w:rPr>
          <w:rFonts w:hint="eastAsia" w:asciiTheme="minorEastAsia" w:hAnsiTheme="minorEastAsia" w:eastAsiaTheme="minorEastAsia" w:cstheme="minorEastAsia"/>
          <w:color w:val="auto"/>
          <w:sz w:val="24"/>
          <w:highlight w:val="none"/>
        </w:rPr>
        <w:t>（采购代理机构名称）：</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（投标人全称）</w:t>
      </w:r>
      <w:r>
        <w:rPr>
          <w:rFonts w:hint="eastAsia" w:asciiTheme="minorEastAsia" w:hAnsiTheme="minorEastAsia" w:eastAsiaTheme="minorEastAsia" w:cstheme="minorEastAsia"/>
          <w:color w:val="auto"/>
          <w:sz w:val="24"/>
          <w:highlight w:val="none"/>
        </w:rPr>
        <w:t>法定代表人（或营业执照中单位负责人）</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（法定代表人或营业执照中单位负责人姓名）</w:t>
      </w:r>
      <w:r>
        <w:rPr>
          <w:rFonts w:hint="eastAsia" w:asciiTheme="minorEastAsia" w:hAnsiTheme="minorEastAsia" w:eastAsiaTheme="minorEastAsia" w:cstheme="minorEastAsia"/>
          <w:color w:val="auto"/>
          <w:sz w:val="24"/>
          <w:highlight w:val="none"/>
        </w:rPr>
        <w:t>授权</w:t>
      </w:r>
      <w:r>
        <w:rPr>
          <w:rFonts w:hint="eastAsia" w:asciiTheme="minorEastAsia" w:hAnsiTheme="minorEastAsia" w:eastAsiaTheme="minorEastAsia" w:cstheme="minorEastAsia"/>
          <w:color w:val="auto"/>
          <w:sz w:val="24"/>
          <w:highlight w:val="none"/>
          <w:u w:val="single"/>
        </w:rPr>
        <w:t>（授权委托代理人姓名）</w:t>
      </w:r>
      <w:r>
        <w:rPr>
          <w:rFonts w:hint="eastAsia" w:asciiTheme="minorEastAsia" w:hAnsiTheme="minorEastAsia" w:eastAsiaTheme="minorEastAsia" w:cstheme="minorEastAsia"/>
          <w:color w:val="auto"/>
          <w:sz w:val="24"/>
          <w:highlight w:val="none"/>
        </w:rPr>
        <w:t>为授权委托代理人，参加贵单位组织的</w:t>
      </w:r>
      <w:r>
        <w:rPr>
          <w:rFonts w:hint="eastAsia" w:asciiTheme="minorEastAsia" w:hAnsiTheme="minorEastAsia" w:eastAsiaTheme="minorEastAsia" w:cstheme="minorEastAsia"/>
          <w:color w:val="auto"/>
          <w:sz w:val="24"/>
          <w:highlight w:val="none"/>
          <w:u w:val="single"/>
        </w:rPr>
        <w:t>检察工作网网络安全建设项目</w:t>
      </w:r>
      <w:r>
        <w:rPr>
          <w:rFonts w:hint="eastAsia" w:asciiTheme="minorEastAsia" w:hAnsiTheme="minorEastAsia" w:eastAsiaTheme="minorEastAsia" w:cstheme="minorEastAsia"/>
          <w:color w:val="auto"/>
          <w:sz w:val="24"/>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授权委托代理人无转委托权，特此委托。</w:t>
      </w:r>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法定代表人签字或盖章：</w:t>
      </w:r>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投标人全称（公章）：</w:t>
      </w:r>
      <w:r>
        <w:rPr>
          <w:rFonts w:hint="eastAsia" w:asciiTheme="minorEastAsia" w:hAnsiTheme="minorEastAsia" w:eastAsiaTheme="minorEastAsia" w:cstheme="minorEastAsia"/>
          <w:color w:val="auto"/>
          <w:sz w:val="24"/>
          <w:highlight w:val="none"/>
          <w:lang w:val="zh-CN"/>
        </w:rPr>
        <w:t>日期：年月日</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法定代表身份证复印件粘帖处</w:t>
            </w:r>
          </w:p>
        </w:tc>
      </w:tr>
    </w:tbl>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法定代表人姓名：</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传真：</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手机：</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详细通讯地址：</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邮政编码：</w:t>
      </w:r>
    </w:p>
    <w:p>
      <w:pPr>
        <w:spacing w:line="360" w:lineRule="auto"/>
        <w:rPr>
          <w:rFonts w:asciiTheme="minorEastAsia" w:hAnsiTheme="minorEastAsia" w:eastAsiaTheme="minorEastAsia" w:cstheme="minorEastAsia"/>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授权委托代理人身份证复印件粘帖处</w:t>
            </w:r>
          </w:p>
        </w:tc>
      </w:tr>
    </w:tbl>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授权委托代理人姓名：</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传真：</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手机：</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详细通讯地址：</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邮政编码：</w:t>
      </w:r>
    </w:p>
    <w:p>
      <w:pPr>
        <w:pStyle w:val="21"/>
        <w:spacing w:line="360" w:lineRule="auto"/>
        <w:ind w:left="0" w:firstLine="0" w:firstLineChars="0"/>
        <w:outlineLvl w:val="2"/>
        <w:rPr>
          <w:rFonts w:hint="eastAsia" w:ascii="宋体" w:hAnsi="宋体" w:cs="宋体"/>
          <w:b/>
          <w:color w:val="auto"/>
          <w:sz w:val="28"/>
          <w:highlight w:val="none"/>
        </w:rPr>
      </w:pPr>
    </w:p>
    <w:p>
      <w:pPr>
        <w:pStyle w:val="21"/>
        <w:spacing w:line="360" w:lineRule="auto"/>
        <w:ind w:left="0" w:firstLine="0" w:firstLineChars="0"/>
        <w:outlineLvl w:val="2"/>
        <w:rPr>
          <w:rFonts w:ascii="宋体" w:hAnsi="宋体" w:cs="宋体"/>
          <w:b/>
          <w:color w:val="auto"/>
          <w:sz w:val="28"/>
          <w:highlight w:val="none"/>
        </w:rPr>
      </w:pPr>
      <w:r>
        <w:rPr>
          <w:rFonts w:hint="eastAsia" w:ascii="宋体" w:hAnsi="宋体" w:cs="宋体"/>
          <w:b/>
          <w:color w:val="auto"/>
          <w:sz w:val="28"/>
          <w:highlight w:val="none"/>
        </w:rPr>
        <w:t xml:space="preserve">附件4               </w:t>
      </w:r>
    </w:p>
    <w:p>
      <w:pPr>
        <w:pStyle w:val="21"/>
        <w:spacing w:line="360" w:lineRule="auto"/>
        <w:ind w:left="0" w:firstLine="0" w:firstLineChars="0"/>
        <w:jc w:val="center"/>
        <w:outlineLvl w:val="2"/>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有效的法人或者其他组织的营业执照等证明文件（复印件），自然人的身份证明</w:t>
      </w:r>
    </w:p>
    <w:p>
      <w:pPr>
        <w:pStyle w:val="21"/>
        <w:spacing w:line="360" w:lineRule="auto"/>
        <w:ind w:left="0" w:firstLine="0" w:firstLineChars="0"/>
        <w:jc w:val="center"/>
        <w:rPr>
          <w:rFonts w:asciiTheme="minorEastAsia" w:hAnsiTheme="minorEastAsia" w:eastAsiaTheme="minorEastAsia" w:cstheme="minorEastAsia"/>
          <w:b/>
          <w:color w:val="auto"/>
          <w:spacing w:val="-6"/>
          <w:sz w:val="24"/>
          <w:highlight w:val="none"/>
        </w:rPr>
      </w:pPr>
    </w:p>
    <w:p>
      <w:pPr>
        <w:pStyle w:val="21"/>
        <w:spacing w:line="360" w:lineRule="auto"/>
        <w:ind w:left="0" w:firstLine="0" w:firstLineChars="0"/>
        <w:jc w:val="center"/>
        <w:rPr>
          <w:rFonts w:asciiTheme="minorEastAsia" w:hAnsiTheme="minorEastAsia" w:eastAsiaTheme="minorEastAsia" w:cstheme="minorEastAsia"/>
          <w:b/>
          <w:color w:val="auto"/>
          <w:spacing w:val="-6"/>
          <w:sz w:val="24"/>
          <w:highlight w:val="none"/>
        </w:rPr>
      </w:pPr>
    </w:p>
    <w:p>
      <w:pPr>
        <w:pStyle w:val="21"/>
        <w:spacing w:line="360" w:lineRule="auto"/>
        <w:ind w:left="0" w:firstLine="0" w:firstLineChars="0"/>
        <w:jc w:val="center"/>
        <w:rPr>
          <w:rFonts w:asciiTheme="minorEastAsia" w:hAnsiTheme="minorEastAsia" w:eastAsiaTheme="minorEastAsia" w:cstheme="minorEastAsia"/>
          <w:b/>
          <w:color w:val="auto"/>
          <w:spacing w:val="-6"/>
          <w:sz w:val="24"/>
          <w:highlight w:val="none"/>
        </w:rPr>
      </w:pPr>
    </w:p>
    <w:p>
      <w:pPr>
        <w:spacing w:line="360" w:lineRule="auto"/>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说明：</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1.如供应商是企业（包括合伙企业），提供在工商部门注册的有效“企业法人营业执照”或“营业执照”；</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2.如供应商是事业单位，提供有效的“事业单位法人证书”；</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3.如供应商是非企业专业服务机构的，提供执业许可证等证明文件；</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4.如供应商是个体工商户，提供有效的“个体工商户营业执照”；</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5.如供应商是自然人，提供有效的自然人身份证明。</w:t>
      </w:r>
    </w:p>
    <w:p>
      <w:pPr>
        <w:spacing w:afterLines="100" w:line="480" w:lineRule="auto"/>
        <w:jc w:val="left"/>
        <w:rPr>
          <w:rFonts w:ascii="宋体" w:hAnsi="宋体" w:cs="宋体"/>
          <w:b/>
          <w:color w:val="auto"/>
          <w:sz w:val="28"/>
          <w:highlight w:val="none"/>
        </w:rPr>
      </w:pPr>
      <w:r>
        <w:rPr>
          <w:rFonts w:hint="eastAsia" w:asciiTheme="minorEastAsia" w:hAnsiTheme="minorEastAsia" w:eastAsiaTheme="minorEastAsia" w:cstheme="minorEastAsia"/>
          <w:b/>
          <w:color w:val="auto"/>
          <w:sz w:val="24"/>
          <w:highlight w:val="none"/>
        </w:rPr>
        <w:br w:type="page"/>
      </w:r>
    </w:p>
    <w:p>
      <w:pPr>
        <w:rPr>
          <w:b/>
          <w:bCs/>
          <w:color w:val="auto"/>
          <w:sz w:val="28"/>
          <w:szCs w:val="28"/>
          <w:highlight w:val="none"/>
        </w:rPr>
      </w:pPr>
      <w:r>
        <w:rPr>
          <w:rFonts w:hint="eastAsia"/>
          <w:b/>
          <w:bCs/>
          <w:color w:val="auto"/>
          <w:sz w:val="28"/>
          <w:szCs w:val="28"/>
          <w:highlight w:val="none"/>
        </w:rPr>
        <w:t>附件5</w:t>
      </w:r>
    </w:p>
    <w:p>
      <w:pPr>
        <w:spacing w:afterLines="100" w:line="48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lang w:val="zh-CN"/>
        </w:rPr>
        <w:t>具备健全的财务会计制度的承诺函</w:t>
      </w:r>
    </w:p>
    <w:p>
      <w:pPr>
        <w:widowControl/>
        <w:spacing w:line="600" w:lineRule="exact"/>
        <w:rPr>
          <w:rFonts w:asciiTheme="minorEastAsia" w:hAnsiTheme="minorEastAsia" w:eastAsiaTheme="minorEastAsia" w:cstheme="minorEastAsia"/>
          <w:color w:val="auto"/>
          <w:kern w:val="0"/>
          <w:sz w:val="24"/>
          <w:highlight w:val="none"/>
        </w:rPr>
      </w:pPr>
    </w:p>
    <w:p>
      <w:pPr>
        <w:widowControl/>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致：</w:t>
      </w:r>
      <w:r>
        <w:rPr>
          <w:rFonts w:hint="eastAsia" w:asciiTheme="minorEastAsia" w:hAnsiTheme="minorEastAsia" w:eastAsiaTheme="minorEastAsia" w:cstheme="minorEastAsia"/>
          <w:color w:val="auto"/>
          <w:sz w:val="24"/>
          <w:highlight w:val="none"/>
          <w:u w:val="single"/>
        </w:rPr>
        <w:t>台州市人民检察院、浙江五石中正工程咨询有限公司</w:t>
      </w:r>
    </w:p>
    <w:p>
      <w:pPr>
        <w:pStyle w:val="3"/>
        <w:spacing w:line="60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我公司参加</w:t>
      </w:r>
      <w:r>
        <w:rPr>
          <w:rFonts w:hint="eastAsia" w:asciiTheme="minorEastAsia" w:hAnsiTheme="minorEastAsia" w:eastAsiaTheme="minorEastAsia" w:cstheme="minorEastAsia"/>
          <w:color w:val="auto"/>
          <w:highlight w:val="none"/>
          <w:u w:val="single"/>
        </w:rPr>
        <w:t>检察工作网网络安全建设项目（编号为）</w:t>
      </w:r>
      <w:r>
        <w:rPr>
          <w:rFonts w:hint="eastAsia" w:asciiTheme="minorEastAsia" w:hAnsiTheme="minorEastAsia" w:eastAsiaTheme="minorEastAsia" w:cstheme="minorEastAsia"/>
          <w:color w:val="auto"/>
          <w:highlight w:val="none"/>
        </w:rPr>
        <w:t>的投标活动，作如下承诺：</w:t>
      </w:r>
    </w:p>
    <w:p>
      <w:pPr>
        <w:pStyle w:val="3"/>
        <w:spacing w:line="60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我公司在参加本项目政府采购活动前，</w:t>
      </w:r>
      <w:r>
        <w:rPr>
          <w:rFonts w:hint="eastAsia" w:asciiTheme="minorEastAsia" w:hAnsiTheme="minorEastAsia" w:eastAsiaTheme="minorEastAsia" w:cstheme="minorEastAsia"/>
          <w:color w:val="auto"/>
          <w:kern w:val="0"/>
          <w:highlight w:val="none"/>
        </w:rPr>
        <w:t>没有处于被责令停产、财产被接管、冻结或破产状态，具有足够的流动资金，有能力履行合同；我公司</w:t>
      </w:r>
      <w:r>
        <w:rPr>
          <w:rFonts w:hint="eastAsia" w:asciiTheme="minorEastAsia" w:hAnsiTheme="minorEastAsia" w:eastAsiaTheme="minorEastAsia" w:cstheme="minorEastAsia"/>
          <w:color w:val="auto"/>
          <w:highlight w:val="none"/>
        </w:rPr>
        <w:t>具有良好的商业信誉和健全的财务会计制度。</w:t>
      </w:r>
    </w:p>
    <w:p>
      <w:pPr>
        <w:spacing w:line="60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如违反以上承诺，本公司愿承担一切法律责任。</w:t>
      </w:r>
    </w:p>
    <w:p>
      <w:pPr>
        <w:spacing w:line="360" w:lineRule="auto"/>
        <w:rPr>
          <w:rFonts w:asciiTheme="minorEastAsia" w:hAnsiTheme="minorEastAsia" w:eastAsiaTheme="minorEastAsia" w:cstheme="minorEastAsia"/>
          <w:color w:val="auto"/>
          <w:sz w:val="24"/>
          <w:highlight w:val="none"/>
          <w:lang w:val="zh-CN"/>
        </w:rPr>
      </w:pPr>
    </w:p>
    <w:p>
      <w:pPr>
        <w:pStyle w:val="3"/>
        <w:rPr>
          <w:rFonts w:asciiTheme="minorEastAsia" w:hAnsiTheme="minorEastAsia" w:eastAsiaTheme="minorEastAsia" w:cstheme="minorEastAsia"/>
          <w:color w:val="auto"/>
          <w:highlight w:val="none"/>
          <w:lang w:val="zh-CN"/>
        </w:rPr>
      </w:pPr>
    </w:p>
    <w:p>
      <w:pPr>
        <w:pStyle w:val="3"/>
        <w:rPr>
          <w:rFonts w:asciiTheme="minorEastAsia" w:hAnsiTheme="minorEastAsia" w:eastAsiaTheme="minorEastAsia" w:cstheme="minorEastAsia"/>
          <w:color w:val="auto"/>
          <w:highlight w:val="none"/>
          <w:lang w:val="zh-CN"/>
        </w:rPr>
      </w:pPr>
    </w:p>
    <w:p>
      <w:pPr>
        <w:pStyle w:val="3"/>
        <w:rPr>
          <w:rFonts w:asciiTheme="minorEastAsia" w:hAnsiTheme="minorEastAsia" w:eastAsiaTheme="minorEastAsia" w:cstheme="minorEastAsia"/>
          <w:color w:val="auto"/>
          <w:highlight w:val="none"/>
          <w:lang w:val="zh-CN"/>
        </w:rPr>
      </w:pPr>
    </w:p>
    <w:p>
      <w:pPr>
        <w:widowControl/>
        <w:wordWrap w:val="0"/>
        <w:spacing w:line="360" w:lineRule="auto"/>
        <w:jc w:val="righ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投标人名称</w:t>
      </w:r>
      <w:r>
        <w:rPr>
          <w:rFonts w:hint="eastAsia" w:asciiTheme="minorEastAsia" w:hAnsiTheme="minorEastAsia" w:eastAsiaTheme="minorEastAsia" w:cstheme="minorEastAsia"/>
          <w:color w:val="auto"/>
          <w:kern w:val="0"/>
          <w:sz w:val="24"/>
          <w:highlight w:val="none"/>
        </w:rPr>
        <w:t>(公章)：</w:t>
      </w:r>
    </w:p>
    <w:p>
      <w:pPr>
        <w:widowControl/>
        <w:spacing w:line="360" w:lineRule="auto"/>
        <w:jc w:val="left"/>
        <w:rPr>
          <w:rFonts w:asciiTheme="minorEastAsia" w:hAnsiTheme="minorEastAsia" w:eastAsiaTheme="minorEastAsia" w:cstheme="minorEastAsia"/>
          <w:color w:val="auto"/>
          <w:kern w:val="0"/>
          <w:sz w:val="24"/>
          <w:highlight w:val="none"/>
        </w:rPr>
      </w:pPr>
    </w:p>
    <w:p>
      <w:pPr>
        <w:widowControl/>
        <w:spacing w:line="360" w:lineRule="auto"/>
        <w:jc w:val="righ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法定代表人(签字或盖章)或授权委托代理人(签字)：</w:t>
      </w:r>
    </w:p>
    <w:p>
      <w:pPr>
        <w:widowControl/>
        <w:spacing w:line="360" w:lineRule="auto"/>
        <w:jc w:val="left"/>
        <w:rPr>
          <w:rFonts w:asciiTheme="minorEastAsia" w:hAnsiTheme="minorEastAsia" w:eastAsiaTheme="minorEastAsia" w:cstheme="minorEastAsia"/>
          <w:color w:val="auto"/>
          <w:kern w:val="0"/>
          <w:sz w:val="24"/>
          <w:highlight w:val="none"/>
        </w:rPr>
      </w:pPr>
    </w:p>
    <w:p>
      <w:pPr>
        <w:spacing w:line="360" w:lineRule="auto"/>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日期：</w:t>
      </w:r>
      <w:r>
        <w:rPr>
          <w:rFonts w:hint="eastAsia" w:asciiTheme="minorEastAsia" w:hAnsiTheme="minorEastAsia" w:eastAsiaTheme="minorEastAsia" w:cstheme="minorEastAsia"/>
          <w:color w:val="auto"/>
          <w:kern w:val="0"/>
          <w:sz w:val="24"/>
          <w:highlight w:val="none"/>
          <w:lang w:val="zh-CN"/>
        </w:rPr>
        <w:t>年月日</w:t>
      </w:r>
    </w:p>
    <w:p>
      <w:pPr>
        <w:spacing w:line="360" w:lineRule="auto"/>
        <w:rPr>
          <w:rFonts w:asciiTheme="minorEastAsia" w:hAnsiTheme="minorEastAsia" w:eastAsiaTheme="minorEastAsia" w:cstheme="minorEastAsia"/>
          <w:b/>
          <w:bCs/>
          <w:color w:val="auto"/>
          <w:spacing w:val="-6"/>
          <w:sz w:val="24"/>
          <w:highlight w:val="none"/>
        </w:rPr>
      </w:pPr>
    </w:p>
    <w:p>
      <w:pPr>
        <w:adjustRightInd w:val="0"/>
        <w:spacing w:line="360" w:lineRule="auto"/>
        <w:rPr>
          <w:rFonts w:ascii="宋体" w:hAnsi="宋体" w:cs="宋体"/>
          <w:b/>
          <w:color w:val="auto"/>
          <w:sz w:val="28"/>
          <w:highlight w:val="none"/>
        </w:rPr>
      </w:pPr>
      <w:r>
        <w:rPr>
          <w:rFonts w:hint="eastAsia" w:asciiTheme="minorEastAsia" w:hAnsiTheme="minorEastAsia" w:eastAsiaTheme="minorEastAsia" w:cstheme="minorEastAsia"/>
          <w:b/>
          <w:bCs/>
          <w:color w:val="auto"/>
          <w:spacing w:val="-6"/>
          <w:sz w:val="24"/>
          <w:highlight w:val="none"/>
        </w:rPr>
        <w:br w:type="page"/>
      </w:r>
    </w:p>
    <w:p>
      <w:pPr>
        <w:rPr>
          <w:rFonts w:asciiTheme="minorEastAsia" w:hAnsiTheme="minorEastAsia" w:eastAsiaTheme="minorEastAsia" w:cstheme="minorEastAsia"/>
          <w:b/>
          <w:color w:val="auto"/>
          <w:sz w:val="24"/>
          <w:highlight w:val="none"/>
        </w:rPr>
      </w:pPr>
      <w:r>
        <w:rPr>
          <w:rFonts w:hint="eastAsia"/>
          <w:b/>
          <w:bCs/>
          <w:color w:val="auto"/>
          <w:sz w:val="28"/>
          <w:szCs w:val="28"/>
          <w:highlight w:val="none"/>
        </w:rPr>
        <w:t>附件6</w:t>
      </w:r>
    </w:p>
    <w:p>
      <w:pPr>
        <w:spacing w:afterLines="100" w:line="48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lang w:val="zh-CN"/>
        </w:rPr>
        <w:t>无税收缴纳、社会保障等方面的失信记录的承诺函</w:t>
      </w:r>
    </w:p>
    <w:p>
      <w:pPr>
        <w:widowControl/>
        <w:spacing w:line="600" w:lineRule="exact"/>
        <w:rPr>
          <w:rFonts w:asciiTheme="minorEastAsia" w:hAnsiTheme="minorEastAsia" w:eastAsiaTheme="minorEastAsia" w:cstheme="minorEastAsia"/>
          <w:color w:val="auto"/>
          <w:kern w:val="0"/>
          <w:sz w:val="24"/>
          <w:highlight w:val="none"/>
        </w:rPr>
      </w:pPr>
    </w:p>
    <w:p>
      <w:pPr>
        <w:widowControl/>
        <w:spacing w:line="6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致：</w:t>
      </w:r>
      <w:r>
        <w:rPr>
          <w:rFonts w:hint="eastAsia" w:asciiTheme="minorEastAsia" w:hAnsiTheme="minorEastAsia" w:eastAsiaTheme="minorEastAsia" w:cstheme="minorEastAsia"/>
          <w:color w:val="auto"/>
          <w:sz w:val="24"/>
          <w:highlight w:val="none"/>
          <w:u w:val="single"/>
        </w:rPr>
        <w:t>台州市人民检察院、浙江五石中正工程咨询有限公司</w:t>
      </w:r>
    </w:p>
    <w:p>
      <w:pPr>
        <w:pStyle w:val="3"/>
        <w:spacing w:line="60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我公司参加</w:t>
      </w:r>
      <w:r>
        <w:rPr>
          <w:rFonts w:hint="eastAsia" w:asciiTheme="minorEastAsia" w:hAnsiTheme="minorEastAsia" w:eastAsiaTheme="minorEastAsia" w:cstheme="minorEastAsia"/>
          <w:color w:val="auto"/>
          <w:highlight w:val="none"/>
          <w:u w:val="single"/>
        </w:rPr>
        <w:t>检察工作网网络安全建设项目（编号为</w:t>
      </w:r>
      <w:r>
        <w:rPr>
          <w:rFonts w:hint="eastAsia" w:asciiTheme="minorEastAsia" w:hAnsiTheme="minorEastAsia" w:eastAsiaTheme="minorEastAsia" w:cstheme="minorEastAsia"/>
          <w:color w:val="auto"/>
          <w:highlight w:val="none"/>
          <w:u w:val="single"/>
          <w:lang w:eastAsia="zh-CN"/>
        </w:rPr>
        <w:t>：</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rPr>
        <w:t>）</w:t>
      </w:r>
      <w:r>
        <w:rPr>
          <w:rFonts w:hint="eastAsia" w:asciiTheme="minorEastAsia" w:hAnsiTheme="minorEastAsia" w:eastAsiaTheme="minorEastAsia" w:cstheme="minorEastAsia"/>
          <w:color w:val="auto"/>
          <w:highlight w:val="none"/>
        </w:rPr>
        <w:t>的投标活动，作如下承诺：</w:t>
      </w:r>
    </w:p>
    <w:p>
      <w:pPr>
        <w:pStyle w:val="3"/>
        <w:spacing w:line="60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pacing w:line="60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如违反以上承诺，本公司愿承担一切法律责任。</w:t>
      </w:r>
    </w:p>
    <w:p>
      <w:pPr>
        <w:spacing w:line="360" w:lineRule="auto"/>
        <w:rPr>
          <w:rFonts w:asciiTheme="minorEastAsia" w:hAnsiTheme="minorEastAsia" w:eastAsiaTheme="minorEastAsia" w:cstheme="minorEastAsia"/>
          <w:color w:val="auto"/>
          <w:sz w:val="24"/>
          <w:highlight w:val="none"/>
          <w:lang w:val="zh-CN"/>
        </w:rPr>
      </w:pPr>
    </w:p>
    <w:p>
      <w:pPr>
        <w:pStyle w:val="3"/>
        <w:rPr>
          <w:rFonts w:asciiTheme="minorEastAsia" w:hAnsiTheme="minorEastAsia" w:eastAsiaTheme="minorEastAsia" w:cstheme="minorEastAsia"/>
          <w:color w:val="auto"/>
          <w:highlight w:val="none"/>
          <w:lang w:val="zh-CN"/>
        </w:rPr>
      </w:pPr>
    </w:p>
    <w:p>
      <w:pPr>
        <w:pStyle w:val="3"/>
        <w:rPr>
          <w:rFonts w:asciiTheme="minorEastAsia" w:hAnsiTheme="minorEastAsia" w:eastAsiaTheme="minorEastAsia" w:cstheme="minorEastAsia"/>
          <w:color w:val="auto"/>
          <w:highlight w:val="none"/>
          <w:lang w:val="zh-CN"/>
        </w:rPr>
      </w:pPr>
    </w:p>
    <w:p>
      <w:pPr>
        <w:widowControl/>
        <w:wordWrap w:val="0"/>
        <w:spacing w:line="360" w:lineRule="auto"/>
        <w:jc w:val="righ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投标人名称</w:t>
      </w:r>
      <w:r>
        <w:rPr>
          <w:rFonts w:hint="eastAsia" w:asciiTheme="minorEastAsia" w:hAnsiTheme="minorEastAsia" w:eastAsiaTheme="minorEastAsia" w:cstheme="minorEastAsia"/>
          <w:color w:val="auto"/>
          <w:kern w:val="0"/>
          <w:sz w:val="24"/>
          <w:highlight w:val="none"/>
        </w:rPr>
        <w:t>(公章)：</w:t>
      </w:r>
    </w:p>
    <w:p>
      <w:pPr>
        <w:widowControl/>
        <w:spacing w:line="360" w:lineRule="auto"/>
        <w:jc w:val="left"/>
        <w:rPr>
          <w:rFonts w:asciiTheme="minorEastAsia" w:hAnsiTheme="minorEastAsia" w:eastAsiaTheme="minorEastAsia" w:cstheme="minorEastAsia"/>
          <w:color w:val="auto"/>
          <w:kern w:val="0"/>
          <w:sz w:val="24"/>
          <w:highlight w:val="none"/>
        </w:rPr>
      </w:pPr>
    </w:p>
    <w:p>
      <w:pPr>
        <w:widowControl/>
        <w:spacing w:line="360" w:lineRule="auto"/>
        <w:jc w:val="righ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法定代表人(签字或盖章)或授权委托代理人(签字)：</w:t>
      </w:r>
    </w:p>
    <w:p>
      <w:pPr>
        <w:widowControl/>
        <w:spacing w:line="360" w:lineRule="auto"/>
        <w:jc w:val="left"/>
        <w:rPr>
          <w:rFonts w:asciiTheme="minorEastAsia" w:hAnsiTheme="minorEastAsia" w:eastAsiaTheme="minorEastAsia" w:cstheme="minorEastAsia"/>
          <w:color w:val="auto"/>
          <w:kern w:val="0"/>
          <w:sz w:val="24"/>
          <w:highlight w:val="none"/>
        </w:rPr>
      </w:pPr>
    </w:p>
    <w:p>
      <w:pPr>
        <w:spacing w:line="360" w:lineRule="auto"/>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日期：</w:t>
      </w:r>
      <w:r>
        <w:rPr>
          <w:rFonts w:hint="eastAsia" w:asciiTheme="minorEastAsia" w:hAnsiTheme="minorEastAsia" w:eastAsiaTheme="minorEastAsia" w:cstheme="minorEastAsia"/>
          <w:color w:val="auto"/>
          <w:kern w:val="0"/>
          <w:sz w:val="24"/>
          <w:highlight w:val="none"/>
          <w:lang w:val="zh-CN"/>
        </w:rPr>
        <w:t>年月日</w:t>
      </w:r>
    </w:p>
    <w:p>
      <w:pPr>
        <w:pStyle w:val="59"/>
        <w:shd w:val="clear" w:color="auto" w:fill="FFFFFF"/>
        <w:spacing w:before="0" w:beforeAutospacing="0" w:after="0" w:afterAutospacing="0" w:line="360" w:lineRule="auto"/>
        <w:rPr>
          <w:rFonts w:asciiTheme="minorEastAsia" w:hAnsiTheme="minorEastAsia" w:eastAsiaTheme="minorEastAsia" w:cstheme="minorEastAsia"/>
          <w:b/>
          <w:color w:val="auto"/>
          <w:highlight w:val="none"/>
        </w:rPr>
      </w:pPr>
    </w:p>
    <w:p>
      <w:pPr>
        <w:spacing w:line="360" w:lineRule="auto"/>
        <w:rPr>
          <w:rFonts w:asciiTheme="minorEastAsia" w:hAnsiTheme="minorEastAsia" w:eastAsiaTheme="minorEastAsia" w:cstheme="minorEastAsia"/>
          <w:b/>
          <w:color w:val="auto"/>
          <w:sz w:val="24"/>
          <w:highlight w:val="none"/>
        </w:rPr>
      </w:pPr>
    </w:p>
    <w:p>
      <w:pPr>
        <w:adjustRightInd w:val="0"/>
        <w:snapToGrid w:val="0"/>
        <w:spacing w:line="360" w:lineRule="auto"/>
        <w:ind w:right="480"/>
        <w:rPr>
          <w:rFonts w:ascii="宋体" w:hAnsi="宋体" w:cs="宋体"/>
          <w:b/>
          <w:color w:val="auto"/>
          <w:sz w:val="28"/>
          <w:highlight w:val="none"/>
        </w:rPr>
      </w:pPr>
    </w:p>
    <w:p>
      <w:pPr>
        <w:adjustRightInd w:val="0"/>
        <w:snapToGrid w:val="0"/>
        <w:spacing w:line="360" w:lineRule="auto"/>
        <w:ind w:right="480"/>
        <w:rPr>
          <w:rFonts w:ascii="宋体" w:hAnsi="宋体" w:cs="宋体"/>
          <w:b/>
          <w:color w:val="auto"/>
          <w:sz w:val="28"/>
          <w:highlight w:val="none"/>
        </w:rPr>
      </w:pPr>
    </w:p>
    <w:p>
      <w:pPr>
        <w:adjustRightInd w:val="0"/>
        <w:snapToGrid w:val="0"/>
        <w:spacing w:line="360" w:lineRule="auto"/>
        <w:ind w:right="480"/>
        <w:rPr>
          <w:rFonts w:ascii="宋体" w:hAnsi="宋体" w:cs="宋体"/>
          <w:b/>
          <w:color w:val="auto"/>
          <w:sz w:val="28"/>
          <w:highlight w:val="none"/>
        </w:rPr>
      </w:pPr>
    </w:p>
    <w:p>
      <w:pPr>
        <w:adjustRightInd w:val="0"/>
        <w:snapToGrid w:val="0"/>
        <w:spacing w:line="360" w:lineRule="auto"/>
        <w:ind w:right="480"/>
        <w:rPr>
          <w:rFonts w:ascii="宋体" w:hAnsi="宋体" w:cs="宋体"/>
          <w:b/>
          <w:color w:val="auto"/>
          <w:sz w:val="28"/>
          <w:highlight w:val="none"/>
        </w:rPr>
      </w:pPr>
    </w:p>
    <w:p>
      <w:pPr>
        <w:adjustRightInd w:val="0"/>
        <w:snapToGrid w:val="0"/>
        <w:spacing w:line="360" w:lineRule="auto"/>
        <w:ind w:right="480"/>
        <w:rPr>
          <w:rFonts w:ascii="宋体" w:hAnsi="宋体" w:cs="宋体"/>
          <w:b/>
          <w:color w:val="auto"/>
          <w:sz w:val="28"/>
          <w:highlight w:val="none"/>
        </w:rPr>
      </w:pPr>
    </w:p>
    <w:p>
      <w:pPr>
        <w:pStyle w:val="12"/>
        <w:ind w:left="0" w:leftChars="0" w:firstLine="0" w:firstLineChars="0"/>
        <w:rPr>
          <w:color w:val="auto"/>
          <w:highlight w:val="none"/>
        </w:rPr>
      </w:pPr>
    </w:p>
    <w:p>
      <w:pPr>
        <w:rPr>
          <w:b/>
          <w:bCs/>
          <w:color w:val="auto"/>
          <w:sz w:val="28"/>
          <w:szCs w:val="28"/>
          <w:highlight w:val="none"/>
        </w:rPr>
      </w:pPr>
      <w:r>
        <w:rPr>
          <w:rFonts w:hint="eastAsia"/>
          <w:b/>
          <w:bCs/>
          <w:color w:val="auto"/>
          <w:sz w:val="28"/>
          <w:szCs w:val="28"/>
          <w:highlight w:val="none"/>
        </w:rPr>
        <w:t>附件7</w:t>
      </w:r>
    </w:p>
    <w:p>
      <w:pPr>
        <w:widowControl/>
        <w:spacing w:line="360" w:lineRule="auto"/>
        <w:jc w:val="center"/>
        <w:outlineLvl w:val="2"/>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参加政府采购活动前3年内在经营活动中没有重大违法记录的</w:t>
      </w:r>
    </w:p>
    <w:p>
      <w:pPr>
        <w:pStyle w:val="21"/>
        <w:spacing w:line="360" w:lineRule="auto"/>
        <w:ind w:left="169" w:hanging="169" w:hangingChars="74"/>
        <w:jc w:val="center"/>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声明函</w:t>
      </w:r>
    </w:p>
    <w:p>
      <w:pPr>
        <w:spacing w:line="360" w:lineRule="auto"/>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致：</w:t>
      </w:r>
      <w:r>
        <w:rPr>
          <w:rFonts w:hint="eastAsia" w:asciiTheme="minorEastAsia" w:hAnsiTheme="minorEastAsia" w:eastAsiaTheme="minorEastAsia" w:cstheme="minorEastAsia"/>
          <w:color w:val="auto"/>
          <w:spacing w:val="-6"/>
          <w:sz w:val="24"/>
          <w:highlight w:val="none"/>
          <w:u w:val="single"/>
        </w:rPr>
        <w:t>台州市人民检察院、浙江五石中正工程咨询有限公司</w:t>
      </w:r>
    </w:p>
    <w:p>
      <w:pPr>
        <w:spacing w:line="360" w:lineRule="auto"/>
        <w:ind w:firstLine="456"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我公司郑重承诺在参加本项目政府采购活动前三年内，在经营活动中</w:t>
      </w:r>
      <w:r>
        <w:rPr>
          <w:rFonts w:hint="eastAsia" w:asciiTheme="minorEastAsia" w:hAnsiTheme="minorEastAsia" w:eastAsiaTheme="minorEastAsia" w:cstheme="minorEastAsia"/>
          <w:b/>
          <w:color w:val="auto"/>
          <w:spacing w:val="-6"/>
          <w:sz w:val="24"/>
          <w:highlight w:val="none"/>
        </w:rPr>
        <w:t>（填写“有”或“没有”，如实填写，如不填写视同未提供本声明函）</w:t>
      </w:r>
      <w:r>
        <w:rPr>
          <w:rFonts w:hint="eastAsia" w:asciiTheme="minorEastAsia" w:hAnsiTheme="minorEastAsia" w:eastAsiaTheme="minorEastAsia" w:cstheme="minorEastAsia"/>
          <w:color w:val="auto"/>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以上事项如有虚假或隐瞒，我方愿意承担一切后果和责任。</w:t>
      </w:r>
    </w:p>
    <w:p>
      <w:pPr>
        <w:spacing w:line="360" w:lineRule="auto"/>
        <w:ind w:firstLine="456"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特此声明。</w:t>
      </w:r>
    </w:p>
    <w:p>
      <w:pPr>
        <w:spacing w:line="360" w:lineRule="auto"/>
        <w:rPr>
          <w:rFonts w:asciiTheme="minorEastAsia" w:hAnsiTheme="minorEastAsia" w:eastAsiaTheme="minorEastAsia" w:cstheme="minorEastAsia"/>
          <w:color w:val="auto"/>
          <w:spacing w:val="-6"/>
          <w:sz w:val="24"/>
          <w:highlight w:val="none"/>
        </w:rPr>
      </w:pPr>
    </w:p>
    <w:p>
      <w:pPr>
        <w:pStyle w:val="86"/>
        <w:spacing w:line="360" w:lineRule="auto"/>
        <w:rPr>
          <w:rFonts w:asciiTheme="minorEastAsia" w:hAnsiTheme="minorEastAsia" w:eastAsiaTheme="minorEastAsia" w:cstheme="minorEastAsia"/>
          <w:color w:val="auto"/>
          <w:spacing w:val="-6"/>
          <w:highlight w:val="none"/>
        </w:rPr>
      </w:pPr>
    </w:p>
    <w:p>
      <w:pPr>
        <w:pStyle w:val="87"/>
        <w:spacing w:line="360" w:lineRule="auto"/>
        <w:ind w:left="0"/>
        <w:rPr>
          <w:rFonts w:asciiTheme="minorEastAsia" w:hAnsiTheme="minorEastAsia" w:eastAsiaTheme="minorEastAsia" w:cstheme="minorEastAsia"/>
          <w:color w:val="auto"/>
          <w:sz w:val="24"/>
          <w:szCs w:val="24"/>
          <w:highlight w:val="none"/>
        </w:rPr>
      </w:pPr>
    </w:p>
    <w:p>
      <w:pPr>
        <w:spacing w:line="360" w:lineRule="auto"/>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供应商名称（盖章）：</w:t>
      </w:r>
    </w:p>
    <w:p>
      <w:pPr>
        <w:spacing w:line="360" w:lineRule="auto"/>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供应商授权代表签字：</w:t>
      </w:r>
    </w:p>
    <w:p>
      <w:pPr>
        <w:widowControl/>
        <w:tabs>
          <w:tab w:val="left" w:pos="3225"/>
        </w:tabs>
        <w:spacing w:line="360" w:lineRule="auto"/>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日期：年月日</w:t>
      </w:r>
    </w:p>
    <w:p>
      <w:pPr>
        <w:snapToGrid w:val="0"/>
        <w:spacing w:line="360" w:lineRule="auto"/>
        <w:ind w:firstLine="2160" w:firstLineChars="900"/>
        <w:rPr>
          <w:rFonts w:asciiTheme="minorEastAsia" w:hAnsiTheme="minorEastAsia" w:eastAsiaTheme="minorEastAsia" w:cstheme="minorEastAsia"/>
          <w:color w:val="auto"/>
          <w:sz w:val="24"/>
          <w:highlight w:val="none"/>
          <w:lang w:val="zh-CN"/>
        </w:rPr>
      </w:pPr>
    </w:p>
    <w:p>
      <w:pPr>
        <w:rPr>
          <w:rFonts w:ascii="宋体" w:hAnsi="宋体" w:cs="宋体"/>
          <w:color w:val="auto"/>
          <w:sz w:val="24"/>
          <w:szCs w:val="32"/>
          <w:highlight w:val="none"/>
        </w:rPr>
      </w:pPr>
    </w:p>
    <w:p>
      <w:pPr>
        <w:pStyle w:val="8"/>
        <w:rPr>
          <w:color w:val="auto"/>
          <w:highlight w:val="none"/>
          <w:lang w:val="en-US"/>
        </w:rPr>
      </w:pPr>
    </w:p>
    <w:p>
      <w:pPr>
        <w:rPr>
          <w:color w:val="auto"/>
          <w:highlight w:val="none"/>
        </w:rPr>
      </w:pPr>
    </w:p>
    <w:p>
      <w:pPr>
        <w:pStyle w:val="8"/>
        <w:rPr>
          <w:color w:val="auto"/>
          <w:highlight w:val="none"/>
          <w:lang w:val="en-US"/>
        </w:rPr>
      </w:pPr>
    </w:p>
    <w:p>
      <w:pPr>
        <w:rPr>
          <w:color w:val="auto"/>
          <w:highlight w:val="none"/>
        </w:rPr>
      </w:pPr>
    </w:p>
    <w:p>
      <w:pPr>
        <w:pStyle w:val="8"/>
        <w:rPr>
          <w:color w:val="auto"/>
          <w:highlight w:val="none"/>
          <w:lang w:val="en-US"/>
        </w:rPr>
      </w:pPr>
    </w:p>
    <w:p>
      <w:pPr>
        <w:rPr>
          <w:color w:val="auto"/>
          <w:highlight w:val="none"/>
        </w:rPr>
      </w:pPr>
    </w:p>
    <w:p>
      <w:pPr>
        <w:rPr>
          <w:rFonts w:ascii="宋体" w:hAnsi="宋体" w:cs="宋体"/>
          <w:b/>
          <w:bCs/>
          <w:color w:val="auto"/>
          <w:sz w:val="28"/>
          <w:szCs w:val="36"/>
          <w:highlight w:val="none"/>
        </w:rPr>
      </w:pPr>
    </w:p>
    <w:p>
      <w:pPr>
        <w:snapToGrid w:val="0"/>
        <w:spacing w:before="50" w:after="50" w:line="360" w:lineRule="auto"/>
        <w:jc w:val="left"/>
        <w:rPr>
          <w:rFonts w:hint="eastAsia" w:ascii="宋体" w:hAnsi="宋体" w:eastAsia="宋体" w:cs="宋体"/>
          <w:b/>
          <w:color w:val="auto"/>
          <w:kern w:val="0"/>
          <w:sz w:val="32"/>
          <w:szCs w:val="32"/>
          <w:highlight w:val="none"/>
          <w:lang w:val="zh-CN"/>
        </w:rPr>
      </w:pPr>
      <w:r>
        <w:rPr>
          <w:rFonts w:hint="eastAsia" w:ascii="宋体" w:hAnsi="宋体" w:cs="宋体"/>
          <w:b/>
          <w:color w:val="auto"/>
          <w:kern w:val="0"/>
          <w:sz w:val="32"/>
          <w:szCs w:val="32"/>
          <w:highlight w:val="none"/>
          <w:lang w:val="en-US" w:eastAsia="zh-CN"/>
        </w:rPr>
        <w:t xml:space="preserve">附件8                </w:t>
      </w:r>
      <w:r>
        <w:rPr>
          <w:rFonts w:hint="eastAsia" w:ascii="宋体" w:hAnsi="宋体" w:cs="宋体"/>
          <w:b/>
          <w:color w:val="auto"/>
          <w:kern w:val="0"/>
          <w:sz w:val="32"/>
          <w:szCs w:val="32"/>
          <w:highlight w:val="none"/>
          <w:lang w:val="zh-CN"/>
        </w:rPr>
        <w:t>联合体协议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firstLine="480" w:firstLineChars="200"/>
        <w:rPr>
          <w:rFonts w:hint="eastAsia" w:ascii="宋体" w:hAnsi="宋体" w:eastAsia="宋体" w:cs="宋体"/>
          <w:color w:val="auto"/>
          <w:sz w:val="24"/>
          <w:highlight w:val="none"/>
        </w:rPr>
      </w:pPr>
    </w:p>
    <w:p>
      <w:pPr>
        <w:pStyle w:val="27"/>
        <w:rPr>
          <w:rFonts w:hint="eastAsia"/>
          <w:color w:val="auto"/>
          <w:highlight w:val="none"/>
        </w:rPr>
      </w:pPr>
    </w:p>
    <w:p>
      <w:pPr>
        <w:rPr>
          <w:rFonts w:hint="eastAsia" w:ascii="宋体" w:hAnsi="宋体" w:cs="宋体"/>
          <w:b/>
          <w:bCs/>
          <w:color w:val="auto"/>
          <w:sz w:val="28"/>
          <w:szCs w:val="36"/>
          <w:highlight w:val="none"/>
        </w:rPr>
      </w:pPr>
    </w:p>
    <w:p>
      <w:pPr>
        <w:pStyle w:val="27"/>
        <w:rPr>
          <w:rFonts w:hint="eastAsia"/>
          <w:color w:val="auto"/>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9</w:t>
      </w:r>
      <w:r>
        <w:rPr>
          <w:rFonts w:hint="eastAsia" w:ascii="宋体" w:hAnsi="宋体" w:cs="宋体"/>
          <w:b/>
          <w:bCs/>
          <w:color w:val="auto"/>
          <w:sz w:val="28"/>
          <w:szCs w:val="36"/>
          <w:highlight w:val="none"/>
        </w:rPr>
        <w:t>　</w:t>
      </w:r>
      <w:r>
        <w:rPr>
          <w:rFonts w:hint="eastAsia" w:ascii="宋体" w:hAnsi="宋体" w:cs="宋体"/>
          <w:color w:val="auto"/>
          <w:sz w:val="30"/>
          <w:szCs w:val="30"/>
          <w:highlight w:val="none"/>
        </w:rPr>
        <w:t>　　</w:t>
      </w:r>
      <w:r>
        <w:rPr>
          <w:rFonts w:hint="eastAsia" w:ascii="宋体" w:hAnsi="宋体" w:cs="宋体"/>
          <w:color w:val="auto"/>
          <w:sz w:val="30"/>
          <w:szCs w:val="30"/>
          <w:highlight w:val="none"/>
          <w:lang w:val="en-US" w:eastAsia="zh-CN"/>
        </w:rPr>
        <w:t xml:space="preserve">                                      </w:t>
      </w:r>
      <w:r>
        <w:rPr>
          <w:rFonts w:hint="eastAsia" w:ascii="宋体" w:hAnsi="宋体" w:cs="宋体"/>
          <w:bCs/>
          <w:color w:val="auto"/>
          <w:sz w:val="24"/>
          <w:highlight w:val="none"/>
        </w:rPr>
        <w:t>本</w:t>
      </w:r>
    </w:p>
    <w:p>
      <w:pPr>
        <w:spacing w:line="360" w:lineRule="auto"/>
        <w:rPr>
          <w:rFonts w:ascii="宋体" w:hAnsi="宋体" w:cs="宋体"/>
          <w:color w:val="auto"/>
          <w:sz w:val="24"/>
          <w:szCs w:val="32"/>
          <w:highlight w:val="none"/>
        </w:rPr>
      </w:pPr>
    </w:p>
    <w:p>
      <w:pP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hAnsi="宋体" w:cs="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pPr>
        <w:autoSpaceDE w:val="0"/>
        <w:autoSpaceDN w:val="0"/>
        <w:adjustRightInd w:val="0"/>
        <w:spacing w:line="360" w:lineRule="auto"/>
        <w:rPr>
          <w:rFonts w:ascii="宋体" w:hAnsi="宋体" w:cs="宋体"/>
          <w:color w:val="auto"/>
          <w:sz w:val="36"/>
          <w:szCs w:val="36"/>
          <w:highlight w:val="none"/>
        </w:rPr>
      </w:pP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pStyle w:val="25"/>
        <w:rPr>
          <w:rFonts w:ascii="宋体" w:hAnsi="宋体" w:cs="宋体"/>
          <w:color w:val="auto"/>
          <w:highlight w:val="none"/>
        </w:rPr>
      </w:pPr>
    </w:p>
    <w:p>
      <w:pPr>
        <w:rPr>
          <w:color w:val="auto"/>
          <w:highlight w:val="none"/>
        </w:rPr>
      </w:pPr>
    </w:p>
    <w:p>
      <w:pPr>
        <w:spacing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A.设备配置清单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C.商务及技术响应表。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（5）近三年来类似项目的成功案例（投标人类似项目实施情况一览表、合同复印件及其相应的发票、用户验收报告等）；</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（6）投标人认为需要提供的其他资料（包括可能影响投标人商务与技术文件评分的各类证明材料）；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（7）售后服务描述及承诺：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rPr>
          <w:rFonts w:ascii="宋体" w:hAnsi="宋体" w:cs="宋体"/>
          <w:b/>
          <w:bCs/>
          <w:color w:val="auto"/>
          <w:sz w:val="28"/>
          <w:szCs w:val="36"/>
          <w:highlight w:val="none"/>
          <w:lang w:val="zh-CN"/>
        </w:rPr>
      </w:pPr>
    </w:p>
    <w:p>
      <w:pPr>
        <w:rPr>
          <w:rFonts w:ascii="宋体" w:hAnsi="宋体" w:cs="宋体"/>
          <w:b/>
          <w:bCs/>
          <w:color w:val="auto"/>
          <w:sz w:val="28"/>
          <w:szCs w:val="36"/>
          <w:highlight w:val="none"/>
          <w:lang w:val="zh-CN"/>
        </w:rPr>
      </w:pPr>
    </w:p>
    <w:p>
      <w:pPr>
        <w:rPr>
          <w:rFonts w:ascii="宋体" w:hAnsi="宋体" w:cs="宋体"/>
          <w:b/>
          <w:bCs/>
          <w:color w:val="auto"/>
          <w:sz w:val="28"/>
          <w:szCs w:val="36"/>
          <w:highlight w:val="none"/>
          <w:lang w:val="zh-CN"/>
        </w:rPr>
      </w:pPr>
    </w:p>
    <w:p>
      <w:pPr>
        <w:rPr>
          <w:rFonts w:ascii="宋体" w:hAnsi="宋体" w:cs="宋体"/>
          <w:b/>
          <w:bCs/>
          <w:color w:val="auto"/>
          <w:sz w:val="28"/>
          <w:szCs w:val="36"/>
          <w:highlight w:val="none"/>
          <w:lang w:val="zh-CN"/>
        </w:rPr>
      </w:pPr>
    </w:p>
    <w:p>
      <w:pPr>
        <w:rPr>
          <w:rFonts w:ascii="宋体" w:hAnsi="宋体" w:cs="宋体"/>
          <w:b/>
          <w:bCs/>
          <w:color w:val="auto"/>
          <w:sz w:val="28"/>
          <w:szCs w:val="36"/>
          <w:highlight w:val="none"/>
          <w:lang w:val="zh-CN"/>
        </w:rPr>
      </w:pPr>
    </w:p>
    <w:p>
      <w:pPr>
        <w:rPr>
          <w:rFonts w:ascii="宋体" w:hAnsi="宋体" w:cs="宋体"/>
          <w:b/>
          <w:bCs/>
          <w:color w:val="auto"/>
          <w:sz w:val="28"/>
          <w:szCs w:val="36"/>
          <w:highlight w:val="none"/>
          <w:lang w:val="zh-CN"/>
        </w:rPr>
      </w:pPr>
    </w:p>
    <w:p>
      <w:pPr>
        <w:rPr>
          <w:rFonts w:ascii="宋体" w:hAnsi="宋体" w:cs="宋体"/>
          <w:b/>
          <w:bCs/>
          <w:color w:val="auto"/>
          <w:sz w:val="28"/>
          <w:szCs w:val="36"/>
          <w:highlight w:val="none"/>
          <w:lang w:val="zh-CN"/>
        </w:rPr>
      </w:pPr>
    </w:p>
    <w:p>
      <w:pPr>
        <w:rPr>
          <w:rFonts w:ascii="宋体" w:hAnsi="宋体" w:cs="宋体"/>
          <w:b/>
          <w:bCs/>
          <w:color w:val="auto"/>
          <w:sz w:val="28"/>
          <w:szCs w:val="36"/>
          <w:highlight w:val="none"/>
          <w:lang w:val="zh-CN"/>
        </w:rPr>
      </w:pPr>
    </w:p>
    <w:p>
      <w:pPr>
        <w:rPr>
          <w:rFonts w:ascii="宋体" w:hAnsi="宋体" w:cs="宋体"/>
          <w:b/>
          <w:bCs/>
          <w:color w:val="auto"/>
          <w:sz w:val="28"/>
          <w:szCs w:val="36"/>
          <w:highlight w:val="none"/>
          <w:lang w:val="zh-CN"/>
        </w:rPr>
      </w:pPr>
    </w:p>
    <w:p>
      <w:pPr>
        <w:rPr>
          <w:rFonts w:ascii="宋体" w:hAnsi="宋体" w:cs="宋体"/>
          <w:b/>
          <w:bCs/>
          <w:color w:val="auto"/>
          <w:sz w:val="28"/>
          <w:szCs w:val="36"/>
          <w:highlight w:val="none"/>
          <w:lang w:val="zh-CN"/>
        </w:rPr>
      </w:pPr>
    </w:p>
    <w:p>
      <w:pPr>
        <w:rPr>
          <w:rFonts w:ascii="宋体" w:hAnsi="宋体" w:cs="宋体"/>
          <w:b/>
          <w:bCs/>
          <w:color w:val="auto"/>
          <w:sz w:val="28"/>
          <w:szCs w:val="36"/>
          <w:highlight w:val="none"/>
          <w:lang w:val="zh-CN"/>
        </w:rPr>
      </w:pPr>
    </w:p>
    <w:p>
      <w:pPr>
        <w:rPr>
          <w:rFonts w:ascii="宋体" w:hAnsi="宋体" w:cs="宋体"/>
          <w:b/>
          <w:bCs/>
          <w:color w:val="auto"/>
          <w:sz w:val="28"/>
          <w:szCs w:val="36"/>
          <w:highlight w:val="none"/>
          <w:lang w:val="zh-CN"/>
        </w:rPr>
      </w:pPr>
    </w:p>
    <w:p>
      <w:pPr>
        <w:rPr>
          <w:rFonts w:ascii="宋体" w:hAnsi="宋体" w:cs="宋体"/>
          <w:b/>
          <w:bCs/>
          <w:color w:val="auto"/>
          <w:sz w:val="28"/>
          <w:szCs w:val="36"/>
          <w:highlight w:val="none"/>
          <w:lang w:val="zh-CN"/>
        </w:rPr>
      </w:pPr>
    </w:p>
    <w:p>
      <w:pPr>
        <w:rPr>
          <w:rFonts w:ascii="宋体" w:hAnsi="宋体" w:cs="宋体"/>
          <w:b/>
          <w:bCs/>
          <w:color w:val="auto"/>
          <w:sz w:val="28"/>
          <w:szCs w:val="36"/>
          <w:highlight w:val="none"/>
          <w:lang w:val="zh-CN"/>
        </w:rPr>
      </w:pPr>
    </w:p>
    <w:p>
      <w:pPr>
        <w:rPr>
          <w:rFonts w:ascii="宋体" w:hAnsi="宋体" w:cs="宋体"/>
          <w:b/>
          <w:bCs/>
          <w:color w:val="auto"/>
          <w:sz w:val="28"/>
          <w:szCs w:val="36"/>
          <w:highlight w:val="none"/>
          <w:lang w:val="zh-CN"/>
        </w:rPr>
      </w:pPr>
    </w:p>
    <w:p>
      <w:pPr>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10</w:t>
      </w: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880" w:type="dxa"/>
            <w:vAlign w:val="center"/>
          </w:tcPr>
          <w:p>
            <w:pPr>
              <w:pStyle w:val="59"/>
              <w:shd w:val="clear" w:color="auto" w:fill="FFFFFF"/>
              <w:spacing w:line="360" w:lineRule="auto"/>
              <w:jc w:val="both"/>
              <w:rPr>
                <w:bCs/>
                <w:color w:val="auto"/>
                <w:highlight w:val="none"/>
              </w:rPr>
            </w:pPr>
            <w:r>
              <w:rPr>
                <w:rFonts w:hint="eastAsia"/>
                <w:bCs/>
                <w:color w:val="auto"/>
                <w:spacing w:val="27"/>
                <w:highlight w:val="none"/>
              </w:rPr>
              <w:t>企业名称</w:t>
            </w:r>
          </w:p>
        </w:tc>
        <w:tc>
          <w:tcPr>
            <w:tcW w:w="3765" w:type="dxa"/>
            <w:gridSpan w:val="6"/>
            <w:vAlign w:val="center"/>
          </w:tcPr>
          <w:p>
            <w:pPr>
              <w:pStyle w:val="59"/>
              <w:shd w:val="clear" w:color="auto" w:fill="FFFFFF"/>
              <w:spacing w:line="360" w:lineRule="auto"/>
              <w:jc w:val="both"/>
              <w:rPr>
                <w:bCs/>
                <w:color w:val="auto"/>
                <w:highlight w:val="none"/>
              </w:rPr>
            </w:pPr>
          </w:p>
        </w:tc>
        <w:tc>
          <w:tcPr>
            <w:tcW w:w="1560" w:type="dxa"/>
            <w:vAlign w:val="center"/>
          </w:tcPr>
          <w:p>
            <w:pPr>
              <w:pStyle w:val="59"/>
              <w:shd w:val="clear" w:color="auto" w:fill="FFFFFF"/>
              <w:spacing w:line="360" w:lineRule="auto"/>
              <w:jc w:val="center"/>
              <w:rPr>
                <w:bCs/>
                <w:color w:val="auto"/>
                <w:highlight w:val="none"/>
              </w:rPr>
            </w:pPr>
            <w:r>
              <w:rPr>
                <w:rFonts w:hint="eastAsia"/>
                <w:bCs/>
                <w:color w:val="auto"/>
                <w:spacing w:val="16"/>
                <w:highlight w:val="none"/>
              </w:rPr>
              <w:t>法人代表</w:t>
            </w:r>
          </w:p>
        </w:tc>
        <w:tc>
          <w:tcPr>
            <w:tcW w:w="2608" w:type="dxa"/>
            <w:gridSpan w:val="3"/>
            <w:vAlign w:val="center"/>
          </w:tcPr>
          <w:p>
            <w:pPr>
              <w:pStyle w:val="59"/>
              <w:shd w:val="clear" w:color="auto" w:fill="FFFFFF"/>
              <w:spacing w:line="360" w:lineRule="auto"/>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pPr>
              <w:pStyle w:val="59"/>
              <w:shd w:val="clear" w:color="auto" w:fill="FFFFFF"/>
              <w:spacing w:line="360" w:lineRule="auto"/>
              <w:jc w:val="both"/>
              <w:rPr>
                <w:bCs/>
                <w:color w:val="auto"/>
                <w:spacing w:val="16"/>
                <w:highlight w:val="none"/>
              </w:rPr>
            </w:pPr>
            <w:r>
              <w:rPr>
                <w:rFonts w:hint="eastAsia"/>
                <w:bCs/>
                <w:color w:val="auto"/>
                <w:spacing w:val="27"/>
                <w:highlight w:val="none"/>
              </w:rPr>
              <w:t>地址</w:t>
            </w:r>
          </w:p>
        </w:tc>
        <w:tc>
          <w:tcPr>
            <w:tcW w:w="3765" w:type="dxa"/>
            <w:gridSpan w:val="6"/>
            <w:vAlign w:val="center"/>
          </w:tcPr>
          <w:p>
            <w:pPr>
              <w:pStyle w:val="59"/>
              <w:shd w:val="clear" w:color="auto" w:fill="FFFFFF"/>
              <w:spacing w:line="360" w:lineRule="auto"/>
              <w:jc w:val="both"/>
              <w:rPr>
                <w:bCs/>
                <w:color w:val="auto"/>
                <w:spacing w:val="16"/>
                <w:highlight w:val="none"/>
              </w:rPr>
            </w:pPr>
          </w:p>
        </w:tc>
        <w:tc>
          <w:tcPr>
            <w:tcW w:w="1560" w:type="dxa"/>
            <w:vAlign w:val="center"/>
          </w:tcPr>
          <w:p>
            <w:pPr>
              <w:pStyle w:val="59"/>
              <w:shd w:val="clear" w:color="auto" w:fill="FFFFFF"/>
              <w:spacing w:line="360" w:lineRule="auto"/>
              <w:jc w:val="center"/>
              <w:rPr>
                <w:bCs/>
                <w:color w:val="auto"/>
                <w:spacing w:val="16"/>
                <w:highlight w:val="none"/>
              </w:rPr>
            </w:pPr>
            <w:r>
              <w:rPr>
                <w:rFonts w:hint="eastAsia"/>
                <w:bCs/>
                <w:color w:val="auto"/>
                <w:spacing w:val="16"/>
                <w:highlight w:val="none"/>
              </w:rPr>
              <w:t>企业性质</w:t>
            </w:r>
          </w:p>
        </w:tc>
        <w:tc>
          <w:tcPr>
            <w:tcW w:w="2608" w:type="dxa"/>
            <w:gridSpan w:val="3"/>
            <w:vAlign w:val="center"/>
          </w:tcPr>
          <w:p>
            <w:pPr>
              <w:pStyle w:val="59"/>
              <w:shd w:val="clear" w:color="auto" w:fill="FFFFFF"/>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vAlign w:val="center"/>
          </w:tcPr>
          <w:p>
            <w:pPr>
              <w:pStyle w:val="59"/>
              <w:shd w:val="clear" w:color="auto" w:fill="FFFFFF"/>
              <w:spacing w:line="360" w:lineRule="auto"/>
              <w:jc w:val="both"/>
              <w:rPr>
                <w:bCs/>
                <w:color w:val="auto"/>
                <w:spacing w:val="16"/>
                <w:highlight w:val="none"/>
              </w:rPr>
            </w:pPr>
            <w:r>
              <w:rPr>
                <w:rFonts w:hint="eastAsia"/>
                <w:bCs/>
                <w:color w:val="auto"/>
                <w:spacing w:val="27"/>
                <w:highlight w:val="none"/>
              </w:rPr>
              <w:t>股东姓名</w:t>
            </w:r>
          </w:p>
        </w:tc>
        <w:tc>
          <w:tcPr>
            <w:tcW w:w="690" w:type="dxa"/>
            <w:vAlign w:val="center"/>
          </w:tcPr>
          <w:p>
            <w:pPr>
              <w:pStyle w:val="59"/>
              <w:shd w:val="clear" w:color="auto" w:fill="FFFFFF"/>
              <w:spacing w:before="0" w:beforeAutospacing="0" w:after="0" w:afterAutospacing="0" w:line="360" w:lineRule="auto"/>
              <w:jc w:val="both"/>
              <w:rPr>
                <w:bCs/>
                <w:color w:val="auto"/>
                <w:spacing w:val="16"/>
                <w:highlight w:val="none"/>
              </w:rPr>
            </w:pPr>
          </w:p>
        </w:tc>
        <w:tc>
          <w:tcPr>
            <w:tcW w:w="960" w:type="dxa"/>
            <w:gridSpan w:val="2"/>
            <w:vAlign w:val="center"/>
          </w:tcPr>
          <w:p>
            <w:pPr>
              <w:pStyle w:val="59"/>
              <w:shd w:val="clear" w:color="auto" w:fill="FFFFFF"/>
              <w:spacing w:line="360" w:lineRule="auto"/>
              <w:jc w:val="both"/>
              <w:rPr>
                <w:bCs/>
                <w:color w:val="auto"/>
                <w:spacing w:val="16"/>
                <w:highlight w:val="none"/>
              </w:rPr>
            </w:pPr>
            <w:r>
              <w:rPr>
                <w:rFonts w:hint="eastAsia"/>
                <w:bCs/>
                <w:color w:val="auto"/>
                <w:spacing w:val="16"/>
                <w:highlight w:val="none"/>
              </w:rPr>
              <w:t>股权结构（%）</w:t>
            </w:r>
          </w:p>
        </w:tc>
        <w:tc>
          <w:tcPr>
            <w:tcW w:w="2115" w:type="dxa"/>
            <w:gridSpan w:val="3"/>
            <w:vAlign w:val="center"/>
          </w:tcPr>
          <w:p>
            <w:pPr>
              <w:widowControl/>
              <w:spacing w:line="360" w:lineRule="auto"/>
              <w:rPr>
                <w:rFonts w:ascii="宋体" w:hAnsi="宋体" w:cs="宋体"/>
                <w:bCs/>
                <w:color w:val="auto"/>
                <w:spacing w:val="16"/>
                <w:kern w:val="0"/>
                <w:sz w:val="24"/>
                <w:highlight w:val="none"/>
              </w:rPr>
            </w:pPr>
          </w:p>
          <w:p>
            <w:pPr>
              <w:pStyle w:val="59"/>
              <w:shd w:val="clear" w:color="auto" w:fill="FFFFFF"/>
              <w:spacing w:line="360" w:lineRule="auto"/>
              <w:jc w:val="both"/>
              <w:rPr>
                <w:bCs/>
                <w:color w:val="auto"/>
                <w:spacing w:val="16"/>
                <w:highlight w:val="none"/>
              </w:rPr>
            </w:pPr>
          </w:p>
        </w:tc>
        <w:tc>
          <w:tcPr>
            <w:tcW w:w="1560" w:type="dxa"/>
            <w:vAlign w:val="center"/>
          </w:tcPr>
          <w:p>
            <w:pPr>
              <w:pStyle w:val="59"/>
              <w:shd w:val="clear" w:color="auto" w:fill="FFFFFF"/>
              <w:spacing w:line="360" w:lineRule="auto"/>
              <w:ind w:left="107"/>
              <w:jc w:val="center"/>
              <w:rPr>
                <w:bCs/>
                <w:color w:val="auto"/>
                <w:spacing w:val="16"/>
                <w:highlight w:val="none"/>
              </w:rPr>
            </w:pPr>
            <w:r>
              <w:rPr>
                <w:rFonts w:hint="eastAsia"/>
                <w:bCs/>
                <w:color w:val="auto"/>
                <w:spacing w:val="16"/>
                <w:highlight w:val="none"/>
              </w:rPr>
              <w:t>股东关系</w:t>
            </w:r>
          </w:p>
        </w:tc>
        <w:tc>
          <w:tcPr>
            <w:tcW w:w="2608" w:type="dxa"/>
            <w:gridSpan w:val="3"/>
            <w:vAlign w:val="center"/>
          </w:tcPr>
          <w:p>
            <w:pPr>
              <w:pStyle w:val="59"/>
              <w:shd w:val="clear" w:color="auto" w:fill="FFFFFF"/>
              <w:spacing w:line="360" w:lineRule="auto"/>
              <w:ind w:left="107"/>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pPr>
              <w:pStyle w:val="59"/>
              <w:shd w:val="clear" w:color="auto" w:fill="FFFFFF"/>
              <w:spacing w:line="360" w:lineRule="auto"/>
              <w:jc w:val="both"/>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pPr>
              <w:pStyle w:val="59"/>
              <w:shd w:val="clear" w:color="auto" w:fill="FFFFFF"/>
              <w:spacing w:line="360" w:lineRule="auto"/>
              <w:jc w:val="both"/>
              <w:rPr>
                <w:bCs/>
                <w:color w:val="auto"/>
                <w:spacing w:val="16"/>
                <w:highlight w:val="none"/>
              </w:rPr>
            </w:pPr>
          </w:p>
        </w:tc>
        <w:tc>
          <w:tcPr>
            <w:tcW w:w="960" w:type="dxa"/>
            <w:gridSpan w:val="2"/>
            <w:tcBorders>
              <w:top w:val="nil"/>
            </w:tcBorders>
            <w:vAlign w:val="center"/>
          </w:tcPr>
          <w:p>
            <w:pPr>
              <w:pStyle w:val="59"/>
              <w:shd w:val="clear" w:color="auto" w:fill="FFFFFF"/>
              <w:spacing w:line="360" w:lineRule="auto"/>
              <w:jc w:val="both"/>
              <w:rPr>
                <w:bCs/>
                <w:color w:val="auto"/>
                <w:spacing w:val="16"/>
                <w:highlight w:val="none"/>
              </w:rPr>
            </w:pPr>
            <w:r>
              <w:rPr>
                <w:rFonts w:hint="eastAsia"/>
                <w:bCs/>
                <w:color w:val="auto"/>
                <w:spacing w:val="16"/>
                <w:highlight w:val="none"/>
              </w:rPr>
              <w:t>固定电话</w:t>
            </w:r>
          </w:p>
        </w:tc>
        <w:tc>
          <w:tcPr>
            <w:tcW w:w="2115" w:type="dxa"/>
            <w:gridSpan w:val="3"/>
            <w:tcBorders>
              <w:top w:val="nil"/>
            </w:tcBorders>
            <w:vAlign w:val="center"/>
          </w:tcPr>
          <w:p>
            <w:pPr>
              <w:widowControl/>
              <w:spacing w:line="360" w:lineRule="auto"/>
              <w:rPr>
                <w:rFonts w:ascii="宋体" w:hAnsi="宋体" w:cs="宋体"/>
                <w:bCs/>
                <w:color w:val="auto"/>
                <w:spacing w:val="16"/>
                <w:kern w:val="0"/>
                <w:sz w:val="24"/>
                <w:highlight w:val="none"/>
              </w:rPr>
            </w:pPr>
          </w:p>
          <w:p>
            <w:pPr>
              <w:pStyle w:val="59"/>
              <w:shd w:val="clear" w:color="auto" w:fill="FFFFFF"/>
              <w:spacing w:line="360" w:lineRule="auto"/>
              <w:jc w:val="both"/>
              <w:rPr>
                <w:bCs/>
                <w:color w:val="auto"/>
                <w:spacing w:val="16"/>
                <w:highlight w:val="none"/>
              </w:rPr>
            </w:pPr>
          </w:p>
        </w:tc>
        <w:tc>
          <w:tcPr>
            <w:tcW w:w="1560" w:type="dxa"/>
            <w:vMerge w:val="restart"/>
            <w:vAlign w:val="center"/>
          </w:tcPr>
          <w:p>
            <w:pPr>
              <w:pStyle w:val="59"/>
              <w:shd w:val="clear" w:color="auto" w:fill="FFFFFF"/>
              <w:spacing w:before="0" w:beforeAutospacing="0" w:after="0" w:afterAutospacing="0" w:line="360" w:lineRule="auto"/>
              <w:jc w:val="center"/>
              <w:rPr>
                <w:bCs/>
                <w:color w:val="auto"/>
                <w:spacing w:val="16"/>
                <w:highlight w:val="none"/>
              </w:rPr>
            </w:pPr>
            <w:r>
              <w:rPr>
                <w:rFonts w:hint="eastAsia"/>
                <w:bCs/>
                <w:color w:val="auto"/>
                <w:spacing w:val="16"/>
                <w:highlight w:val="none"/>
              </w:rPr>
              <w:t>传真</w:t>
            </w:r>
          </w:p>
        </w:tc>
        <w:tc>
          <w:tcPr>
            <w:tcW w:w="2608" w:type="dxa"/>
            <w:gridSpan w:val="3"/>
            <w:vMerge w:val="restart"/>
            <w:vAlign w:val="center"/>
          </w:tcPr>
          <w:p>
            <w:pPr>
              <w:pStyle w:val="59"/>
              <w:shd w:val="clear" w:color="auto" w:fill="FFFFFF"/>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vAlign w:val="center"/>
          </w:tcPr>
          <w:p>
            <w:pPr>
              <w:pStyle w:val="59"/>
              <w:shd w:val="clear" w:color="auto" w:fill="FFFFFF"/>
              <w:spacing w:line="360" w:lineRule="auto"/>
              <w:ind w:left="107"/>
              <w:jc w:val="both"/>
              <w:rPr>
                <w:bCs/>
                <w:color w:val="auto"/>
                <w:highlight w:val="none"/>
              </w:rPr>
            </w:pPr>
          </w:p>
        </w:tc>
        <w:tc>
          <w:tcPr>
            <w:tcW w:w="690" w:type="dxa"/>
            <w:vMerge w:val="continue"/>
            <w:vAlign w:val="center"/>
          </w:tcPr>
          <w:p>
            <w:pPr>
              <w:pStyle w:val="59"/>
              <w:shd w:val="clear" w:color="auto" w:fill="FFFFFF"/>
              <w:spacing w:line="360" w:lineRule="auto"/>
              <w:jc w:val="both"/>
              <w:rPr>
                <w:bCs/>
                <w:color w:val="auto"/>
                <w:spacing w:val="16"/>
                <w:highlight w:val="none"/>
              </w:rPr>
            </w:pPr>
          </w:p>
        </w:tc>
        <w:tc>
          <w:tcPr>
            <w:tcW w:w="960" w:type="dxa"/>
            <w:gridSpan w:val="2"/>
            <w:vAlign w:val="center"/>
          </w:tcPr>
          <w:p>
            <w:pPr>
              <w:pStyle w:val="59"/>
              <w:shd w:val="clear" w:color="auto" w:fill="FFFFFF"/>
              <w:spacing w:line="360" w:lineRule="auto"/>
              <w:jc w:val="both"/>
              <w:rPr>
                <w:bCs/>
                <w:color w:val="auto"/>
                <w:spacing w:val="16"/>
                <w:highlight w:val="none"/>
              </w:rPr>
            </w:pPr>
            <w:r>
              <w:rPr>
                <w:rFonts w:hint="eastAsia"/>
                <w:bCs/>
                <w:color w:val="auto"/>
                <w:spacing w:val="27"/>
                <w:highlight w:val="none"/>
              </w:rPr>
              <w:t>手机</w:t>
            </w:r>
          </w:p>
        </w:tc>
        <w:tc>
          <w:tcPr>
            <w:tcW w:w="2115" w:type="dxa"/>
            <w:gridSpan w:val="3"/>
            <w:vAlign w:val="center"/>
          </w:tcPr>
          <w:p>
            <w:pPr>
              <w:pStyle w:val="59"/>
              <w:shd w:val="clear" w:color="auto" w:fill="FFFFFF"/>
              <w:spacing w:line="360" w:lineRule="auto"/>
              <w:jc w:val="both"/>
              <w:rPr>
                <w:bCs/>
                <w:color w:val="auto"/>
                <w:spacing w:val="16"/>
                <w:highlight w:val="none"/>
              </w:rPr>
            </w:pPr>
          </w:p>
        </w:tc>
        <w:tc>
          <w:tcPr>
            <w:tcW w:w="1560" w:type="dxa"/>
            <w:vMerge w:val="continue"/>
            <w:vAlign w:val="center"/>
          </w:tcPr>
          <w:p>
            <w:pPr>
              <w:pStyle w:val="59"/>
              <w:shd w:val="clear" w:color="auto" w:fill="FFFFFF"/>
              <w:spacing w:line="360" w:lineRule="auto"/>
              <w:jc w:val="center"/>
              <w:rPr>
                <w:bCs/>
                <w:color w:val="auto"/>
                <w:spacing w:val="16"/>
                <w:highlight w:val="none"/>
              </w:rPr>
            </w:pPr>
          </w:p>
        </w:tc>
        <w:tc>
          <w:tcPr>
            <w:tcW w:w="2608" w:type="dxa"/>
            <w:gridSpan w:val="3"/>
            <w:vMerge w:val="continue"/>
            <w:vAlign w:val="center"/>
          </w:tcPr>
          <w:p>
            <w:pPr>
              <w:pStyle w:val="59"/>
              <w:shd w:val="clear" w:color="auto" w:fill="FFFFFF"/>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pPr>
              <w:pStyle w:val="59"/>
              <w:shd w:val="clear" w:color="auto" w:fill="FFFFFF"/>
              <w:spacing w:line="360" w:lineRule="auto"/>
              <w:ind w:left="107"/>
              <w:jc w:val="both"/>
              <w:rPr>
                <w:bCs/>
                <w:color w:val="auto"/>
                <w:highlight w:val="none"/>
              </w:rPr>
            </w:pPr>
            <w:r>
              <w:rPr>
                <w:rFonts w:hint="eastAsia"/>
                <w:bCs/>
                <w:color w:val="auto"/>
                <w:highlight w:val="none"/>
              </w:rPr>
              <w:t>1.</w:t>
            </w:r>
          </w:p>
          <w:p>
            <w:pPr>
              <w:pStyle w:val="59"/>
              <w:shd w:val="clear" w:color="auto" w:fill="FFFFFF"/>
              <w:spacing w:line="360" w:lineRule="auto"/>
              <w:ind w:left="107"/>
              <w:jc w:val="both"/>
              <w:rPr>
                <w:bCs/>
                <w:color w:val="auto"/>
                <w:highlight w:val="none"/>
              </w:rPr>
            </w:pPr>
            <w:r>
              <w:rPr>
                <w:rFonts w:hint="eastAsia"/>
                <w:bCs/>
                <w:color w:val="auto"/>
                <w:highlight w:val="none"/>
              </w:rPr>
              <w:t>企</w:t>
            </w:r>
          </w:p>
          <w:p>
            <w:pPr>
              <w:pStyle w:val="59"/>
              <w:shd w:val="clear" w:color="auto" w:fill="FFFFFF"/>
              <w:spacing w:line="360" w:lineRule="auto"/>
              <w:ind w:left="107"/>
              <w:jc w:val="both"/>
              <w:rPr>
                <w:bCs/>
                <w:color w:val="auto"/>
                <w:highlight w:val="none"/>
              </w:rPr>
            </w:pPr>
            <w:r>
              <w:rPr>
                <w:rFonts w:hint="eastAsia"/>
                <w:bCs/>
                <w:color w:val="auto"/>
                <w:highlight w:val="none"/>
              </w:rPr>
              <w:t>业</w:t>
            </w:r>
          </w:p>
          <w:p>
            <w:pPr>
              <w:pStyle w:val="59"/>
              <w:shd w:val="clear" w:color="auto" w:fill="FFFFFF"/>
              <w:spacing w:line="360" w:lineRule="auto"/>
              <w:ind w:left="107"/>
              <w:jc w:val="both"/>
              <w:rPr>
                <w:bCs/>
                <w:color w:val="auto"/>
                <w:spacing w:val="27"/>
                <w:highlight w:val="none"/>
              </w:rPr>
            </w:pPr>
            <w:r>
              <w:rPr>
                <w:rFonts w:hint="eastAsia"/>
                <w:bCs/>
                <w:color w:val="auto"/>
                <w:spacing w:val="27"/>
                <w:highlight w:val="none"/>
              </w:rPr>
              <w:t>概</w:t>
            </w:r>
          </w:p>
          <w:p>
            <w:pPr>
              <w:pStyle w:val="59"/>
              <w:shd w:val="clear" w:color="auto" w:fill="FFFFFF"/>
              <w:spacing w:line="360" w:lineRule="auto"/>
              <w:ind w:left="107"/>
              <w:jc w:val="both"/>
              <w:rPr>
                <w:bCs/>
                <w:color w:val="auto"/>
                <w:highlight w:val="none"/>
              </w:rPr>
            </w:pPr>
            <w:r>
              <w:rPr>
                <w:rFonts w:hint="eastAsia"/>
                <w:bCs/>
                <w:color w:val="auto"/>
                <w:spacing w:val="27"/>
                <w:highlight w:val="none"/>
              </w:rPr>
              <w:t>况</w:t>
            </w:r>
          </w:p>
        </w:tc>
        <w:tc>
          <w:tcPr>
            <w:tcW w:w="690" w:type="dxa"/>
            <w:tcBorders>
              <w:top w:val="nil"/>
            </w:tcBorders>
            <w:vAlign w:val="center"/>
          </w:tcPr>
          <w:p>
            <w:pPr>
              <w:pStyle w:val="59"/>
              <w:shd w:val="clear" w:color="auto" w:fill="FFFFFF"/>
              <w:spacing w:line="360" w:lineRule="auto"/>
              <w:jc w:val="both"/>
              <w:rPr>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pPr>
              <w:pStyle w:val="59"/>
              <w:shd w:val="clear" w:color="auto" w:fill="FFFFFF"/>
              <w:spacing w:line="360" w:lineRule="auto"/>
              <w:jc w:val="both"/>
              <w:rPr>
                <w:bCs/>
                <w:color w:val="auto"/>
                <w:spacing w:val="16"/>
                <w:highlight w:val="none"/>
              </w:rPr>
            </w:pPr>
          </w:p>
        </w:tc>
        <w:tc>
          <w:tcPr>
            <w:tcW w:w="926" w:type="dxa"/>
            <w:tcBorders>
              <w:top w:val="nil"/>
            </w:tcBorders>
            <w:vAlign w:val="center"/>
          </w:tcPr>
          <w:p>
            <w:pPr>
              <w:pStyle w:val="59"/>
              <w:shd w:val="clear" w:color="auto" w:fill="FFFFFF"/>
              <w:spacing w:before="0" w:beforeAutospacing="0" w:after="0" w:afterAutospacing="0" w:line="360" w:lineRule="auto"/>
              <w:jc w:val="both"/>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pPr>
              <w:widowControl/>
              <w:spacing w:line="360" w:lineRule="auto"/>
              <w:rPr>
                <w:rFonts w:ascii="宋体" w:hAnsi="宋体" w:cs="宋体"/>
                <w:bCs/>
                <w:color w:val="auto"/>
                <w:spacing w:val="16"/>
                <w:kern w:val="0"/>
                <w:sz w:val="24"/>
                <w:highlight w:val="none"/>
              </w:rPr>
            </w:pPr>
          </w:p>
          <w:p>
            <w:pPr>
              <w:widowControl/>
              <w:spacing w:line="360" w:lineRule="auto"/>
              <w:rPr>
                <w:rFonts w:ascii="宋体" w:hAnsi="宋体" w:cs="宋体"/>
                <w:bCs/>
                <w:color w:val="auto"/>
                <w:spacing w:val="16"/>
                <w:kern w:val="0"/>
                <w:sz w:val="24"/>
                <w:highlight w:val="none"/>
              </w:rPr>
            </w:pPr>
          </w:p>
          <w:p>
            <w:pPr>
              <w:pStyle w:val="59"/>
              <w:shd w:val="clear" w:color="auto" w:fill="FFFFFF"/>
              <w:spacing w:line="360" w:lineRule="auto"/>
              <w:jc w:val="both"/>
              <w:rPr>
                <w:bCs/>
                <w:color w:val="auto"/>
                <w:spacing w:val="16"/>
                <w:highlight w:val="none"/>
              </w:rPr>
            </w:pPr>
          </w:p>
        </w:tc>
        <w:tc>
          <w:tcPr>
            <w:tcW w:w="1560" w:type="dxa"/>
            <w:vAlign w:val="center"/>
          </w:tcPr>
          <w:p>
            <w:pPr>
              <w:pStyle w:val="59"/>
              <w:shd w:val="clear" w:color="auto" w:fill="FFFFFF"/>
              <w:spacing w:line="360" w:lineRule="auto"/>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pPr>
              <w:widowControl/>
              <w:spacing w:line="360" w:lineRule="auto"/>
              <w:rPr>
                <w:rFonts w:ascii="宋体" w:hAnsi="宋体" w:cs="宋体"/>
                <w:bCs/>
                <w:color w:val="auto"/>
                <w:spacing w:val="16"/>
                <w:kern w:val="0"/>
                <w:sz w:val="24"/>
                <w:highlight w:val="none"/>
              </w:rPr>
            </w:pPr>
          </w:p>
          <w:p>
            <w:pPr>
              <w:pStyle w:val="59"/>
              <w:shd w:val="clear" w:color="auto" w:fill="FFFFFF"/>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pPr>
              <w:pStyle w:val="59"/>
              <w:shd w:val="clear" w:color="auto" w:fill="FFFFFF"/>
              <w:spacing w:line="360" w:lineRule="auto"/>
              <w:ind w:left="107"/>
              <w:jc w:val="both"/>
              <w:rPr>
                <w:bCs/>
                <w:color w:val="auto"/>
                <w:highlight w:val="none"/>
              </w:rPr>
            </w:pPr>
          </w:p>
        </w:tc>
        <w:tc>
          <w:tcPr>
            <w:tcW w:w="690" w:type="dxa"/>
            <w:vAlign w:val="center"/>
          </w:tcPr>
          <w:p>
            <w:pPr>
              <w:pStyle w:val="59"/>
              <w:shd w:val="clear" w:color="auto" w:fill="FFFFFF"/>
              <w:spacing w:line="360" w:lineRule="auto"/>
              <w:jc w:val="both"/>
              <w:rPr>
                <w:bCs/>
                <w:color w:val="auto"/>
                <w:highlight w:val="none"/>
              </w:rPr>
            </w:pPr>
            <w:r>
              <w:rPr>
                <w:rFonts w:hint="eastAsia"/>
                <w:bCs/>
                <w:color w:val="auto"/>
                <w:spacing w:val="16"/>
                <w:highlight w:val="none"/>
              </w:rPr>
              <w:t>占地面积</w:t>
            </w:r>
          </w:p>
        </w:tc>
        <w:tc>
          <w:tcPr>
            <w:tcW w:w="960" w:type="dxa"/>
            <w:gridSpan w:val="2"/>
            <w:vAlign w:val="center"/>
          </w:tcPr>
          <w:p>
            <w:pPr>
              <w:pStyle w:val="59"/>
              <w:shd w:val="clear" w:color="auto" w:fill="FFFFFF"/>
              <w:spacing w:line="360" w:lineRule="auto"/>
              <w:jc w:val="both"/>
              <w:rPr>
                <w:bCs/>
                <w:color w:val="auto"/>
                <w:highlight w:val="none"/>
              </w:rPr>
            </w:pPr>
          </w:p>
        </w:tc>
        <w:tc>
          <w:tcPr>
            <w:tcW w:w="926" w:type="dxa"/>
            <w:vAlign w:val="center"/>
          </w:tcPr>
          <w:p>
            <w:pPr>
              <w:pStyle w:val="59"/>
              <w:shd w:val="clear" w:color="auto" w:fill="FFFFFF"/>
              <w:spacing w:line="360" w:lineRule="auto"/>
              <w:jc w:val="both"/>
              <w:rPr>
                <w:bCs/>
                <w:color w:val="auto"/>
                <w:highlight w:val="none"/>
              </w:rPr>
            </w:pPr>
            <w:r>
              <w:rPr>
                <w:rFonts w:hint="eastAsia"/>
                <w:bCs/>
                <w:color w:val="auto"/>
                <w:spacing w:val="16"/>
                <w:highlight w:val="none"/>
              </w:rPr>
              <w:t>建筑面积</w:t>
            </w:r>
          </w:p>
        </w:tc>
        <w:tc>
          <w:tcPr>
            <w:tcW w:w="1189" w:type="dxa"/>
            <w:gridSpan w:val="2"/>
            <w:vAlign w:val="center"/>
          </w:tcPr>
          <w:p>
            <w:pPr>
              <w:pStyle w:val="59"/>
              <w:shd w:val="clear" w:color="auto" w:fill="FFFFFF"/>
              <w:spacing w:line="360" w:lineRule="auto"/>
              <w:jc w:val="both"/>
              <w:rPr>
                <w:bCs/>
                <w:color w:val="auto"/>
                <w:highlight w:val="none"/>
              </w:rPr>
            </w:pPr>
            <w:r>
              <w:rPr>
                <w:rFonts w:hint="eastAsia"/>
                <w:bCs/>
                <w:color w:val="auto"/>
                <w:highlight w:val="none"/>
              </w:rPr>
              <w:t>平方米</w:t>
            </w:r>
          </w:p>
          <w:p>
            <w:pPr>
              <w:pStyle w:val="59"/>
              <w:shd w:val="clear" w:color="auto" w:fill="FFFFFF"/>
              <w:spacing w:line="360" w:lineRule="auto"/>
              <w:jc w:val="both"/>
              <w:rPr>
                <w:bCs/>
                <w:color w:val="auto"/>
                <w:highlight w:val="none"/>
              </w:rPr>
            </w:pPr>
            <w:r>
              <w:rPr>
                <w:rFonts w:hint="eastAsia"/>
                <w:bCs/>
                <w:color w:val="auto"/>
                <w:spacing w:val="16"/>
                <w:highlight w:val="none"/>
              </w:rPr>
              <w:t>□自有□租赁</w:t>
            </w:r>
          </w:p>
        </w:tc>
        <w:tc>
          <w:tcPr>
            <w:tcW w:w="1560" w:type="dxa"/>
            <w:vAlign w:val="center"/>
          </w:tcPr>
          <w:p>
            <w:pPr>
              <w:pStyle w:val="59"/>
              <w:shd w:val="clear" w:color="auto" w:fill="FFFFFF"/>
              <w:spacing w:line="360" w:lineRule="auto"/>
              <w:jc w:val="center"/>
              <w:rPr>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pPr>
              <w:pStyle w:val="59"/>
              <w:shd w:val="clear" w:color="auto" w:fill="FFFFFF"/>
              <w:spacing w:before="0" w:beforeAutospacing="0" w:after="0" w:afterAutospacing="0"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pPr>
              <w:pStyle w:val="59"/>
              <w:shd w:val="clear" w:color="auto" w:fill="FFFFFF"/>
              <w:spacing w:line="360" w:lineRule="auto"/>
              <w:ind w:left="107"/>
              <w:jc w:val="both"/>
              <w:rPr>
                <w:bCs/>
                <w:color w:val="auto"/>
                <w:highlight w:val="none"/>
              </w:rPr>
            </w:pPr>
          </w:p>
        </w:tc>
        <w:tc>
          <w:tcPr>
            <w:tcW w:w="690" w:type="dxa"/>
            <w:vAlign w:val="center"/>
          </w:tcPr>
          <w:p>
            <w:pPr>
              <w:pStyle w:val="59"/>
              <w:shd w:val="clear" w:color="auto" w:fill="FFFFFF"/>
              <w:spacing w:line="360" w:lineRule="auto"/>
              <w:ind w:left="2"/>
              <w:jc w:val="both"/>
              <w:rPr>
                <w:bCs/>
                <w:color w:val="auto"/>
                <w:spacing w:val="16"/>
                <w:highlight w:val="none"/>
              </w:rPr>
            </w:pPr>
            <w:r>
              <w:rPr>
                <w:rFonts w:hint="eastAsia"/>
                <w:bCs/>
                <w:color w:val="auto"/>
                <w:spacing w:val="16"/>
                <w:highlight w:val="none"/>
              </w:rPr>
              <w:t>注册资金</w:t>
            </w:r>
          </w:p>
        </w:tc>
        <w:tc>
          <w:tcPr>
            <w:tcW w:w="960" w:type="dxa"/>
            <w:gridSpan w:val="2"/>
            <w:vAlign w:val="center"/>
          </w:tcPr>
          <w:p>
            <w:pPr>
              <w:pStyle w:val="59"/>
              <w:shd w:val="clear" w:color="auto" w:fill="FFFFFF"/>
              <w:spacing w:line="360" w:lineRule="auto"/>
              <w:ind w:left="2"/>
              <w:jc w:val="both"/>
              <w:rPr>
                <w:bCs/>
                <w:color w:val="auto"/>
                <w:highlight w:val="none"/>
              </w:rPr>
            </w:pPr>
          </w:p>
        </w:tc>
        <w:tc>
          <w:tcPr>
            <w:tcW w:w="926" w:type="dxa"/>
            <w:vAlign w:val="center"/>
          </w:tcPr>
          <w:p>
            <w:pPr>
              <w:pStyle w:val="59"/>
              <w:shd w:val="clear" w:color="auto" w:fill="FFFFFF"/>
              <w:spacing w:line="360" w:lineRule="auto"/>
              <w:ind w:left="107"/>
              <w:jc w:val="both"/>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pPr>
              <w:widowControl/>
              <w:spacing w:line="360" w:lineRule="auto"/>
              <w:rPr>
                <w:rFonts w:ascii="宋体" w:hAnsi="宋体" w:cs="宋体"/>
                <w:bCs/>
                <w:color w:val="auto"/>
                <w:kern w:val="0"/>
                <w:sz w:val="24"/>
                <w:highlight w:val="none"/>
              </w:rPr>
            </w:pPr>
          </w:p>
          <w:p>
            <w:pPr>
              <w:pStyle w:val="59"/>
              <w:shd w:val="clear" w:color="auto" w:fill="FFFFFF"/>
              <w:spacing w:line="360" w:lineRule="auto"/>
              <w:ind w:left="107"/>
              <w:jc w:val="both"/>
              <w:rPr>
                <w:bCs/>
                <w:color w:val="auto"/>
                <w:highlight w:val="none"/>
              </w:rPr>
            </w:pPr>
          </w:p>
        </w:tc>
        <w:tc>
          <w:tcPr>
            <w:tcW w:w="1675" w:type="dxa"/>
            <w:gridSpan w:val="2"/>
            <w:vAlign w:val="center"/>
          </w:tcPr>
          <w:p>
            <w:pPr>
              <w:pStyle w:val="59"/>
              <w:shd w:val="clear" w:color="auto" w:fill="FFFFFF"/>
              <w:spacing w:line="360" w:lineRule="auto"/>
              <w:ind w:left="107"/>
              <w:jc w:val="both"/>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pPr>
              <w:pStyle w:val="59"/>
              <w:shd w:val="clear" w:color="auto" w:fill="FFFFFF"/>
              <w:spacing w:line="360" w:lineRule="auto"/>
              <w:ind w:left="107"/>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pPr>
              <w:pStyle w:val="59"/>
              <w:shd w:val="clear" w:color="auto" w:fill="FFFFFF"/>
              <w:spacing w:line="360" w:lineRule="auto"/>
              <w:ind w:left="107"/>
              <w:jc w:val="both"/>
              <w:rPr>
                <w:bCs/>
                <w:color w:val="auto"/>
                <w:highlight w:val="none"/>
              </w:rPr>
            </w:pPr>
          </w:p>
        </w:tc>
        <w:tc>
          <w:tcPr>
            <w:tcW w:w="690" w:type="dxa"/>
            <w:vAlign w:val="center"/>
          </w:tcPr>
          <w:p>
            <w:pPr>
              <w:pStyle w:val="59"/>
              <w:shd w:val="clear" w:color="auto" w:fill="FFFFFF"/>
              <w:spacing w:line="360" w:lineRule="auto"/>
              <w:ind w:left="2"/>
              <w:jc w:val="both"/>
              <w:rPr>
                <w:bCs/>
                <w:color w:val="auto"/>
                <w:highlight w:val="none"/>
              </w:rPr>
            </w:pPr>
            <w:r>
              <w:rPr>
                <w:rFonts w:hint="eastAsia"/>
                <w:bCs/>
                <w:color w:val="auto"/>
                <w:highlight w:val="none"/>
              </w:rPr>
              <w:t>核准经营范围</w:t>
            </w:r>
          </w:p>
        </w:tc>
        <w:tc>
          <w:tcPr>
            <w:tcW w:w="7243" w:type="dxa"/>
            <w:gridSpan w:val="9"/>
            <w:vAlign w:val="center"/>
          </w:tcPr>
          <w:p>
            <w:pPr>
              <w:pStyle w:val="59"/>
              <w:shd w:val="clear" w:color="auto" w:fill="FFFFFF"/>
              <w:spacing w:line="360" w:lineRule="auto"/>
              <w:ind w:left="107"/>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pPr>
              <w:pStyle w:val="59"/>
              <w:shd w:val="clear" w:color="auto" w:fill="FFFFFF"/>
              <w:spacing w:line="360" w:lineRule="auto"/>
              <w:ind w:left="107"/>
              <w:jc w:val="both"/>
              <w:rPr>
                <w:bCs/>
                <w:color w:val="auto"/>
                <w:highlight w:val="none"/>
              </w:rPr>
            </w:pPr>
          </w:p>
        </w:tc>
        <w:tc>
          <w:tcPr>
            <w:tcW w:w="7933" w:type="dxa"/>
            <w:gridSpan w:val="10"/>
            <w:vAlign w:val="center"/>
          </w:tcPr>
          <w:p>
            <w:pPr>
              <w:pStyle w:val="59"/>
              <w:shd w:val="clear" w:color="auto" w:fill="FFFFFF"/>
              <w:spacing w:line="360" w:lineRule="auto"/>
              <w:jc w:val="both"/>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pPr>
              <w:pStyle w:val="59"/>
              <w:shd w:val="clear" w:color="auto" w:fill="FFFFFF"/>
              <w:spacing w:line="360" w:lineRule="auto"/>
              <w:ind w:left="107"/>
              <w:jc w:val="both"/>
              <w:rPr>
                <w:bCs/>
                <w:color w:val="auto"/>
                <w:highlight w:val="none"/>
              </w:rPr>
            </w:pPr>
            <w:r>
              <w:rPr>
                <w:rFonts w:hint="eastAsia"/>
                <w:bCs/>
                <w:color w:val="auto"/>
                <w:highlight w:val="none"/>
              </w:rPr>
              <w:t>2．</w:t>
            </w:r>
          </w:p>
          <w:p>
            <w:pPr>
              <w:pStyle w:val="59"/>
              <w:shd w:val="clear" w:color="auto" w:fill="FFFFFF"/>
              <w:spacing w:line="360" w:lineRule="auto"/>
              <w:ind w:left="107"/>
              <w:jc w:val="both"/>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pPr>
              <w:pStyle w:val="59"/>
              <w:shd w:val="clear" w:color="auto" w:fill="FFFFFF"/>
              <w:spacing w:before="0" w:beforeAutospacing="0" w:after="0" w:afterAutospacing="0" w:line="360" w:lineRule="auto"/>
              <w:jc w:val="both"/>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pPr>
              <w:pStyle w:val="59"/>
              <w:shd w:val="clear" w:color="auto" w:fill="FFFFFF"/>
              <w:spacing w:line="360" w:lineRule="auto"/>
              <w:ind w:right="-78" w:rightChars="-37"/>
              <w:jc w:val="both"/>
              <w:rPr>
                <w:bCs/>
                <w:color w:val="auto"/>
                <w:spacing w:val="16"/>
                <w:highlight w:val="none"/>
              </w:rPr>
            </w:pPr>
            <w:r>
              <w:rPr>
                <w:rFonts w:hint="eastAsia"/>
                <w:bCs/>
                <w:color w:val="auto"/>
                <w:spacing w:val="16"/>
                <w:highlight w:val="none"/>
              </w:rPr>
              <w:t>产品名称</w:t>
            </w:r>
          </w:p>
        </w:tc>
        <w:tc>
          <w:tcPr>
            <w:tcW w:w="1077" w:type="dxa"/>
            <w:vAlign w:val="center"/>
          </w:tcPr>
          <w:p>
            <w:pPr>
              <w:pStyle w:val="59"/>
              <w:shd w:val="clear" w:color="auto" w:fill="FFFFFF"/>
              <w:spacing w:before="0" w:beforeAutospacing="0" w:after="0" w:afterAutospacing="0" w:line="360" w:lineRule="auto"/>
              <w:jc w:val="both"/>
              <w:rPr>
                <w:bCs/>
                <w:color w:val="auto"/>
                <w:highlight w:val="none"/>
              </w:rPr>
            </w:pPr>
            <w:r>
              <w:rPr>
                <w:rFonts w:hint="eastAsia"/>
                <w:bCs/>
                <w:color w:val="auto"/>
                <w:spacing w:val="16"/>
                <w:highlight w:val="none"/>
              </w:rPr>
              <w:t>发证机关</w:t>
            </w:r>
          </w:p>
        </w:tc>
        <w:tc>
          <w:tcPr>
            <w:tcW w:w="1617" w:type="dxa"/>
            <w:gridSpan w:val="2"/>
            <w:vAlign w:val="center"/>
          </w:tcPr>
          <w:p>
            <w:pPr>
              <w:pStyle w:val="59"/>
              <w:shd w:val="clear" w:color="auto" w:fill="FFFFFF"/>
              <w:spacing w:line="360" w:lineRule="auto"/>
              <w:jc w:val="both"/>
              <w:rPr>
                <w:bCs/>
                <w:color w:val="auto"/>
                <w:highlight w:val="none"/>
              </w:rPr>
            </w:pPr>
            <w:r>
              <w:rPr>
                <w:rFonts w:hint="eastAsia"/>
                <w:bCs/>
                <w:color w:val="auto"/>
                <w:spacing w:val="27"/>
                <w:highlight w:val="none"/>
              </w:rPr>
              <w:t>编号</w:t>
            </w:r>
          </w:p>
        </w:tc>
        <w:tc>
          <w:tcPr>
            <w:tcW w:w="1618" w:type="dxa"/>
            <w:vAlign w:val="center"/>
          </w:tcPr>
          <w:p>
            <w:pPr>
              <w:pStyle w:val="59"/>
              <w:shd w:val="clear" w:color="auto" w:fill="FFFFFF"/>
              <w:spacing w:line="360" w:lineRule="auto"/>
              <w:jc w:val="both"/>
              <w:rPr>
                <w:bCs/>
                <w:color w:val="auto"/>
                <w:highlight w:val="none"/>
              </w:rPr>
            </w:pPr>
            <w:r>
              <w:rPr>
                <w:rFonts w:hint="eastAsia"/>
                <w:bCs/>
                <w:color w:val="auto"/>
                <w:spacing w:val="16"/>
                <w:highlight w:val="none"/>
              </w:rPr>
              <w:t>发证时间</w:t>
            </w:r>
          </w:p>
        </w:tc>
        <w:tc>
          <w:tcPr>
            <w:tcW w:w="933" w:type="dxa"/>
            <w:vAlign w:val="center"/>
          </w:tcPr>
          <w:p>
            <w:pPr>
              <w:pStyle w:val="59"/>
              <w:shd w:val="clear" w:color="auto" w:fill="FFFFFF"/>
              <w:spacing w:before="0" w:beforeAutospacing="0" w:after="0" w:afterAutospacing="0" w:line="360" w:lineRule="auto"/>
              <w:jc w:val="both"/>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pPr>
              <w:pStyle w:val="59"/>
              <w:shd w:val="clear" w:color="auto" w:fill="FFFFFF"/>
              <w:spacing w:line="360" w:lineRule="auto"/>
              <w:ind w:left="107"/>
              <w:jc w:val="both"/>
              <w:rPr>
                <w:bCs/>
                <w:color w:val="auto"/>
                <w:highlight w:val="none"/>
              </w:rPr>
            </w:pPr>
          </w:p>
        </w:tc>
        <w:tc>
          <w:tcPr>
            <w:tcW w:w="1355" w:type="dxa"/>
            <w:gridSpan w:val="2"/>
            <w:vMerge w:val="continue"/>
            <w:vAlign w:val="center"/>
          </w:tcPr>
          <w:p>
            <w:pPr>
              <w:pStyle w:val="59"/>
              <w:shd w:val="clear" w:color="auto" w:fill="FFFFFF"/>
              <w:spacing w:line="360" w:lineRule="auto"/>
              <w:jc w:val="both"/>
              <w:rPr>
                <w:bCs/>
                <w:color w:val="auto"/>
                <w:highlight w:val="none"/>
              </w:rPr>
            </w:pPr>
          </w:p>
        </w:tc>
        <w:tc>
          <w:tcPr>
            <w:tcW w:w="1333" w:type="dxa"/>
            <w:gridSpan w:val="3"/>
            <w:vAlign w:val="center"/>
          </w:tcPr>
          <w:p>
            <w:pPr>
              <w:pStyle w:val="59"/>
              <w:shd w:val="clear" w:color="auto" w:fill="FFFFFF"/>
              <w:spacing w:line="360" w:lineRule="auto"/>
              <w:jc w:val="both"/>
              <w:rPr>
                <w:bCs/>
                <w:color w:val="auto"/>
                <w:highlight w:val="none"/>
              </w:rPr>
            </w:pPr>
          </w:p>
        </w:tc>
        <w:tc>
          <w:tcPr>
            <w:tcW w:w="1077" w:type="dxa"/>
            <w:vAlign w:val="center"/>
          </w:tcPr>
          <w:p>
            <w:pPr>
              <w:pStyle w:val="59"/>
              <w:shd w:val="clear" w:color="auto" w:fill="FFFFFF"/>
              <w:spacing w:line="360" w:lineRule="auto"/>
              <w:jc w:val="both"/>
              <w:rPr>
                <w:bCs/>
                <w:color w:val="auto"/>
                <w:highlight w:val="none"/>
              </w:rPr>
            </w:pPr>
          </w:p>
        </w:tc>
        <w:tc>
          <w:tcPr>
            <w:tcW w:w="1617" w:type="dxa"/>
            <w:gridSpan w:val="2"/>
            <w:vAlign w:val="center"/>
          </w:tcPr>
          <w:p>
            <w:pPr>
              <w:pStyle w:val="59"/>
              <w:shd w:val="clear" w:color="auto" w:fill="FFFFFF"/>
              <w:spacing w:line="360" w:lineRule="auto"/>
              <w:jc w:val="both"/>
              <w:rPr>
                <w:bCs/>
                <w:color w:val="auto"/>
                <w:highlight w:val="none"/>
              </w:rPr>
            </w:pPr>
          </w:p>
        </w:tc>
        <w:tc>
          <w:tcPr>
            <w:tcW w:w="2551" w:type="dxa"/>
            <w:gridSpan w:val="2"/>
            <w:vAlign w:val="center"/>
          </w:tcPr>
          <w:p>
            <w:pPr>
              <w:pStyle w:val="59"/>
              <w:shd w:val="clear" w:color="auto" w:fill="FFFFFF"/>
              <w:spacing w:line="360" w:lineRule="auto"/>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pPr>
              <w:pStyle w:val="59"/>
              <w:shd w:val="clear" w:color="auto" w:fill="FFFFFF"/>
              <w:spacing w:line="360" w:lineRule="auto"/>
              <w:ind w:left="107"/>
              <w:jc w:val="both"/>
              <w:rPr>
                <w:bCs/>
                <w:color w:val="auto"/>
                <w:spacing w:val="16"/>
                <w:highlight w:val="none"/>
              </w:rPr>
            </w:pPr>
          </w:p>
        </w:tc>
        <w:tc>
          <w:tcPr>
            <w:tcW w:w="1355" w:type="dxa"/>
            <w:gridSpan w:val="2"/>
            <w:vAlign w:val="center"/>
          </w:tcPr>
          <w:p>
            <w:pPr>
              <w:pStyle w:val="59"/>
              <w:shd w:val="clear" w:color="auto" w:fill="FFFFFF"/>
              <w:spacing w:before="0" w:beforeAutospacing="0" w:after="0" w:afterAutospacing="0" w:line="360" w:lineRule="auto"/>
              <w:ind w:right="-107" w:rightChars="-51"/>
              <w:jc w:val="both"/>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pPr>
              <w:pStyle w:val="59"/>
              <w:shd w:val="clear" w:color="auto" w:fill="FFFFFF"/>
              <w:spacing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pPr>
              <w:pStyle w:val="59"/>
              <w:shd w:val="clear" w:color="auto" w:fill="FFFFFF"/>
              <w:spacing w:line="360" w:lineRule="auto"/>
              <w:ind w:left="107"/>
              <w:jc w:val="both"/>
              <w:rPr>
                <w:bCs/>
                <w:color w:val="auto"/>
                <w:spacing w:val="27"/>
                <w:highlight w:val="none"/>
              </w:rPr>
            </w:pPr>
          </w:p>
        </w:tc>
        <w:tc>
          <w:tcPr>
            <w:tcW w:w="1355" w:type="dxa"/>
            <w:gridSpan w:val="2"/>
            <w:vAlign w:val="center"/>
          </w:tcPr>
          <w:p>
            <w:pPr>
              <w:pStyle w:val="59"/>
              <w:shd w:val="clear" w:color="auto" w:fill="FFFFFF"/>
              <w:spacing w:line="360" w:lineRule="auto"/>
              <w:jc w:val="both"/>
              <w:rPr>
                <w:bCs/>
                <w:color w:val="auto"/>
                <w:spacing w:val="16"/>
                <w:highlight w:val="none"/>
              </w:rPr>
            </w:pPr>
            <w:r>
              <w:rPr>
                <w:rFonts w:hint="eastAsia"/>
                <w:bCs/>
                <w:color w:val="auto"/>
                <w:spacing w:val="10"/>
                <w:highlight w:val="none"/>
              </w:rPr>
              <w:t>企业获得专利情况</w:t>
            </w:r>
          </w:p>
        </w:tc>
        <w:tc>
          <w:tcPr>
            <w:tcW w:w="6578" w:type="dxa"/>
            <w:gridSpan w:val="8"/>
            <w:vAlign w:val="center"/>
          </w:tcPr>
          <w:p>
            <w:pPr>
              <w:pStyle w:val="59"/>
              <w:shd w:val="clear" w:color="auto" w:fill="FFFFFF"/>
              <w:spacing w:line="360" w:lineRule="auto"/>
              <w:jc w:val="both"/>
              <w:rPr>
                <w:bCs/>
                <w:color w:val="auto"/>
                <w:spacing w:val="16"/>
                <w:highlight w:val="none"/>
              </w:rPr>
            </w:pPr>
          </w:p>
        </w:tc>
      </w:tr>
    </w:tbl>
    <w:p>
      <w:pPr>
        <w:spacing w:line="360" w:lineRule="auto"/>
        <w:rPr>
          <w:rFonts w:ascii="宋体" w:hAnsi="宋体" w:cs="宋体"/>
          <w:color w:val="auto"/>
          <w:sz w:val="24"/>
          <w:szCs w:val="32"/>
          <w:highlight w:val="none"/>
        </w:rPr>
      </w:pP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pPr>
        <w:spacing w:line="360" w:lineRule="auto"/>
        <w:rPr>
          <w:rFonts w:ascii="宋体" w:hAnsi="宋体" w:cs="宋体"/>
          <w:color w:val="auto"/>
          <w:sz w:val="24"/>
          <w:szCs w:val="32"/>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color w:val="auto"/>
          <w:sz w:val="24"/>
          <w:szCs w:val="32"/>
          <w:highlight w:val="none"/>
        </w:rPr>
      </w:pPr>
    </w:p>
    <w:p>
      <w:pPr>
        <w:spacing w:line="360" w:lineRule="auto"/>
        <w:rPr>
          <w:rFonts w:ascii="宋体" w:hAnsi="宋体" w:cs="宋体"/>
          <w:b/>
          <w:color w:val="auto"/>
          <w:sz w:val="28"/>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1</w:t>
      </w: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项目实施人员一览表（标段）</w:t>
      </w:r>
    </w:p>
    <w:p>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pPr>
              <w:snapToGrid w:val="0"/>
              <w:spacing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7"/>
              <w:snapToGrid w:val="0"/>
              <w:spacing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7"/>
              <w:snapToGrid w:val="0"/>
              <w:spacing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7"/>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hAnsi="宋体" w:cs="宋体"/>
                <w:b/>
                <w:color w:val="auto"/>
                <w:kern w:val="44"/>
                <w:sz w:val="24"/>
                <w:szCs w:val="20"/>
                <w:highlight w:val="none"/>
              </w:rPr>
            </w:pPr>
          </w:p>
        </w:tc>
      </w:tr>
    </w:tbl>
    <w:p>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3.出具上述人员在本单位服务的外部证明，如：投标截止日之前六个月以内的代缴个税税单</w:t>
      </w:r>
      <w:r>
        <w:rPr>
          <w:rFonts w:hint="eastAsia" w:ascii="宋体" w:hAnsi="宋体" w:cs="宋体"/>
          <w:color w:val="auto"/>
          <w:sz w:val="24"/>
          <w:szCs w:val="32"/>
          <w:highlight w:val="none"/>
          <w:lang w:val="en-US" w:eastAsia="zh-CN"/>
        </w:rPr>
        <w:t>或</w:t>
      </w:r>
      <w:r>
        <w:rPr>
          <w:rFonts w:hint="eastAsia" w:ascii="宋体" w:hAnsi="宋体" w:cs="宋体"/>
          <w:color w:val="auto"/>
          <w:sz w:val="24"/>
          <w:szCs w:val="32"/>
          <w:highlight w:val="none"/>
        </w:rPr>
        <w:t>参加社会保险的《投保单》或《社会保险参保人员证明》等。</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2</w:t>
      </w:r>
    </w:p>
    <w:p>
      <w:pPr>
        <w:spacing w:beforeLines="50"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tcBorders>
            <w:vAlign w:val="center"/>
          </w:tcPr>
          <w:p>
            <w:pPr>
              <w:jc w:val="center"/>
              <w:rPr>
                <w:rFonts w:ascii="宋体" w:hAnsi="宋体" w:cs="宋体"/>
                <w:b/>
                <w:bCs/>
                <w:color w:val="auto"/>
                <w:sz w:val="24"/>
                <w:highlight w:val="none"/>
                <w:lang w:val="zh-CN"/>
              </w:rPr>
            </w:pPr>
          </w:p>
        </w:tc>
        <w:tc>
          <w:tcPr>
            <w:tcW w:w="3685" w:type="dxa"/>
            <w:tcBorders>
              <w:top w:val="single" w:color="auto" w:sz="12" w:space="0"/>
              <w:righ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vAlign w:val="center"/>
          </w:tcPr>
          <w:p>
            <w:pPr>
              <w:jc w:val="center"/>
              <w:rPr>
                <w:rFonts w:ascii="宋体" w:hAnsi="宋体" w:cs="宋体"/>
                <w:b/>
                <w:bCs/>
                <w:color w:val="auto"/>
                <w:sz w:val="24"/>
                <w:highlight w:val="none"/>
                <w:lang w:val="zh-CN"/>
              </w:rPr>
            </w:pPr>
          </w:p>
        </w:tc>
        <w:tc>
          <w:tcPr>
            <w:tcW w:w="3685" w:type="dxa"/>
            <w:vMerge w:val="restart"/>
            <w:tcBorders>
              <w:right w:val="single" w:color="auto" w:sz="12"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pP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vAlign w:val="center"/>
          </w:tcPr>
          <w:p>
            <w:pP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vAlign w:val="center"/>
          </w:tcPr>
          <w:p>
            <w:pP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vAlign w:val="center"/>
          </w:tcPr>
          <w:p>
            <w:pP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vAlign w:val="center"/>
          </w:tcPr>
          <w:p>
            <w:pP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vAlign w:val="center"/>
          </w:tcPr>
          <w:p>
            <w:pP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vAlign w:val="center"/>
          </w:tcPr>
          <w:p>
            <w:pP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jc w:val="center"/>
              <w:rPr>
                <w:rFonts w:ascii="宋体" w:hAnsi="宋体" w:cs="宋体"/>
                <w:b/>
                <w:bCs/>
                <w:color w:val="auto"/>
                <w:sz w:val="24"/>
                <w:highlight w:val="none"/>
                <w:lang w:val="zh-CN"/>
              </w:rPr>
            </w:pPr>
          </w:p>
        </w:tc>
      </w:tr>
    </w:tbl>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480" w:lineRule="exact"/>
        <w:jc w:val="left"/>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3</w:t>
      </w:r>
    </w:p>
    <w:p>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供货清单（第标）</w:t>
      </w:r>
    </w:p>
    <w:p>
      <w:pP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8"/>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ascii="宋体" w:hAnsi="宋体" w:cs="宋体"/>
                <w:color w:val="auto"/>
                <w:sz w:val="24"/>
                <w:highlight w:val="none"/>
              </w:rPr>
            </w:pPr>
          </w:p>
        </w:tc>
        <w:tc>
          <w:tcPr>
            <w:tcW w:w="2169" w:type="dxa"/>
            <w:vAlign w:val="center"/>
          </w:tcPr>
          <w:p>
            <w:pPr>
              <w:jc w:val="center"/>
              <w:rPr>
                <w:rFonts w:ascii="宋体" w:hAnsi="宋体" w:cs="宋体"/>
                <w:color w:val="auto"/>
                <w:sz w:val="24"/>
                <w:highlight w:val="none"/>
              </w:rPr>
            </w:pPr>
          </w:p>
        </w:tc>
        <w:tc>
          <w:tcPr>
            <w:tcW w:w="1134" w:type="dxa"/>
            <w:vAlign w:val="center"/>
          </w:tcPr>
          <w:p>
            <w:pPr>
              <w:jc w:val="center"/>
              <w:rPr>
                <w:rFonts w:ascii="宋体" w:hAnsi="宋体" w:cs="宋体"/>
                <w:color w:val="auto"/>
                <w:sz w:val="24"/>
                <w:highlight w:val="none"/>
              </w:rPr>
            </w:pPr>
          </w:p>
        </w:tc>
        <w:tc>
          <w:tcPr>
            <w:tcW w:w="1842" w:type="dxa"/>
            <w:vAlign w:val="center"/>
          </w:tcPr>
          <w:p>
            <w:pPr>
              <w:jc w:val="center"/>
              <w:rPr>
                <w:rFonts w:ascii="宋体" w:hAnsi="宋体" w:cs="宋体"/>
                <w:color w:val="auto"/>
                <w:sz w:val="24"/>
                <w:highlight w:val="none"/>
              </w:rPr>
            </w:pPr>
          </w:p>
        </w:tc>
        <w:tc>
          <w:tcPr>
            <w:tcW w:w="993" w:type="dxa"/>
            <w:vAlign w:val="center"/>
          </w:tcPr>
          <w:p>
            <w:pPr>
              <w:jc w:val="center"/>
              <w:rPr>
                <w:rFonts w:ascii="宋体" w:hAnsi="宋体" w:cs="宋体"/>
                <w:color w:val="auto"/>
                <w:sz w:val="24"/>
                <w:highlight w:val="none"/>
              </w:rPr>
            </w:pPr>
          </w:p>
        </w:tc>
        <w:tc>
          <w:tcPr>
            <w:tcW w:w="1559" w:type="dxa"/>
            <w:vAlign w:val="center"/>
          </w:tcPr>
          <w:p>
            <w:pPr>
              <w:jc w:val="center"/>
              <w:rPr>
                <w:rFonts w:ascii="宋体" w:hAnsi="宋体" w:cs="宋体"/>
                <w:color w:val="auto"/>
                <w:sz w:val="24"/>
                <w:highlight w:val="none"/>
              </w:rPr>
            </w:pPr>
          </w:p>
        </w:tc>
      </w:tr>
    </w:tbl>
    <w:p>
      <w:pPr>
        <w:spacing w:line="360" w:lineRule="auto"/>
        <w:rPr>
          <w:rFonts w:ascii="宋体" w:hAnsi="宋体" w:cs="宋体"/>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1.本表中的名称、数量应与报价明细表中相对应的报价名称、数量一致。</w:t>
      </w:r>
    </w:p>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4</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pPr>
        <w:spacing w:line="360" w:lineRule="auto"/>
        <w:rPr>
          <w:rFonts w:ascii="宋体" w:hAnsi="宋体" w:cs="宋体"/>
          <w:color w:val="auto"/>
          <w:sz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spacing w:line="360" w:lineRule="auto"/>
              <w:ind w:left="13" w:leftChars="6" w:firstLine="482" w:firstLineChars="200"/>
              <w:rPr>
                <w:rFonts w:ascii="宋体" w:hAnsi="宋体" w:cs="宋体"/>
                <w:b/>
                <w:color w:val="auto"/>
                <w:sz w:val="24"/>
                <w:highlight w:val="none"/>
              </w:rPr>
            </w:pPr>
            <w:r>
              <w:rPr>
                <w:rFonts w:hint="eastAsia" w:ascii="宋体" w:hAnsi="宋体" w:cs="宋体"/>
                <w:b/>
                <w:color w:val="auto"/>
                <w:sz w:val="24"/>
                <w:highlight w:val="none"/>
              </w:rPr>
              <w:t>名称</w:t>
            </w:r>
          </w:p>
        </w:tc>
        <w:tc>
          <w:tcPr>
            <w:tcW w:w="1449" w:type="dxa"/>
            <w:vAlign w:val="center"/>
          </w:tcPr>
          <w:p>
            <w:pPr>
              <w:spacing w:line="360" w:lineRule="auto"/>
              <w:ind w:left="52"/>
              <w:rPr>
                <w:rFonts w:ascii="宋体" w:hAnsi="宋体" w:cs="宋体"/>
                <w:b/>
                <w:color w:val="auto"/>
                <w:sz w:val="24"/>
                <w:highlight w:val="none"/>
              </w:rPr>
            </w:pPr>
            <w:r>
              <w:rPr>
                <w:rFonts w:hint="eastAsia" w:ascii="宋体" w:hAnsi="宋体" w:cs="宋体"/>
                <w:b/>
                <w:color w:val="auto"/>
                <w:sz w:val="24"/>
                <w:highlight w:val="none"/>
              </w:rPr>
              <w:t>规格型号</w:t>
            </w:r>
          </w:p>
        </w:tc>
        <w:tc>
          <w:tcPr>
            <w:tcW w:w="1560" w:type="dxa"/>
            <w:vAlign w:val="center"/>
          </w:tcPr>
          <w:p>
            <w:pPr>
              <w:spacing w:line="360" w:lineRule="auto"/>
              <w:ind w:left="152"/>
              <w:rPr>
                <w:rFonts w:ascii="宋体" w:hAnsi="宋体" w:cs="宋体"/>
                <w:b/>
                <w:color w:val="auto"/>
                <w:sz w:val="24"/>
                <w:highlight w:val="none"/>
              </w:rPr>
            </w:pPr>
            <w:r>
              <w:rPr>
                <w:rFonts w:hint="eastAsia" w:ascii="宋体" w:hAnsi="宋体" w:cs="宋体"/>
                <w:b/>
                <w:color w:val="auto"/>
                <w:sz w:val="24"/>
                <w:highlight w:val="none"/>
              </w:rPr>
              <w:t>招标参数</w:t>
            </w:r>
          </w:p>
        </w:tc>
        <w:tc>
          <w:tcPr>
            <w:tcW w:w="1401" w:type="dxa"/>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投标参数</w:t>
            </w:r>
          </w:p>
        </w:tc>
        <w:tc>
          <w:tcPr>
            <w:tcW w:w="1365" w:type="dxa"/>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s="宋体"/>
                <w:color w:val="auto"/>
                <w:sz w:val="24"/>
                <w:highlight w:val="none"/>
              </w:rPr>
            </w:pPr>
          </w:p>
        </w:tc>
        <w:tc>
          <w:tcPr>
            <w:tcW w:w="1785" w:type="dxa"/>
            <w:vAlign w:val="center"/>
          </w:tcPr>
          <w:p>
            <w:pPr>
              <w:spacing w:line="360" w:lineRule="auto"/>
              <w:rPr>
                <w:rFonts w:ascii="宋体" w:hAnsi="宋体" w:cs="宋体"/>
                <w:color w:val="auto"/>
                <w:sz w:val="24"/>
                <w:highlight w:val="none"/>
              </w:rPr>
            </w:pPr>
          </w:p>
        </w:tc>
        <w:tc>
          <w:tcPr>
            <w:tcW w:w="1449" w:type="dxa"/>
            <w:vAlign w:val="center"/>
          </w:tcPr>
          <w:p>
            <w:pPr>
              <w:spacing w:line="360" w:lineRule="auto"/>
              <w:rPr>
                <w:rFonts w:ascii="宋体" w:hAnsi="宋体" w:cs="宋体"/>
                <w:color w:val="auto"/>
                <w:sz w:val="24"/>
                <w:highlight w:val="none"/>
              </w:rPr>
            </w:pPr>
          </w:p>
        </w:tc>
        <w:tc>
          <w:tcPr>
            <w:tcW w:w="1560" w:type="dxa"/>
            <w:vAlign w:val="center"/>
          </w:tcPr>
          <w:p>
            <w:pPr>
              <w:spacing w:line="360" w:lineRule="auto"/>
              <w:rPr>
                <w:rFonts w:ascii="宋体" w:hAnsi="宋体" w:cs="宋体"/>
                <w:color w:val="auto"/>
                <w:sz w:val="24"/>
                <w:highlight w:val="none"/>
              </w:rPr>
            </w:pPr>
          </w:p>
        </w:tc>
        <w:tc>
          <w:tcPr>
            <w:tcW w:w="1401" w:type="dxa"/>
            <w:vAlign w:val="center"/>
          </w:tcPr>
          <w:p>
            <w:pPr>
              <w:spacing w:line="360" w:lineRule="auto"/>
              <w:rPr>
                <w:rFonts w:ascii="宋体" w:hAnsi="宋体" w:cs="宋体"/>
                <w:color w:val="auto"/>
                <w:sz w:val="24"/>
                <w:highlight w:val="none"/>
              </w:rPr>
            </w:pPr>
          </w:p>
        </w:tc>
        <w:tc>
          <w:tcPr>
            <w:tcW w:w="1365" w:type="dxa"/>
            <w:vAlign w:val="center"/>
          </w:tcPr>
          <w:p>
            <w:pPr>
              <w:spacing w:line="360" w:lineRule="auto"/>
              <w:rPr>
                <w:rFonts w:ascii="宋体" w:hAnsi="宋体" w:cs="宋体"/>
                <w:color w:val="auto"/>
                <w:sz w:val="24"/>
                <w:highlight w:val="none"/>
              </w:rPr>
            </w:pPr>
          </w:p>
        </w:tc>
      </w:tr>
    </w:tbl>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1.本表的名称须与《报价明细表》一致。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2.本表参照本招标文件第四章“公开招标需求”内容填制，投标人应根据投标设备的性能指标、服务指标，对照招标文件要求在“偏离情况”栏注明“正偏离”、“负偏离”或“无偏离”。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jc w:val="left"/>
        <w:rPr>
          <w:rFonts w:ascii="宋体" w:hAnsi="宋体" w:cs="宋体"/>
          <w:b/>
          <w:bCs/>
          <w:color w:val="auto"/>
          <w:sz w:val="28"/>
          <w:szCs w:val="36"/>
          <w:highlight w:val="none"/>
          <w:lang w:val="zh-CN"/>
        </w:rPr>
      </w:pPr>
    </w:p>
    <w:p>
      <w:pP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5</w:t>
      </w: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pPr>
        <w:spacing w:line="360" w:lineRule="auto"/>
        <w:jc w:val="left"/>
        <w:rPr>
          <w:rFonts w:ascii="宋体" w:hAnsi="宋体" w:cs="宋体"/>
          <w:b/>
          <w:bCs/>
          <w:color w:val="auto"/>
          <w:sz w:val="24"/>
          <w:szCs w:val="32"/>
          <w:highlight w:val="none"/>
          <w:lang w:val="zh-CN"/>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64"/>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pPr>
              <w:pStyle w:val="64"/>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pPr>
              <w:pStyle w:val="64"/>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pPr>
              <w:pStyle w:val="64"/>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4"/>
              <w:spacing w:line="360" w:lineRule="auto"/>
              <w:jc w:val="center"/>
              <w:rPr>
                <w:rFonts w:ascii="宋体" w:hAnsi="宋体" w:cs="宋体"/>
                <w:color w:val="auto"/>
                <w:szCs w:val="21"/>
                <w:highlight w:val="none"/>
              </w:rPr>
            </w:pPr>
          </w:p>
        </w:tc>
        <w:tc>
          <w:tcPr>
            <w:tcW w:w="2258" w:type="dxa"/>
          </w:tcPr>
          <w:p>
            <w:pPr>
              <w:pStyle w:val="64"/>
              <w:spacing w:line="360" w:lineRule="auto"/>
              <w:jc w:val="center"/>
              <w:rPr>
                <w:rFonts w:ascii="宋体" w:hAnsi="宋体" w:cs="宋体"/>
                <w:color w:val="auto"/>
                <w:szCs w:val="21"/>
                <w:highlight w:val="none"/>
              </w:rPr>
            </w:pPr>
          </w:p>
        </w:tc>
        <w:tc>
          <w:tcPr>
            <w:tcW w:w="2260" w:type="dxa"/>
          </w:tcPr>
          <w:p>
            <w:pPr>
              <w:pStyle w:val="64"/>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4"/>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4"/>
              <w:spacing w:line="360" w:lineRule="auto"/>
              <w:jc w:val="center"/>
              <w:rPr>
                <w:rFonts w:ascii="宋体" w:hAnsi="宋体" w:cs="宋体"/>
                <w:color w:val="auto"/>
                <w:szCs w:val="21"/>
                <w:highlight w:val="none"/>
              </w:rPr>
            </w:pPr>
          </w:p>
        </w:tc>
        <w:tc>
          <w:tcPr>
            <w:tcW w:w="2258" w:type="dxa"/>
          </w:tcPr>
          <w:p>
            <w:pPr>
              <w:pStyle w:val="64"/>
              <w:spacing w:line="360" w:lineRule="auto"/>
              <w:jc w:val="center"/>
              <w:rPr>
                <w:rFonts w:ascii="宋体" w:hAnsi="宋体" w:cs="宋体"/>
                <w:color w:val="auto"/>
                <w:szCs w:val="21"/>
                <w:highlight w:val="none"/>
              </w:rPr>
            </w:pPr>
          </w:p>
        </w:tc>
        <w:tc>
          <w:tcPr>
            <w:tcW w:w="2260" w:type="dxa"/>
          </w:tcPr>
          <w:p>
            <w:pPr>
              <w:pStyle w:val="64"/>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4"/>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4"/>
              <w:spacing w:line="360" w:lineRule="auto"/>
              <w:jc w:val="center"/>
              <w:rPr>
                <w:rFonts w:ascii="宋体" w:hAnsi="宋体" w:cs="宋体"/>
                <w:color w:val="auto"/>
                <w:szCs w:val="21"/>
                <w:highlight w:val="none"/>
              </w:rPr>
            </w:pPr>
          </w:p>
        </w:tc>
        <w:tc>
          <w:tcPr>
            <w:tcW w:w="2258" w:type="dxa"/>
          </w:tcPr>
          <w:p>
            <w:pPr>
              <w:pStyle w:val="64"/>
              <w:spacing w:line="360" w:lineRule="auto"/>
              <w:jc w:val="center"/>
              <w:rPr>
                <w:rFonts w:ascii="宋体" w:hAnsi="宋体" w:cs="宋体"/>
                <w:color w:val="auto"/>
                <w:szCs w:val="21"/>
                <w:highlight w:val="none"/>
              </w:rPr>
            </w:pPr>
          </w:p>
        </w:tc>
        <w:tc>
          <w:tcPr>
            <w:tcW w:w="2260" w:type="dxa"/>
          </w:tcPr>
          <w:p>
            <w:pPr>
              <w:pStyle w:val="64"/>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4"/>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4"/>
              <w:spacing w:line="360" w:lineRule="auto"/>
              <w:jc w:val="center"/>
              <w:rPr>
                <w:rFonts w:ascii="宋体" w:hAnsi="宋体" w:cs="宋体"/>
                <w:color w:val="auto"/>
                <w:szCs w:val="21"/>
                <w:highlight w:val="none"/>
              </w:rPr>
            </w:pPr>
          </w:p>
        </w:tc>
        <w:tc>
          <w:tcPr>
            <w:tcW w:w="2258" w:type="dxa"/>
          </w:tcPr>
          <w:p>
            <w:pPr>
              <w:pStyle w:val="64"/>
              <w:spacing w:line="360" w:lineRule="auto"/>
              <w:jc w:val="center"/>
              <w:rPr>
                <w:rFonts w:ascii="宋体" w:hAnsi="宋体" w:cs="宋体"/>
                <w:color w:val="auto"/>
                <w:szCs w:val="21"/>
                <w:highlight w:val="none"/>
              </w:rPr>
            </w:pPr>
          </w:p>
        </w:tc>
        <w:tc>
          <w:tcPr>
            <w:tcW w:w="2260" w:type="dxa"/>
          </w:tcPr>
          <w:p>
            <w:pPr>
              <w:pStyle w:val="64"/>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4"/>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4"/>
              <w:spacing w:line="360" w:lineRule="auto"/>
              <w:jc w:val="center"/>
              <w:rPr>
                <w:rFonts w:ascii="宋体" w:hAnsi="宋体" w:cs="宋体"/>
                <w:color w:val="auto"/>
                <w:szCs w:val="21"/>
                <w:highlight w:val="none"/>
              </w:rPr>
            </w:pPr>
          </w:p>
        </w:tc>
        <w:tc>
          <w:tcPr>
            <w:tcW w:w="2258" w:type="dxa"/>
          </w:tcPr>
          <w:p>
            <w:pPr>
              <w:pStyle w:val="64"/>
              <w:spacing w:line="360" w:lineRule="auto"/>
              <w:jc w:val="center"/>
              <w:rPr>
                <w:rFonts w:ascii="宋体" w:hAnsi="宋体" w:cs="宋体"/>
                <w:color w:val="auto"/>
                <w:szCs w:val="21"/>
                <w:highlight w:val="none"/>
              </w:rPr>
            </w:pPr>
          </w:p>
        </w:tc>
        <w:tc>
          <w:tcPr>
            <w:tcW w:w="2260" w:type="dxa"/>
          </w:tcPr>
          <w:p>
            <w:pPr>
              <w:pStyle w:val="64"/>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4"/>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4"/>
              <w:spacing w:line="360" w:lineRule="auto"/>
              <w:jc w:val="center"/>
              <w:rPr>
                <w:rFonts w:ascii="宋体" w:hAnsi="宋体" w:cs="宋体"/>
                <w:color w:val="auto"/>
                <w:szCs w:val="21"/>
                <w:highlight w:val="none"/>
              </w:rPr>
            </w:pPr>
          </w:p>
        </w:tc>
        <w:tc>
          <w:tcPr>
            <w:tcW w:w="2258" w:type="dxa"/>
          </w:tcPr>
          <w:p>
            <w:pPr>
              <w:pStyle w:val="64"/>
              <w:spacing w:line="360" w:lineRule="auto"/>
              <w:jc w:val="center"/>
              <w:rPr>
                <w:rFonts w:ascii="宋体" w:hAnsi="宋体" w:cs="宋体"/>
                <w:color w:val="auto"/>
                <w:szCs w:val="21"/>
                <w:highlight w:val="none"/>
              </w:rPr>
            </w:pPr>
          </w:p>
        </w:tc>
        <w:tc>
          <w:tcPr>
            <w:tcW w:w="2260" w:type="dxa"/>
          </w:tcPr>
          <w:p>
            <w:pPr>
              <w:pStyle w:val="64"/>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64"/>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64"/>
              <w:spacing w:line="360" w:lineRule="auto"/>
              <w:jc w:val="center"/>
              <w:rPr>
                <w:rFonts w:ascii="宋体" w:hAnsi="宋体" w:cs="宋体"/>
                <w:color w:val="auto"/>
                <w:szCs w:val="21"/>
                <w:highlight w:val="none"/>
              </w:rPr>
            </w:pPr>
          </w:p>
        </w:tc>
        <w:tc>
          <w:tcPr>
            <w:tcW w:w="2258" w:type="dxa"/>
            <w:tcBorders>
              <w:bottom w:val="double" w:color="auto" w:sz="4" w:space="0"/>
            </w:tcBorders>
          </w:tcPr>
          <w:p>
            <w:pPr>
              <w:pStyle w:val="64"/>
              <w:spacing w:line="360" w:lineRule="auto"/>
              <w:jc w:val="center"/>
              <w:rPr>
                <w:rFonts w:ascii="宋体" w:hAnsi="宋体" w:cs="宋体"/>
                <w:color w:val="auto"/>
                <w:szCs w:val="21"/>
                <w:highlight w:val="none"/>
              </w:rPr>
            </w:pPr>
          </w:p>
        </w:tc>
        <w:tc>
          <w:tcPr>
            <w:tcW w:w="2260" w:type="dxa"/>
            <w:tcBorders>
              <w:bottom w:val="double" w:color="auto" w:sz="4" w:space="0"/>
            </w:tcBorders>
          </w:tcPr>
          <w:p>
            <w:pPr>
              <w:pStyle w:val="64"/>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pPr>
              <w:pStyle w:val="64"/>
              <w:spacing w:line="360" w:lineRule="auto"/>
              <w:jc w:val="center"/>
              <w:rPr>
                <w:rFonts w:ascii="宋体" w:hAnsi="宋体" w:cs="宋体"/>
                <w:color w:val="auto"/>
                <w:szCs w:val="21"/>
                <w:highlight w:val="none"/>
              </w:rPr>
            </w:pPr>
          </w:p>
        </w:tc>
      </w:tr>
    </w:tbl>
    <w:p>
      <w:pPr>
        <w:spacing w:line="360" w:lineRule="auto"/>
        <w:jc w:val="left"/>
        <w:rPr>
          <w:rFonts w:ascii="宋体" w:hAnsi="宋体" w:cs="宋体"/>
          <w:b/>
          <w:bCs/>
          <w:color w:val="auto"/>
          <w:sz w:val="24"/>
          <w:szCs w:val="32"/>
          <w:highlight w:val="none"/>
          <w:lang w:val="zh-CN"/>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pPr>
        <w:spacing w:line="360" w:lineRule="auto"/>
        <w:jc w:val="left"/>
        <w:rPr>
          <w:rFonts w:ascii="宋体" w:hAnsi="宋体" w:cs="宋体"/>
          <w:b/>
          <w:bCs/>
          <w:color w:val="auto"/>
          <w:sz w:val="24"/>
          <w:szCs w:val="32"/>
          <w:highlight w:val="none"/>
          <w:lang w:val="zh-CN"/>
        </w:rPr>
      </w:pPr>
    </w:p>
    <w:p>
      <w:pPr>
        <w:spacing w:line="360" w:lineRule="auto"/>
        <w:jc w:val="left"/>
        <w:rPr>
          <w:rFonts w:ascii="宋体" w:hAnsi="宋体" w:cs="宋体"/>
          <w:b/>
          <w:bCs/>
          <w:color w:val="auto"/>
          <w:sz w:val="24"/>
          <w:szCs w:val="32"/>
          <w:highlight w:val="none"/>
          <w:lang w:val="zh-CN"/>
        </w:rPr>
      </w:pPr>
    </w:p>
    <w:p>
      <w:pPr>
        <w:spacing w:line="360" w:lineRule="auto"/>
        <w:jc w:val="left"/>
        <w:rPr>
          <w:rFonts w:ascii="宋体" w:hAnsi="宋体" w:cs="宋体"/>
          <w:b/>
          <w:bCs/>
          <w:color w:val="auto"/>
          <w:sz w:val="24"/>
          <w:szCs w:val="32"/>
          <w:highlight w:val="none"/>
          <w:lang w:val="zh-CN"/>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lang w:val="en-US" w:eastAsia="zh-CN"/>
        </w:rPr>
        <w:t>6</w:t>
      </w: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pPr>
        <w:spacing w:line="360" w:lineRule="auto"/>
        <w:rPr>
          <w:rFonts w:ascii="宋体" w:hAnsi="宋体" w:cs="宋体"/>
          <w:b/>
          <w:bCs/>
          <w:color w:val="auto"/>
          <w:sz w:val="24"/>
          <w:highlight w:val="none"/>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8"/>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8"/>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8"/>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8"/>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8"/>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8"/>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8"/>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pacing w:line="360" w:lineRule="auto"/>
              <w:rPr>
                <w:rFonts w:ascii="宋体" w:hAnsi="宋体" w:cs="宋体"/>
                <w:color w:val="auto"/>
                <w:sz w:val="24"/>
                <w:highlight w:val="none"/>
              </w:rPr>
            </w:pPr>
          </w:p>
        </w:tc>
      </w:tr>
    </w:tbl>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lang w:val="en-US" w:eastAsia="zh-CN"/>
        </w:rPr>
        <w:t>7</w:t>
      </w: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pPr>
        <w:spacing w:line="360" w:lineRule="auto"/>
        <w:rPr>
          <w:rFonts w:ascii="宋体" w:hAnsi="宋体" w:cs="宋体"/>
          <w:b/>
          <w:color w:val="auto"/>
          <w:sz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rPr>
                <w:rFonts w:ascii="宋体" w:hAnsi="宋体" w:cs="宋体"/>
                <w:b/>
                <w:color w:val="auto"/>
                <w:sz w:val="24"/>
                <w:highlight w:val="none"/>
              </w:rPr>
            </w:pPr>
            <w:r>
              <w:rPr>
                <w:rFonts w:hint="eastAsia" w:ascii="宋体" w:hAnsi="宋体" w:cs="宋体"/>
                <w:b/>
                <w:color w:val="auto"/>
                <w:sz w:val="24"/>
                <w:highlight w:val="none"/>
              </w:rPr>
              <w:t>内容</w:t>
            </w:r>
          </w:p>
        </w:tc>
        <w:tc>
          <w:tcPr>
            <w:tcW w:w="1785" w:type="dxa"/>
            <w:vAlign w:val="center"/>
          </w:tcPr>
          <w:p>
            <w:pP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pP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交货和服务</w:t>
            </w:r>
          </w:p>
          <w:p>
            <w:pPr>
              <w:snapToGrid w:val="0"/>
              <w:rPr>
                <w:rFonts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hAns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hAns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bl>
    <w:p>
      <w:pPr>
        <w:spacing w:line="360" w:lineRule="auto"/>
        <w:rPr>
          <w:rFonts w:ascii="宋体" w:hAnsi="宋体" w:cs="宋体"/>
          <w:b/>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tabs>
          <w:tab w:val="left" w:pos="2460"/>
        </w:tabs>
        <w:spacing w:line="360" w:lineRule="auto"/>
        <w:rPr>
          <w:rFonts w:hint="eastAsia" w:ascii="宋体" w:hAnsi="宋体" w:eastAsia="宋体" w:cs="宋体"/>
          <w:b/>
          <w:color w:val="auto"/>
          <w:sz w:val="28"/>
          <w:highlight w:val="none"/>
          <w:lang w:val="en-US"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8</w:t>
      </w:r>
    </w:p>
    <w:p>
      <w:pP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pPr>
        <w:spacing w:line="360" w:lineRule="auto"/>
        <w:rPr>
          <w:rFonts w:ascii="宋体" w:hAnsi="宋体" w:cs="宋体"/>
          <w:b/>
          <w:color w:val="auto"/>
          <w:sz w:val="24"/>
          <w:highlight w:val="none"/>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2"/>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pPr>
              <w:pStyle w:val="52"/>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pPr>
              <w:pStyle w:val="52"/>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pPr>
              <w:pStyle w:val="52"/>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2"/>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pPr>
              <w:pStyle w:val="52"/>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pPr>
              <w:pStyle w:val="52"/>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pPr>
              <w:pStyle w:val="52"/>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2"/>
              <w:widowControl/>
              <w:spacing w:line="360" w:lineRule="auto"/>
              <w:jc w:val="left"/>
              <w:rPr>
                <w:rFonts w:ascii="宋体" w:hAnsi="宋体" w:cs="宋体"/>
                <w:bCs/>
                <w:color w:val="auto"/>
                <w:sz w:val="24"/>
                <w:highlight w:val="none"/>
              </w:rPr>
            </w:pPr>
          </w:p>
        </w:tc>
        <w:tc>
          <w:tcPr>
            <w:tcW w:w="2355" w:type="dxa"/>
            <w:vMerge w:val="continue"/>
            <w:vAlign w:val="center"/>
          </w:tcPr>
          <w:p>
            <w:pPr>
              <w:pStyle w:val="52"/>
              <w:widowControl/>
              <w:spacing w:line="360" w:lineRule="auto"/>
              <w:jc w:val="left"/>
              <w:rPr>
                <w:rFonts w:ascii="宋体" w:hAnsi="宋体" w:cs="宋体"/>
                <w:bCs/>
                <w:color w:val="auto"/>
                <w:sz w:val="24"/>
                <w:highlight w:val="none"/>
              </w:rPr>
            </w:pPr>
          </w:p>
        </w:tc>
        <w:tc>
          <w:tcPr>
            <w:tcW w:w="4061" w:type="dxa"/>
          </w:tcPr>
          <w:p>
            <w:pPr>
              <w:pStyle w:val="52"/>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pPr>
              <w:pStyle w:val="52"/>
              <w:spacing w:line="360" w:lineRule="auto"/>
              <w:jc w:val="left"/>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2"/>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pPr>
              <w:pStyle w:val="52"/>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pPr>
              <w:pStyle w:val="52"/>
              <w:widowControl/>
              <w:spacing w:line="360" w:lineRule="auto"/>
              <w:jc w:val="left"/>
              <w:rPr>
                <w:rFonts w:ascii="宋体" w:hAnsi="宋体" w:cs="宋体"/>
                <w:bCs/>
                <w:color w:val="auto"/>
                <w:sz w:val="24"/>
                <w:highlight w:val="none"/>
              </w:rPr>
            </w:pPr>
          </w:p>
          <w:p>
            <w:pPr>
              <w:pStyle w:val="52"/>
              <w:widowControl/>
              <w:spacing w:line="360" w:lineRule="auto"/>
              <w:jc w:val="left"/>
              <w:rPr>
                <w:rFonts w:ascii="宋体" w:hAnsi="宋体" w:cs="宋体"/>
                <w:bCs/>
                <w:color w:val="auto"/>
                <w:sz w:val="24"/>
                <w:highlight w:val="none"/>
              </w:rPr>
            </w:pPr>
          </w:p>
          <w:p>
            <w:pPr>
              <w:pStyle w:val="52"/>
              <w:spacing w:line="360" w:lineRule="auto"/>
              <w:rPr>
                <w:rFonts w:ascii="宋体" w:hAnsi="宋体" w:cs="宋体"/>
                <w:bCs/>
                <w:color w:val="auto"/>
                <w:sz w:val="24"/>
                <w:highlight w:val="none"/>
              </w:rPr>
            </w:pPr>
          </w:p>
        </w:tc>
        <w:tc>
          <w:tcPr>
            <w:tcW w:w="1373" w:type="dxa"/>
          </w:tcPr>
          <w:p>
            <w:pPr>
              <w:pStyle w:val="52"/>
              <w:widowControl/>
              <w:spacing w:line="360" w:lineRule="auto"/>
              <w:jc w:val="left"/>
              <w:rPr>
                <w:rFonts w:ascii="宋体" w:hAnsi="宋体" w:cs="宋体"/>
                <w:bCs/>
                <w:color w:val="auto"/>
                <w:sz w:val="24"/>
                <w:highlight w:val="none"/>
              </w:rPr>
            </w:pPr>
          </w:p>
          <w:p>
            <w:pPr>
              <w:pStyle w:val="52"/>
              <w:widowControl/>
              <w:spacing w:line="360" w:lineRule="auto"/>
              <w:jc w:val="left"/>
              <w:rPr>
                <w:rFonts w:ascii="宋体" w:hAnsi="宋体" w:cs="宋体"/>
                <w:bCs/>
                <w:color w:val="auto"/>
                <w:sz w:val="24"/>
                <w:highlight w:val="none"/>
              </w:rPr>
            </w:pPr>
          </w:p>
          <w:p>
            <w:pPr>
              <w:pStyle w:val="52"/>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2"/>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pPr>
              <w:pStyle w:val="52"/>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pPr>
              <w:pStyle w:val="52"/>
              <w:widowControl/>
              <w:spacing w:line="360" w:lineRule="auto"/>
              <w:jc w:val="left"/>
              <w:rPr>
                <w:rFonts w:ascii="宋体" w:hAnsi="宋体" w:cs="宋体"/>
                <w:bCs/>
                <w:i/>
                <w:color w:val="auto"/>
                <w:sz w:val="24"/>
                <w:highlight w:val="none"/>
              </w:rPr>
            </w:pPr>
          </w:p>
          <w:p>
            <w:pPr>
              <w:pStyle w:val="52"/>
              <w:widowControl/>
              <w:spacing w:line="360" w:lineRule="auto"/>
              <w:jc w:val="left"/>
              <w:rPr>
                <w:rFonts w:ascii="宋体" w:hAnsi="宋体" w:cs="宋体"/>
                <w:bCs/>
                <w:i/>
                <w:color w:val="auto"/>
                <w:sz w:val="24"/>
                <w:highlight w:val="none"/>
              </w:rPr>
            </w:pPr>
          </w:p>
        </w:tc>
        <w:tc>
          <w:tcPr>
            <w:tcW w:w="1373" w:type="dxa"/>
          </w:tcPr>
          <w:p>
            <w:pPr>
              <w:pStyle w:val="52"/>
              <w:widowControl/>
              <w:spacing w:line="360" w:lineRule="auto"/>
              <w:jc w:val="left"/>
              <w:rPr>
                <w:rFonts w:ascii="宋体" w:hAnsi="宋体" w:cs="宋体"/>
                <w:bCs/>
                <w:i/>
                <w:color w:val="auto"/>
                <w:sz w:val="24"/>
                <w:highlight w:val="none"/>
              </w:rPr>
            </w:pPr>
          </w:p>
          <w:p>
            <w:pPr>
              <w:pStyle w:val="52"/>
              <w:widowControl/>
              <w:spacing w:line="360" w:lineRule="auto"/>
              <w:jc w:val="left"/>
              <w:rPr>
                <w:rFonts w:ascii="宋体" w:hAnsi="宋体" w:cs="宋体"/>
                <w:bCs/>
                <w:i/>
                <w:color w:val="auto"/>
                <w:sz w:val="24"/>
                <w:highlight w:val="none"/>
              </w:rPr>
            </w:pPr>
          </w:p>
          <w:p>
            <w:pPr>
              <w:pStyle w:val="52"/>
              <w:widowControl/>
              <w:spacing w:line="360" w:lineRule="auto"/>
              <w:jc w:val="left"/>
              <w:rPr>
                <w:rFonts w:ascii="宋体" w:hAnsi="宋体" w:cs="宋体"/>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2"/>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pPr>
              <w:pStyle w:val="52"/>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pPr>
              <w:pStyle w:val="52"/>
              <w:widowControl/>
              <w:spacing w:line="360" w:lineRule="auto"/>
              <w:jc w:val="left"/>
              <w:rPr>
                <w:rFonts w:ascii="宋体" w:hAnsi="宋体" w:cs="宋体"/>
                <w:bCs/>
                <w:color w:val="auto"/>
                <w:sz w:val="24"/>
                <w:highlight w:val="none"/>
              </w:rPr>
            </w:pPr>
          </w:p>
        </w:tc>
        <w:tc>
          <w:tcPr>
            <w:tcW w:w="1373" w:type="dxa"/>
            <w:tcBorders>
              <w:bottom w:val="single" w:color="auto" w:sz="4" w:space="0"/>
            </w:tcBorders>
          </w:tcPr>
          <w:p>
            <w:pPr>
              <w:pStyle w:val="52"/>
              <w:widowControl/>
              <w:spacing w:line="360" w:lineRule="auto"/>
              <w:jc w:val="left"/>
              <w:rPr>
                <w:rFonts w:ascii="宋体" w:hAnsi="宋体" w:cs="宋体"/>
                <w:bCs/>
                <w:color w:val="auto"/>
                <w:sz w:val="24"/>
                <w:highlight w:val="none"/>
              </w:rPr>
            </w:pPr>
          </w:p>
        </w:tc>
      </w:tr>
    </w:tbl>
    <w:p>
      <w:pPr>
        <w:spacing w:line="360" w:lineRule="auto"/>
        <w:ind w:left="549" w:hanging="549" w:hangingChars="171"/>
        <w:jc w:val="center"/>
        <w:rPr>
          <w:rFonts w:ascii="宋体" w:hAnsi="宋体" w:cs="宋体"/>
          <w:b/>
          <w:color w:val="auto"/>
          <w:sz w:val="32"/>
          <w:szCs w:val="32"/>
          <w:highlight w:val="none"/>
        </w:rPr>
      </w:pPr>
    </w:p>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color w:val="auto"/>
          <w:sz w:val="24"/>
          <w:szCs w:val="32"/>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t>附件1</w:t>
      </w:r>
      <w:r>
        <w:rPr>
          <w:rFonts w:hint="eastAsia" w:ascii="宋体" w:hAnsi="宋体" w:cs="宋体"/>
          <w:b/>
          <w:bCs/>
          <w:color w:val="auto"/>
          <w:sz w:val="28"/>
          <w:szCs w:val="36"/>
          <w:highlight w:val="none"/>
          <w:lang w:val="en-US" w:eastAsia="zh-CN"/>
        </w:rPr>
        <w:t>9</w:t>
      </w:r>
      <w:r>
        <w:rPr>
          <w:rFonts w:hint="eastAsia" w:ascii="宋体" w:hAnsi="宋体" w:cs="宋体"/>
          <w:b/>
          <w:bCs/>
          <w:color w:val="auto"/>
          <w:sz w:val="28"/>
          <w:szCs w:val="36"/>
          <w:highlight w:val="none"/>
        </w:rPr>
        <w:t>　</w:t>
      </w:r>
      <w:r>
        <w:rPr>
          <w:rFonts w:hint="eastAsia" w:ascii="宋体" w:hAnsi="宋体" w:cs="宋体"/>
          <w:color w:val="auto"/>
          <w:sz w:val="30"/>
          <w:szCs w:val="30"/>
          <w:highlight w:val="none"/>
        </w:rPr>
        <w:t>　</w:t>
      </w:r>
      <w:r>
        <w:rPr>
          <w:rFonts w:hint="eastAsia" w:ascii="宋体" w:hAnsi="宋体" w:cs="宋体"/>
          <w:color w:val="auto"/>
          <w:sz w:val="30"/>
          <w:szCs w:val="30"/>
          <w:highlight w:val="none"/>
          <w:lang w:val="en-US" w:eastAsia="zh-CN"/>
        </w:rPr>
        <w:t xml:space="preserve">                                           </w:t>
      </w:r>
      <w:r>
        <w:rPr>
          <w:rFonts w:hint="eastAsia" w:ascii="宋体" w:hAnsi="宋体" w:cs="宋体"/>
          <w:bCs/>
          <w:color w:val="auto"/>
          <w:sz w:val="24"/>
          <w:highlight w:val="none"/>
        </w:rPr>
        <w:t>本</w:t>
      </w:r>
    </w:p>
    <w:p>
      <w:pP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jc w:val="center"/>
        <w:rPr>
          <w:rFonts w:ascii="宋体" w:hAnsi="宋体" w:cs="宋体"/>
          <w:b/>
          <w:color w:val="auto"/>
          <w:spacing w:val="40"/>
          <w:sz w:val="84"/>
          <w:szCs w:val="84"/>
          <w:highlight w:val="none"/>
        </w:rPr>
      </w:pP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pPr>
        <w:jc w:val="center"/>
        <w:rPr>
          <w:rFonts w:ascii="宋体" w:hAnsi="宋体" w:cs="宋体"/>
          <w:color w:val="auto"/>
          <w:sz w:val="36"/>
          <w:szCs w:val="36"/>
          <w:highlight w:val="none"/>
        </w:rPr>
      </w:pPr>
    </w:p>
    <w:p>
      <w:pPr>
        <w:jc w:val="center"/>
        <w:rPr>
          <w:rFonts w:ascii="宋体" w:hAnsi="宋体" w:cs="宋体"/>
          <w:color w:val="auto"/>
          <w:sz w:val="36"/>
          <w:szCs w:val="36"/>
          <w:highlight w:val="none"/>
        </w:rPr>
      </w:pPr>
    </w:p>
    <w:p>
      <w:pPr>
        <w:spacing w:line="360" w:lineRule="auto"/>
        <w:ind w:right="532"/>
        <w:jc w:val="center"/>
        <w:rPr>
          <w:rFonts w:ascii="宋体" w:hAnsi="宋体" w:cs="宋体"/>
          <w:color w:val="auto"/>
          <w:sz w:val="36"/>
          <w:szCs w:val="36"/>
          <w:highlight w:val="none"/>
        </w:rPr>
      </w:pPr>
    </w:p>
    <w:p>
      <w:pP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pPr>
        <w:rPr>
          <w:rFonts w:ascii="宋体" w:hAnsi="宋体" w:cs="宋体"/>
          <w:color w:val="auto"/>
          <w:sz w:val="36"/>
          <w:szCs w:val="36"/>
          <w:highlight w:val="none"/>
        </w:rPr>
      </w:pPr>
      <w:r>
        <w:rPr>
          <w:rFonts w:hint="eastAsia" w:ascii="宋体" w:hAnsi="宋体" w:cs="宋体"/>
          <w:color w:val="auto"/>
          <w:sz w:val="36"/>
          <w:szCs w:val="36"/>
          <w:highlight w:val="none"/>
        </w:rPr>
        <w:t>地址：</w:t>
      </w:r>
    </w:p>
    <w:p>
      <w:pPr>
        <w:rPr>
          <w:rFonts w:ascii="宋体" w:hAnsi="宋体" w:cs="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pPr>
        <w:spacing w:line="360" w:lineRule="auto"/>
        <w:rPr>
          <w:rFonts w:ascii="宋体" w:hAnsi="宋体" w:cs="宋体"/>
          <w:color w:val="auto"/>
          <w:sz w:val="24"/>
          <w:highlight w:val="none"/>
        </w:rPr>
      </w:pPr>
    </w:p>
    <w:p>
      <w:pP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w:t>
      </w:r>
      <w:r>
        <w:rPr>
          <w:rFonts w:hint="eastAsia" w:ascii="宋体" w:hAnsi="宋体" w:cs="宋体"/>
          <w:color w:val="auto"/>
          <w:sz w:val="28"/>
          <w:szCs w:val="36"/>
          <w:highlight w:val="none"/>
          <w:lang w:val="en-US" w:eastAsia="zh-CN"/>
        </w:rPr>
        <w:t>20</w:t>
      </w:r>
      <w:r>
        <w:rPr>
          <w:rFonts w:hint="eastAsia" w:ascii="宋体" w:hAnsi="宋体" w:cs="宋体"/>
          <w:color w:val="auto"/>
          <w:sz w:val="28"/>
          <w:szCs w:val="36"/>
          <w:highlight w:val="none"/>
        </w:rPr>
        <w:t>）；</w:t>
      </w:r>
    </w:p>
    <w:p>
      <w:pP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2、报价明细表（附件2</w:t>
      </w:r>
      <w:r>
        <w:rPr>
          <w:rFonts w:hint="eastAsia" w:ascii="宋体" w:hAnsi="宋体" w:cs="宋体"/>
          <w:color w:val="auto"/>
          <w:sz w:val="28"/>
          <w:szCs w:val="36"/>
          <w:highlight w:val="none"/>
          <w:lang w:val="en-US" w:eastAsia="zh-CN"/>
        </w:rPr>
        <w:t>1</w:t>
      </w:r>
      <w:r>
        <w:rPr>
          <w:rFonts w:hint="eastAsia" w:ascii="宋体" w:hAnsi="宋体" w:cs="宋体"/>
          <w:color w:val="auto"/>
          <w:sz w:val="28"/>
          <w:szCs w:val="36"/>
          <w:highlight w:val="none"/>
        </w:rPr>
        <w:t>）；</w:t>
      </w:r>
    </w:p>
    <w:p>
      <w:pP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3、针对报价投标人认为其他需要说明的；</w:t>
      </w:r>
    </w:p>
    <w:p>
      <w:pP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4、小微企业等声明函（附件2</w:t>
      </w:r>
      <w:r>
        <w:rPr>
          <w:rFonts w:hint="eastAsia" w:ascii="宋体" w:hAnsi="宋体" w:cs="宋体"/>
          <w:color w:val="auto"/>
          <w:sz w:val="28"/>
          <w:szCs w:val="36"/>
          <w:highlight w:val="none"/>
          <w:lang w:val="en-US" w:eastAsia="zh-CN"/>
        </w:rPr>
        <w:t>2</w:t>
      </w:r>
      <w:r>
        <w:rPr>
          <w:rFonts w:hint="eastAsia" w:ascii="宋体" w:hAnsi="宋体" w:cs="宋体"/>
          <w:color w:val="auto"/>
          <w:sz w:val="28"/>
          <w:szCs w:val="36"/>
          <w:highlight w:val="none"/>
        </w:rPr>
        <w:t>）；</w:t>
      </w:r>
    </w:p>
    <w:p>
      <w:pPr>
        <w:pStyle w:val="3"/>
        <w:rPr>
          <w:rFonts w:ascii="宋体" w:hAnsi="宋体" w:cs="宋体"/>
          <w:color w:val="auto"/>
          <w:highlight w:val="none"/>
        </w:rPr>
      </w:pPr>
    </w:p>
    <w:p>
      <w:pPr>
        <w:pStyle w:val="3"/>
        <w:rPr>
          <w:rFonts w:ascii="宋体" w:hAnsi="宋体" w:cs="宋体"/>
          <w:color w:val="auto"/>
          <w:highlight w:val="none"/>
        </w:rPr>
      </w:pPr>
      <w:r>
        <w:rPr>
          <w:rFonts w:hint="eastAsia" w:ascii="宋体" w:hAnsi="宋体" w:cs="宋体"/>
          <w:color w:val="auto"/>
          <w:highlight w:val="none"/>
        </w:rPr>
        <w:t>小微企业等声明函填表说明：</w:t>
      </w:r>
    </w:p>
    <w:p>
      <w:pPr>
        <w:pStyle w:val="3"/>
        <w:rPr>
          <w:rFonts w:ascii="宋体" w:hAnsi="宋体" w:cs="宋体"/>
          <w:color w:val="auto"/>
          <w:highlight w:val="none"/>
        </w:rPr>
      </w:pPr>
      <w:r>
        <w:rPr>
          <w:rFonts w:hint="eastAsia" w:ascii="宋体" w:hAnsi="宋体" w:cs="宋体"/>
          <w:color w:val="auto"/>
          <w:highlight w:val="none"/>
        </w:rPr>
        <w:t>1、标的设备分别由不同制造商制造的，请按序号填写齐全所有标的货物制造商的信息。</w:t>
      </w:r>
    </w:p>
    <w:p>
      <w:pPr>
        <w:pStyle w:val="3"/>
        <w:rPr>
          <w:rFonts w:ascii="宋体" w:hAnsi="宋体" w:cs="宋体"/>
          <w:color w:val="auto"/>
          <w:highlight w:val="none"/>
        </w:rPr>
      </w:pPr>
      <w:r>
        <w:rPr>
          <w:rFonts w:hint="eastAsia" w:ascii="宋体" w:hAnsi="宋体" w:cs="宋体"/>
          <w:color w:val="auto"/>
          <w:highlight w:val="none"/>
        </w:rPr>
        <w:t>2、从业人员、营业收入、资产总额填报上一年度数据，无上一年度数据的新成立企业可不填报。</w:t>
      </w:r>
    </w:p>
    <w:p>
      <w:pPr>
        <w:pStyle w:val="3"/>
        <w:rPr>
          <w:rFonts w:ascii="宋体" w:hAnsi="宋体" w:cs="宋体"/>
          <w:color w:val="auto"/>
          <w:highlight w:val="none"/>
        </w:rPr>
      </w:pPr>
      <w:r>
        <w:rPr>
          <w:rFonts w:hint="eastAsia" w:ascii="宋体" w:hAnsi="宋体" w:cs="宋体"/>
          <w:color w:val="auto"/>
          <w:highlight w:val="none"/>
        </w:rPr>
        <w:t>3、为了更加准确判定制造商是否为小微企业，请供应商根据工业和信息化部官方网站---中小企业规模类型自测小程序来辨别制造商企业规模类型，中小企业规模类型自测小程序链接网址为</w:t>
      </w:r>
    </w:p>
    <w:p>
      <w:pPr>
        <w:pStyle w:val="3"/>
        <w:rPr>
          <w:rFonts w:ascii="宋体" w:hAnsi="宋体" w:cs="宋体"/>
          <w:color w:val="auto"/>
          <w:highlight w:val="none"/>
        </w:rPr>
      </w:pPr>
      <w:r>
        <w:rPr>
          <w:rFonts w:hint="eastAsia" w:ascii="宋体" w:hAnsi="宋体" w:cs="宋体"/>
          <w:color w:val="auto"/>
          <w:highlight w:val="none"/>
        </w:rPr>
        <w:t>http://202.106.120.146/baosong/appweb/orgScale.html</w:t>
      </w:r>
    </w:p>
    <w:p>
      <w:pPr>
        <w:pStyle w:val="3"/>
        <w:rPr>
          <w:rFonts w:ascii="宋体" w:hAnsi="宋体" w:cs="宋体"/>
          <w:color w:val="auto"/>
          <w:highlight w:val="none"/>
        </w:rPr>
      </w:pPr>
      <w:r>
        <w:rPr>
          <w:rFonts w:hint="eastAsia" w:ascii="宋体" w:hAnsi="宋体" w:cs="宋体"/>
          <w:color w:val="auto"/>
          <w:highlight w:val="none"/>
        </w:rPr>
        <w:t>4、供应商未提供《中小企业声明函》的、《中小企业声明函》中内容应填写而未进行填写或未如实填写的，将不给予供应商小微企业报价优惠扣除。</w:t>
      </w:r>
    </w:p>
    <w:p>
      <w:pPr>
        <w:pStyle w:val="3"/>
        <w:rPr>
          <w:rFonts w:ascii="宋体" w:hAnsi="宋体" w:cs="宋体"/>
          <w:color w:val="auto"/>
          <w:highlight w:val="none"/>
        </w:rPr>
      </w:pPr>
      <w:r>
        <w:rPr>
          <w:rFonts w:hint="eastAsia" w:ascii="宋体" w:hAnsi="宋体" w:cs="宋体"/>
          <w:color w:val="auto"/>
          <w:highlight w:val="none"/>
        </w:rPr>
        <w:t>预成交供应商享受小微企业报价优惠扣除的，将按规定公开预成交供应商的《中小企业声明函》。</w:t>
      </w:r>
    </w:p>
    <w:p>
      <w:pPr>
        <w:pStyle w:val="3"/>
        <w:rPr>
          <w:rFonts w:ascii="宋体" w:hAnsi="宋体" w:cs="宋体"/>
          <w:color w:val="auto"/>
          <w:highlight w:val="none"/>
        </w:rPr>
      </w:pPr>
      <w:r>
        <w:rPr>
          <w:rFonts w:hint="eastAsia" w:ascii="宋体" w:hAnsi="宋体" w:cs="宋体"/>
          <w:color w:val="auto"/>
          <w:highlight w:val="none"/>
        </w:rPr>
        <w:t>5、如国家对中小企业划型标准有新的规定的，从其规定。 </w:t>
      </w:r>
    </w:p>
    <w:p>
      <w:pPr>
        <w:spacing w:line="360" w:lineRule="auto"/>
        <w:rPr>
          <w:rFonts w:ascii="宋体" w:hAnsi="宋体" w:cs="宋体"/>
          <w:color w:val="auto"/>
          <w:sz w:val="24"/>
          <w:szCs w:val="32"/>
          <w:highlight w:val="none"/>
        </w:rPr>
      </w:pPr>
    </w:p>
    <w:p>
      <w:pPr>
        <w:pStyle w:val="25"/>
        <w:rPr>
          <w:rFonts w:ascii="宋体" w:hAnsi="宋体" w:cs="宋体"/>
          <w:color w:val="auto"/>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20</w:t>
      </w:r>
    </w:p>
    <w:p>
      <w:pP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pPr>
        <w:spacing w:line="360" w:lineRule="auto"/>
        <w:ind w:left="-2" w:hanging="2"/>
        <w:jc w:val="center"/>
        <w:rPr>
          <w:rFonts w:ascii="宋体" w:hAnsi="宋体" w:cs="宋体"/>
          <w:b/>
          <w:color w:val="auto"/>
          <w:sz w:val="32"/>
          <w:szCs w:val="32"/>
          <w:highlight w:val="none"/>
        </w:rPr>
      </w:pP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vAlign w:val="center"/>
          </w:tcPr>
          <w:p>
            <w:pPr>
              <w:autoSpaceDE w:val="0"/>
              <w:autoSpaceDN w:val="0"/>
              <w:spacing w:line="450" w:lineRule="exact"/>
              <w:jc w:val="center"/>
              <w:textAlignment w:val="bottom"/>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rPr>
                <w:rFonts w:ascii="宋体" w:hAnsi="宋体" w:cs="宋体"/>
                <w:color w:val="auto"/>
                <w:sz w:val="24"/>
                <w:highlight w:val="none"/>
              </w:rPr>
            </w:pPr>
          </w:p>
        </w:tc>
        <w:tc>
          <w:tcPr>
            <w:tcW w:w="1349" w:type="dxa"/>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vAlign w:val="center"/>
          </w:tcPr>
          <w:p>
            <w:pPr>
              <w:autoSpaceDE w:val="0"/>
              <w:autoSpaceDN w:val="0"/>
              <w:spacing w:line="450" w:lineRule="exact"/>
              <w:jc w:val="center"/>
              <w:textAlignment w:val="bottom"/>
              <w:rPr>
                <w:rFonts w:ascii="宋体" w:hAnsi="宋体" w:cs="宋体"/>
                <w:color w:val="auto"/>
                <w:sz w:val="24"/>
                <w:highlight w:val="none"/>
              </w:rPr>
            </w:pPr>
          </w:p>
        </w:tc>
      </w:tr>
    </w:tbl>
    <w:p>
      <w:pPr>
        <w:spacing w:line="360" w:lineRule="auto"/>
        <w:ind w:firstLine="480" w:firstLineChars="200"/>
        <w:jc w:val="left"/>
        <w:rPr>
          <w:rFonts w:ascii="宋体" w:hAnsi="宋体" w:cs="宋体"/>
          <w:color w:val="auto"/>
          <w:sz w:val="24"/>
          <w:szCs w:val="32"/>
          <w:highlight w:val="none"/>
        </w:rPr>
      </w:pPr>
    </w:p>
    <w:p>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1.投标总报价包括货款、标准附件、备品备件、专用工具、包装、运输、装卸、保险、税金、货到就位以及安装、调试、培训、保修、合同包含的所有风险责任等各项费用及不可预见费等所需的全部费用。</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pPr>
        <w:spacing w:line="360" w:lineRule="auto"/>
        <w:rPr>
          <w:rFonts w:ascii="宋体" w:hAnsi="宋体" w:cs="宋体"/>
          <w:color w:val="auto"/>
          <w:sz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ind w:firstLine="480" w:firstLineChars="200"/>
        <w:jc w:val="left"/>
        <w:rPr>
          <w:rFonts w:ascii="宋体" w:hAnsi="宋体" w:cs="宋体"/>
          <w:color w:val="auto"/>
          <w:sz w:val="24"/>
          <w:szCs w:val="32"/>
          <w:highlight w:val="none"/>
        </w:rPr>
      </w:pPr>
    </w:p>
    <w:p>
      <w:pP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附件2</w:t>
      </w:r>
      <w:r>
        <w:rPr>
          <w:rFonts w:hint="eastAsia" w:ascii="宋体" w:hAnsi="宋体" w:cs="宋体"/>
          <w:b/>
          <w:color w:val="auto"/>
          <w:sz w:val="28"/>
          <w:highlight w:val="none"/>
          <w:lang w:val="en-US" w:eastAsia="zh-CN"/>
        </w:rPr>
        <w:t>1</w:t>
      </w:r>
    </w:p>
    <w:p>
      <w:pP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60"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品牌、产地</w:t>
            </w:r>
          </w:p>
        </w:tc>
        <w:tc>
          <w:tcPr>
            <w:tcW w:w="1559" w:type="dxa"/>
            <w:vAlign w:val="center"/>
          </w:tcPr>
          <w:p>
            <w:pPr>
              <w:spacing w:line="360" w:lineRule="auto"/>
              <w:ind w:left="52"/>
              <w:jc w:val="center"/>
              <w:rPr>
                <w:rFonts w:ascii="宋体" w:hAnsi="宋体" w:cs="宋体"/>
                <w:b/>
                <w:color w:val="auto"/>
                <w:sz w:val="24"/>
                <w:highlight w:val="none"/>
              </w:rPr>
            </w:pPr>
            <w:r>
              <w:rPr>
                <w:rFonts w:hint="eastAsia" w:ascii="宋体" w:hAnsi="宋体" w:cs="宋体"/>
                <w:b/>
                <w:color w:val="auto"/>
                <w:sz w:val="24"/>
                <w:highlight w:val="none"/>
              </w:rPr>
              <w:t>型号规格</w:t>
            </w:r>
          </w:p>
        </w:tc>
        <w:tc>
          <w:tcPr>
            <w:tcW w:w="851" w:type="dxa"/>
            <w:vAlign w:val="center"/>
          </w:tcPr>
          <w:p>
            <w:pPr>
              <w:spacing w:line="360" w:lineRule="auto"/>
              <w:ind w:left="152"/>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小计</w:t>
            </w:r>
          </w:p>
        </w:tc>
        <w:tc>
          <w:tcPr>
            <w:tcW w:w="70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pPr>
              <w:spacing w:line="360" w:lineRule="auto"/>
              <w:jc w:val="center"/>
              <w:rPr>
                <w:rFonts w:ascii="宋体" w:hAnsi="宋体" w:cs="宋体"/>
                <w:color w:val="auto"/>
                <w:sz w:val="24"/>
                <w:highlight w:val="none"/>
              </w:rPr>
            </w:pPr>
          </w:p>
        </w:tc>
        <w:tc>
          <w:tcPr>
            <w:tcW w:w="1460"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pPr>
              <w:spacing w:line="360" w:lineRule="auto"/>
              <w:jc w:val="center"/>
              <w:rPr>
                <w:rFonts w:ascii="宋体" w:hAnsi="宋体" w:cs="宋体"/>
                <w:color w:val="auto"/>
                <w:sz w:val="24"/>
                <w:highlight w:val="none"/>
              </w:rPr>
            </w:pPr>
          </w:p>
        </w:tc>
        <w:tc>
          <w:tcPr>
            <w:tcW w:w="1460"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hAnsi="宋体" w:cs="宋体"/>
                <w:color w:val="auto"/>
                <w:sz w:val="24"/>
                <w:highlight w:val="none"/>
              </w:rPr>
            </w:pPr>
          </w:p>
        </w:tc>
        <w:tc>
          <w:tcPr>
            <w:tcW w:w="1460"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hAnsi="宋体" w:cs="宋体"/>
                <w:color w:val="auto"/>
                <w:sz w:val="24"/>
                <w:highlight w:val="none"/>
              </w:rPr>
            </w:pPr>
          </w:p>
        </w:tc>
        <w:tc>
          <w:tcPr>
            <w:tcW w:w="1460"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pPr>
              <w:spacing w:line="360" w:lineRule="auto"/>
              <w:jc w:val="center"/>
              <w:rPr>
                <w:rFonts w:ascii="宋体" w:hAnsi="宋体" w:cs="宋体"/>
                <w:color w:val="auto"/>
                <w:sz w:val="24"/>
                <w:highlight w:val="none"/>
              </w:rPr>
            </w:pPr>
          </w:p>
        </w:tc>
        <w:tc>
          <w:tcPr>
            <w:tcW w:w="1460"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合计人民币：大写小写</w:t>
            </w:r>
          </w:p>
        </w:tc>
      </w:tr>
    </w:tbl>
    <w:p>
      <w:pPr>
        <w:spacing w:line="360" w:lineRule="auto"/>
        <w:jc w:val="left"/>
        <w:rPr>
          <w:rFonts w:ascii="宋体" w:hAnsi="宋体" w:cs="宋体"/>
          <w:b/>
          <w:bCs/>
          <w:color w:val="auto"/>
          <w:sz w:val="24"/>
          <w:szCs w:val="32"/>
          <w:highlight w:val="none"/>
        </w:rPr>
      </w:pPr>
    </w:p>
    <w:p>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“报价明细表”中的报价合计应与“开标一览表”中的投标总报价相一致，不一致时，以开标一览表为准。</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投标报价明细表所填内容按招标文件采购设备清单要求为准。如有漏报的，视同已包含在投标总价内或已作优惠处理。有重大缺项的将作无效标处理。</w:t>
      </w:r>
    </w:p>
    <w:p>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4.本表中的型号规格必须明确，招标文件中明确要求定制的除外。</w:t>
      </w:r>
    </w:p>
    <w:p>
      <w:pPr>
        <w:spacing w:line="360" w:lineRule="auto"/>
        <w:ind w:firstLine="480" w:firstLineChars="200"/>
        <w:jc w:val="left"/>
        <w:rPr>
          <w:rFonts w:ascii="宋体" w:hAnsi="宋体" w:cs="宋体"/>
          <w:color w:val="auto"/>
          <w:sz w:val="24"/>
          <w:szCs w:val="32"/>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color w:val="auto"/>
          <w:sz w:val="24"/>
          <w:szCs w:val="32"/>
          <w:highlight w:val="none"/>
        </w:rPr>
      </w:pPr>
    </w:p>
    <w:p>
      <w:pPr>
        <w:tabs>
          <w:tab w:val="left" w:pos="2460"/>
        </w:tabs>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附件2</w:t>
      </w:r>
      <w:r>
        <w:rPr>
          <w:rFonts w:hint="eastAsia" w:ascii="宋体" w:hAnsi="宋体" w:cs="宋体"/>
          <w:b/>
          <w:color w:val="auto"/>
          <w:sz w:val="28"/>
          <w:highlight w:val="none"/>
          <w:lang w:val="en-US" w:eastAsia="zh-CN"/>
        </w:rPr>
        <w:t>2</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采购活动，提供的货物全部由符合政策要求的中小企业制造。相关企业的具体情况如下：</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，从业人员人，营业收入为万元，资产总额为万元</w:t>
      </w:r>
      <w:r>
        <w:rPr>
          <w:rStyle w:val="35"/>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，从业人员人，营业收入为万元，资产总额为万元，属于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本企业对上述声明内容的真实性负责。如有虚假，将依法承担相应责任。</w:t>
      </w:r>
    </w:p>
    <w:p>
      <w:pPr>
        <w:spacing w:line="360" w:lineRule="auto"/>
        <w:jc w:val="left"/>
        <w:rPr>
          <w:rFonts w:ascii="宋体" w:hAnsi="宋体" w:cs="宋体"/>
          <w:bCs/>
          <w:color w:val="auto"/>
          <w:sz w:val="24"/>
          <w:highlight w:val="none"/>
        </w:rPr>
      </w:pPr>
    </w:p>
    <w:p>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日期：</w:t>
      </w: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，从业人员人，营业收入为万元，资产总额为万元</w:t>
      </w:r>
      <w:r>
        <w:rPr>
          <w:rStyle w:val="35"/>
          <w:rFonts w:hint="eastAsia" w:ascii="宋体" w:hAnsi="宋体" w:cs="宋体"/>
          <w:bCs/>
          <w:color w:val="auto"/>
          <w:sz w:val="24"/>
          <w:highlight w:val="none"/>
        </w:rPr>
        <w:footnoteReference w:id="1"/>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，从业人员人，营业收入为万元，资产总额为万元，属于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本企业对上述声明内容的真实性负责。如有虚假，将依法承担相应责任。</w:t>
      </w:r>
    </w:p>
    <w:p>
      <w:pPr>
        <w:spacing w:line="360" w:lineRule="auto"/>
        <w:jc w:val="left"/>
        <w:rPr>
          <w:rFonts w:ascii="宋体" w:hAnsi="宋体" w:cs="宋体"/>
          <w:bCs/>
          <w:color w:val="auto"/>
          <w:sz w:val="24"/>
          <w:highlight w:val="none"/>
        </w:rPr>
      </w:pPr>
    </w:p>
    <w:p>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日期：</w:t>
      </w: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spacing w:line="360" w:lineRule="auto"/>
        <w:jc w:val="left"/>
        <w:rPr>
          <w:rFonts w:ascii="宋体" w:hAnsi="宋体" w:cs="宋体"/>
          <w:bCs/>
          <w:color w:val="auto"/>
          <w:sz w:val="24"/>
          <w:highlight w:val="none"/>
        </w:rPr>
      </w:pPr>
    </w:p>
    <w:p>
      <w:pPr>
        <w:pStyle w:val="3"/>
        <w:rPr>
          <w:rFonts w:ascii="宋体" w:hAnsi="宋体" w:cs="宋体"/>
          <w:bCs/>
          <w:color w:val="auto"/>
          <w:sz w:val="24"/>
          <w:highlight w:val="none"/>
        </w:rPr>
      </w:pPr>
    </w:p>
    <w:p>
      <w:pPr>
        <w:pStyle w:val="2"/>
        <w:rPr>
          <w:rFonts w:ascii="宋体" w:hAnsi="宋体" w:cs="宋体"/>
          <w:bCs/>
          <w:color w:val="auto"/>
          <w:sz w:val="24"/>
          <w:highlight w:val="none"/>
        </w:rPr>
      </w:pPr>
    </w:p>
    <w:p>
      <w:pPr>
        <w:spacing w:line="360" w:lineRule="auto"/>
        <w:ind w:left="-2" w:hanging="2"/>
        <w:jc w:val="center"/>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3120" w:firstLineChars="1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单位名称（单位公章）：</w:t>
      </w:r>
    </w:p>
    <w:p>
      <w:pPr>
        <w:spacing w:line="360" w:lineRule="auto"/>
        <w:ind w:firstLine="5040" w:firstLineChars="2100"/>
        <w:rPr>
          <w:rFonts w:hint="eastAsia" w:ascii="宋体" w:hAnsi="宋体" w:eastAsia="宋体" w:cs="宋体"/>
          <w:color w:val="auto"/>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中小企业等声明函填表说明：</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1、从业人员、营业收入、资产总额填报上一年度数据，无上一年度数据的新成立企业可不填报。</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2、为了更加准确判定制造商是否为小微企业，请供应商根据工业和信息化部官方网站---中小企业规模类型自测小程序来辨别制造商企业规模类型，中小企业规模类型自测小程序链接网址为</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http://202.106.120.146/baosong/appweb/orgScale.html</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3、供应商未提供《中小企业声明函》的、《中小企业声明函》中内容应填写而未进行填写或未如实填写，供应商自行承担责任。</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4、如国家对中小企业划型标准有新的规定的，从其规定。</w:t>
      </w: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p>
    <w:p>
      <w:pPr>
        <w:spacing w:line="420" w:lineRule="exact"/>
        <w:rPr>
          <w:rFonts w:hint="eastAsia" w:ascii="宋体" w:hAnsi="宋体" w:eastAsia="宋体" w:cs="宋体"/>
          <w:b/>
          <w:bCs/>
          <w:color w:val="auto"/>
          <w:sz w:val="28"/>
          <w:szCs w:val="36"/>
          <w:highlight w:val="none"/>
          <w:lang w:val="en-GB"/>
        </w:rPr>
      </w:pPr>
      <w:r>
        <w:rPr>
          <w:rFonts w:hint="eastAsia" w:ascii="宋体" w:hAnsi="宋体" w:eastAsia="宋体" w:cs="宋体"/>
          <w:b/>
          <w:bCs/>
          <w:color w:val="auto"/>
          <w:sz w:val="28"/>
          <w:szCs w:val="36"/>
          <w:highlight w:val="none"/>
          <w:lang w:val="en-GB"/>
        </w:rPr>
        <w:t>附件</w:t>
      </w:r>
      <w:r>
        <w:rPr>
          <w:rFonts w:hint="eastAsia" w:ascii="宋体" w:hAnsi="宋体" w:eastAsia="宋体" w:cs="宋体"/>
          <w:b/>
          <w:bCs/>
          <w:color w:val="auto"/>
          <w:sz w:val="28"/>
          <w:szCs w:val="36"/>
          <w:highlight w:val="none"/>
          <w:lang w:val="en-US" w:eastAsia="zh-CN"/>
        </w:rPr>
        <w:t>23</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lang w:val="en-GB"/>
        </w:rPr>
        <w:t>政府采购活动确认声明书</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浙江五石中正工程咨询有限公司</w:t>
      </w:r>
      <w:r>
        <w:rPr>
          <w:rFonts w:hint="eastAsia" w:ascii="宋体" w:hAnsi="宋体" w:eastAsia="宋体" w:cs="宋体"/>
          <w:color w:val="auto"/>
          <w:sz w:val="24"/>
          <w:highlight w:val="none"/>
        </w:rPr>
        <w:t>（采购组织机构名称）：</w:t>
      </w:r>
    </w:p>
    <w:p>
      <w:pP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本人经由</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单位</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（法人代表（负责人））合法授权参加</w:t>
      </w:r>
      <w:r>
        <w:rPr>
          <w:rFonts w:hint="eastAsia" w:ascii="宋体" w:hAnsi="宋体" w:eastAsia="宋体" w:cs="宋体"/>
          <w:b/>
          <w:bCs/>
          <w:color w:val="auto"/>
          <w:sz w:val="24"/>
          <w:highlight w:val="none"/>
          <w:u w:val="single"/>
          <w:lang w:val="zh-CN"/>
        </w:rPr>
        <w:t>检察工作网网络安全建设项目</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zh-CN"/>
        </w:rPr>
        <w:t>编号：</w:t>
      </w:r>
      <w:r>
        <w:rPr>
          <w:rFonts w:hint="eastAsia" w:ascii="宋体" w:hAnsi="宋体" w:eastAsia="宋体" w:cs="宋体"/>
          <w:b/>
          <w:bCs/>
          <w:color w:val="auto"/>
          <w:sz w:val="24"/>
          <w:highlight w:val="none"/>
          <w:u w:val="single"/>
          <w:lang w:val="zh-CN"/>
        </w:rPr>
        <w:t>ZJWS2022-JJ</w:t>
      </w:r>
      <w:r>
        <w:rPr>
          <w:rFonts w:hint="eastAsia" w:ascii="宋体" w:hAnsi="宋体" w:eastAsia="宋体" w:cs="宋体"/>
          <w:b/>
          <w:bCs/>
          <w:color w:val="auto"/>
          <w:sz w:val="24"/>
          <w:highlight w:val="none"/>
          <w:u w:val="single"/>
          <w:lang w:val="en-US" w:eastAsia="zh-CN"/>
        </w:rPr>
        <w:t>52</w:t>
      </w:r>
      <w:r>
        <w:rPr>
          <w:rFonts w:hint="eastAsia" w:ascii="宋体" w:hAnsi="宋体" w:eastAsia="宋体" w:cs="宋体"/>
          <w:color w:val="auto"/>
          <w:sz w:val="24"/>
          <w:highlight w:val="none"/>
          <w:lang w:val="zh-CN"/>
        </w:rPr>
        <w:t>）政府采购活动，经与本单位法人代表（负责人）联系确认，现就有关公平竞争事项郑重声明如下：</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 □不存在利害关系 □存在下列利害关系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    B.行政隶属关系    C.业务指导关系</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D.其他可能影响采购公正的利害关系（如有，请如实说明）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（供应商名称）之间存在下列利害关系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B.法定代表人或负责人或实际控制人是夫妻关系</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H.存在分级代理或代销关系、同一生产制造商关系、管理关系、重要业务（占主营业务收入50%以上）或重要财务往来关系（如融资）等其他实质性控制关系</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三、现已清楚知道并严格遵守政府采购法律法规和现场纪律。</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项利害关系。</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pPr>
        <w:spacing w:line="420" w:lineRule="exact"/>
        <w:ind w:firstLine="4819" w:firstLineChars="20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供应商代表签名：</w:t>
      </w:r>
    </w:p>
    <w:p>
      <w:pPr>
        <w:spacing w:line="42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2022年  月  日</w:t>
      </w:r>
    </w:p>
    <w:p>
      <w:pPr>
        <w:spacing w:line="420" w:lineRule="exact"/>
        <w:ind w:firstLine="482" w:firstLineChars="200"/>
      </w:pPr>
      <w:r>
        <w:rPr>
          <w:rFonts w:hint="eastAsia" w:ascii="宋体" w:hAnsi="宋体" w:eastAsia="宋体" w:cs="宋体"/>
          <w:b/>
          <w:bCs/>
          <w:color w:val="auto"/>
          <w:sz w:val="24"/>
          <w:highlight w:val="none"/>
        </w:rPr>
        <w:t>说明：商务技术文件开启后30分钟内，供应商通过邮件形式将经授权代表签署的《</w:t>
      </w:r>
      <w:r>
        <w:rPr>
          <w:rFonts w:hint="eastAsia" w:ascii="宋体" w:hAnsi="宋体" w:eastAsia="宋体" w:cs="宋体"/>
          <w:b/>
          <w:bCs/>
          <w:color w:val="auto"/>
          <w:sz w:val="24"/>
          <w:highlight w:val="none"/>
          <w:lang w:val="en-GB"/>
        </w:rPr>
        <w:t>政府采购活动确认声明书</w:t>
      </w:r>
      <w:r>
        <w:rPr>
          <w:rFonts w:hint="eastAsia" w:ascii="宋体" w:hAnsi="宋体" w:eastAsia="宋体" w:cs="宋体"/>
          <w:b/>
          <w:bCs/>
          <w:color w:val="auto"/>
          <w:sz w:val="24"/>
          <w:highlight w:val="none"/>
        </w:rPr>
        <w:t>》扫描件发至代理机构经办人邮箱（邮箱地址：</w:t>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"mailto:303054329@qq.com）；"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zjwstz@163.com）；</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t>不填写或未按规定发出邮件的，视同默认不存在确认声明书中的相关违规情形。</w:t>
      </w:r>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FB4HF0wAgAAYwQAAA4AAABkcnMvZTJvRG9jLnhtbK1UzY7TMBC+I/EO lu80aRGrKmq6KlsVIVXsSgVxdh2nieQ/2W6T8gDwBpy4cOe5+hx8zk8XLRz2wMUZe8bfzPfNOIvb VklyEs7XRud0OkkpEZqbotaHnH76uHk1p8QHpgsmjRY5PQtPb5cvXywam4mZqYwshCMA0T5rbE6r EGyWJJ5XQjE/MVZoOEvjFAvYukNSONYAXclklqY3SWNcYZ3hwnucrnsnHRDdcwBNWdZcrA0/KqFD j+qEZAGUfFVbT5ddtWUpeLgvSy8CkTkF09CtSAJ7H9dkuWDZwTFb1XwogT2nhCecFKs1kl6h1iww cnT1X1Cq5s54U4YJNyrpiXSKgMU0faLNrmJWdFwgtbdX0f3/g+UfTg+O1AUmgRLNFBp++f7t8uPX 5edXMo3yNNZniNpZxIX2rWlj6HDucRhZt6VT8Qs+BH6Ie76KK9pAeLw0n83nKVwcvnEDnOTxunU+ vBNGkWjk1KF7najstPWhDx1DYjZtNrWUOGeZ1KTJ6c3rN2l34eoBuNQxQHSzMMBESn3p0Qrtvh34 7E1xBk1n+jnxlm9qlLJlPjwwh8FA+Xg64R5LKQ1SmsGipDLuy7/OYzz6BS8lDQYtpxrvihL5XqOP AAyj4UZjPxr6qO4MJhe9QS2diQsuyNEsnVGf8Z5WMQdcTHNkymkYzbvQDzveIxerVReEybMsbPXO 8ggd5fF2dQyQs1M5itIrge7EDWav69PwTuJw/7nvoh7/DcvfUEsDBAoAAAAAAIdO4kAAAAAAAAAA AAAAAAAGAAAAX3JlbHMvUEsDBBQAAAAIAIdO4kCKFGY80QAAAJQBAAALAAAAX3JlbHMvLnJlbHOl kMFqwzAMhu+DvYPRfXGawxijTi+j0GvpHsDYimMaW0Yy2fr28w6DZfS2o36h7xP//vCZFrUiS6Rs YNf1oDA78jEHA++X49MLKKk2e7tQRgM3FDiMjw/7My62tiOZYxHVKFkMzLWWV63FzZisdFQwt81E nGxtIwddrLvagHro+2fNvxkwbpjq5A3wyQ+gLrfSzH/YKTomoal2jpKmaYruHlUHtmWO7sg24Ru5 RrMcsBrwLBoHalnXfgR9X7/7p97TRz7jutV+h4zrj1dvuhy/AFBLAwQUAAAACACHTuJAfublIPcA AADhAQAAEwAAAFtDb250ZW50X1R5cGVzXS54bWyVkUFOwzAQRfdI3MHyFiVOu0AIJemCtEtAqBxg ZE8Si2RseUxob4+TthtEkVjaM/+/J7vcHMZBTBjYOqrkKi+kQNLOWOoq+b7fZQ9ScAQyMDjCSh6R 5aa+vSn3R48sUpq4kn2M/lEp1j2OwLnzSGnSujBCTMfQKQ/6AzpU66K4V9pRRIpZnDtkXTbYwucQ xfaQrk8mAQeW4um0OLMqCd4PVkNMpmoi84OSnQl5Si473FvPd0lDql8J8+Q64Jx7SU8TrEHxCiE+ w5g0lAmsjPuigFP+d8lsOXLm2tZqzJvATYq94XSxutaOa9c4/d/y7ZK6dKvlg+pvUEsBAhQAFAAA AAgAh07iQH7m5SD3AAAA4QEAABMAAAAAAAAAAQAgAAAAmQQAAFtDb250ZW50X1R5cGVzXS54bWxQ SwECFAAKAAAAAACHTuJAAAAAAAAAAAAAAAAABgAAAAAAAAAAABAAAAB7AwAAX3JlbHMvUEsBAhQA FAAAAAgAh07iQIoUZjzRAAAAlAEAAAsAAAAAAAAAAQAgAAAAnwMAAF9yZWxzLy5yZWxzUEsBAhQA CgAAAAAAh07iQAAAAAAAAAAAAAAAAAQAAAAAAAAAAAAQAAAAAAAAAGRycy9QSwECFAAUAAAACACH TuJAs0lY7tAAAAAFAQAADwAAAAAAAAABACAAAAAiAAAAZHJzL2Rvd25yZXYueG1sUEsBAhQAFAAA AAgAh07iQFB4HF0wAgAAYwQAAA4AAAAAAAAAAQAgAAAAHwEAAGRycy9lMm9Eb2MueG1sUEsFBgAA AAAGAAYAWQEAAMEFAAAAAA== ">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2"/>
      </w:pPr>
      <w:r>
        <w:rPr>
          <w:rStyle w:val="35"/>
        </w:rPr>
        <w:footnoteRef/>
      </w:r>
      <w:r>
        <w:rPr>
          <w:rFonts w:hint="eastAsia" w:ascii="宋体" w:hAnsi="宋体"/>
          <w:bCs/>
          <w:sz w:val="24"/>
        </w:rPr>
        <w:t>从业人员、营业收入、资产总额填报上一年度数据，无上一年度数据的新成立企业可不填报。</w:t>
      </w:r>
    </w:p>
  </w:footnote>
  <w:footnote w:id="1">
    <w:p>
      <w:pPr>
        <w:pStyle w:val="22"/>
        <w:rPr>
          <w:rFonts w:hint="eastAsia" w:ascii="宋体" w:hAnsi="宋体"/>
          <w:bCs/>
          <w:sz w:val="24"/>
        </w:rPr>
      </w:pPr>
      <w:r>
        <w:rPr>
          <w:rStyle w:val="35"/>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kern w:val="0"/>
        <w:sz w:val="18"/>
        <w:u w:val="single"/>
      </w:rPr>
      <w:t>台州市政府采购招标文件</w:t>
    </w:r>
    <w:r>
      <w:rPr>
        <w:rFonts w:hint="eastAsia"/>
        <w:b/>
        <w:i/>
        <w:color w:val="000000"/>
        <w:kern w:val="0"/>
        <w:sz w:val="18"/>
        <w:u w:val="single"/>
        <w:lang w:val="en-US" w:eastAsia="zh-CN"/>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85</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87</w:t>
    </w:r>
    <w:r>
      <w:rPr>
        <w:b/>
        <w:i/>
        <w:color w:val="000000"/>
        <w:spacing w:val="-20"/>
        <w:kern w:val="0"/>
        <w:sz w:val="18"/>
        <w:u w:val="single"/>
      </w:rPr>
      <w:fldChar w:fldCharType="end"/>
    </w:r>
    <w:r>
      <w:rPr>
        <w:rFonts w:hint="eastAsia"/>
        <w:b/>
        <w:i/>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kern w:val="0"/>
        <w:sz w:val="18"/>
        <w:u w:val="single"/>
      </w:rPr>
      <w:t>台州市政府采购招标文件</w:t>
    </w:r>
    <w:r>
      <w:rPr>
        <w:rFonts w:hint="eastAsia"/>
        <w:b/>
        <w:i/>
        <w:color w:val="000000"/>
        <w:kern w:val="0"/>
        <w:sz w:val="18"/>
        <w:u w:val="single"/>
        <w:lang w:val="en-US" w:eastAsia="zh-CN"/>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85</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87</w:t>
    </w:r>
    <w:r>
      <w:rPr>
        <w:b/>
        <w:i/>
        <w:color w:val="000000"/>
        <w:spacing w:val="-20"/>
        <w:kern w:val="0"/>
        <w:sz w:val="18"/>
        <w:u w:val="single"/>
      </w:rPr>
      <w:fldChar w:fldCharType="end"/>
    </w:r>
    <w:r>
      <w:rPr>
        <w:rFonts w:hint="eastAsia"/>
        <w:b/>
        <w:i/>
        <w:color w:val="000000"/>
        <w:spacing w:val="-20"/>
        <w:kern w:val="0"/>
        <w:sz w:val="18"/>
        <w:u w:val="single"/>
      </w:rPr>
      <w:t>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台州市政府采购招标文件</w:t>
    </w:r>
    <w:r>
      <w:rPr>
        <w:rFonts w:hint="eastAsia"/>
        <w:b/>
        <w:i/>
        <w:color w:val="000000"/>
        <w:kern w:val="0"/>
        <w:sz w:val="18"/>
        <w:u w:val="single"/>
        <w:lang w:val="en-US" w:eastAsia="zh-CN"/>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85</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87</w:t>
    </w:r>
    <w:r>
      <w:rPr>
        <w:b/>
        <w:i/>
        <w:color w:val="000000"/>
        <w:spacing w:val="-20"/>
        <w:kern w:val="0"/>
        <w:sz w:val="18"/>
        <w:u w:val="single"/>
      </w:rPr>
      <w:fldChar w:fldCharType="end"/>
    </w:r>
    <w:r>
      <w:rPr>
        <w:rFonts w:hint="eastAsia"/>
        <w:b/>
        <w:i/>
        <w:color w:val="000000"/>
        <w:spacing w:val="-20"/>
        <w:kern w:val="0"/>
        <w:sz w:val="18"/>
        <w:u w:val="single"/>
      </w:rPr>
      <w:t>页</w:t>
    </w:r>
  </w:p>
  <w:p>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0"/>
      <w:lvlText w:val="%1."/>
      <w:lvlJc w:val="left"/>
      <w:pPr>
        <w:tabs>
          <w:tab w:val="left"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GEyYzExMGVhNmMzYzkzMTkwZWY3NGNkYzFlMTIifQ=="/>
  </w:docVars>
  <w:rsids>
    <w:rsidRoot w:val="00172A27"/>
    <w:rsid w:val="00010E76"/>
    <w:rsid w:val="00016260"/>
    <w:rsid w:val="00017057"/>
    <w:rsid w:val="0002035B"/>
    <w:rsid w:val="00022FB8"/>
    <w:rsid w:val="000236E8"/>
    <w:rsid w:val="0003741D"/>
    <w:rsid w:val="0004006B"/>
    <w:rsid w:val="000403F7"/>
    <w:rsid w:val="0006294D"/>
    <w:rsid w:val="00062AB3"/>
    <w:rsid w:val="000630DA"/>
    <w:rsid w:val="00077C5A"/>
    <w:rsid w:val="00082C5B"/>
    <w:rsid w:val="0009269F"/>
    <w:rsid w:val="0009792D"/>
    <w:rsid w:val="000A2B0F"/>
    <w:rsid w:val="000D758D"/>
    <w:rsid w:val="00107BF6"/>
    <w:rsid w:val="00115786"/>
    <w:rsid w:val="00120214"/>
    <w:rsid w:val="0012177E"/>
    <w:rsid w:val="001334F2"/>
    <w:rsid w:val="001358F3"/>
    <w:rsid w:val="0014385D"/>
    <w:rsid w:val="00157E7C"/>
    <w:rsid w:val="00163405"/>
    <w:rsid w:val="00165F2A"/>
    <w:rsid w:val="00172A27"/>
    <w:rsid w:val="00180836"/>
    <w:rsid w:val="00186933"/>
    <w:rsid w:val="00197969"/>
    <w:rsid w:val="001C0132"/>
    <w:rsid w:val="001F571D"/>
    <w:rsid w:val="00201D2F"/>
    <w:rsid w:val="00201D62"/>
    <w:rsid w:val="00203C2F"/>
    <w:rsid w:val="002049E1"/>
    <w:rsid w:val="00211799"/>
    <w:rsid w:val="0021318F"/>
    <w:rsid w:val="00231C97"/>
    <w:rsid w:val="00241352"/>
    <w:rsid w:val="00265DB0"/>
    <w:rsid w:val="00270F18"/>
    <w:rsid w:val="002727AF"/>
    <w:rsid w:val="00276769"/>
    <w:rsid w:val="00286DC1"/>
    <w:rsid w:val="0029177D"/>
    <w:rsid w:val="002A1620"/>
    <w:rsid w:val="002B60E7"/>
    <w:rsid w:val="002B6305"/>
    <w:rsid w:val="002C0D3B"/>
    <w:rsid w:val="002C5C4C"/>
    <w:rsid w:val="002D3042"/>
    <w:rsid w:val="002E390B"/>
    <w:rsid w:val="0030238E"/>
    <w:rsid w:val="0030434C"/>
    <w:rsid w:val="003102FB"/>
    <w:rsid w:val="0031109C"/>
    <w:rsid w:val="0033011F"/>
    <w:rsid w:val="003324ED"/>
    <w:rsid w:val="00332E30"/>
    <w:rsid w:val="00346CCE"/>
    <w:rsid w:val="00353DAF"/>
    <w:rsid w:val="00361389"/>
    <w:rsid w:val="00365907"/>
    <w:rsid w:val="00377985"/>
    <w:rsid w:val="00394F4B"/>
    <w:rsid w:val="003B5E94"/>
    <w:rsid w:val="003C020E"/>
    <w:rsid w:val="003C5E00"/>
    <w:rsid w:val="003E6DE1"/>
    <w:rsid w:val="003F595C"/>
    <w:rsid w:val="003F78E0"/>
    <w:rsid w:val="004120E6"/>
    <w:rsid w:val="00412C3D"/>
    <w:rsid w:val="00414A3D"/>
    <w:rsid w:val="00441FAE"/>
    <w:rsid w:val="00446CEF"/>
    <w:rsid w:val="00455E52"/>
    <w:rsid w:val="00490BFA"/>
    <w:rsid w:val="00491BDF"/>
    <w:rsid w:val="004B4165"/>
    <w:rsid w:val="004B725E"/>
    <w:rsid w:val="004C55D6"/>
    <w:rsid w:val="004D69D3"/>
    <w:rsid w:val="00501A00"/>
    <w:rsid w:val="00511776"/>
    <w:rsid w:val="00531666"/>
    <w:rsid w:val="00542F87"/>
    <w:rsid w:val="00587A35"/>
    <w:rsid w:val="005A5A3C"/>
    <w:rsid w:val="005A6700"/>
    <w:rsid w:val="005E026A"/>
    <w:rsid w:val="005E3102"/>
    <w:rsid w:val="005E7A02"/>
    <w:rsid w:val="005F5A61"/>
    <w:rsid w:val="00600BC8"/>
    <w:rsid w:val="00607AD7"/>
    <w:rsid w:val="00616E31"/>
    <w:rsid w:val="00636172"/>
    <w:rsid w:val="006363FA"/>
    <w:rsid w:val="006373EB"/>
    <w:rsid w:val="00646CA0"/>
    <w:rsid w:val="006540F3"/>
    <w:rsid w:val="00655E3C"/>
    <w:rsid w:val="00674C42"/>
    <w:rsid w:val="00677976"/>
    <w:rsid w:val="00686534"/>
    <w:rsid w:val="006B6BE5"/>
    <w:rsid w:val="006D6513"/>
    <w:rsid w:val="006E1152"/>
    <w:rsid w:val="006E5A80"/>
    <w:rsid w:val="006F043E"/>
    <w:rsid w:val="006F33A6"/>
    <w:rsid w:val="006F4DFE"/>
    <w:rsid w:val="0073543B"/>
    <w:rsid w:val="00742434"/>
    <w:rsid w:val="0075349E"/>
    <w:rsid w:val="00771B0C"/>
    <w:rsid w:val="00782E2E"/>
    <w:rsid w:val="00783370"/>
    <w:rsid w:val="00786ED2"/>
    <w:rsid w:val="00793C81"/>
    <w:rsid w:val="007A2629"/>
    <w:rsid w:val="007B61C4"/>
    <w:rsid w:val="007B7148"/>
    <w:rsid w:val="007C1005"/>
    <w:rsid w:val="007D2A59"/>
    <w:rsid w:val="007D5CDA"/>
    <w:rsid w:val="007F5FAF"/>
    <w:rsid w:val="007F738F"/>
    <w:rsid w:val="00800D93"/>
    <w:rsid w:val="00800F52"/>
    <w:rsid w:val="00802325"/>
    <w:rsid w:val="0080536B"/>
    <w:rsid w:val="008154BD"/>
    <w:rsid w:val="00823978"/>
    <w:rsid w:val="00847BE5"/>
    <w:rsid w:val="0088066B"/>
    <w:rsid w:val="008863B9"/>
    <w:rsid w:val="008A4030"/>
    <w:rsid w:val="008A6DF5"/>
    <w:rsid w:val="008A7F9A"/>
    <w:rsid w:val="008B2213"/>
    <w:rsid w:val="008B33DF"/>
    <w:rsid w:val="008B3D61"/>
    <w:rsid w:val="008B6C1A"/>
    <w:rsid w:val="008C1833"/>
    <w:rsid w:val="008D0876"/>
    <w:rsid w:val="008D3EC9"/>
    <w:rsid w:val="008E4C2D"/>
    <w:rsid w:val="008E7473"/>
    <w:rsid w:val="008E781F"/>
    <w:rsid w:val="00912983"/>
    <w:rsid w:val="00914A91"/>
    <w:rsid w:val="009327E5"/>
    <w:rsid w:val="00936DE1"/>
    <w:rsid w:val="00944004"/>
    <w:rsid w:val="00946162"/>
    <w:rsid w:val="00961C39"/>
    <w:rsid w:val="00966677"/>
    <w:rsid w:val="00971EB1"/>
    <w:rsid w:val="00985596"/>
    <w:rsid w:val="00986274"/>
    <w:rsid w:val="009927AA"/>
    <w:rsid w:val="009B1C83"/>
    <w:rsid w:val="009B3E22"/>
    <w:rsid w:val="009E4F3B"/>
    <w:rsid w:val="009E6A48"/>
    <w:rsid w:val="009F2B78"/>
    <w:rsid w:val="009F3459"/>
    <w:rsid w:val="009F36F6"/>
    <w:rsid w:val="009F4386"/>
    <w:rsid w:val="00A12F71"/>
    <w:rsid w:val="00A14713"/>
    <w:rsid w:val="00A164A2"/>
    <w:rsid w:val="00A17880"/>
    <w:rsid w:val="00A21178"/>
    <w:rsid w:val="00A24237"/>
    <w:rsid w:val="00A30B75"/>
    <w:rsid w:val="00A64297"/>
    <w:rsid w:val="00A730CA"/>
    <w:rsid w:val="00A925C1"/>
    <w:rsid w:val="00AA3B62"/>
    <w:rsid w:val="00AD5566"/>
    <w:rsid w:val="00AF0704"/>
    <w:rsid w:val="00AF276E"/>
    <w:rsid w:val="00B0420E"/>
    <w:rsid w:val="00B15A8F"/>
    <w:rsid w:val="00B17EA8"/>
    <w:rsid w:val="00B207C1"/>
    <w:rsid w:val="00B441F5"/>
    <w:rsid w:val="00B53AC9"/>
    <w:rsid w:val="00B71CD0"/>
    <w:rsid w:val="00B7248C"/>
    <w:rsid w:val="00B72D56"/>
    <w:rsid w:val="00B87301"/>
    <w:rsid w:val="00B954FF"/>
    <w:rsid w:val="00BA2320"/>
    <w:rsid w:val="00BC6B97"/>
    <w:rsid w:val="00BD7BF1"/>
    <w:rsid w:val="00BE0ADF"/>
    <w:rsid w:val="00BE101E"/>
    <w:rsid w:val="00C179BF"/>
    <w:rsid w:val="00C44AFB"/>
    <w:rsid w:val="00C52E14"/>
    <w:rsid w:val="00C56CFB"/>
    <w:rsid w:val="00C57611"/>
    <w:rsid w:val="00C60EBC"/>
    <w:rsid w:val="00C767D4"/>
    <w:rsid w:val="00C86165"/>
    <w:rsid w:val="00C8799F"/>
    <w:rsid w:val="00CB0437"/>
    <w:rsid w:val="00CC212F"/>
    <w:rsid w:val="00CC232E"/>
    <w:rsid w:val="00CD1804"/>
    <w:rsid w:val="00CD3122"/>
    <w:rsid w:val="00CF6E5A"/>
    <w:rsid w:val="00D03743"/>
    <w:rsid w:val="00D212D0"/>
    <w:rsid w:val="00D264AC"/>
    <w:rsid w:val="00D35037"/>
    <w:rsid w:val="00D37807"/>
    <w:rsid w:val="00D42931"/>
    <w:rsid w:val="00D42F59"/>
    <w:rsid w:val="00D45AB5"/>
    <w:rsid w:val="00D5269F"/>
    <w:rsid w:val="00D56968"/>
    <w:rsid w:val="00D623C7"/>
    <w:rsid w:val="00D820B0"/>
    <w:rsid w:val="00DA1803"/>
    <w:rsid w:val="00DA25C4"/>
    <w:rsid w:val="00DB1C05"/>
    <w:rsid w:val="00DB2B95"/>
    <w:rsid w:val="00DB6334"/>
    <w:rsid w:val="00DC320A"/>
    <w:rsid w:val="00DE1E5F"/>
    <w:rsid w:val="00DE4BB8"/>
    <w:rsid w:val="00E1534F"/>
    <w:rsid w:val="00E319E7"/>
    <w:rsid w:val="00E372BC"/>
    <w:rsid w:val="00E5539C"/>
    <w:rsid w:val="00E67763"/>
    <w:rsid w:val="00E9263B"/>
    <w:rsid w:val="00EC5263"/>
    <w:rsid w:val="00EF2797"/>
    <w:rsid w:val="00F127FF"/>
    <w:rsid w:val="00F602C3"/>
    <w:rsid w:val="00F63238"/>
    <w:rsid w:val="00F64E95"/>
    <w:rsid w:val="00F6554D"/>
    <w:rsid w:val="00F74D1E"/>
    <w:rsid w:val="00F830E9"/>
    <w:rsid w:val="00F835F4"/>
    <w:rsid w:val="00F83FD8"/>
    <w:rsid w:val="00F84D81"/>
    <w:rsid w:val="00F91F78"/>
    <w:rsid w:val="00F94869"/>
    <w:rsid w:val="00F94947"/>
    <w:rsid w:val="00FA1601"/>
    <w:rsid w:val="00FA339E"/>
    <w:rsid w:val="00FC1DB0"/>
    <w:rsid w:val="00FC28B3"/>
    <w:rsid w:val="00FD7934"/>
    <w:rsid w:val="00FE2BF3"/>
    <w:rsid w:val="00FF2DBD"/>
    <w:rsid w:val="01221ADB"/>
    <w:rsid w:val="0146582F"/>
    <w:rsid w:val="0162067B"/>
    <w:rsid w:val="01935887"/>
    <w:rsid w:val="0225285D"/>
    <w:rsid w:val="022F3D89"/>
    <w:rsid w:val="0248373E"/>
    <w:rsid w:val="02597876"/>
    <w:rsid w:val="026B5F45"/>
    <w:rsid w:val="029A1B3E"/>
    <w:rsid w:val="02E01C47"/>
    <w:rsid w:val="02F80E9F"/>
    <w:rsid w:val="03887300"/>
    <w:rsid w:val="045E051E"/>
    <w:rsid w:val="04AE50DC"/>
    <w:rsid w:val="04C51A89"/>
    <w:rsid w:val="04CC341D"/>
    <w:rsid w:val="04E15DC0"/>
    <w:rsid w:val="05137CD7"/>
    <w:rsid w:val="06093262"/>
    <w:rsid w:val="060B26E0"/>
    <w:rsid w:val="06903A8B"/>
    <w:rsid w:val="06C4428B"/>
    <w:rsid w:val="06EF446D"/>
    <w:rsid w:val="06F73904"/>
    <w:rsid w:val="072B4167"/>
    <w:rsid w:val="07881372"/>
    <w:rsid w:val="079F0256"/>
    <w:rsid w:val="07B54360"/>
    <w:rsid w:val="07D46172"/>
    <w:rsid w:val="08097BDB"/>
    <w:rsid w:val="080A1F87"/>
    <w:rsid w:val="086973C1"/>
    <w:rsid w:val="086C0E69"/>
    <w:rsid w:val="08713E12"/>
    <w:rsid w:val="08A16C6F"/>
    <w:rsid w:val="090B6394"/>
    <w:rsid w:val="097A796A"/>
    <w:rsid w:val="09EB6542"/>
    <w:rsid w:val="0A487114"/>
    <w:rsid w:val="0A9667FD"/>
    <w:rsid w:val="0ADB4F19"/>
    <w:rsid w:val="0B1F671C"/>
    <w:rsid w:val="0C1E2BA0"/>
    <w:rsid w:val="0C290818"/>
    <w:rsid w:val="0C484FF0"/>
    <w:rsid w:val="0C765CB2"/>
    <w:rsid w:val="0CCE3D8B"/>
    <w:rsid w:val="0D914D66"/>
    <w:rsid w:val="0DD061AE"/>
    <w:rsid w:val="0DF66D0E"/>
    <w:rsid w:val="0DFA6BCE"/>
    <w:rsid w:val="0E7B0FD4"/>
    <w:rsid w:val="0E970358"/>
    <w:rsid w:val="0F454BF6"/>
    <w:rsid w:val="0F6F2D8B"/>
    <w:rsid w:val="0FAA25C8"/>
    <w:rsid w:val="0FBD4514"/>
    <w:rsid w:val="10053DFB"/>
    <w:rsid w:val="100F05DE"/>
    <w:rsid w:val="101C3B92"/>
    <w:rsid w:val="101F1EB6"/>
    <w:rsid w:val="10392EAE"/>
    <w:rsid w:val="104863C2"/>
    <w:rsid w:val="10706EC2"/>
    <w:rsid w:val="11060CDB"/>
    <w:rsid w:val="110F1F8C"/>
    <w:rsid w:val="114D620F"/>
    <w:rsid w:val="118A0564"/>
    <w:rsid w:val="11D364F2"/>
    <w:rsid w:val="121217D2"/>
    <w:rsid w:val="12234209"/>
    <w:rsid w:val="12445B3A"/>
    <w:rsid w:val="127549CB"/>
    <w:rsid w:val="12807280"/>
    <w:rsid w:val="12A372EC"/>
    <w:rsid w:val="132A0908"/>
    <w:rsid w:val="134B0D26"/>
    <w:rsid w:val="136E0BA9"/>
    <w:rsid w:val="13BD6E79"/>
    <w:rsid w:val="13FC1BC3"/>
    <w:rsid w:val="146F05F9"/>
    <w:rsid w:val="147A52C5"/>
    <w:rsid w:val="148463E6"/>
    <w:rsid w:val="14891A12"/>
    <w:rsid w:val="14D20D9B"/>
    <w:rsid w:val="15180DDD"/>
    <w:rsid w:val="15243E60"/>
    <w:rsid w:val="15A72BED"/>
    <w:rsid w:val="1621170E"/>
    <w:rsid w:val="162627F7"/>
    <w:rsid w:val="16625909"/>
    <w:rsid w:val="167046B6"/>
    <w:rsid w:val="174758FD"/>
    <w:rsid w:val="179F3E26"/>
    <w:rsid w:val="17EC19C2"/>
    <w:rsid w:val="18312DCB"/>
    <w:rsid w:val="18820ED2"/>
    <w:rsid w:val="1885471A"/>
    <w:rsid w:val="188A686F"/>
    <w:rsid w:val="18B91D2B"/>
    <w:rsid w:val="18C40414"/>
    <w:rsid w:val="18E11A7C"/>
    <w:rsid w:val="19157D18"/>
    <w:rsid w:val="195F3769"/>
    <w:rsid w:val="19AC6AA6"/>
    <w:rsid w:val="19D90C2D"/>
    <w:rsid w:val="19E0747E"/>
    <w:rsid w:val="1A13137A"/>
    <w:rsid w:val="1A6A6D44"/>
    <w:rsid w:val="1A817123"/>
    <w:rsid w:val="1A836548"/>
    <w:rsid w:val="1B674FFA"/>
    <w:rsid w:val="1B76076C"/>
    <w:rsid w:val="1BDA4026"/>
    <w:rsid w:val="1C093ECB"/>
    <w:rsid w:val="1C2A1FDB"/>
    <w:rsid w:val="1C4D10D4"/>
    <w:rsid w:val="1C735589"/>
    <w:rsid w:val="1CAE097A"/>
    <w:rsid w:val="1CC00D29"/>
    <w:rsid w:val="1CE4433A"/>
    <w:rsid w:val="1D150A30"/>
    <w:rsid w:val="1D9F5E03"/>
    <w:rsid w:val="1DC530BD"/>
    <w:rsid w:val="1E58234F"/>
    <w:rsid w:val="1EE84AA8"/>
    <w:rsid w:val="1F031196"/>
    <w:rsid w:val="1F3E384B"/>
    <w:rsid w:val="1F7E03C6"/>
    <w:rsid w:val="208B01A6"/>
    <w:rsid w:val="20D32DCE"/>
    <w:rsid w:val="20E049A9"/>
    <w:rsid w:val="21000984"/>
    <w:rsid w:val="21D74311"/>
    <w:rsid w:val="227840A5"/>
    <w:rsid w:val="228165F6"/>
    <w:rsid w:val="228447E5"/>
    <w:rsid w:val="23424F53"/>
    <w:rsid w:val="23450E3C"/>
    <w:rsid w:val="236D627A"/>
    <w:rsid w:val="236E14E2"/>
    <w:rsid w:val="23E91F51"/>
    <w:rsid w:val="2421202A"/>
    <w:rsid w:val="24457193"/>
    <w:rsid w:val="24CD6279"/>
    <w:rsid w:val="24E96AC6"/>
    <w:rsid w:val="259005B7"/>
    <w:rsid w:val="265E2776"/>
    <w:rsid w:val="268A132E"/>
    <w:rsid w:val="27872633"/>
    <w:rsid w:val="2787623F"/>
    <w:rsid w:val="27F80384"/>
    <w:rsid w:val="28076A74"/>
    <w:rsid w:val="28870C9F"/>
    <w:rsid w:val="288D1679"/>
    <w:rsid w:val="29803A90"/>
    <w:rsid w:val="29AA1528"/>
    <w:rsid w:val="29D148D0"/>
    <w:rsid w:val="29E5116A"/>
    <w:rsid w:val="2AC803DC"/>
    <w:rsid w:val="2AF71430"/>
    <w:rsid w:val="2B520C88"/>
    <w:rsid w:val="2BCA3B51"/>
    <w:rsid w:val="2CCC26BD"/>
    <w:rsid w:val="2D4060F2"/>
    <w:rsid w:val="2D9F11C5"/>
    <w:rsid w:val="2DA07D6D"/>
    <w:rsid w:val="2E440A2C"/>
    <w:rsid w:val="2EC854D0"/>
    <w:rsid w:val="2ECA3D6D"/>
    <w:rsid w:val="2F146C96"/>
    <w:rsid w:val="2F402F53"/>
    <w:rsid w:val="2FCC3729"/>
    <w:rsid w:val="30143D85"/>
    <w:rsid w:val="31752B09"/>
    <w:rsid w:val="32A775F4"/>
    <w:rsid w:val="32AC7E5E"/>
    <w:rsid w:val="32DD159F"/>
    <w:rsid w:val="335D305E"/>
    <w:rsid w:val="33AD0F31"/>
    <w:rsid w:val="33F77211"/>
    <w:rsid w:val="341548E3"/>
    <w:rsid w:val="34A27FE6"/>
    <w:rsid w:val="34AE4E51"/>
    <w:rsid w:val="35671120"/>
    <w:rsid w:val="35723DBA"/>
    <w:rsid w:val="359B739A"/>
    <w:rsid w:val="35AB313F"/>
    <w:rsid w:val="35C05FE9"/>
    <w:rsid w:val="35E7353B"/>
    <w:rsid w:val="36110746"/>
    <w:rsid w:val="365D0E69"/>
    <w:rsid w:val="36602F80"/>
    <w:rsid w:val="36623E0E"/>
    <w:rsid w:val="3670532E"/>
    <w:rsid w:val="37712A39"/>
    <w:rsid w:val="37D35706"/>
    <w:rsid w:val="37E90138"/>
    <w:rsid w:val="395104A1"/>
    <w:rsid w:val="39566B09"/>
    <w:rsid w:val="39E1476A"/>
    <w:rsid w:val="3A3D1CFB"/>
    <w:rsid w:val="3AE50133"/>
    <w:rsid w:val="3B0E77B2"/>
    <w:rsid w:val="3B345EA5"/>
    <w:rsid w:val="3B550335"/>
    <w:rsid w:val="3B6867E5"/>
    <w:rsid w:val="3C724604"/>
    <w:rsid w:val="3C8225A7"/>
    <w:rsid w:val="3D1275D3"/>
    <w:rsid w:val="3DA04075"/>
    <w:rsid w:val="3DB531EC"/>
    <w:rsid w:val="3DBB71E5"/>
    <w:rsid w:val="3DC93D93"/>
    <w:rsid w:val="3E0E0D4E"/>
    <w:rsid w:val="3E4708A2"/>
    <w:rsid w:val="3E83469F"/>
    <w:rsid w:val="3F3442E5"/>
    <w:rsid w:val="3FED78DC"/>
    <w:rsid w:val="3FEF6784"/>
    <w:rsid w:val="40950A96"/>
    <w:rsid w:val="40AF43CA"/>
    <w:rsid w:val="40D83598"/>
    <w:rsid w:val="410626FD"/>
    <w:rsid w:val="41197AF6"/>
    <w:rsid w:val="427A0FAE"/>
    <w:rsid w:val="42962E63"/>
    <w:rsid w:val="43036342"/>
    <w:rsid w:val="432930B3"/>
    <w:rsid w:val="43346686"/>
    <w:rsid w:val="43D911A2"/>
    <w:rsid w:val="44222E5D"/>
    <w:rsid w:val="44DD4A6B"/>
    <w:rsid w:val="44E23928"/>
    <w:rsid w:val="454964D0"/>
    <w:rsid w:val="4563730C"/>
    <w:rsid w:val="456B496E"/>
    <w:rsid w:val="45753AC8"/>
    <w:rsid w:val="459B4F7E"/>
    <w:rsid w:val="45DE55DB"/>
    <w:rsid w:val="463948A0"/>
    <w:rsid w:val="464557C9"/>
    <w:rsid w:val="46867CEE"/>
    <w:rsid w:val="48065F91"/>
    <w:rsid w:val="480D5086"/>
    <w:rsid w:val="4866212B"/>
    <w:rsid w:val="48694FA0"/>
    <w:rsid w:val="488E768B"/>
    <w:rsid w:val="49F41D5E"/>
    <w:rsid w:val="4A007AA5"/>
    <w:rsid w:val="4AA27E92"/>
    <w:rsid w:val="4AFF6678"/>
    <w:rsid w:val="4B1E31F7"/>
    <w:rsid w:val="4B6D2E85"/>
    <w:rsid w:val="4B8D3361"/>
    <w:rsid w:val="4BB273C9"/>
    <w:rsid w:val="4BCB3573"/>
    <w:rsid w:val="4BE82DE5"/>
    <w:rsid w:val="4C012361"/>
    <w:rsid w:val="4C433193"/>
    <w:rsid w:val="4C696BA0"/>
    <w:rsid w:val="4C976ED3"/>
    <w:rsid w:val="4CE75373"/>
    <w:rsid w:val="4D331D1F"/>
    <w:rsid w:val="4D5934CA"/>
    <w:rsid w:val="4D9176FF"/>
    <w:rsid w:val="4DBA747C"/>
    <w:rsid w:val="4E105EFB"/>
    <w:rsid w:val="4E7B6655"/>
    <w:rsid w:val="4F0009EE"/>
    <w:rsid w:val="4F0A2110"/>
    <w:rsid w:val="4F2C212A"/>
    <w:rsid w:val="4FC212AC"/>
    <w:rsid w:val="4FC728A2"/>
    <w:rsid w:val="507E0FE9"/>
    <w:rsid w:val="50847247"/>
    <w:rsid w:val="50D26B5C"/>
    <w:rsid w:val="51025EB1"/>
    <w:rsid w:val="517363A0"/>
    <w:rsid w:val="51776BB3"/>
    <w:rsid w:val="529C2C7E"/>
    <w:rsid w:val="53556D44"/>
    <w:rsid w:val="53560721"/>
    <w:rsid w:val="537A2677"/>
    <w:rsid w:val="541303D5"/>
    <w:rsid w:val="54143E2C"/>
    <w:rsid w:val="543809DD"/>
    <w:rsid w:val="54817A35"/>
    <w:rsid w:val="54DB0444"/>
    <w:rsid w:val="54EF217D"/>
    <w:rsid w:val="55E04146"/>
    <w:rsid w:val="56531827"/>
    <w:rsid w:val="566D4B95"/>
    <w:rsid w:val="56F33A85"/>
    <w:rsid w:val="57005DA5"/>
    <w:rsid w:val="571B5F1F"/>
    <w:rsid w:val="572656D4"/>
    <w:rsid w:val="57313C7A"/>
    <w:rsid w:val="574C19F6"/>
    <w:rsid w:val="577859A4"/>
    <w:rsid w:val="578671EF"/>
    <w:rsid w:val="578D0B51"/>
    <w:rsid w:val="579D397B"/>
    <w:rsid w:val="57A674E7"/>
    <w:rsid w:val="58204A41"/>
    <w:rsid w:val="58572B42"/>
    <w:rsid w:val="59234CED"/>
    <w:rsid w:val="592C11C2"/>
    <w:rsid w:val="595233B1"/>
    <w:rsid w:val="598C712E"/>
    <w:rsid w:val="59AD06A4"/>
    <w:rsid w:val="59BD4088"/>
    <w:rsid w:val="59C76154"/>
    <w:rsid w:val="59D40EB9"/>
    <w:rsid w:val="5A366BCB"/>
    <w:rsid w:val="5A4D586D"/>
    <w:rsid w:val="5A6249B0"/>
    <w:rsid w:val="5A9E604B"/>
    <w:rsid w:val="5AD6029C"/>
    <w:rsid w:val="5BA37CD6"/>
    <w:rsid w:val="5C131EE5"/>
    <w:rsid w:val="5C244B26"/>
    <w:rsid w:val="5C584744"/>
    <w:rsid w:val="5C995E78"/>
    <w:rsid w:val="5CF21778"/>
    <w:rsid w:val="5E665952"/>
    <w:rsid w:val="5EE84C68"/>
    <w:rsid w:val="5FA703FC"/>
    <w:rsid w:val="5FE56379"/>
    <w:rsid w:val="602463B0"/>
    <w:rsid w:val="6026592A"/>
    <w:rsid w:val="6091506D"/>
    <w:rsid w:val="60E07B05"/>
    <w:rsid w:val="611C2FBF"/>
    <w:rsid w:val="61467567"/>
    <w:rsid w:val="617E39ED"/>
    <w:rsid w:val="61932504"/>
    <w:rsid w:val="61F4087F"/>
    <w:rsid w:val="621D5BA4"/>
    <w:rsid w:val="6256701D"/>
    <w:rsid w:val="626B7D02"/>
    <w:rsid w:val="62C85520"/>
    <w:rsid w:val="62F852B9"/>
    <w:rsid w:val="63197EAF"/>
    <w:rsid w:val="635B6748"/>
    <w:rsid w:val="638E57A9"/>
    <w:rsid w:val="63947A95"/>
    <w:rsid w:val="639D5F0D"/>
    <w:rsid w:val="63E37DC4"/>
    <w:rsid w:val="64093676"/>
    <w:rsid w:val="640A4880"/>
    <w:rsid w:val="64220681"/>
    <w:rsid w:val="64CA620D"/>
    <w:rsid w:val="64D861CD"/>
    <w:rsid w:val="64DB7264"/>
    <w:rsid w:val="6563651B"/>
    <w:rsid w:val="6587055A"/>
    <w:rsid w:val="666F3C2D"/>
    <w:rsid w:val="669358D0"/>
    <w:rsid w:val="6721435E"/>
    <w:rsid w:val="672A39B3"/>
    <w:rsid w:val="678825A6"/>
    <w:rsid w:val="67955748"/>
    <w:rsid w:val="67B05ABC"/>
    <w:rsid w:val="67B167D1"/>
    <w:rsid w:val="67DB0789"/>
    <w:rsid w:val="67FE7192"/>
    <w:rsid w:val="684C32DB"/>
    <w:rsid w:val="685D4F36"/>
    <w:rsid w:val="685F1C50"/>
    <w:rsid w:val="68646806"/>
    <w:rsid w:val="68AA7102"/>
    <w:rsid w:val="68C1444C"/>
    <w:rsid w:val="690D12D9"/>
    <w:rsid w:val="699022E9"/>
    <w:rsid w:val="69E25B62"/>
    <w:rsid w:val="69E317A7"/>
    <w:rsid w:val="6A1B38EE"/>
    <w:rsid w:val="6A4D1A1F"/>
    <w:rsid w:val="6A69105A"/>
    <w:rsid w:val="6A714498"/>
    <w:rsid w:val="6B3B2E42"/>
    <w:rsid w:val="6B6C7187"/>
    <w:rsid w:val="6CCA3E19"/>
    <w:rsid w:val="6CDB1F80"/>
    <w:rsid w:val="6CEB3F4F"/>
    <w:rsid w:val="6D954EC9"/>
    <w:rsid w:val="6E7C4E33"/>
    <w:rsid w:val="6E880AEF"/>
    <w:rsid w:val="6FA019E9"/>
    <w:rsid w:val="6FF739FD"/>
    <w:rsid w:val="70284E6B"/>
    <w:rsid w:val="71230DD5"/>
    <w:rsid w:val="714C5892"/>
    <w:rsid w:val="718F71B4"/>
    <w:rsid w:val="71FE04BF"/>
    <w:rsid w:val="723A7CB1"/>
    <w:rsid w:val="727151E7"/>
    <w:rsid w:val="72D23BA6"/>
    <w:rsid w:val="72E2168C"/>
    <w:rsid w:val="738022F0"/>
    <w:rsid w:val="745919C6"/>
    <w:rsid w:val="74702A9A"/>
    <w:rsid w:val="74C046C2"/>
    <w:rsid w:val="751929F4"/>
    <w:rsid w:val="75412B9C"/>
    <w:rsid w:val="755D22E5"/>
    <w:rsid w:val="756C2BEA"/>
    <w:rsid w:val="75745308"/>
    <w:rsid w:val="75E76059"/>
    <w:rsid w:val="75FA76EF"/>
    <w:rsid w:val="761C2BBB"/>
    <w:rsid w:val="7620437E"/>
    <w:rsid w:val="76456711"/>
    <w:rsid w:val="764F12E9"/>
    <w:rsid w:val="7671701C"/>
    <w:rsid w:val="76C31F3F"/>
    <w:rsid w:val="76C77E2A"/>
    <w:rsid w:val="76F9017B"/>
    <w:rsid w:val="776A1DE8"/>
    <w:rsid w:val="77AA6501"/>
    <w:rsid w:val="77CB6175"/>
    <w:rsid w:val="77D86A06"/>
    <w:rsid w:val="780B4915"/>
    <w:rsid w:val="785D00CA"/>
    <w:rsid w:val="787417E9"/>
    <w:rsid w:val="78746DE5"/>
    <w:rsid w:val="78E16973"/>
    <w:rsid w:val="78E725A4"/>
    <w:rsid w:val="78FD21F4"/>
    <w:rsid w:val="794A5B32"/>
    <w:rsid w:val="794E4F7C"/>
    <w:rsid w:val="79646E59"/>
    <w:rsid w:val="7A730192"/>
    <w:rsid w:val="7A9D0BD2"/>
    <w:rsid w:val="7B8356EC"/>
    <w:rsid w:val="7B8A5EC2"/>
    <w:rsid w:val="7BCB320B"/>
    <w:rsid w:val="7C80540C"/>
    <w:rsid w:val="7CDB1252"/>
    <w:rsid w:val="7CE17663"/>
    <w:rsid w:val="7D3C42DB"/>
    <w:rsid w:val="7D5C6ADB"/>
    <w:rsid w:val="7D6E784A"/>
    <w:rsid w:val="7DA075A5"/>
    <w:rsid w:val="7DDD6CEA"/>
    <w:rsid w:val="7DED0920"/>
    <w:rsid w:val="7E3A10B9"/>
    <w:rsid w:val="7E636E14"/>
    <w:rsid w:val="7F5B6EA1"/>
    <w:rsid w:val="7F8677A0"/>
    <w:rsid w:val="7F8D4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keepLines/>
      <w:spacing w:before="260" w:after="260" w:line="416" w:lineRule="auto"/>
      <w:outlineLvl w:val="1"/>
    </w:pPr>
    <w:rPr>
      <w:rFonts w:ascii="Calibri Light" w:hAnsi="Calibri Light"/>
      <w:b/>
      <w:bCs/>
      <w:sz w:val="32"/>
      <w:szCs w:val="32"/>
    </w:rPr>
  </w:style>
  <w:style w:type="paragraph" w:styleId="7">
    <w:name w:val="heading 3"/>
    <w:basedOn w:val="1"/>
    <w:next w:val="1"/>
    <w:link w:val="48"/>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lang w:val="zh-CN"/>
    </w:rPr>
  </w:style>
  <w:style w:type="paragraph" w:styleId="9">
    <w:name w:val="heading 5"/>
    <w:basedOn w:val="1"/>
    <w:next w:val="1"/>
    <w:qFormat/>
    <w:uiPriority w:val="9"/>
    <w:pPr>
      <w:keepNext/>
      <w:keepLines/>
      <w:spacing w:before="280" w:after="290" w:line="376" w:lineRule="auto"/>
      <w:outlineLvl w:val="4"/>
    </w:pPr>
    <w:rPr>
      <w:b/>
      <w:bCs/>
      <w:sz w:val="28"/>
      <w:szCs w:val="28"/>
      <w:lang w:val="zh-CN"/>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sz w:val="21"/>
    </w:rPr>
  </w:style>
  <w:style w:type="paragraph" w:styleId="3">
    <w:name w:val="Body Text"/>
    <w:basedOn w:val="1"/>
    <w:next w:val="4"/>
    <w:link w:val="45"/>
    <w:qFormat/>
    <w:uiPriority w:val="0"/>
    <w:pPr>
      <w:spacing w:line="360" w:lineRule="exact"/>
    </w:pPr>
    <w:rPr>
      <w:sz w:val="24"/>
    </w:rPr>
  </w:style>
  <w:style w:type="paragraph" w:customStyle="1" w:styleId="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List Number"/>
    <w:basedOn w:val="1"/>
    <w:qFormat/>
    <w:uiPriority w:val="0"/>
    <w:pPr>
      <w:numPr>
        <w:ilvl w:val="0"/>
        <w:numId w:val="1"/>
      </w:numPr>
    </w:pPr>
  </w:style>
  <w:style w:type="paragraph" w:styleId="11">
    <w:name w:val="Normal Indent"/>
    <w:basedOn w:val="1"/>
    <w:next w:val="12"/>
    <w:qFormat/>
    <w:uiPriority w:val="0"/>
    <w:pPr>
      <w:ind w:firstLine="420"/>
    </w:pPr>
    <w:rPr>
      <w:szCs w:val="20"/>
    </w:rPr>
  </w:style>
  <w:style w:type="paragraph" w:styleId="12">
    <w:name w:val="Body Text Indent"/>
    <w:basedOn w:val="1"/>
    <w:next w:val="1"/>
    <w:link w:val="50"/>
    <w:qFormat/>
    <w:uiPriority w:val="0"/>
    <w:pPr>
      <w:spacing w:after="120"/>
      <w:ind w:left="420" w:leftChars="200"/>
    </w:pPr>
  </w:style>
  <w:style w:type="paragraph" w:styleId="13">
    <w:name w:val="annotation text"/>
    <w:basedOn w:val="1"/>
    <w:link w:val="43"/>
    <w:qFormat/>
    <w:uiPriority w:val="0"/>
    <w:pPr>
      <w:jc w:val="left"/>
    </w:pPr>
  </w:style>
  <w:style w:type="paragraph" w:styleId="14">
    <w:name w:val="Block Text"/>
    <w:basedOn w:val="1"/>
    <w:qFormat/>
    <w:uiPriority w:val="0"/>
    <w:pPr>
      <w:adjustRightInd w:val="0"/>
      <w:spacing w:line="300" w:lineRule="auto"/>
      <w:ind w:left="958" w:right="-120" w:rightChars="-120"/>
      <w:jc w:val="left"/>
    </w:pPr>
    <w:rPr>
      <w:rFonts w:ascii="宋体" w:hAnsi="宋体"/>
      <w:sz w:val="28"/>
    </w:rPr>
  </w:style>
  <w:style w:type="paragraph" w:styleId="15">
    <w:name w:val="Plain Text"/>
    <w:basedOn w:val="1"/>
    <w:next w:val="16"/>
    <w:link w:val="37"/>
    <w:qFormat/>
    <w:uiPriority w:val="0"/>
    <w:rPr>
      <w:rFonts w:ascii="宋体" w:hAnsi="Courier New"/>
    </w:rPr>
  </w:style>
  <w:style w:type="paragraph" w:styleId="16">
    <w:name w:val="toc 2"/>
    <w:basedOn w:val="1"/>
    <w:next w:val="1"/>
    <w:qFormat/>
    <w:uiPriority w:val="0"/>
    <w:pPr>
      <w:ind w:left="420" w:leftChars="200"/>
    </w:pPr>
  </w:style>
  <w:style w:type="paragraph" w:styleId="17">
    <w:name w:val="Date"/>
    <w:basedOn w:val="1"/>
    <w:next w:val="1"/>
    <w:link w:val="49"/>
    <w:qFormat/>
    <w:uiPriority w:val="0"/>
    <w:pPr>
      <w:ind w:left="2500" w:leftChars="2500"/>
    </w:pPr>
    <w:rPr>
      <w:rFonts w:ascii="Calibri" w:hAnsi="Calibri" w:eastAsia="楷体_GB2312"/>
      <w:sz w:val="32"/>
      <w:szCs w:val="22"/>
    </w:rPr>
  </w:style>
  <w:style w:type="paragraph" w:styleId="18">
    <w:name w:val="Balloon Text"/>
    <w:basedOn w:val="1"/>
    <w:link w:val="38"/>
    <w:qFormat/>
    <w:uiPriority w:val="0"/>
    <w:rPr>
      <w:sz w:val="18"/>
      <w:szCs w:val="18"/>
    </w:rPr>
  </w:style>
  <w:style w:type="paragraph" w:styleId="19">
    <w:name w:val="footer"/>
    <w:basedOn w:val="1"/>
    <w:link w:val="39"/>
    <w:qFormat/>
    <w:uiPriority w:val="0"/>
    <w:pPr>
      <w:tabs>
        <w:tab w:val="center" w:pos="4153"/>
        <w:tab w:val="right" w:pos="8306"/>
      </w:tabs>
      <w:snapToGrid w:val="0"/>
      <w:jc w:val="left"/>
    </w:pPr>
    <w:rPr>
      <w:sz w:val="18"/>
    </w:rPr>
  </w:style>
  <w:style w:type="paragraph" w:styleId="20">
    <w:name w:val="header"/>
    <w:basedOn w:val="1"/>
    <w:link w:val="4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List"/>
    <w:basedOn w:val="1"/>
    <w:qFormat/>
    <w:uiPriority w:val="0"/>
    <w:pPr>
      <w:ind w:left="200" w:hanging="200" w:hangingChars="200"/>
    </w:pPr>
  </w:style>
  <w:style w:type="paragraph" w:styleId="22">
    <w:name w:val="footnote text"/>
    <w:basedOn w:val="1"/>
    <w:semiHidden/>
    <w:unhideWhenUsed/>
    <w:qFormat/>
    <w:uiPriority w:val="99"/>
    <w:pPr>
      <w:snapToGrid w:val="0"/>
      <w:jc w:val="left"/>
    </w:pPr>
    <w:rPr>
      <w:sz w:val="18"/>
    </w:rPr>
  </w:style>
  <w:style w:type="paragraph" w:styleId="23">
    <w:name w:val="toc 6"/>
    <w:basedOn w:val="1"/>
    <w:next w:val="1"/>
    <w:qFormat/>
    <w:uiPriority w:val="39"/>
    <w:pPr>
      <w:widowControl/>
      <w:ind w:left="1000"/>
      <w:jc w:val="left"/>
    </w:pPr>
    <w:rPr>
      <w:kern w:val="0"/>
      <w:sz w:val="18"/>
      <w:szCs w:val="20"/>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paragraph" w:styleId="26">
    <w:name w:val="annotation subject"/>
    <w:basedOn w:val="13"/>
    <w:next w:val="13"/>
    <w:link w:val="42"/>
    <w:qFormat/>
    <w:uiPriority w:val="0"/>
    <w:rPr>
      <w:b/>
      <w:bCs/>
    </w:rPr>
  </w:style>
  <w:style w:type="paragraph" w:styleId="27">
    <w:name w:val="Body Text First Indent 2"/>
    <w:basedOn w:val="12"/>
    <w:next w:val="1"/>
    <w:qFormat/>
    <w:uiPriority w:val="0"/>
    <w:pPr>
      <w:ind w:firstLine="420"/>
    </w:pPr>
  </w:style>
  <w:style w:type="table" w:styleId="29">
    <w:name w:val="Table Grid"/>
    <w:basedOn w:val="2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rFonts w:ascii="Times New Roman" w:hAnsi="Times New Roman" w:eastAsia="宋体" w:cs="Times New Roman"/>
      <w:b/>
    </w:rPr>
  </w:style>
  <w:style w:type="character" w:styleId="32">
    <w:name w:val="page number"/>
    <w:basedOn w:val="30"/>
    <w:qFormat/>
    <w:uiPriority w:val="0"/>
  </w:style>
  <w:style w:type="character" w:styleId="33">
    <w:name w:val="Hyperlink"/>
    <w:basedOn w:val="30"/>
    <w:qFormat/>
    <w:uiPriority w:val="0"/>
    <w:rPr>
      <w:rFonts w:ascii="Times New Roman" w:hAnsi="Times New Roman" w:eastAsia="宋体" w:cs="Times New Roman"/>
      <w:color w:val="0000FF"/>
      <w:u w:val="single"/>
    </w:rPr>
  </w:style>
  <w:style w:type="character" w:styleId="34">
    <w:name w:val="annotation reference"/>
    <w:basedOn w:val="30"/>
    <w:qFormat/>
    <w:uiPriority w:val="0"/>
    <w:rPr>
      <w:rFonts w:ascii="Times New Roman" w:hAnsi="Times New Roman" w:eastAsia="宋体" w:cs="Times New Roman"/>
      <w:sz w:val="21"/>
      <w:szCs w:val="21"/>
    </w:rPr>
  </w:style>
  <w:style w:type="character" w:styleId="35">
    <w:name w:val="footnote reference"/>
    <w:basedOn w:val="30"/>
    <w:semiHidden/>
    <w:unhideWhenUsed/>
    <w:qFormat/>
    <w:uiPriority w:val="99"/>
    <w:rPr>
      <w:vertAlign w:val="superscript"/>
    </w:rPr>
  </w:style>
  <w:style w:type="character" w:customStyle="1" w:styleId="36">
    <w:name w:val="标题 1 Char"/>
    <w:basedOn w:val="30"/>
    <w:link w:val="5"/>
    <w:qFormat/>
    <w:uiPriority w:val="0"/>
    <w:rPr>
      <w:rFonts w:ascii="Times New Roman" w:hAnsi="Times New Roman" w:eastAsia="宋体" w:cs="Times New Roman"/>
      <w:b/>
      <w:bCs/>
      <w:kern w:val="44"/>
      <w:sz w:val="44"/>
      <w:szCs w:val="44"/>
    </w:rPr>
  </w:style>
  <w:style w:type="character" w:customStyle="1" w:styleId="37">
    <w:name w:val="纯文本 Char"/>
    <w:basedOn w:val="30"/>
    <w:link w:val="15"/>
    <w:qFormat/>
    <w:uiPriority w:val="0"/>
    <w:rPr>
      <w:rFonts w:ascii="宋体" w:hAnsi="Courier New" w:eastAsia="宋体" w:cs="Courier New"/>
      <w:sz w:val="21"/>
      <w:szCs w:val="21"/>
    </w:rPr>
  </w:style>
  <w:style w:type="character" w:customStyle="1" w:styleId="38">
    <w:name w:val="批注框文本 Char"/>
    <w:basedOn w:val="30"/>
    <w:link w:val="18"/>
    <w:qFormat/>
    <w:uiPriority w:val="0"/>
    <w:rPr>
      <w:rFonts w:ascii="Times New Roman" w:hAnsi="Times New Roman" w:eastAsia="宋体" w:cs="Times New Roman"/>
      <w:kern w:val="2"/>
      <w:sz w:val="18"/>
      <w:szCs w:val="18"/>
    </w:rPr>
  </w:style>
  <w:style w:type="character" w:customStyle="1" w:styleId="39">
    <w:name w:val="页脚 Char"/>
    <w:basedOn w:val="30"/>
    <w:link w:val="19"/>
    <w:qFormat/>
    <w:uiPriority w:val="0"/>
    <w:rPr>
      <w:rFonts w:ascii="Times New Roman" w:hAnsi="Times New Roman" w:eastAsia="宋体" w:cs="Times New Roman"/>
      <w:sz w:val="18"/>
      <w:szCs w:val="18"/>
    </w:rPr>
  </w:style>
  <w:style w:type="character" w:customStyle="1" w:styleId="40">
    <w:name w:val="标题 2 Char"/>
    <w:basedOn w:val="30"/>
    <w:link w:val="6"/>
    <w:qFormat/>
    <w:uiPriority w:val="0"/>
    <w:rPr>
      <w:rFonts w:ascii="Cambria" w:hAnsi="Cambria" w:eastAsia="宋体" w:cs="Times New Roman"/>
      <w:b/>
      <w:bCs/>
      <w:sz w:val="32"/>
      <w:szCs w:val="32"/>
    </w:rPr>
  </w:style>
  <w:style w:type="character" w:customStyle="1" w:styleId="41">
    <w:name w:val="font01"/>
    <w:qFormat/>
    <w:uiPriority w:val="0"/>
    <w:rPr>
      <w:rFonts w:hint="eastAsia" w:ascii="宋体" w:hAnsi="宋体" w:eastAsia="宋体" w:cs="宋体"/>
      <w:color w:val="000000"/>
      <w:sz w:val="24"/>
      <w:szCs w:val="24"/>
      <w:u w:val="none"/>
    </w:rPr>
  </w:style>
  <w:style w:type="character" w:customStyle="1" w:styleId="42">
    <w:name w:val="批注主题 Char"/>
    <w:basedOn w:val="43"/>
    <w:link w:val="26"/>
    <w:qFormat/>
    <w:uiPriority w:val="0"/>
    <w:rPr>
      <w:rFonts w:ascii="Times New Roman" w:hAnsi="Times New Roman" w:eastAsia="宋体" w:cs="Times New Roman"/>
      <w:b/>
      <w:bCs/>
      <w:kern w:val="2"/>
      <w:sz w:val="24"/>
      <w:szCs w:val="24"/>
    </w:rPr>
  </w:style>
  <w:style w:type="character" w:customStyle="1" w:styleId="43">
    <w:name w:val="批注文字 Char"/>
    <w:basedOn w:val="30"/>
    <w:link w:val="13"/>
    <w:qFormat/>
    <w:uiPriority w:val="0"/>
    <w:rPr>
      <w:rFonts w:ascii="Times New Roman" w:hAnsi="Times New Roman" w:eastAsia="宋体" w:cs="Times New Roman"/>
      <w:kern w:val="2"/>
      <w:sz w:val="24"/>
      <w:szCs w:val="24"/>
    </w:rPr>
  </w:style>
  <w:style w:type="character" w:customStyle="1" w:styleId="44">
    <w:name w:val="font11"/>
    <w:basedOn w:val="30"/>
    <w:qFormat/>
    <w:uiPriority w:val="0"/>
    <w:rPr>
      <w:rFonts w:hint="default" w:ascii="Times New Roman" w:hAnsi="Times New Roman" w:eastAsia="宋体" w:cs="Times New Roman"/>
      <w:color w:val="000000"/>
      <w:sz w:val="24"/>
      <w:szCs w:val="24"/>
      <w:u w:val="none"/>
    </w:rPr>
  </w:style>
  <w:style w:type="character" w:customStyle="1" w:styleId="45">
    <w:name w:val="正文文本 Char"/>
    <w:basedOn w:val="30"/>
    <w:link w:val="3"/>
    <w:qFormat/>
    <w:uiPriority w:val="0"/>
    <w:rPr>
      <w:rFonts w:ascii="Times New Roman" w:hAnsi="Times New Roman" w:eastAsia="宋体" w:cs="Times New Roman"/>
      <w:sz w:val="24"/>
      <w:szCs w:val="24"/>
    </w:rPr>
  </w:style>
  <w:style w:type="character" w:customStyle="1" w:styleId="46">
    <w:name w:val="页眉 Char"/>
    <w:basedOn w:val="30"/>
    <w:link w:val="20"/>
    <w:qFormat/>
    <w:uiPriority w:val="0"/>
    <w:rPr>
      <w:rFonts w:ascii="Times New Roman" w:hAnsi="Times New Roman" w:eastAsia="宋体" w:cs="Times New Roman"/>
      <w:sz w:val="18"/>
      <w:szCs w:val="18"/>
    </w:rPr>
  </w:style>
  <w:style w:type="character" w:customStyle="1" w:styleId="47">
    <w:name w:val="font31"/>
    <w:qFormat/>
    <w:uiPriority w:val="0"/>
    <w:rPr>
      <w:rFonts w:hint="eastAsia" w:ascii="宋体" w:hAnsi="宋体" w:eastAsia="宋体" w:cs="宋体"/>
      <w:color w:val="000000"/>
      <w:sz w:val="24"/>
      <w:szCs w:val="24"/>
      <w:u w:val="none"/>
    </w:rPr>
  </w:style>
  <w:style w:type="character" w:customStyle="1" w:styleId="48">
    <w:name w:val="标题 3 Char"/>
    <w:basedOn w:val="30"/>
    <w:link w:val="7"/>
    <w:qFormat/>
    <w:uiPriority w:val="0"/>
    <w:rPr>
      <w:rFonts w:ascii="Times New Roman" w:hAnsi="Times New Roman" w:eastAsia="宋体" w:cs="Times New Roman"/>
      <w:b/>
      <w:bCs/>
      <w:sz w:val="32"/>
      <w:szCs w:val="32"/>
    </w:rPr>
  </w:style>
  <w:style w:type="character" w:customStyle="1" w:styleId="49">
    <w:name w:val="日期 Char"/>
    <w:basedOn w:val="30"/>
    <w:link w:val="17"/>
    <w:qFormat/>
    <w:uiPriority w:val="0"/>
    <w:rPr>
      <w:rFonts w:ascii="Times New Roman" w:hAnsi="Times New Roman" w:eastAsia="宋体" w:cs="Times New Roman"/>
      <w:sz w:val="24"/>
      <w:szCs w:val="24"/>
    </w:rPr>
  </w:style>
  <w:style w:type="character" w:customStyle="1" w:styleId="50">
    <w:name w:val="正文文本缩进 Char"/>
    <w:basedOn w:val="30"/>
    <w:link w:val="12"/>
    <w:qFormat/>
    <w:uiPriority w:val="0"/>
    <w:rPr>
      <w:rFonts w:ascii="Times New Roman" w:hAnsi="Times New Roman" w:eastAsia="宋体" w:cs="Times New Roman"/>
      <w:kern w:val="2"/>
      <w:sz w:val="24"/>
      <w:szCs w:val="24"/>
    </w:rPr>
  </w:style>
  <w:style w:type="paragraph" w:customStyle="1" w:styleId="51">
    <w:name w:val="纯文本_3"/>
    <w:basedOn w:val="52"/>
    <w:qFormat/>
    <w:uiPriority w:val="0"/>
    <w:pPr>
      <w:widowControl/>
      <w:jc w:val="left"/>
    </w:pPr>
    <w:rPr>
      <w:rFonts w:ascii="宋体" w:hAnsi="Courier New"/>
      <w:szCs w:val="21"/>
    </w:rPr>
  </w:style>
  <w:style w:type="paragraph" w:customStyle="1" w:styleId="5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纯文本_0_1"/>
    <w:basedOn w:val="1"/>
    <w:qFormat/>
    <w:uiPriority w:val="0"/>
    <w:pPr>
      <w:widowControl/>
      <w:jc w:val="left"/>
    </w:pPr>
    <w:rPr>
      <w:rFonts w:ascii="宋体" w:hAnsi="Courier New"/>
      <w:szCs w:val="21"/>
    </w:rPr>
  </w:style>
  <w:style w:type="paragraph" w:customStyle="1" w:styleId="5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6">
    <w:name w:val="表格文字"/>
    <w:basedOn w:val="1"/>
    <w:next w:val="3"/>
    <w:qFormat/>
    <w:uiPriority w:val="0"/>
    <w:pPr>
      <w:adjustRightInd w:val="0"/>
      <w:spacing w:line="420" w:lineRule="atLeast"/>
      <w:jc w:val="left"/>
      <w:textAlignment w:val="baseline"/>
    </w:pPr>
    <w:rPr>
      <w:kern w:val="0"/>
    </w:rPr>
  </w:style>
  <w:style w:type="paragraph" w:customStyle="1" w:styleId="57">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61">
    <w:name w:val="页眉与页脚"/>
    <w:qFormat/>
    <w:uiPriority w:val="0"/>
    <w:pPr>
      <w:tabs>
        <w:tab w:val="right" w:pos="9020"/>
      </w:tabs>
    </w:pPr>
    <w:rPr>
      <w:rFonts w:ascii="Helvetica" w:hAnsi="Helvetica" w:eastAsia="宋体" w:cs="Arial Unicode MS"/>
      <w:color w:val="000000"/>
      <w:sz w:val="24"/>
      <w:szCs w:val="24"/>
      <w:lang w:val="en-US" w:eastAsia="zh-CN" w:bidi="ar-SA"/>
    </w:rPr>
  </w:style>
  <w:style w:type="paragraph" w:customStyle="1" w:styleId="62">
    <w:name w:val="正文（首行缩进2字符）"/>
    <w:basedOn w:val="1"/>
    <w:qFormat/>
    <w:uiPriority w:val="0"/>
    <w:pPr>
      <w:spacing w:line="360" w:lineRule="auto"/>
      <w:ind w:firstLine="420" w:firstLineChars="200"/>
    </w:pPr>
    <w:rPr>
      <w:szCs w:val="21"/>
    </w:rPr>
  </w:style>
  <w:style w:type="paragraph" w:customStyle="1" w:styleId="63">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6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14"/>
    <w:qFormat/>
    <w:uiPriority w:val="0"/>
    <w:rPr>
      <w:rFonts w:ascii="Times New Roman" w:hAnsi="Times New Roman" w:eastAsia="宋体" w:cs="Times New Roman"/>
      <w:sz w:val="21"/>
      <w:szCs w:val="22"/>
      <w:lang w:val="en-US" w:eastAsia="zh-CN" w:bidi="ar-SA"/>
    </w:rPr>
  </w:style>
  <w:style w:type="paragraph" w:customStyle="1" w:styleId="6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列出段落1"/>
    <w:basedOn w:val="1"/>
    <w:qFormat/>
    <w:uiPriority w:val="0"/>
    <w:pPr>
      <w:ind w:firstLine="420" w:firstLineChars="200"/>
    </w:pPr>
    <w:rPr>
      <w:rFonts w:ascii="Calibri" w:hAnsi="Calibri"/>
      <w:kern w:val="0"/>
      <w:szCs w:val="20"/>
    </w:rPr>
  </w:style>
  <w:style w:type="paragraph" w:customStyle="1" w:styleId="70">
    <w:name w:val="正文2"/>
    <w:basedOn w:val="1"/>
    <w:qFormat/>
    <w:uiPriority w:val="0"/>
    <w:pPr>
      <w:spacing w:before="156" w:line="360" w:lineRule="auto"/>
      <w:ind w:firstLine="510" w:firstLineChars="200"/>
    </w:pPr>
    <w:rPr>
      <w:sz w:val="24"/>
      <w:szCs w:val="20"/>
    </w:rPr>
  </w:style>
  <w:style w:type="paragraph" w:customStyle="1" w:styleId="71">
    <w:name w:val="正文 A"/>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72">
    <w:name w:val="列出段落2"/>
    <w:basedOn w:val="1"/>
    <w:qFormat/>
    <w:uiPriority w:val="0"/>
    <w:pPr>
      <w:ind w:firstLine="420" w:firstLineChars="200"/>
    </w:pPr>
    <w:rPr>
      <w:rFonts w:ascii="Calibri" w:hAnsi="Calibri"/>
      <w:szCs w:val="22"/>
    </w:rPr>
  </w:style>
  <w:style w:type="character" w:customStyle="1" w:styleId="73">
    <w:name w:val="font61"/>
    <w:basedOn w:val="30"/>
    <w:qFormat/>
    <w:uiPriority w:val="0"/>
    <w:rPr>
      <w:rFonts w:hint="default" w:ascii="Times New Roman" w:hAnsi="Times New Roman" w:cs="Times New Roman"/>
      <w:b/>
      <w:color w:val="000000"/>
      <w:sz w:val="21"/>
      <w:szCs w:val="21"/>
      <w:u w:val="none"/>
    </w:rPr>
  </w:style>
  <w:style w:type="character" w:customStyle="1" w:styleId="74">
    <w:name w:val="font112"/>
    <w:basedOn w:val="30"/>
    <w:qFormat/>
    <w:uiPriority w:val="0"/>
    <w:rPr>
      <w:rFonts w:hint="eastAsia" w:ascii="宋体" w:hAnsi="宋体" w:eastAsia="宋体" w:cs="宋体"/>
      <w:b/>
      <w:color w:val="000000"/>
      <w:sz w:val="21"/>
      <w:szCs w:val="21"/>
      <w:u w:val="none"/>
    </w:rPr>
  </w:style>
  <w:style w:type="character" w:customStyle="1" w:styleId="75">
    <w:name w:val="font41"/>
    <w:basedOn w:val="30"/>
    <w:qFormat/>
    <w:uiPriority w:val="0"/>
    <w:rPr>
      <w:rFonts w:hint="default" w:ascii="Times New Roman" w:hAnsi="Times New Roman" w:cs="Times New Roman"/>
      <w:b/>
      <w:color w:val="000000"/>
      <w:sz w:val="21"/>
      <w:szCs w:val="21"/>
      <w:u w:val="none"/>
    </w:rPr>
  </w:style>
  <w:style w:type="character" w:customStyle="1" w:styleId="76">
    <w:name w:val="font101"/>
    <w:basedOn w:val="30"/>
    <w:qFormat/>
    <w:uiPriority w:val="0"/>
    <w:rPr>
      <w:rFonts w:hint="default" w:ascii="Times New Roman" w:hAnsi="Times New Roman" w:cs="Times New Roman"/>
      <w:b/>
      <w:color w:val="000000"/>
      <w:sz w:val="18"/>
      <w:szCs w:val="18"/>
      <w:u w:val="none"/>
    </w:rPr>
  </w:style>
  <w:style w:type="character" w:customStyle="1" w:styleId="77">
    <w:name w:val="font81"/>
    <w:basedOn w:val="30"/>
    <w:qFormat/>
    <w:uiPriority w:val="0"/>
    <w:rPr>
      <w:rFonts w:hint="default" w:ascii="Times New Roman" w:hAnsi="Times New Roman" w:cs="Times New Roman"/>
      <w:b/>
      <w:color w:val="FF0000"/>
      <w:sz w:val="21"/>
      <w:szCs w:val="21"/>
      <w:u w:val="none"/>
    </w:rPr>
  </w:style>
  <w:style w:type="character" w:customStyle="1" w:styleId="78">
    <w:name w:val="font141"/>
    <w:basedOn w:val="30"/>
    <w:qFormat/>
    <w:uiPriority w:val="0"/>
    <w:rPr>
      <w:rFonts w:hint="eastAsia" w:ascii="宋体" w:hAnsi="宋体" w:eastAsia="宋体" w:cs="宋体"/>
      <w:b/>
      <w:color w:val="FF0000"/>
      <w:sz w:val="21"/>
      <w:szCs w:val="21"/>
      <w:u w:val="none"/>
    </w:rPr>
  </w:style>
  <w:style w:type="character" w:customStyle="1" w:styleId="79">
    <w:name w:val="font151"/>
    <w:basedOn w:val="30"/>
    <w:qFormat/>
    <w:uiPriority w:val="0"/>
    <w:rPr>
      <w:rFonts w:hint="default" w:ascii="Times New Roman" w:hAnsi="Times New Roman" w:cs="Times New Roman"/>
      <w:b/>
      <w:color w:val="000000"/>
      <w:sz w:val="21"/>
      <w:szCs w:val="21"/>
      <w:u w:val="none"/>
    </w:rPr>
  </w:style>
  <w:style w:type="character" w:customStyle="1" w:styleId="80">
    <w:name w:val="font21"/>
    <w:basedOn w:val="30"/>
    <w:qFormat/>
    <w:uiPriority w:val="0"/>
    <w:rPr>
      <w:rFonts w:hint="eastAsia" w:ascii="宋体" w:hAnsi="宋体" w:eastAsia="宋体" w:cs="宋体"/>
      <w:b/>
      <w:color w:val="FF0000"/>
      <w:sz w:val="24"/>
      <w:szCs w:val="24"/>
      <w:u w:val="none"/>
    </w:rPr>
  </w:style>
  <w:style w:type="paragraph" w:customStyle="1" w:styleId="81">
    <w:name w:val="无间隔2"/>
    <w:qFormat/>
    <w:uiPriority w:val="99"/>
    <w:pPr>
      <w:adjustRightInd w:val="0"/>
      <w:snapToGrid w:val="0"/>
    </w:pPr>
    <w:rPr>
      <w:rFonts w:ascii="Tahoma" w:hAnsi="Tahoma" w:eastAsia="微软雅黑" w:cs="Times New Roman"/>
      <w:sz w:val="22"/>
      <w:szCs w:val="22"/>
      <w:lang w:val="en-US" w:eastAsia="zh-CN" w:bidi="ar-SA"/>
    </w:rPr>
  </w:style>
  <w:style w:type="paragraph" w:customStyle="1" w:styleId="82">
    <w:name w:val="表格1"/>
    <w:qFormat/>
    <w:uiPriority w:val="0"/>
    <w:pPr>
      <w:spacing w:line="360" w:lineRule="auto"/>
    </w:pPr>
    <w:rPr>
      <w:rFonts w:ascii="Times New Roman" w:hAnsi="Times New Roman" w:eastAsia="仿宋" w:cs="Times New Roman"/>
      <w:kern w:val="2"/>
      <w:sz w:val="28"/>
      <w:lang w:val="en-US" w:eastAsia="zh-CN" w:bidi="ar-SA"/>
    </w:rPr>
  </w:style>
  <w:style w:type="paragraph" w:styleId="83">
    <w:name w:val="List Paragraph"/>
    <w:basedOn w:val="1"/>
    <w:qFormat/>
    <w:uiPriority w:val="0"/>
    <w:pPr>
      <w:ind w:firstLine="420" w:firstLineChars="200"/>
    </w:pPr>
  </w:style>
  <w:style w:type="paragraph" w:customStyle="1" w:styleId="84">
    <w:name w:val="样式 标题 31.1.1标题 333rd levelBOD 0Bold HeadCTH3H31Heading ...1"/>
    <w:basedOn w:val="7"/>
    <w:qFormat/>
    <w:uiPriority w:val="0"/>
    <w:pPr>
      <w:spacing w:before="0" w:after="0" w:line="360" w:lineRule="auto"/>
    </w:pPr>
    <w:rPr>
      <w:rFonts w:ascii="仿宋_GB2312" w:eastAsia="仿宋_GB2312"/>
      <w:sz w:val="24"/>
      <w:szCs w:val="20"/>
    </w:rPr>
  </w:style>
  <w:style w:type="paragraph" w:customStyle="1" w:styleId="85">
    <w:name w:val="*正文"/>
    <w:basedOn w:val="1"/>
    <w:qFormat/>
    <w:uiPriority w:val="0"/>
    <w:pPr>
      <w:spacing w:line="300" w:lineRule="auto"/>
      <w:ind w:firstLine="480" w:firstLineChars="200"/>
    </w:pPr>
  </w:style>
  <w:style w:type="paragraph" w:customStyle="1" w:styleId="86">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8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88">
    <w:name w:val="网格型1"/>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0">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91">
    <w:name w:val="NormalCharacter"/>
    <w:qFormat/>
    <w:uiPriority w:val="0"/>
    <w:rPr>
      <w:rFonts w:ascii="Calibri" w:hAnsi="Calibri"/>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5.xml" Type="http://schemas.openxmlformats.org/officeDocument/2006/relationships/header"/><Relationship Id="rId12" Target="footer4.xml" Type="http://schemas.openxmlformats.org/officeDocument/2006/relationships/footer"/><Relationship Id="rId13" Target="theme/theme1.xml" Type="http://schemas.openxmlformats.org/officeDocument/2006/relationships/theme"/><Relationship Id="rId14" Target="media/image1.png" Type="http://schemas.openxmlformats.org/officeDocument/2006/relationships/image"/><Relationship Id="rId15" Target="../customXml/item1.xml" Type="http://schemas.openxmlformats.org/officeDocument/2006/relationships/customXml"/><Relationship Id="rId16" Target="numbering.xml" Type="http://schemas.openxmlformats.org/officeDocument/2006/relationships/numbering"/><Relationship Id="rId17" Target="../customXml/item2.xml" Type="http://schemas.openxmlformats.org/officeDocument/2006/relationships/customXml"/><Relationship Id="rId18"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header3.xml" Type="http://schemas.openxmlformats.org/officeDocument/2006/relationships/header"/><Relationship Id="rId7" Target="header4.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E7E7A-2FBE-4E41-A8BE-732251FB716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86</Pages>
  <Words>46459</Words>
  <Characters>50853</Characters>
  <Lines>382</Lines>
  <Paragraphs>107</Paragraphs>
  <TotalTime>3</TotalTime>
  <ScaleCrop>false</ScaleCrop>
  <LinksUpToDate>false</LinksUpToDate>
  <CharactersWithSpaces>51550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2022-04-28T08:53:00Z</dcterms:created>
  <dc:creator>S-mile</dc:creator>
  <cp:lastModifiedBy>WPS123123</cp:lastModifiedBy>
  <cp:lastPrinted>2021-08-10T04:06:00Z</cp:lastPrinted>
  <dcterms:modified xsi:type="dcterms:W3CDTF">2022-08-29T05:13:52Z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81B6656885CE4EF2ABAAD7185C9FDFBB</vt:lpwstr>
  </property>
  <property fmtid="{D5CDD505-2E9C-101B-9397-08002B2CF9AE}" pid="4" name="commondata">
    <vt:lpwstr>eyJoZGlkIjoiNGRmZGMxMGI5MzU0NjE5YTJhNTk3MTkzNWRjOGYwYTAifQ==</vt:lpwstr>
  </property>
</Properties>
</file>