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textAlignment w:val="bottom"/>
        <w:rPr>
          <w:rFonts w:hint="eastAsia" w:ascii="宋体" w:hAnsi="宋体" w:eastAsia="宋体" w:cs="宋体"/>
          <w:b/>
          <w:color w:val="000000" w:themeColor="text1"/>
          <w:kern w:val="0"/>
          <w:sz w:val="52"/>
          <w:szCs w:val="52"/>
          <w:highlight w:val="none"/>
          <w14:textFill>
            <w14:solidFill>
              <w14:schemeClr w14:val="tx1"/>
            </w14:solidFill>
          </w14:textFill>
        </w:rPr>
      </w:pP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a:lum contrast="11999"/>
                    </a:blip>
                    <a:stretch>
                      <a:fillRect/>
                    </a:stretch>
                  </pic:blipFill>
                  <pic:spPr>
                    <a:xfrm>
                      <a:off x="0" y="0"/>
                      <a:ext cx="2971800" cy="2091690"/>
                    </a:xfrm>
                    <a:prstGeom prst="rect">
                      <a:avLst/>
                    </a:prstGeom>
                    <a:noFill/>
                    <a:ln>
                      <a:noFill/>
                    </a:ln>
                  </pic:spPr>
                </pic:pic>
              </a:graphicData>
            </a:graphic>
          </wp:anchor>
        </w:drawing>
      </w:r>
    </w:p>
    <w:p>
      <w:pPr>
        <w:shd w:val="clear"/>
        <w:jc w:val="center"/>
        <w:rPr>
          <w:rFonts w:hint="eastAsia" w:ascii="宋体" w:hAnsi="宋体" w:eastAsia="宋体" w:cs="宋体"/>
          <w:color w:val="000000" w:themeColor="text1"/>
          <w:sz w:val="52"/>
          <w:szCs w:val="52"/>
          <w:highlight w:val="none"/>
          <w14:textFill>
            <w14:solidFill>
              <w14:schemeClr w14:val="tx1"/>
            </w14:solidFill>
          </w14:textFill>
        </w:rPr>
      </w:pPr>
    </w:p>
    <w:p>
      <w:pPr>
        <w:shd w:val="clear"/>
        <w:jc w:val="center"/>
        <w:rPr>
          <w:rFonts w:hint="eastAsia" w:ascii="宋体" w:hAnsi="宋体" w:eastAsia="宋体" w:cs="宋体"/>
          <w:color w:val="000000" w:themeColor="text1"/>
          <w:sz w:val="72"/>
          <w:szCs w:val="72"/>
          <w:highlight w:val="none"/>
          <w14:textFill>
            <w14:solidFill>
              <w14:schemeClr w14:val="tx1"/>
            </w14:solidFill>
          </w14:textFill>
        </w:rPr>
      </w:pPr>
      <w:r>
        <w:rPr>
          <w:rFonts w:hint="eastAsia" w:ascii="宋体" w:hAnsi="宋体" w:eastAsia="宋体" w:cs="宋体"/>
          <w:color w:val="000000" w:themeColor="text1"/>
          <w:sz w:val="72"/>
          <w:szCs w:val="72"/>
          <w:highlight w:val="none"/>
          <w14:textFill>
            <w14:solidFill>
              <w14:schemeClr w14:val="tx1"/>
            </w14:solidFill>
          </w14:textFill>
        </w:rPr>
        <w:t xml:space="preserve">         F-STONE</w:t>
      </w: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pPr>
        <w:pStyle w:val="11"/>
        <w:shd w:val="clear"/>
        <w:ind w:firstLine="0"/>
        <w:rPr>
          <w:rFonts w:hint="eastAsia" w:ascii="宋体" w:hAnsi="宋体" w:eastAsia="宋体" w:cs="宋体"/>
          <w:b/>
          <w:color w:val="000000" w:themeColor="text1"/>
          <w:sz w:val="72"/>
          <w:szCs w:val="72"/>
          <w:highlight w:val="none"/>
          <w14:textFill>
            <w14:solidFill>
              <w14:schemeClr w14:val="tx1"/>
            </w14:solidFill>
          </w14:textFill>
        </w:rPr>
      </w:pPr>
    </w:p>
    <w:p>
      <w:pPr>
        <w:pStyle w:val="12"/>
        <w:shd w:val="clear"/>
        <w:rPr>
          <w:rFonts w:hint="eastAsia" w:ascii="宋体" w:hAnsi="宋体" w:eastAsia="宋体" w:cs="宋体"/>
          <w:color w:val="000000" w:themeColor="text1"/>
          <w:highlight w:val="none"/>
          <w14:textFill>
            <w14:solidFill>
              <w14:schemeClr w14:val="tx1"/>
            </w14:solidFill>
          </w14:textFill>
        </w:rPr>
      </w:pPr>
    </w:p>
    <w:p>
      <w:pPr>
        <w:shd w:val="clear"/>
        <w:spacing w:line="360" w:lineRule="auto"/>
        <w:jc w:val="center"/>
        <w:textAlignment w:val="bottom"/>
        <w:rPr>
          <w:rFonts w:hint="eastAsia" w:ascii="宋体" w:hAnsi="宋体" w:eastAsia="宋体" w:cs="宋体"/>
          <w:b/>
          <w:color w:val="000000" w:themeColor="text1"/>
          <w:kern w:val="0"/>
          <w:sz w:val="52"/>
          <w:szCs w:val="52"/>
          <w:highlight w:val="none"/>
          <w14:textFill>
            <w14:solidFill>
              <w14:schemeClr w14:val="tx1"/>
            </w14:solidFill>
          </w14:textFill>
        </w:rPr>
      </w:pPr>
      <w:r>
        <w:rPr>
          <w:rFonts w:hint="eastAsia" w:ascii="宋体" w:hAnsi="宋体" w:eastAsia="宋体" w:cs="宋体"/>
          <w:b/>
          <w:color w:val="000000" w:themeColor="text1"/>
          <w:kern w:val="0"/>
          <w:sz w:val="52"/>
          <w:szCs w:val="52"/>
          <w:highlight w:val="none"/>
          <w14:textFill>
            <w14:solidFill>
              <w14:schemeClr w14:val="tx1"/>
            </w14:solidFill>
          </w14:textFill>
        </w:rPr>
        <w:t>政府采购电子招标文件</w:t>
      </w:r>
    </w:p>
    <w:p>
      <w:pPr>
        <w:shd w:val="clear"/>
        <w:spacing w:line="360" w:lineRule="auto"/>
        <w:jc w:val="center"/>
        <w:textAlignment w:val="bottom"/>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jc w:val="center"/>
        <w:textAlignment w:val="bottom"/>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cs="宋体"/>
          <w:color w:val="000000" w:themeColor="text1"/>
          <w:sz w:val="28"/>
          <w:szCs w:val="28"/>
          <w:highlight w:val="none"/>
          <w:lang w:eastAsia="zh-CN"/>
          <w14:textFill>
            <w14:solidFill>
              <w14:schemeClr w14:val="tx1"/>
            </w14:solidFill>
          </w14:textFill>
        </w:rPr>
        <w:t>ZJWS2022-JJ287</w:t>
      </w:r>
    </w:p>
    <w:p>
      <w:pPr>
        <w:shd w:val="clear"/>
        <w:tabs>
          <w:tab w:val="left" w:pos="1860"/>
        </w:tabs>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autoSpaceDE w:val="0"/>
        <w:autoSpaceDN w:val="0"/>
        <w:adjustRightInd w:val="0"/>
        <w:spacing w:line="360" w:lineRule="auto"/>
        <w:ind w:left="1959" w:leftChars="266" w:hanging="1400" w:hangingChars="500"/>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highlight w:val="none"/>
          <w:lang w:eastAsia="zh-CN"/>
          <w14:textFill>
            <w14:solidFill>
              <w14:schemeClr w14:val="tx1"/>
            </w14:solidFill>
          </w14:textFill>
        </w:rPr>
        <w:t>202</w:t>
      </w:r>
      <w:r>
        <w:rPr>
          <w:rFonts w:hint="eastAsia" w:ascii="宋体" w:hAnsi="宋体" w:cs="宋体"/>
          <w:color w:val="000000" w:themeColor="text1"/>
          <w:kern w:val="0"/>
          <w:sz w:val="28"/>
          <w:highlight w:val="none"/>
          <w:lang w:val="en-US" w:eastAsia="zh-CN"/>
          <w14:textFill>
            <w14:solidFill>
              <w14:schemeClr w14:val="tx1"/>
            </w14:solidFill>
          </w14:textFill>
        </w:rPr>
        <w:t>2</w:t>
      </w:r>
      <w:r>
        <w:rPr>
          <w:rFonts w:hint="eastAsia" w:ascii="宋体" w:hAnsi="宋体" w:cs="宋体"/>
          <w:color w:val="000000" w:themeColor="text1"/>
          <w:kern w:val="0"/>
          <w:sz w:val="28"/>
          <w:highlight w:val="none"/>
          <w:lang w:eastAsia="zh-CN"/>
          <w14:textFill>
            <w14:solidFill>
              <w14:schemeClr w14:val="tx1"/>
            </w14:solidFill>
          </w14:textFill>
        </w:rPr>
        <w:t>-202</w:t>
      </w:r>
      <w:r>
        <w:rPr>
          <w:rFonts w:hint="eastAsia" w:ascii="宋体" w:hAnsi="宋体" w:cs="宋体"/>
          <w:color w:val="000000" w:themeColor="text1"/>
          <w:kern w:val="0"/>
          <w:sz w:val="28"/>
          <w:highlight w:val="none"/>
          <w:lang w:val="en-US" w:eastAsia="zh-CN"/>
          <w14:textFill>
            <w14:solidFill>
              <w14:schemeClr w14:val="tx1"/>
            </w14:solidFill>
          </w14:textFill>
        </w:rPr>
        <w:t>3</w:t>
      </w:r>
      <w:r>
        <w:rPr>
          <w:rFonts w:hint="eastAsia" w:ascii="宋体" w:hAnsi="宋体" w:cs="宋体"/>
          <w:color w:val="000000" w:themeColor="text1"/>
          <w:kern w:val="0"/>
          <w:sz w:val="28"/>
          <w:highlight w:val="none"/>
          <w:lang w:eastAsia="zh-CN"/>
          <w14:textFill>
            <w14:solidFill>
              <w14:schemeClr w14:val="tx1"/>
            </w14:solidFill>
          </w14:textFill>
        </w:rPr>
        <w:t>年台州市省控环境质量自动监测站运维服务及运维监理服务采购项目</w:t>
      </w:r>
    </w:p>
    <w:p>
      <w:pPr>
        <w:shd w:val="clear"/>
        <w:autoSpaceDE w:val="0"/>
        <w:autoSpaceDN w:val="0"/>
        <w:adjustRightInd w:val="0"/>
        <w:spacing w:line="360" w:lineRule="auto"/>
        <w:ind w:firstLine="560" w:firstLineChars="200"/>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 xml:space="preserve">采购单位：浙江省台州生态环境监测中心 </w:t>
      </w:r>
    </w:p>
    <w:p>
      <w:pPr>
        <w:shd w:val="clear"/>
        <w:autoSpaceDE w:val="0"/>
        <w:autoSpaceDN w:val="0"/>
        <w:adjustRightInd w:val="0"/>
        <w:spacing w:line="360" w:lineRule="auto"/>
        <w:jc w:val="center"/>
        <w:rPr>
          <w:rFonts w:hint="eastAsia" w:ascii="宋体" w:hAnsi="宋体" w:eastAsia="宋体" w:cs="宋体"/>
          <w:color w:val="000000" w:themeColor="text1"/>
          <w:kern w:val="0"/>
          <w:sz w:val="28"/>
          <w:highlight w:val="none"/>
          <w14:textFill>
            <w14:solidFill>
              <w14:schemeClr w14:val="tx1"/>
            </w14:solidFill>
          </w14:textFill>
        </w:rPr>
      </w:pPr>
    </w:p>
    <w:p>
      <w:pPr>
        <w:shd w:val="clear"/>
        <w:autoSpaceDE w:val="0"/>
        <w:autoSpaceDN w:val="0"/>
        <w:adjustRightInd w:val="0"/>
        <w:spacing w:line="360" w:lineRule="auto"/>
        <w:jc w:val="center"/>
        <w:rPr>
          <w:rFonts w:hint="eastAsia" w:ascii="宋体" w:hAnsi="宋体" w:eastAsia="宋体" w:cs="宋体"/>
          <w:color w:val="000000" w:themeColor="text1"/>
          <w:kern w:val="0"/>
          <w:sz w:val="28"/>
          <w:highlight w:val="none"/>
          <w14:textFill>
            <w14:solidFill>
              <w14:schemeClr w14:val="tx1"/>
            </w14:solidFill>
          </w14:textFill>
        </w:rPr>
      </w:pPr>
    </w:p>
    <w:p>
      <w:pPr>
        <w:shd w:val="clear"/>
        <w:autoSpaceDE w:val="0"/>
        <w:autoSpaceDN w:val="0"/>
        <w:adjustRightInd w:val="0"/>
        <w:spacing w:line="360" w:lineRule="auto"/>
        <w:ind w:firstLine="1120" w:firstLineChars="400"/>
        <w:jc w:val="both"/>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采购代理机构：</w:t>
      </w:r>
      <w:r>
        <w:rPr>
          <w:rFonts w:hint="eastAsia" w:ascii="宋体" w:hAnsi="宋体" w:eastAsia="宋体" w:cs="宋体"/>
          <w:color w:val="000000" w:themeColor="text1"/>
          <w:kern w:val="0"/>
          <w:sz w:val="28"/>
          <w:highlight w:val="none"/>
          <w:lang w:eastAsia="zh-CN"/>
          <w14:textFill>
            <w14:solidFill>
              <w14:schemeClr w14:val="tx1"/>
            </w14:solidFill>
          </w14:textFill>
        </w:rPr>
        <w:t>浙江五石中正工程咨询有限公司</w:t>
      </w:r>
    </w:p>
    <w:p>
      <w:pPr>
        <w:shd w:val="clear"/>
        <w:autoSpaceDE w:val="0"/>
        <w:autoSpaceDN w:val="0"/>
        <w:adjustRightInd w:val="0"/>
        <w:spacing w:line="360" w:lineRule="auto"/>
        <w:jc w:val="center"/>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cs="宋体"/>
          <w:color w:val="000000" w:themeColor="text1"/>
          <w:kern w:val="0"/>
          <w:sz w:val="28"/>
          <w:highlight w:val="none"/>
          <w:lang w:eastAsia="zh-CN"/>
          <w14:textFill>
            <w14:solidFill>
              <w14:schemeClr w14:val="tx1"/>
            </w14:solidFill>
          </w14:textFill>
        </w:rPr>
        <w:t>二○二二年十月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p>
    <w:p>
      <w:pPr>
        <w:shd w:val="clear"/>
        <w:jc w:val="center"/>
        <w:rPr>
          <w:rFonts w:hint="eastAsia" w:ascii="宋体" w:hAnsi="宋体" w:eastAsia="宋体" w:cs="宋体"/>
          <w:b/>
          <w:bCs/>
          <w:color w:val="000000" w:themeColor="text1"/>
          <w:sz w:val="36"/>
          <w:szCs w:val="36"/>
          <w:highlight w:val="none"/>
          <w14:textFill>
            <w14:solidFill>
              <w14:schemeClr w14:val="tx1"/>
            </w14:solidFill>
          </w14:textFill>
        </w:rPr>
        <w:sectPr>
          <w:pgSz w:w="11906" w:h="16838"/>
          <w:pgMar w:top="1383" w:right="1746" w:bottom="1383" w:left="1746" w:header="851" w:footer="992" w:gutter="0"/>
          <w:pgNumType w:fmt="decimal"/>
          <w:cols w:space="425" w:num="1"/>
          <w:docGrid w:type="lines" w:linePitch="312" w:charSpace="0"/>
        </w:sectPr>
      </w:pPr>
    </w:p>
    <w:p>
      <w:pPr>
        <w:pStyle w:val="26"/>
        <w:shd w:val="clear"/>
        <w:rPr>
          <w:rFonts w:hint="eastAsia"/>
          <w:color w:val="000000" w:themeColor="text1"/>
          <w:highlight w:val="none"/>
          <w14:textFill>
            <w14:solidFill>
              <w14:schemeClr w14:val="tx1"/>
            </w14:solidFill>
          </w14:textFill>
        </w:rPr>
      </w:pPr>
    </w:p>
    <w:p>
      <w:pPr>
        <w:shd w:val="clea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  录</w:t>
      </w:r>
    </w:p>
    <w:p>
      <w:pPr>
        <w:shd w:val="clea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ind w:firstLine="321" w:firstLineChars="10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第一章 公开招标采购公告</w:t>
      </w:r>
    </w:p>
    <w:p>
      <w:pPr>
        <w:shd w:val="clear"/>
        <w:spacing w:line="360" w:lineRule="auto"/>
        <w:ind w:firstLine="321" w:firstLineChars="10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第二章 投标人须知</w:t>
      </w:r>
    </w:p>
    <w:p>
      <w:pPr>
        <w:shd w:val="clear"/>
        <w:spacing w:line="360" w:lineRule="auto"/>
        <w:ind w:firstLine="321" w:firstLineChars="10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第三章 评标办法及评分标准</w:t>
      </w:r>
    </w:p>
    <w:p>
      <w:pPr>
        <w:shd w:val="clear"/>
        <w:spacing w:line="360" w:lineRule="auto"/>
        <w:ind w:firstLine="321" w:firstLineChars="10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第四章 公开招标需求</w:t>
      </w:r>
    </w:p>
    <w:p>
      <w:pPr>
        <w:shd w:val="clear"/>
        <w:spacing w:line="360" w:lineRule="auto"/>
        <w:ind w:firstLine="321" w:firstLineChars="10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第五章 政府采购合同主要条款指引</w:t>
      </w:r>
    </w:p>
    <w:p>
      <w:pPr>
        <w:shd w:val="clear"/>
        <w:spacing w:line="360" w:lineRule="auto"/>
        <w:ind w:firstLine="321" w:firstLineChars="10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第六章 投标文件格式附件</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pStyle w:val="10"/>
        <w:shd w:val="clear"/>
        <w:rPr>
          <w:rFonts w:hint="eastAsia" w:ascii="宋体" w:hAnsi="宋体" w:eastAsia="宋体" w:cs="宋体"/>
          <w:color w:val="000000" w:themeColor="text1"/>
          <w:szCs w:val="32"/>
          <w:highlight w:val="none"/>
          <w14:textFill>
            <w14:solidFill>
              <w14:schemeClr w14:val="tx1"/>
            </w14:solidFill>
          </w14:textFill>
        </w:rPr>
      </w:pPr>
    </w:p>
    <w:p>
      <w:pPr>
        <w:pStyle w:val="11"/>
        <w:shd w:val="clear"/>
        <w:rPr>
          <w:rFonts w:hint="eastAsia" w:ascii="宋体" w:hAnsi="宋体" w:eastAsia="宋体" w:cs="宋体"/>
          <w:color w:val="000000" w:themeColor="text1"/>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pStyle w:val="10"/>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第一章 公开招标采购公告</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w:t>
      </w:r>
      <w:r>
        <w:rPr>
          <w:rFonts w:hint="eastAsia" w:ascii="宋体" w:hAnsi="宋体" w:eastAsia="宋体" w:cs="宋体"/>
          <w:b/>
          <w:bCs/>
          <w:color w:val="000000" w:themeColor="text1"/>
          <w:sz w:val="24"/>
          <w:szCs w:val="32"/>
          <w:highlight w:val="none"/>
          <w:lang w:eastAsia="zh-CN"/>
          <w14:textFill>
            <w14:solidFill>
              <w14:schemeClr w14:val="tx1"/>
            </w14:solidFill>
          </w14:textFill>
        </w:rPr>
        <w:t>浙江五石中正工程咨询有限公司</w:t>
      </w:r>
      <w:r>
        <w:rPr>
          <w:rFonts w:hint="eastAsia" w:ascii="宋体" w:hAnsi="宋体" w:eastAsia="宋体" w:cs="宋体"/>
          <w:color w:val="000000" w:themeColor="text1"/>
          <w:sz w:val="24"/>
          <w:szCs w:val="32"/>
          <w:highlight w:val="none"/>
          <w14:textFill>
            <w14:solidFill>
              <w14:schemeClr w14:val="tx1"/>
            </w14:solidFill>
          </w14:textFill>
        </w:rPr>
        <w:t>受</w:t>
      </w:r>
      <w:r>
        <w:rPr>
          <w:rFonts w:hint="eastAsia" w:ascii="宋体" w:hAnsi="宋体" w:eastAsia="宋体" w:cs="宋体"/>
          <w:b/>
          <w:bCs/>
          <w:color w:val="000000" w:themeColor="text1"/>
          <w:sz w:val="24"/>
          <w:szCs w:val="32"/>
          <w:highlight w:val="none"/>
          <w14:textFill>
            <w14:solidFill>
              <w14:schemeClr w14:val="tx1"/>
            </w14:solidFill>
          </w14:textFill>
        </w:rPr>
        <w:t>浙江省台州生态环境监测中心</w:t>
      </w:r>
      <w:r>
        <w:rPr>
          <w:rFonts w:hint="eastAsia" w:ascii="宋体" w:hAnsi="宋体" w:eastAsia="宋体" w:cs="宋体"/>
          <w:color w:val="000000" w:themeColor="text1"/>
          <w:sz w:val="24"/>
          <w:szCs w:val="32"/>
          <w:highlight w:val="none"/>
          <w14:textFill>
            <w14:solidFill>
              <w14:schemeClr w14:val="tx1"/>
            </w14:solidFill>
          </w14:textFill>
        </w:rPr>
        <w:t>委托，现就其</w:t>
      </w:r>
      <w:r>
        <w:rPr>
          <w:rFonts w:hint="eastAsia" w:ascii="宋体" w:hAnsi="宋体" w:cs="宋体"/>
          <w:b/>
          <w:bCs/>
          <w:color w:val="000000" w:themeColor="text1"/>
          <w:sz w:val="24"/>
          <w:szCs w:val="32"/>
          <w:highlight w:val="none"/>
          <w:lang w:eastAsia="zh-CN"/>
          <w14:textFill>
            <w14:solidFill>
              <w14:schemeClr w14:val="tx1"/>
            </w14:solidFill>
          </w14:textFill>
        </w:rPr>
        <w:t>2022-2023年台州市省控环境质量自动监测站运维服务及运维监理服务采购项目</w:t>
      </w:r>
      <w:r>
        <w:rPr>
          <w:rFonts w:hint="eastAsia" w:ascii="宋体" w:hAnsi="宋体" w:eastAsia="宋体" w:cs="宋体"/>
          <w:color w:val="000000" w:themeColor="text1"/>
          <w:sz w:val="24"/>
          <w:szCs w:val="32"/>
          <w:highlight w:val="none"/>
          <w14:textFill>
            <w14:solidFill>
              <w14:schemeClr w14:val="tx1"/>
            </w14:solidFill>
          </w14:textFill>
        </w:rPr>
        <w:t>进行公开招标采购，欢迎合格供应商前来投标。</w:t>
      </w:r>
    </w:p>
    <w:p>
      <w:pPr>
        <w:shd w:val="clear"/>
        <w:spacing w:line="360" w:lineRule="auto"/>
        <w:ind w:firstLine="482"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一、项目编号：</w:t>
      </w:r>
      <w:r>
        <w:rPr>
          <w:rFonts w:hint="eastAsia" w:ascii="宋体" w:hAnsi="宋体" w:cs="宋体"/>
          <w:color w:val="000000" w:themeColor="text1"/>
          <w:sz w:val="24"/>
          <w:szCs w:val="32"/>
          <w:highlight w:val="none"/>
          <w:lang w:eastAsia="zh-CN"/>
          <w14:textFill>
            <w14:solidFill>
              <w14:schemeClr w14:val="tx1"/>
            </w14:solidFill>
          </w14:textFill>
        </w:rPr>
        <w:t>ZJWS2022-JJ287</w:t>
      </w:r>
    </w:p>
    <w:p>
      <w:pPr>
        <w:shd w:val="clear"/>
        <w:spacing w:line="360" w:lineRule="auto"/>
        <w:ind w:firstLine="482"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二、招标项目概况：</w:t>
      </w:r>
    </w:p>
    <w:tbl>
      <w:tblPr>
        <w:tblStyle w:val="30"/>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988"/>
        <w:gridCol w:w="630"/>
        <w:gridCol w:w="1012"/>
        <w:gridCol w:w="1208"/>
        <w:gridCol w:w="975"/>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bookmarkStart w:id="0" w:name="EBc3c9f0bc06b6413d849824fe98ba274c"/>
            <w:r>
              <w:rPr>
                <w:rFonts w:hint="eastAsia" w:ascii="宋体" w:hAnsi="宋体" w:eastAsia="宋体" w:cs="宋体"/>
                <w:color w:val="000000" w:themeColor="text1"/>
                <w:sz w:val="24"/>
                <w:szCs w:val="24"/>
                <w:highlight w:val="none"/>
                <w:lang w:val="en-US" w:eastAsia="zh-CN"/>
                <w14:textFill>
                  <w14:solidFill>
                    <w14:schemeClr w14:val="tx1"/>
                  </w14:solidFill>
                </w14:textFill>
              </w:rPr>
              <w:t>标项</w:t>
            </w:r>
          </w:p>
        </w:tc>
        <w:tc>
          <w:tcPr>
            <w:tcW w:w="3988"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采购内容</w:t>
            </w:r>
          </w:p>
        </w:tc>
        <w:tc>
          <w:tcPr>
            <w:tcW w:w="630"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数量</w:t>
            </w:r>
          </w:p>
        </w:tc>
        <w:tc>
          <w:tcPr>
            <w:tcW w:w="1012"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w:t>
            </w:r>
            <w:r>
              <w:rPr>
                <w:rFonts w:hint="eastAsia" w:ascii="宋体" w:hAnsi="宋体" w:eastAsia="宋体" w:cs="宋体"/>
                <w:color w:val="000000" w:themeColor="text1"/>
                <w:sz w:val="24"/>
                <w:szCs w:val="24"/>
                <w:highlight w:val="none"/>
                <w:lang w:val="en-US" w:eastAsia="zh-CN"/>
                <w14:textFill>
                  <w14:solidFill>
                    <w14:schemeClr w14:val="tx1"/>
                  </w14:solidFill>
                </w14:textFill>
              </w:rPr>
              <w:t>价</w:t>
            </w:r>
          </w:p>
        </w:tc>
        <w:tc>
          <w:tcPr>
            <w:tcW w:w="1208"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w:t>
            </w:r>
          </w:p>
        </w:tc>
        <w:tc>
          <w:tcPr>
            <w:tcW w:w="97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期</w:t>
            </w:r>
          </w:p>
        </w:tc>
        <w:tc>
          <w:tcPr>
            <w:tcW w:w="1331"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8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3988"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台州市集聚区、椒江区、临海市、温岭市、玉环市5个省控城市环境空气自动监测站、6个重点工业园区空气站运维服务</w:t>
            </w:r>
          </w:p>
        </w:tc>
        <w:tc>
          <w:tcPr>
            <w:tcW w:w="630"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w:t>
            </w:r>
          </w:p>
        </w:tc>
        <w:tc>
          <w:tcPr>
            <w:tcW w:w="1012"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366.8</w:t>
            </w:r>
            <w:r>
              <w:rPr>
                <w:rFonts w:hint="eastAsia" w:ascii="宋体" w:hAnsi="宋体" w:eastAsia="宋体" w:cs="宋体"/>
                <w:color w:val="000000" w:themeColor="text1"/>
                <w:sz w:val="24"/>
                <w:szCs w:val="24"/>
                <w:highlight w:val="none"/>
                <w:lang w:val="en-US" w:eastAsia="zh-CN"/>
                <w14:textFill>
                  <w14:solidFill>
                    <w14:schemeClr w14:val="tx1"/>
                  </w14:solidFill>
                </w14:textFill>
              </w:rPr>
              <w:t>万元</w:t>
            </w:r>
          </w:p>
        </w:tc>
        <w:tc>
          <w:tcPr>
            <w:tcW w:w="1208" w:type="dxa"/>
            <w:vAlign w:val="center"/>
          </w:tcPr>
          <w:p>
            <w:pPr>
              <w:shd w:val="clear"/>
              <w:bidi w:val="0"/>
              <w:spacing w:line="360" w:lineRule="auto"/>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282.3</w:t>
            </w:r>
          </w:p>
          <w:p>
            <w:pPr>
              <w:shd w:val="clear"/>
              <w:bidi w:val="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万元</w:t>
            </w:r>
          </w:p>
        </w:tc>
        <w:tc>
          <w:tcPr>
            <w:tcW w:w="97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365天</w:t>
            </w:r>
          </w:p>
        </w:tc>
        <w:tc>
          <w:tcPr>
            <w:tcW w:w="1331"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3988"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黄岩区、天台县、三门县，仙居县6个省控城市环境空气质量自动监测站、4个</w:t>
            </w:r>
            <w:r>
              <w:rPr>
                <w:rFonts w:hint="eastAsia" w:ascii="宋体" w:hAnsi="宋体" w:eastAsia="宋体" w:cs="宋体"/>
                <w:color w:val="000000" w:themeColor="text1"/>
                <w:sz w:val="24"/>
                <w:szCs w:val="24"/>
                <w:highlight w:val="none"/>
                <w14:textFill>
                  <w14:solidFill>
                    <w14:schemeClr w14:val="tx1"/>
                  </w14:solidFill>
                </w14:textFill>
              </w:rPr>
              <w:t>重点工业园区环境空气自动监测站运维</w:t>
            </w:r>
          </w:p>
        </w:tc>
        <w:tc>
          <w:tcPr>
            <w:tcW w:w="63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w:t>
            </w:r>
          </w:p>
        </w:tc>
        <w:tc>
          <w:tcPr>
            <w:tcW w:w="1012"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252万元</w:t>
            </w:r>
          </w:p>
        </w:tc>
        <w:tc>
          <w:tcPr>
            <w:tcW w:w="1208"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252万元</w:t>
            </w:r>
          </w:p>
        </w:tc>
        <w:tc>
          <w:tcPr>
            <w:tcW w:w="97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365天</w:t>
            </w:r>
          </w:p>
        </w:tc>
        <w:tc>
          <w:tcPr>
            <w:tcW w:w="1331"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40"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3988"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椒江区、黄岩区、路桥区、温岭市、玉环市6个省控地表水交接断面水质自动监测站、5个饮用水源地水质自动监测站运维服务</w:t>
            </w:r>
          </w:p>
        </w:tc>
        <w:tc>
          <w:tcPr>
            <w:tcW w:w="630"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w:t>
            </w:r>
          </w:p>
        </w:tc>
        <w:tc>
          <w:tcPr>
            <w:tcW w:w="1012"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241</w:t>
            </w:r>
            <w:r>
              <w:rPr>
                <w:rFonts w:hint="eastAsia" w:ascii="宋体" w:hAnsi="宋体" w:eastAsia="宋体" w:cs="宋体"/>
                <w:color w:val="000000" w:themeColor="text1"/>
                <w:sz w:val="24"/>
                <w:szCs w:val="24"/>
                <w:highlight w:val="none"/>
                <w:lang w:val="en-US" w:eastAsia="zh-CN"/>
                <w14:textFill>
                  <w14:solidFill>
                    <w14:schemeClr w14:val="tx1"/>
                  </w14:solidFill>
                </w14:textFill>
              </w:rPr>
              <w:t>万元</w:t>
            </w:r>
          </w:p>
        </w:tc>
        <w:tc>
          <w:tcPr>
            <w:tcW w:w="1208" w:type="dxa"/>
            <w:vAlign w:val="center"/>
          </w:tcPr>
          <w:p>
            <w:pPr>
              <w:shd w:val="clear"/>
              <w:bidi w:val="0"/>
              <w:spacing w:line="360" w:lineRule="auto"/>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241</w:t>
            </w:r>
            <w:r>
              <w:rPr>
                <w:rFonts w:hint="eastAsia" w:ascii="宋体" w:hAnsi="宋体" w:eastAsia="宋体" w:cs="宋体"/>
                <w:color w:val="000000" w:themeColor="text1"/>
                <w:sz w:val="24"/>
                <w:szCs w:val="24"/>
                <w:highlight w:val="none"/>
                <w:lang w:val="en-US" w:eastAsia="zh-CN"/>
                <w14:textFill>
                  <w14:solidFill>
                    <w14:schemeClr w14:val="tx1"/>
                  </w14:solidFill>
                </w14:textFill>
              </w:rPr>
              <w:t>万元</w:t>
            </w:r>
          </w:p>
        </w:tc>
        <w:tc>
          <w:tcPr>
            <w:tcW w:w="97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365天</w:t>
            </w:r>
          </w:p>
        </w:tc>
        <w:tc>
          <w:tcPr>
            <w:tcW w:w="1331"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40"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3988"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临海市、天台县、三门县，仙居县5个省控地表水交接断面水质自动监测站、5个饮用水源地水质自动监测站运维服务</w:t>
            </w:r>
          </w:p>
        </w:tc>
        <w:tc>
          <w:tcPr>
            <w:tcW w:w="630"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w:t>
            </w:r>
          </w:p>
        </w:tc>
        <w:tc>
          <w:tcPr>
            <w:tcW w:w="1012"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221</w:t>
            </w:r>
            <w:r>
              <w:rPr>
                <w:rFonts w:hint="eastAsia" w:ascii="宋体" w:hAnsi="宋体" w:eastAsia="宋体" w:cs="宋体"/>
                <w:color w:val="000000" w:themeColor="text1"/>
                <w:sz w:val="24"/>
                <w:szCs w:val="24"/>
                <w:highlight w:val="none"/>
                <w:lang w:val="en-US" w:eastAsia="zh-CN"/>
                <w14:textFill>
                  <w14:solidFill>
                    <w14:schemeClr w14:val="tx1"/>
                  </w14:solidFill>
                </w14:textFill>
              </w:rPr>
              <w:t>万元</w:t>
            </w:r>
          </w:p>
        </w:tc>
        <w:tc>
          <w:tcPr>
            <w:tcW w:w="1208" w:type="dxa"/>
            <w:vAlign w:val="center"/>
          </w:tcPr>
          <w:p>
            <w:pPr>
              <w:shd w:val="clear"/>
              <w:bidi w:val="0"/>
              <w:spacing w:line="360" w:lineRule="auto"/>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221</w:t>
            </w:r>
            <w:r>
              <w:rPr>
                <w:rFonts w:hint="eastAsia" w:ascii="宋体" w:hAnsi="宋体" w:eastAsia="宋体" w:cs="宋体"/>
                <w:color w:val="000000" w:themeColor="text1"/>
                <w:sz w:val="24"/>
                <w:szCs w:val="24"/>
                <w:highlight w:val="none"/>
                <w:lang w:val="en-US" w:eastAsia="zh-CN"/>
                <w14:textFill>
                  <w14:solidFill>
                    <w14:schemeClr w14:val="tx1"/>
                  </w14:solidFill>
                </w14:textFill>
              </w:rPr>
              <w:t>万元</w:t>
            </w:r>
          </w:p>
        </w:tc>
        <w:tc>
          <w:tcPr>
            <w:tcW w:w="97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365天</w:t>
            </w:r>
          </w:p>
        </w:tc>
        <w:tc>
          <w:tcPr>
            <w:tcW w:w="1331"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40"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3988"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12个省控城市环境空气</w:t>
            </w:r>
          </w:p>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10个重点工业园区环境空气自动监测站运维监理服务</w:t>
            </w:r>
          </w:p>
        </w:tc>
        <w:tc>
          <w:tcPr>
            <w:tcW w:w="630"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w:t>
            </w:r>
          </w:p>
        </w:tc>
        <w:tc>
          <w:tcPr>
            <w:tcW w:w="1012"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83.2</w:t>
            </w:r>
            <w:r>
              <w:rPr>
                <w:rFonts w:hint="eastAsia" w:ascii="宋体" w:hAnsi="宋体" w:eastAsia="宋体" w:cs="宋体"/>
                <w:color w:val="000000" w:themeColor="text1"/>
                <w:sz w:val="24"/>
                <w:szCs w:val="24"/>
                <w:highlight w:val="none"/>
                <w14:textFill>
                  <w14:solidFill>
                    <w14:schemeClr w14:val="tx1"/>
                  </w14:solidFill>
                </w14:textFill>
              </w:rPr>
              <w:t>万元</w:t>
            </w:r>
          </w:p>
        </w:tc>
        <w:tc>
          <w:tcPr>
            <w:tcW w:w="1208" w:type="dxa"/>
            <w:vAlign w:val="center"/>
          </w:tcPr>
          <w:p>
            <w:pPr>
              <w:shd w:val="clear"/>
              <w:bidi w:val="0"/>
              <w:spacing w:line="360" w:lineRule="auto"/>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83.2</w:t>
            </w:r>
            <w:r>
              <w:rPr>
                <w:rFonts w:hint="eastAsia" w:ascii="宋体" w:hAnsi="宋体" w:eastAsia="宋体" w:cs="宋体"/>
                <w:color w:val="000000" w:themeColor="text1"/>
                <w:sz w:val="24"/>
                <w:szCs w:val="24"/>
                <w:highlight w:val="none"/>
                <w14:textFill>
                  <w14:solidFill>
                    <w14:schemeClr w14:val="tx1"/>
                  </w14:solidFill>
                </w14:textFill>
              </w:rPr>
              <w:t>万元</w:t>
            </w:r>
          </w:p>
        </w:tc>
        <w:tc>
          <w:tcPr>
            <w:tcW w:w="97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365天</w:t>
            </w:r>
          </w:p>
        </w:tc>
        <w:tc>
          <w:tcPr>
            <w:tcW w:w="1331"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9984" w:type="dxa"/>
            <w:gridSpan w:val="7"/>
            <w:vAlign w:val="center"/>
          </w:tcPr>
          <w:p>
            <w:pPr>
              <w:shd w:val="clear"/>
              <w:bidi w:val="0"/>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备注：</w:t>
            </w:r>
          </w:p>
          <w:p>
            <w:pPr>
              <w:shd w:val="clear"/>
              <w:bidi w:val="0"/>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本项目共分</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个标项，按标项1、标项2、标项</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标项</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标项</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顺序开标、评标，投标人可以参加所有标段的投标，同一投标人最多只能中一个标段。单位负责人为同一人或者存在直接控股、管理关系的不同供应商，或两个及多个公司同属于一个集团公司的不同供应商不得参加同一合同项下的政府采购活动。</w:t>
            </w:r>
          </w:p>
        </w:tc>
      </w:tr>
      <w:bookmarkEnd w:id="0"/>
    </w:tbl>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三、合格投标人的资格条件：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z w:val="24"/>
          <w:szCs w:val="32"/>
          <w:highlight w:val="none"/>
          <w14:textFill>
            <w14:solidFill>
              <w14:schemeClr w14:val="tx1"/>
            </w14:solidFill>
          </w14:textFill>
        </w:rPr>
        <w:t>满足《中华人民共和国政府采购法》第二十二条规定；未被“信用中国”（www.creditchina.gov.cn)、中国政府采购网（www.ccgp.gov.cn）列入失信被执行人、</w:t>
      </w:r>
      <w:r>
        <w:rPr>
          <w:rFonts w:hint="eastAsia" w:ascii="宋体" w:hAnsi="宋体" w:cs="宋体"/>
          <w:color w:val="000000" w:themeColor="text1"/>
          <w:sz w:val="24"/>
          <w:szCs w:val="32"/>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szCs w:val="32"/>
          <w:highlight w:val="none"/>
          <w14:textFill>
            <w14:solidFill>
              <w14:schemeClr w14:val="tx1"/>
            </w14:solidFill>
          </w14:textFill>
        </w:rPr>
        <w:t>、政府采购严重违法失信行为记录名单；</w:t>
      </w:r>
    </w:p>
    <w:p>
      <w:pPr>
        <w:shd w:val="clear"/>
        <w:spacing w:line="360" w:lineRule="auto"/>
        <w:ind w:firstLine="480" w:firstLineChars="200"/>
        <w:rPr>
          <w:rFonts w:hint="eastAsia" w:ascii="宋体" w:hAnsi="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2、</w:t>
      </w:r>
      <w:r>
        <w:rPr>
          <w:rFonts w:hint="eastAsia" w:ascii="宋体" w:hAnsi="宋体" w:cs="宋体"/>
          <w:color w:val="000000" w:themeColor="text1"/>
          <w:sz w:val="24"/>
          <w:szCs w:val="32"/>
          <w:highlight w:val="none"/>
          <w:lang w:eastAsia="zh-CN"/>
          <w14:textFill>
            <w14:solidFill>
              <w14:schemeClr w14:val="tx1"/>
            </w14:solidFill>
          </w14:textFill>
        </w:rPr>
        <w:t>落实政府采购政策需满足的资格要求：无</w:t>
      </w:r>
    </w:p>
    <w:p>
      <w:pPr>
        <w:pStyle w:val="26"/>
        <w:shd w:val="clear"/>
        <w:jc w:val="both"/>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宋体" w:hAnsi="宋体" w:eastAsia="宋体" w:cs="宋体"/>
          <w:b w:val="0"/>
          <w:color w:val="000000" w:themeColor="text1"/>
          <w:kern w:val="2"/>
          <w:sz w:val="24"/>
          <w:szCs w:val="32"/>
          <w:highlight w:val="none"/>
          <w:lang w:val="en-US" w:eastAsia="zh-CN" w:bidi="ar-SA"/>
          <w14:textFill>
            <w14:solidFill>
              <w14:schemeClr w14:val="tx1"/>
            </w14:solidFill>
          </w14:textFill>
        </w:rPr>
        <w:t xml:space="preserve">  3、不接受联合体投标。</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四、招标文件获取的时间、方式：</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1、本项目招标文件实行“政府采购云平台”在线获取，不提供招标文件纸质版。供应商获取招标文件前应先完成“政府采购云平台”的账号注册。</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2、获取时间：自本公告发布之日起至响应文件递交截止时间止（以供应商完成获取采购文件申请后下载采购文件的时间为准）。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3、地点：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"http://zfcg.czt.zj.gov.cn/"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szCs w:val="32"/>
          <w:highlight w:val="none"/>
          <w14:textFill>
            <w14:solidFill>
              <w14:schemeClr w14:val="tx1"/>
            </w14:solidFill>
          </w14:textFill>
        </w:rPr>
        <w:t>http：//zfcg.czt.zj.gov.cn</w:t>
      </w:r>
      <w:r>
        <w:rPr>
          <w:rFonts w:hint="eastAsia" w:ascii="宋体" w:hAnsi="宋体" w:eastAsia="宋体" w:cs="宋体"/>
          <w:color w:val="000000" w:themeColor="text1"/>
          <w:sz w:val="24"/>
          <w:szCs w:val="32"/>
          <w:highlight w:val="none"/>
          <w14:textFill>
            <w14:solidFill>
              <w14:schemeClr w14:val="tx1"/>
            </w14:solidFill>
          </w14:textFill>
        </w:rPr>
        <w:fldChar w:fldCharType="end"/>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（2）供应商网上报名操作指南：“浙江政府采购网-办事指南-省采中心-网上报名”（http：//zfcg.czt.zj.gov.cn/bs_other/2018-03-30/12002.html）。</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五、投标说明：</w:t>
      </w:r>
    </w:p>
    <w:p>
      <w:pPr>
        <w:shd w:val="clear"/>
        <w:spacing w:line="360" w:lineRule="auto"/>
        <w:ind w:firstLine="480" w:firstLineChars="200"/>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hd w:val="clear"/>
        <w:spacing w:line="360" w:lineRule="auto"/>
        <w:ind w:firstLine="480" w:firstLineChars="200"/>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2.投标人通过政采云平台电子投标工具制作投标文件，电子投标工具请供应商自行前往浙江政府采购网下载并安装（下载网址：http：//www.zjzfcg.gov.cn/bidClientTemplate/2019-05-27/12946.html）。</w:t>
      </w:r>
    </w:p>
    <w:p>
      <w:pPr>
        <w:shd w:val="clear"/>
        <w:spacing w:line="360" w:lineRule="auto"/>
        <w:ind w:firstLine="480" w:firstLineChars="200"/>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3.投标人应在开标前完成CA数字证书办理。（办理流程详见</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"http://www.zjzfcg.gov.cn/bidClientTemplate/2019-05-27/12945.html"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kern w:val="0"/>
          <w:sz w:val="24"/>
          <w:highlight w:val="none"/>
          <w:u w:val="single"/>
          <w14:textFill>
            <w14:solidFill>
              <w14:schemeClr w14:val="tx1"/>
            </w14:solidFill>
          </w14:textFill>
        </w:rPr>
        <w:t>http：//www.zjzfcg.gov.cn/bidClientTemplate/2019-05-27/12945.html</w:t>
      </w:r>
      <w:r>
        <w:rPr>
          <w:rFonts w:hint="eastAsia" w:ascii="宋体" w:hAnsi="宋体" w:eastAsia="宋体" w:cs="宋体"/>
          <w:color w:val="000000" w:themeColor="text1"/>
          <w:kern w:val="0"/>
          <w:sz w:val="24"/>
          <w:highlight w:val="none"/>
          <w:u w:val="single"/>
          <w14:textFill>
            <w14:solidFill>
              <w14:schemeClr w14:val="tx1"/>
            </w14:solidFill>
          </w14:textFill>
        </w:rPr>
        <w:fldChar w:fldCharType="end"/>
      </w:r>
      <w:r>
        <w:rPr>
          <w:rFonts w:hint="eastAsia" w:ascii="宋体" w:hAnsi="宋体" w:eastAsia="宋体" w:cs="宋体"/>
          <w:color w:val="000000" w:themeColor="text1"/>
          <w:kern w:val="0"/>
          <w:sz w:val="24"/>
          <w:highlight w:val="none"/>
          <w:u w:val="single"/>
          <w14:textFill>
            <w14:solidFill>
              <w14:schemeClr w14:val="tx1"/>
            </w14:solidFill>
          </w14:textFill>
        </w:rPr>
        <w:t>，完成CA数字证书办理预计一周左右，请各投标人自行把握时间）</w:t>
      </w:r>
    </w:p>
    <w:p>
      <w:pPr>
        <w:shd w:val="clear"/>
        <w:spacing w:line="360" w:lineRule="auto"/>
        <w:ind w:firstLine="480" w:firstLineChars="200"/>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eastAsia="宋体" w:cs="宋体"/>
          <w:color w:val="000000" w:themeColor="text1"/>
          <w:kern w:val="0"/>
          <w:sz w:val="24"/>
          <w:highlight w:val="none"/>
          <w:u w:val="single"/>
          <w:lang w:val="en-GB"/>
          <w14:textFill>
            <w14:solidFill>
              <w14:schemeClr w14:val="tx1"/>
            </w14:solidFill>
          </w14:textFill>
        </w:rPr>
        <w:t>在开标后规定的投标有效期内，投标人不能撤销投标文件。</w:t>
      </w:r>
    </w:p>
    <w:p>
      <w:pPr>
        <w:shd w:val="clea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5.投标文件的组成、份数、密封、效力</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本项目实行电子投标，供应商应准备电子投标文件、以介质（U盘）存储的数据电文形式、纸质备份投标文件三类：</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5.1电子投标文件，按政采云平台项目采购--电子招投标操作指南及本招标文件要求编制。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w:t>
      </w:r>
      <w:bookmarkStart w:id="1" w:name="_Hlk34638143"/>
      <w:r>
        <w:rPr>
          <w:rFonts w:hint="eastAsia" w:ascii="宋体" w:hAnsi="宋体" w:eastAsia="宋体" w:cs="宋体"/>
          <w:color w:val="000000" w:themeColor="text1"/>
          <w:sz w:val="24"/>
          <w:highlight w:val="none"/>
          <w14:textFill>
            <w14:solidFill>
              <w14:schemeClr w14:val="tx1"/>
            </w14:solidFill>
          </w14:textFill>
        </w:rPr>
        <w:t>纸质</w:t>
      </w:r>
      <w:bookmarkEnd w:id="1"/>
      <w:r>
        <w:rPr>
          <w:rFonts w:hint="eastAsia" w:ascii="宋体" w:hAnsi="宋体" w:eastAsia="宋体" w:cs="宋体"/>
          <w:color w:val="000000" w:themeColor="text1"/>
          <w:sz w:val="24"/>
          <w:highlight w:val="none"/>
          <w14:textFill>
            <w14:solidFill>
              <w14:schemeClr w14:val="tx1"/>
            </w14:solidFill>
          </w14:textFill>
        </w:rPr>
        <w:t>备份投标文件以纸质文件的形式编制，按资格证明文件、商务技术文件、报价文件三部分分别编制并单独装订成册，</w:t>
      </w:r>
      <w:r>
        <w:rPr>
          <w:rFonts w:hint="eastAsia" w:ascii="宋体" w:hAnsi="宋体" w:eastAsia="宋体" w:cs="宋体"/>
          <w:b/>
          <w:bCs/>
          <w:color w:val="000000" w:themeColor="text1"/>
          <w:sz w:val="24"/>
          <w:highlight w:val="none"/>
          <w14:textFill>
            <w14:solidFill>
              <w14:schemeClr w14:val="tx1"/>
            </w14:solidFill>
          </w14:textFill>
        </w:rPr>
        <w:t>数量均为2份（一正一副）</w:t>
      </w:r>
      <w:r>
        <w:rPr>
          <w:rFonts w:hint="eastAsia" w:ascii="宋体" w:hAnsi="宋体" w:eastAsia="宋体" w:cs="宋体"/>
          <w:color w:val="000000" w:themeColor="text1"/>
          <w:sz w:val="24"/>
          <w:highlight w:val="none"/>
          <w14:textFill>
            <w14:solidFill>
              <w14:schemeClr w14:val="tx1"/>
            </w14:solidFill>
          </w14:textFill>
        </w:rPr>
        <w:t>。资格证明文件、商务技术文件、报价文件三部分须分别密封封装，</w:t>
      </w:r>
      <w:r>
        <w:rPr>
          <w:rFonts w:hint="eastAsia" w:ascii="宋体" w:hAnsi="宋体" w:eastAsia="宋体" w:cs="宋体"/>
          <w:color w:val="000000" w:themeColor="text1"/>
          <w:sz w:val="24"/>
          <w:highlight w:val="none"/>
          <w:u w:val="single"/>
          <w14:textFill>
            <w14:solidFill>
              <w14:schemeClr w14:val="tx1"/>
            </w14:solidFill>
          </w14:textFill>
        </w:rPr>
        <w:t>资格证明文件、商务技术文件、报价文件三部分未分别密封的投标文件将为无效。</w:t>
      </w:r>
    </w:p>
    <w:p>
      <w:pPr>
        <w:shd w:val="clea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bookmarkStart w:id="2" w:name="_Hlk34639647"/>
      <w:r>
        <w:rPr>
          <w:rFonts w:hint="eastAsia" w:ascii="宋体" w:hAnsi="宋体" w:eastAsia="宋体" w:cs="宋体"/>
          <w:color w:val="000000" w:themeColor="text1"/>
          <w:sz w:val="24"/>
          <w:highlight w:val="none"/>
          <w14:textFill>
            <w14:solidFill>
              <w14:schemeClr w14:val="tx1"/>
            </w14:solidFill>
          </w14:textFill>
        </w:rPr>
        <w:t>5.3</w:t>
      </w:r>
      <w:r>
        <w:rPr>
          <w:rFonts w:hint="eastAsia" w:ascii="宋体" w:hAnsi="宋体" w:eastAsia="宋体" w:cs="宋体"/>
          <w:color w:val="000000" w:themeColor="text1"/>
          <w:sz w:val="24"/>
          <w:highlight w:val="none"/>
          <w:u w:val="single"/>
          <w14:textFill>
            <w14:solidFill>
              <w14:schemeClr w14:val="tx1"/>
            </w14:solidFill>
          </w14:textFill>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①在投标截止时间前送交到开标地点；</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②采用邮寄方式，邮寄公司统一采用顺丰（包裹外包装上请注明单位、项目名称、联系电话等信息，以便代理机构作接收登记工作），邮寄接收截止时间为投标截止时间前一个工作日下午16：00整（邮寄地址：</w:t>
      </w:r>
      <w:r>
        <w:rPr>
          <w:rFonts w:hint="eastAsia" w:ascii="宋体" w:hAnsi="宋体" w:eastAsia="宋体" w:cs="宋体"/>
          <w:color w:val="000000" w:themeColor="text1"/>
          <w:sz w:val="24"/>
          <w:highlight w:val="none"/>
          <w:lang w:eastAsia="zh-CN"/>
          <w14:textFill>
            <w14:solidFill>
              <w14:schemeClr w14:val="tx1"/>
            </w14:solidFill>
          </w14:textFill>
        </w:rPr>
        <w:t>浙江五石中正工程咨询有限公司</w:t>
      </w:r>
      <w:r>
        <w:rPr>
          <w:rFonts w:hint="eastAsia" w:ascii="宋体" w:hAnsi="宋体" w:eastAsia="宋体" w:cs="宋体"/>
          <w:color w:val="000000" w:themeColor="text1"/>
          <w:sz w:val="24"/>
          <w:highlight w:val="none"/>
          <w14:textFill>
            <w14:solidFill>
              <w14:schemeClr w14:val="tx1"/>
            </w14:solidFill>
          </w14:textFill>
        </w:rPr>
        <w:t>（浙江省台州市椒江区东环大道576号二楼，联系人：金老师，电话：0576-88781913。））。</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pPr>
        <w:shd w:val="clea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bookmarkStart w:id="3" w:name="_Hlk34638256"/>
      <w:r>
        <w:rPr>
          <w:rFonts w:hint="eastAsia" w:ascii="宋体" w:hAnsi="宋体" w:eastAsia="宋体" w:cs="宋体"/>
          <w:color w:val="000000" w:themeColor="text1"/>
          <w:sz w:val="24"/>
          <w:highlight w:val="none"/>
          <w:u w:val="single"/>
          <w14:textFill>
            <w14:solidFill>
              <w14:schemeClr w14:val="tx1"/>
            </w14:solidFill>
          </w14:textFill>
        </w:rPr>
        <w:t>5.5投标文件启用顺序和效力：投标文件的启用，按先后顺位分别为</w:t>
      </w:r>
      <w:bookmarkStart w:id="4" w:name="_Hlk34637932"/>
      <w:r>
        <w:rPr>
          <w:rFonts w:hint="eastAsia" w:ascii="宋体" w:hAnsi="宋体" w:eastAsia="宋体" w:cs="宋体"/>
          <w:color w:val="000000" w:themeColor="text1"/>
          <w:sz w:val="24"/>
          <w:highlight w:val="none"/>
          <w:u w:val="single"/>
          <w14:textFill>
            <w14:solidFill>
              <w14:schemeClr w14:val="tx1"/>
            </w14:solidFill>
          </w14:textFill>
        </w:rPr>
        <w:t>电子投标文件</w:t>
      </w:r>
      <w:bookmarkEnd w:id="4"/>
      <w:r>
        <w:rPr>
          <w:rFonts w:hint="eastAsia" w:ascii="宋体" w:hAnsi="宋体" w:eastAsia="宋体" w:cs="宋体"/>
          <w:color w:val="000000" w:themeColor="text1"/>
          <w:sz w:val="24"/>
          <w:highlight w:val="none"/>
          <w:u w:val="single"/>
          <w14:textFill>
            <w14:solidFill>
              <w14:schemeClr w14:val="tx1"/>
            </w14:solidFill>
          </w14:textFill>
        </w:rPr>
        <w:t>、以介质（U盘）存储的数据电文形式的备份投标文件和纸质备份投标文件。</w:t>
      </w:r>
      <w:bookmarkStart w:id="5" w:name="_Hlk34637983"/>
      <w:r>
        <w:rPr>
          <w:rFonts w:hint="eastAsia" w:ascii="宋体" w:hAnsi="宋体" w:eastAsia="宋体" w:cs="宋体"/>
          <w:color w:val="000000" w:themeColor="text1"/>
          <w:sz w:val="24"/>
          <w:highlight w:val="none"/>
          <w:u w:val="single"/>
          <w14:textFill>
            <w14:solidFill>
              <w14:schemeClr w14:val="tx1"/>
            </w14:solidFill>
          </w14:textFill>
        </w:rPr>
        <w:t>全部投标人的</w:t>
      </w:r>
      <w:bookmarkStart w:id="6" w:name="_Hlk34638083"/>
      <w:r>
        <w:rPr>
          <w:rFonts w:hint="eastAsia" w:ascii="宋体" w:hAnsi="宋体" w:eastAsia="宋体" w:cs="宋体"/>
          <w:color w:val="000000" w:themeColor="text1"/>
          <w:sz w:val="24"/>
          <w:highlight w:val="none"/>
          <w:u w:val="single"/>
          <w14:textFill>
            <w14:solidFill>
              <w14:schemeClr w14:val="tx1"/>
            </w14:solidFill>
          </w14:textFill>
        </w:rPr>
        <w:t>电子投标文件均已按时解密的，</w:t>
      </w:r>
      <w:bookmarkEnd w:id="6"/>
      <w:r>
        <w:rPr>
          <w:rFonts w:hint="eastAsia" w:ascii="宋体" w:hAnsi="宋体" w:eastAsia="宋体" w:cs="宋体"/>
          <w:color w:val="000000" w:themeColor="text1"/>
          <w:sz w:val="24"/>
          <w:highlight w:val="none"/>
          <w:u w:val="single"/>
          <w14:textFill>
            <w14:solidFill>
              <w14:schemeClr w14:val="tx1"/>
            </w14:solidFill>
          </w14:textFill>
        </w:rPr>
        <w:t>备份投标文件自动失效，全部投标人的电子投标文件均无法按时解密的，</w:t>
      </w:r>
      <w:bookmarkStart w:id="7" w:name="_Hlk34638161"/>
      <w:r>
        <w:rPr>
          <w:rFonts w:hint="eastAsia" w:ascii="宋体" w:hAnsi="宋体" w:eastAsia="宋体" w:cs="宋体"/>
          <w:color w:val="000000" w:themeColor="text1"/>
          <w:sz w:val="24"/>
          <w:highlight w:val="none"/>
          <w:u w:val="single"/>
          <w14:textFill>
            <w14:solidFill>
              <w14:schemeClr w14:val="tx1"/>
            </w14:solidFill>
          </w14:textFill>
        </w:rPr>
        <w:t>启用纸质备份投标文件进行线下开评标。</w:t>
      </w:r>
      <w:bookmarkEnd w:id="7"/>
      <w:r>
        <w:rPr>
          <w:rFonts w:hint="eastAsia" w:ascii="宋体" w:hAnsi="宋体" w:eastAsia="宋体" w:cs="宋体"/>
          <w:color w:val="000000" w:themeColor="text1"/>
          <w:sz w:val="24"/>
          <w:highlight w:val="none"/>
          <w:u w:val="single"/>
          <w14:textFill>
            <w14:solidFill>
              <w14:schemeClr w14:val="tx1"/>
            </w14:solidFill>
          </w14:textFill>
        </w:rPr>
        <w:t>如果某位投标人的电子</w:t>
      </w:r>
      <w:bookmarkStart w:id="8" w:name="_Hlk34638115"/>
      <w:r>
        <w:rPr>
          <w:rFonts w:hint="eastAsia" w:ascii="宋体" w:hAnsi="宋体" w:eastAsia="宋体" w:cs="宋体"/>
          <w:color w:val="000000" w:themeColor="text1"/>
          <w:sz w:val="24"/>
          <w:highlight w:val="none"/>
          <w:u w:val="single"/>
          <w14:textFill>
            <w14:solidFill>
              <w14:schemeClr w14:val="tx1"/>
            </w14:solidFill>
          </w14:textFill>
        </w:rPr>
        <w:t>投标文件</w:t>
      </w:r>
      <w:bookmarkEnd w:id="8"/>
      <w:r>
        <w:rPr>
          <w:rFonts w:hint="eastAsia" w:ascii="宋体" w:hAnsi="宋体" w:eastAsia="宋体" w:cs="宋体"/>
          <w:color w:val="000000" w:themeColor="text1"/>
          <w:sz w:val="24"/>
          <w:highlight w:val="none"/>
          <w:u w:val="single"/>
          <w14:textFill>
            <w14:solidFill>
              <w14:schemeClr w14:val="tx1"/>
            </w14:solidFill>
          </w14:textFill>
        </w:rPr>
        <w:t>无法按时解密的，其投标文件为无效标，不启用纸质备份投标文件。</w:t>
      </w:r>
      <w:bookmarkEnd w:id="3"/>
      <w:bookmarkEnd w:id="5"/>
    </w:p>
    <w:p>
      <w:pPr>
        <w:shd w:val="clea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5.6▲未传输递交电子投标文件的，投标无效。未按规定提供相应的备份投标文件，造成项目开评标活动无法进行下去的，投标无效。</w:t>
      </w:r>
    </w:p>
    <w:p>
      <w:pPr>
        <w:shd w:val="clear"/>
        <w:spacing w:line="360" w:lineRule="auto"/>
        <w:ind w:firstLine="482"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六、投标截止时间及开标时间：</w:t>
      </w:r>
      <w:r>
        <w:rPr>
          <w:rFonts w:hint="eastAsia" w:ascii="宋体" w:hAnsi="宋体" w:cs="宋体"/>
          <w:color w:val="000000" w:themeColor="text1"/>
          <w:sz w:val="24"/>
          <w:szCs w:val="32"/>
          <w:highlight w:val="none"/>
          <w:lang w:eastAsia="zh-CN"/>
          <w14:textFill>
            <w14:solidFill>
              <w14:schemeClr w14:val="tx1"/>
            </w14:solidFill>
          </w14:textFill>
        </w:rPr>
        <w:t>2022年</w:t>
      </w:r>
      <w:r>
        <w:rPr>
          <w:rFonts w:hint="eastAsia" w:ascii="宋体" w:hAnsi="宋体" w:cs="宋体"/>
          <w:color w:val="000000" w:themeColor="text1"/>
          <w:sz w:val="24"/>
          <w:szCs w:val="32"/>
          <w:highlight w:val="none"/>
          <w:lang w:val="en-US" w:eastAsia="zh-CN"/>
          <w14:textFill>
            <w14:solidFill>
              <w14:schemeClr w14:val="tx1"/>
            </w14:solidFill>
          </w14:textFill>
        </w:rPr>
        <w:t>11</w:t>
      </w:r>
      <w:r>
        <w:rPr>
          <w:rFonts w:hint="eastAsia" w:ascii="宋体" w:hAnsi="宋体" w:cs="宋体"/>
          <w:color w:val="000000" w:themeColor="text1"/>
          <w:sz w:val="24"/>
          <w:szCs w:val="32"/>
          <w:highlight w:val="none"/>
          <w:lang w:eastAsia="zh-CN"/>
          <w14:textFill>
            <w14:solidFill>
              <w14:schemeClr w14:val="tx1"/>
            </w14:solidFill>
          </w14:textFill>
        </w:rPr>
        <w:t>月</w:t>
      </w:r>
      <w:r>
        <w:rPr>
          <w:rFonts w:hint="eastAsia" w:ascii="宋体" w:hAnsi="宋体" w:cs="宋体"/>
          <w:color w:val="000000" w:themeColor="text1"/>
          <w:sz w:val="24"/>
          <w:szCs w:val="32"/>
          <w:highlight w:val="none"/>
          <w:lang w:val="en-US" w:eastAsia="zh-CN"/>
          <w14:textFill>
            <w14:solidFill>
              <w14:schemeClr w14:val="tx1"/>
            </w14:solidFill>
          </w14:textFill>
        </w:rPr>
        <w:t>21</w:t>
      </w:r>
      <w:r>
        <w:rPr>
          <w:rFonts w:hint="eastAsia" w:ascii="宋体" w:hAnsi="宋体" w:cs="宋体"/>
          <w:color w:val="000000" w:themeColor="text1"/>
          <w:sz w:val="24"/>
          <w:szCs w:val="32"/>
          <w:highlight w:val="none"/>
          <w:lang w:eastAsia="zh-CN"/>
          <w14:textFill>
            <w14:solidFill>
              <w14:schemeClr w14:val="tx1"/>
            </w14:solidFill>
          </w14:textFill>
        </w:rPr>
        <w:t>日上午9:00</w:t>
      </w:r>
      <w:r>
        <w:rPr>
          <w:rFonts w:hint="eastAsia" w:ascii="宋体" w:hAnsi="宋体" w:eastAsia="宋体" w:cs="宋体"/>
          <w:color w:val="000000" w:themeColor="text1"/>
          <w:sz w:val="24"/>
          <w:szCs w:val="32"/>
          <w:highlight w:val="none"/>
          <w:lang w:val="en-US" w:eastAsia="zh-CN"/>
          <w14:textFill>
            <w14:solidFill>
              <w14:schemeClr w14:val="tx1"/>
            </w14:solidFill>
          </w14:textFill>
        </w:rPr>
        <w:t>整</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七、投标及开标地址：</w:t>
      </w:r>
      <w:r>
        <w:rPr>
          <w:rFonts w:hint="eastAsia" w:ascii="宋体" w:hAnsi="宋体" w:cs="宋体"/>
          <w:color w:val="000000" w:themeColor="text1"/>
          <w:sz w:val="24"/>
          <w:szCs w:val="32"/>
          <w:highlight w:val="none"/>
          <w14:textFill>
            <w14:solidFill>
              <w14:schemeClr w14:val="tx1"/>
            </w14:solidFill>
          </w14:textFill>
        </w:rPr>
        <w:t>台州市椒江区东环大道576号二楼（</w:t>
      </w:r>
      <w:r>
        <w:rPr>
          <w:rFonts w:hint="eastAsia" w:ascii="宋体" w:hAnsi="宋体" w:cs="宋体"/>
          <w:color w:val="000000" w:themeColor="text1"/>
          <w:sz w:val="24"/>
          <w:szCs w:val="32"/>
          <w:highlight w:val="none"/>
          <w:lang w:val="en-US" w:eastAsia="zh-CN"/>
          <w14:textFill>
            <w14:solidFill>
              <w14:schemeClr w14:val="tx1"/>
            </w14:solidFill>
          </w14:textFill>
        </w:rPr>
        <w:t>五石</w:t>
      </w:r>
      <w:r>
        <w:rPr>
          <w:rFonts w:hint="eastAsia" w:ascii="宋体" w:hAnsi="宋体" w:cs="宋体"/>
          <w:color w:val="000000" w:themeColor="text1"/>
          <w:sz w:val="24"/>
          <w:szCs w:val="32"/>
          <w:highlight w:val="none"/>
          <w14:textFill>
            <w14:solidFill>
              <w14:schemeClr w14:val="tx1"/>
            </w14:solidFill>
          </w14:textFill>
        </w:rPr>
        <w:t>开标室</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w:t>
      </w:r>
    </w:p>
    <w:p>
      <w:pPr>
        <w:shd w:val="clear"/>
        <w:spacing w:line="360" w:lineRule="auto"/>
        <w:ind w:firstLine="482" w:firstLineChars="200"/>
        <w:outlineLvl w:val="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八、相关注意事项：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供应商如对招标文件有异议应按规定的时间提出，逾期提出的，采购组织机构可不予受理、答复。</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潜在供应商认为采购文件使自己的权益受到损害的，可以在依法获取采购文件之日或采购文件公告期限届满之日（公告期限届满后获取采购文件的，以公告期限届满之日为准）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2.根据财库[2016]125号《关于在政府采购活动中查询及使用信用记录有关问题的通知》要求，采购代理机构会对供应商信用记录进行查询并甄别。</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1）信用信息查询的截止时点：开标后评标前；</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2）查询渠道：“信用中国”（</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"qq://txfile/"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szCs w:val="32"/>
          <w:highlight w:val="none"/>
          <w14:textFill>
            <w14:solidFill>
              <w14:schemeClr w14:val="tx1"/>
            </w14:solidFill>
          </w14:textFill>
        </w:rPr>
        <w:t>www.creditchina.gov.cn</w:t>
      </w:r>
      <w:r>
        <w:rPr>
          <w:rFonts w:hint="eastAsia" w:ascii="宋体" w:hAnsi="宋体" w:eastAsia="宋体" w:cs="宋体"/>
          <w:color w:val="000000" w:themeColor="text1"/>
          <w:sz w:val="24"/>
          <w:szCs w:val="32"/>
          <w:highlight w:val="none"/>
          <w14:textFill>
            <w14:solidFill>
              <w14:schemeClr w14:val="tx1"/>
            </w14:solidFill>
          </w14:textFill>
        </w:rPr>
        <w:fldChar w:fldCharType="end"/>
      </w:r>
      <w:r>
        <w:rPr>
          <w:rFonts w:hint="eastAsia" w:ascii="宋体" w:hAnsi="宋体" w:eastAsia="宋体" w:cs="宋体"/>
          <w:color w:val="000000" w:themeColor="text1"/>
          <w:sz w:val="24"/>
          <w:szCs w:val="32"/>
          <w:highlight w:val="none"/>
          <w14:textFill>
            <w14:solidFill>
              <w14:schemeClr w14:val="tx1"/>
            </w14:solidFill>
          </w14:textFill>
        </w:rPr>
        <w:t>）、“中国政府采购网”（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"qq://txfile/"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szCs w:val="32"/>
          <w:highlight w:val="none"/>
          <w14:textFill>
            <w14:solidFill>
              <w14:schemeClr w14:val="tx1"/>
            </w14:solidFill>
          </w14:textFill>
        </w:rPr>
        <w:t>www.ccgp.gov.cn</w:t>
      </w:r>
      <w:r>
        <w:rPr>
          <w:rFonts w:hint="eastAsia" w:ascii="宋体" w:hAnsi="宋体" w:eastAsia="宋体" w:cs="宋体"/>
          <w:color w:val="000000" w:themeColor="text1"/>
          <w:sz w:val="24"/>
          <w:szCs w:val="32"/>
          <w:highlight w:val="none"/>
          <w14:textFill>
            <w14:solidFill>
              <w14:schemeClr w14:val="tx1"/>
            </w14:solidFill>
          </w14:textFill>
        </w:rPr>
        <w:fldChar w:fldCharType="end"/>
      </w:r>
      <w:r>
        <w:rPr>
          <w:rFonts w:hint="eastAsia" w:ascii="宋体" w:hAnsi="宋体" w:eastAsia="宋体" w:cs="宋体"/>
          <w:color w:val="000000" w:themeColor="text1"/>
          <w:sz w:val="24"/>
          <w:szCs w:val="32"/>
          <w:highlight w:val="none"/>
          <w14:textFill>
            <w14:solidFill>
              <w14:schemeClr w14:val="tx1"/>
            </w14:solidFill>
          </w14:textFill>
        </w:rPr>
        <w:t>）、“浙江政府采购网（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"qq://txfile/"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szCs w:val="32"/>
          <w:highlight w:val="none"/>
          <w14:textFill>
            <w14:solidFill>
              <w14:schemeClr w14:val="tx1"/>
            </w14:solidFill>
          </w14:textFill>
        </w:rPr>
        <w:t>www.zjzfcg.gov.cn</w:t>
      </w:r>
      <w:r>
        <w:rPr>
          <w:rFonts w:hint="eastAsia" w:ascii="宋体" w:hAnsi="宋体" w:eastAsia="宋体" w:cs="宋体"/>
          <w:color w:val="000000" w:themeColor="text1"/>
          <w:sz w:val="24"/>
          <w:szCs w:val="32"/>
          <w:highlight w:val="none"/>
          <w14:textFill>
            <w14:solidFill>
              <w14:schemeClr w14:val="tx1"/>
            </w14:solidFill>
          </w14:textFill>
        </w:rPr>
        <w:fldChar w:fldCharType="end"/>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3）信用信息查询记录和证据留存具体方式：采购代理机构经办人将查询网页打印与其他项目相关文件文件一并保存；</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4）信用信息的使用规则：投标人存在不良信用记录的，其投标将被作为无效投标被拒绝。</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3.不良信用记录指：被列入失信被执行人、</w:t>
      </w:r>
      <w:r>
        <w:rPr>
          <w:rFonts w:hint="eastAsia" w:ascii="宋体" w:hAnsi="宋体" w:cs="宋体"/>
          <w:color w:val="000000" w:themeColor="text1"/>
          <w:sz w:val="24"/>
          <w:szCs w:val="32"/>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szCs w:val="32"/>
          <w:highlight w:val="none"/>
          <w14:textFill>
            <w14:solidFill>
              <w14:schemeClr w14:val="tx1"/>
            </w14:solidFill>
          </w14:textFill>
        </w:rPr>
        <w:t>、政府采购严重违法失信行为记录名单或浙江政府采购网曝光台中尚在行政处罚期内的。</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4.开标时间后30分钟内，供应商须登录“政采云”平台，用“项目采购-开标评标”功能解密投标文件，投标人未按时解密或解密失败的，其上传的电子投标文件自动失效。电脑及CA解密设备自备。</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九、联系方式：</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1、采购代理机构：</w:t>
      </w:r>
      <w:r>
        <w:rPr>
          <w:rFonts w:hint="eastAsia" w:ascii="宋体" w:hAnsi="宋体" w:eastAsia="宋体" w:cs="宋体"/>
          <w:color w:val="000000" w:themeColor="text1"/>
          <w:sz w:val="24"/>
          <w:szCs w:val="32"/>
          <w:highlight w:val="none"/>
          <w:lang w:eastAsia="zh-CN"/>
          <w14:textFill>
            <w14:solidFill>
              <w14:schemeClr w14:val="tx1"/>
            </w14:solidFill>
          </w14:textFill>
        </w:rPr>
        <w:t>浙江五石中正工程咨询有限公司</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项目负责人：徐名峰；联系电话：15088711407；</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质疑接收人：</w:t>
      </w:r>
      <w:r>
        <w:rPr>
          <w:rFonts w:hint="eastAsia" w:ascii="宋体" w:hAnsi="宋体" w:cs="宋体"/>
          <w:color w:val="000000" w:themeColor="text1"/>
          <w:sz w:val="24"/>
          <w:szCs w:val="32"/>
          <w:highlight w:val="none"/>
          <w:lang w:eastAsia="zh-CN"/>
          <w14:textFill>
            <w14:solidFill>
              <w14:schemeClr w14:val="tx1"/>
            </w14:solidFill>
          </w14:textFill>
        </w:rPr>
        <w:t>徐少媚</w:t>
      </w:r>
      <w:r>
        <w:rPr>
          <w:rFonts w:hint="eastAsia" w:ascii="宋体" w:hAnsi="宋体" w:eastAsia="宋体" w:cs="宋体"/>
          <w:color w:val="000000" w:themeColor="text1"/>
          <w:sz w:val="24"/>
          <w:szCs w:val="32"/>
          <w:highlight w:val="none"/>
          <w14:textFill>
            <w14:solidFill>
              <w14:schemeClr w14:val="tx1"/>
            </w14:solidFill>
          </w14:textFill>
        </w:rPr>
        <w:t>；联系电话：</w:t>
      </w:r>
      <w:r>
        <w:rPr>
          <w:rFonts w:hint="eastAsia" w:ascii="宋体" w:hAnsi="宋体" w:cs="宋体"/>
          <w:color w:val="000000" w:themeColor="text1"/>
          <w:sz w:val="24"/>
          <w:szCs w:val="32"/>
          <w:highlight w:val="none"/>
          <w:lang w:eastAsia="zh-CN"/>
          <w14:textFill>
            <w14:solidFill>
              <w14:schemeClr w14:val="tx1"/>
            </w14:solidFill>
          </w14:textFill>
        </w:rPr>
        <w:t>0576-88785265</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报名联系人：高女士；联系电话：0571-85334203；传真：0571-85342190；</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地</w:t>
      </w:r>
      <w:r>
        <w:rPr>
          <w:rFonts w:hint="eastAsia" w:ascii="宋体" w:hAnsi="宋体" w:cs="宋体"/>
          <w:color w:val="000000" w:themeColor="text1"/>
          <w:sz w:val="24"/>
          <w:szCs w:val="32"/>
          <w:highlight w:val="none"/>
          <w:lang w:val="en-US" w:eastAsia="zh-CN"/>
          <w14:textFill>
            <w14:solidFill>
              <w14:schemeClr w14:val="tx1"/>
            </w14:solidFill>
          </w14:textFill>
        </w:rPr>
        <w:t>址</w:t>
      </w:r>
      <w:r>
        <w:rPr>
          <w:rFonts w:hint="eastAsia" w:ascii="宋体" w:hAnsi="宋体" w:eastAsia="宋体" w:cs="宋体"/>
          <w:color w:val="000000" w:themeColor="text1"/>
          <w:sz w:val="24"/>
          <w:szCs w:val="32"/>
          <w:highlight w:val="none"/>
          <w14:textFill>
            <w14:solidFill>
              <w14:schemeClr w14:val="tx1"/>
            </w14:solidFill>
          </w14:textFill>
        </w:rPr>
        <w:t>：杭州市拱墅区白石路318号中国（杭州）人力资源服务产业园北楼512室；</w:t>
      </w:r>
    </w:p>
    <w:p>
      <w:pPr>
        <w:shd w:val="clear"/>
        <w:spacing w:line="360" w:lineRule="auto"/>
        <w:ind w:firstLine="482"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2、采购人：</w:t>
      </w:r>
      <w:r>
        <w:rPr>
          <w:rFonts w:hint="eastAsia" w:ascii="宋体" w:hAnsi="宋体" w:eastAsia="宋体" w:cs="宋体"/>
          <w:color w:val="000000" w:themeColor="text1"/>
          <w:sz w:val="24"/>
          <w:szCs w:val="32"/>
          <w:highlight w:val="none"/>
          <w14:textFill>
            <w14:solidFill>
              <w14:schemeClr w14:val="tx1"/>
            </w14:solidFill>
          </w14:textFill>
        </w:rPr>
        <w:t>浙江省台州生态环境监测中心</w:t>
      </w:r>
      <w:r>
        <w:rPr>
          <w:rFonts w:hint="eastAsia" w:ascii="宋体" w:hAnsi="宋体" w:cs="宋体"/>
          <w:color w:val="000000" w:themeColor="text1"/>
          <w:sz w:val="24"/>
          <w:szCs w:val="32"/>
          <w:highlight w:val="none"/>
          <w:lang w:eastAsia="zh-CN"/>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项目联系人：</w:t>
      </w:r>
      <w:r>
        <w:rPr>
          <w:rFonts w:hint="eastAsia" w:ascii="宋体" w:hAnsi="宋体" w:eastAsia="宋体" w:cs="宋体"/>
          <w:color w:val="000000" w:themeColor="text1"/>
          <w:sz w:val="24"/>
          <w:szCs w:val="32"/>
          <w:highlight w:val="none"/>
          <w:lang w:eastAsia="zh-CN"/>
          <w14:textFill>
            <w14:solidFill>
              <w14:schemeClr w14:val="tx1"/>
            </w14:solidFill>
          </w14:textFill>
        </w:rPr>
        <w:t>丁</w:t>
      </w:r>
      <w:r>
        <w:rPr>
          <w:rFonts w:hint="eastAsia" w:ascii="宋体" w:hAnsi="宋体" w:eastAsia="宋体" w:cs="宋体"/>
          <w:color w:val="000000" w:themeColor="text1"/>
          <w:sz w:val="24"/>
          <w:szCs w:val="32"/>
          <w:highlight w:val="none"/>
          <w:lang w:val="en-US" w:eastAsia="zh-CN"/>
          <w14:textFill>
            <w14:solidFill>
              <w14:schemeClr w14:val="tx1"/>
            </w14:solidFill>
          </w14:textFill>
        </w:rPr>
        <w:t>女士</w:t>
      </w:r>
      <w:r>
        <w:rPr>
          <w:rFonts w:hint="eastAsia" w:ascii="宋体" w:hAnsi="宋体" w:eastAsia="宋体" w:cs="宋体"/>
          <w:color w:val="000000" w:themeColor="text1"/>
          <w:sz w:val="24"/>
          <w:szCs w:val="32"/>
          <w:highlight w:val="none"/>
          <w14:textFill>
            <w14:solidFill>
              <w14:schemeClr w14:val="tx1"/>
            </w14:solidFill>
          </w14:textFill>
        </w:rPr>
        <w:t>；联系电话：</w:t>
      </w:r>
      <w:r>
        <w:rPr>
          <w:rFonts w:hint="eastAsia" w:ascii="宋体" w:hAnsi="宋体" w:eastAsia="宋体" w:cs="宋体"/>
          <w:color w:val="000000" w:themeColor="text1"/>
          <w:sz w:val="24"/>
          <w:szCs w:val="32"/>
          <w:highlight w:val="none"/>
          <w:lang w:val="en-US" w:eastAsia="zh-CN"/>
          <w14:textFill>
            <w14:solidFill>
              <w14:schemeClr w14:val="tx1"/>
            </w14:solidFill>
          </w14:textFill>
        </w:rPr>
        <w:t>0576-88581135</w:t>
      </w:r>
      <w:r>
        <w:rPr>
          <w:rFonts w:hint="eastAsia" w:ascii="宋体" w:hAnsi="宋体" w:eastAsia="宋体" w:cs="宋体"/>
          <w:color w:val="000000" w:themeColor="text1"/>
          <w:sz w:val="24"/>
          <w:szCs w:val="32"/>
          <w:highlight w:val="none"/>
          <w:lang w:eastAsia="zh-CN"/>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质疑联系人：张女士；联系电话：0576-88581130</w:t>
      </w:r>
      <w:r>
        <w:rPr>
          <w:rFonts w:hint="eastAsia" w:ascii="宋体" w:hAnsi="宋体" w:cs="宋体"/>
          <w:color w:val="000000" w:themeColor="text1"/>
          <w:sz w:val="24"/>
          <w:szCs w:val="32"/>
          <w:highlight w:val="none"/>
          <w:lang w:eastAsia="zh-CN"/>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地</w:t>
      </w:r>
      <w:r>
        <w:rPr>
          <w:rFonts w:hint="eastAsia" w:ascii="宋体" w:hAnsi="宋体" w:eastAsia="宋体" w:cs="宋体"/>
          <w:color w:val="000000" w:themeColor="text1"/>
          <w:sz w:val="24"/>
          <w:szCs w:val="32"/>
          <w:highlight w:val="none"/>
          <w:lang w:val="en-US" w:eastAsia="zh-CN"/>
          <w14:textFill>
            <w14:solidFill>
              <w14:schemeClr w14:val="tx1"/>
            </w14:solidFill>
          </w14:textFill>
        </w:rPr>
        <w:t>址</w:t>
      </w:r>
      <w:r>
        <w:rPr>
          <w:rFonts w:hint="eastAsia" w:ascii="宋体" w:hAnsi="宋体" w:eastAsia="宋体" w:cs="宋体"/>
          <w:color w:val="000000" w:themeColor="text1"/>
          <w:sz w:val="24"/>
          <w:szCs w:val="32"/>
          <w:highlight w:val="none"/>
          <w14:textFill>
            <w14:solidFill>
              <w14:schemeClr w14:val="tx1"/>
            </w14:solidFill>
          </w14:textFill>
        </w:rPr>
        <w:t>：浙江省台州市椒江区白云山南路108号</w:t>
      </w:r>
      <w:r>
        <w:rPr>
          <w:rFonts w:hint="eastAsia" w:ascii="宋体" w:hAnsi="宋体" w:cs="宋体"/>
          <w:color w:val="000000" w:themeColor="text1"/>
          <w:sz w:val="24"/>
          <w:szCs w:val="32"/>
          <w:highlight w:val="none"/>
          <w:lang w:eastAsia="zh-CN"/>
          <w14:textFill>
            <w14:solidFill>
              <w14:schemeClr w14:val="tx1"/>
            </w14:solidFill>
          </w14:textFill>
        </w:rPr>
        <w:t>。</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3、同级政府采购监管管理部门：</w:t>
      </w:r>
      <w:r>
        <w:rPr>
          <w:rFonts w:hint="eastAsia" w:ascii="宋体" w:hAnsi="宋体" w:eastAsia="宋体" w:cs="宋体"/>
          <w:color w:val="000000" w:themeColor="text1"/>
          <w:sz w:val="24"/>
          <w:szCs w:val="32"/>
          <w:highlight w:val="none"/>
          <w14:textFill>
            <w14:solidFill>
              <w14:schemeClr w14:val="tx1"/>
            </w14:solidFill>
          </w14:textFill>
        </w:rPr>
        <w:t>台州市财政局政府采购监督管理办公室；</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联系人：陈工、李工；监督投诉电话：0576-88206705、0576-88206731；</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地址：台州市椒江区纬一路66号天元大厦。</w:t>
      </w:r>
    </w:p>
    <w:p>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4、其余事项：</w:t>
      </w:r>
      <w:r>
        <w:rPr>
          <w:rFonts w:hint="eastAsia" w:ascii="宋体" w:hAnsi="宋体" w:cs="宋体"/>
          <w:color w:val="000000" w:themeColor="text1"/>
          <w:sz w:val="24"/>
          <w:szCs w:val="32"/>
          <w:highlight w:val="none"/>
          <w14:textFill>
            <w14:solidFill>
              <w14:schemeClr w14:val="tx1"/>
            </w14:solidFill>
          </w14:textFill>
        </w:rPr>
        <w:t>中标供应商如有融资需求，可使用以下银行的政采贷服务。</w:t>
      </w:r>
    </w:p>
    <w:tbl>
      <w:tblPr>
        <w:tblStyle w:val="30"/>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470"/>
        <w:gridCol w:w="1155"/>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w:t>
            </w:r>
          </w:p>
        </w:tc>
        <w:tc>
          <w:tcPr>
            <w:tcW w:w="14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贷款年利率</w:t>
            </w:r>
          </w:p>
        </w:tc>
        <w:tc>
          <w:tcPr>
            <w:tcW w:w="115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2672"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中国工商银行</w:t>
            </w:r>
          </w:p>
        </w:tc>
        <w:tc>
          <w:tcPr>
            <w:tcW w:w="14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3.8%起</w:t>
            </w:r>
          </w:p>
        </w:tc>
        <w:tc>
          <w:tcPr>
            <w:tcW w:w="115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王霖</w:t>
            </w:r>
          </w:p>
        </w:tc>
        <w:tc>
          <w:tcPr>
            <w:tcW w:w="2672" w:type="dxa"/>
            <w:noWrap w:val="0"/>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中国农业银行</w:t>
            </w:r>
          </w:p>
        </w:tc>
        <w:tc>
          <w:tcPr>
            <w:tcW w:w="14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3.8%起</w:t>
            </w:r>
          </w:p>
        </w:tc>
        <w:tc>
          <w:tcPr>
            <w:tcW w:w="115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龚盛</w:t>
            </w:r>
          </w:p>
        </w:tc>
        <w:tc>
          <w:tcPr>
            <w:tcW w:w="2672" w:type="dxa"/>
            <w:noWrap w:val="0"/>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中国建设银行</w:t>
            </w:r>
          </w:p>
        </w:tc>
        <w:tc>
          <w:tcPr>
            <w:tcW w:w="14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3.8%起</w:t>
            </w:r>
          </w:p>
        </w:tc>
        <w:tc>
          <w:tcPr>
            <w:tcW w:w="115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梅晶晶</w:t>
            </w:r>
          </w:p>
        </w:tc>
        <w:tc>
          <w:tcPr>
            <w:tcW w:w="2672" w:type="dxa"/>
            <w:noWrap w:val="0"/>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中国银行</w:t>
            </w:r>
          </w:p>
        </w:tc>
        <w:tc>
          <w:tcPr>
            <w:tcW w:w="14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3.75%起</w:t>
            </w:r>
          </w:p>
        </w:tc>
        <w:tc>
          <w:tcPr>
            <w:tcW w:w="115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任茜</w:t>
            </w:r>
          </w:p>
        </w:tc>
        <w:tc>
          <w:tcPr>
            <w:tcW w:w="2672" w:type="dxa"/>
            <w:noWrap w:val="0"/>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浦发银行台州分行</w:t>
            </w:r>
          </w:p>
        </w:tc>
        <w:tc>
          <w:tcPr>
            <w:tcW w:w="14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4.05%起</w:t>
            </w:r>
          </w:p>
        </w:tc>
        <w:tc>
          <w:tcPr>
            <w:tcW w:w="115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王渊</w:t>
            </w:r>
          </w:p>
        </w:tc>
        <w:tc>
          <w:tcPr>
            <w:tcW w:w="2672" w:type="dxa"/>
            <w:noWrap w:val="0"/>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浦发银行椒江分行</w:t>
            </w:r>
          </w:p>
        </w:tc>
        <w:tc>
          <w:tcPr>
            <w:tcW w:w="14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4.05%起</w:t>
            </w:r>
          </w:p>
        </w:tc>
        <w:tc>
          <w:tcPr>
            <w:tcW w:w="115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孙瑞华</w:t>
            </w:r>
          </w:p>
        </w:tc>
        <w:tc>
          <w:tcPr>
            <w:tcW w:w="2672" w:type="dxa"/>
            <w:noWrap w:val="0"/>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交通银行台州分行</w:t>
            </w:r>
          </w:p>
        </w:tc>
        <w:tc>
          <w:tcPr>
            <w:tcW w:w="14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3.75%起</w:t>
            </w:r>
          </w:p>
        </w:tc>
        <w:tc>
          <w:tcPr>
            <w:tcW w:w="115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周翔宇</w:t>
            </w:r>
          </w:p>
        </w:tc>
        <w:tc>
          <w:tcPr>
            <w:tcW w:w="2672" w:type="dxa"/>
            <w:noWrap w:val="0"/>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招商银行台州分行</w:t>
            </w:r>
          </w:p>
        </w:tc>
        <w:tc>
          <w:tcPr>
            <w:tcW w:w="14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4.32%起</w:t>
            </w:r>
          </w:p>
        </w:tc>
        <w:tc>
          <w:tcPr>
            <w:tcW w:w="115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王海玲</w:t>
            </w:r>
          </w:p>
        </w:tc>
        <w:tc>
          <w:tcPr>
            <w:tcW w:w="2672" w:type="dxa"/>
            <w:noWrap w:val="0"/>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浙商银行台州分行</w:t>
            </w:r>
          </w:p>
        </w:tc>
        <w:tc>
          <w:tcPr>
            <w:tcW w:w="14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5.01%起</w:t>
            </w:r>
          </w:p>
        </w:tc>
        <w:tc>
          <w:tcPr>
            <w:tcW w:w="115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章涉漪</w:t>
            </w:r>
          </w:p>
        </w:tc>
        <w:tc>
          <w:tcPr>
            <w:tcW w:w="2672" w:type="dxa"/>
            <w:noWrap w:val="0"/>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中信银行台州分行</w:t>
            </w:r>
          </w:p>
        </w:tc>
        <w:tc>
          <w:tcPr>
            <w:tcW w:w="14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4.15%起</w:t>
            </w:r>
          </w:p>
        </w:tc>
        <w:tc>
          <w:tcPr>
            <w:tcW w:w="115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陈金园</w:t>
            </w:r>
          </w:p>
        </w:tc>
        <w:tc>
          <w:tcPr>
            <w:tcW w:w="2672" w:type="dxa"/>
            <w:noWrap w:val="0"/>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华夏银行台州分行</w:t>
            </w:r>
          </w:p>
        </w:tc>
        <w:tc>
          <w:tcPr>
            <w:tcW w:w="14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4.5%起</w:t>
            </w:r>
          </w:p>
        </w:tc>
        <w:tc>
          <w:tcPr>
            <w:tcW w:w="115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邱明达</w:t>
            </w:r>
          </w:p>
        </w:tc>
        <w:tc>
          <w:tcPr>
            <w:tcW w:w="2672" w:type="dxa"/>
            <w:noWrap w:val="0"/>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泰隆银行开发区支行</w:t>
            </w:r>
          </w:p>
        </w:tc>
        <w:tc>
          <w:tcPr>
            <w:tcW w:w="14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5.6%起</w:t>
            </w:r>
          </w:p>
        </w:tc>
        <w:tc>
          <w:tcPr>
            <w:tcW w:w="115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梁宛莉</w:t>
            </w:r>
          </w:p>
        </w:tc>
        <w:tc>
          <w:tcPr>
            <w:tcW w:w="2672" w:type="dxa"/>
            <w:noWrap w:val="0"/>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民泰银行椒江支行</w:t>
            </w:r>
          </w:p>
        </w:tc>
        <w:tc>
          <w:tcPr>
            <w:tcW w:w="14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5.8%起</w:t>
            </w:r>
          </w:p>
        </w:tc>
        <w:tc>
          <w:tcPr>
            <w:tcW w:w="115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陈慧珠</w:t>
            </w:r>
          </w:p>
        </w:tc>
        <w:tc>
          <w:tcPr>
            <w:tcW w:w="2672" w:type="dxa"/>
            <w:noWrap w:val="0"/>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绍兴银行台州分行</w:t>
            </w:r>
          </w:p>
        </w:tc>
        <w:tc>
          <w:tcPr>
            <w:tcW w:w="14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5.1%起</w:t>
            </w:r>
          </w:p>
        </w:tc>
        <w:tc>
          <w:tcPr>
            <w:tcW w:w="115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郭庭斌</w:t>
            </w:r>
          </w:p>
        </w:tc>
        <w:tc>
          <w:tcPr>
            <w:tcW w:w="2672" w:type="dxa"/>
            <w:noWrap w:val="0"/>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温州银行台州分行</w:t>
            </w:r>
          </w:p>
        </w:tc>
        <w:tc>
          <w:tcPr>
            <w:tcW w:w="14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4.55%起</w:t>
            </w:r>
          </w:p>
        </w:tc>
        <w:tc>
          <w:tcPr>
            <w:tcW w:w="115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王晓波</w:t>
            </w:r>
          </w:p>
        </w:tc>
        <w:tc>
          <w:tcPr>
            <w:tcW w:w="2672" w:type="dxa"/>
            <w:noWrap w:val="0"/>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平安银行台州分行</w:t>
            </w:r>
          </w:p>
        </w:tc>
        <w:tc>
          <w:tcPr>
            <w:tcW w:w="14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6.53%起</w:t>
            </w:r>
          </w:p>
        </w:tc>
        <w:tc>
          <w:tcPr>
            <w:tcW w:w="115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李俊丽</w:t>
            </w:r>
          </w:p>
        </w:tc>
        <w:tc>
          <w:tcPr>
            <w:tcW w:w="2672" w:type="dxa"/>
            <w:noWrap w:val="0"/>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宁波银行台州分行</w:t>
            </w:r>
          </w:p>
        </w:tc>
        <w:tc>
          <w:tcPr>
            <w:tcW w:w="14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4.35%起</w:t>
            </w:r>
          </w:p>
        </w:tc>
        <w:tc>
          <w:tcPr>
            <w:tcW w:w="115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戴莉丽</w:t>
            </w:r>
          </w:p>
        </w:tc>
        <w:tc>
          <w:tcPr>
            <w:tcW w:w="2672" w:type="dxa"/>
            <w:noWrap w:val="0"/>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金华银行台州分行</w:t>
            </w:r>
          </w:p>
        </w:tc>
        <w:tc>
          <w:tcPr>
            <w:tcW w:w="14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4.05%起</w:t>
            </w:r>
          </w:p>
        </w:tc>
        <w:tc>
          <w:tcPr>
            <w:tcW w:w="115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金雪婷</w:t>
            </w:r>
          </w:p>
        </w:tc>
        <w:tc>
          <w:tcPr>
            <w:tcW w:w="2672" w:type="dxa"/>
            <w:noWrap w:val="0"/>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台州银行</w:t>
            </w:r>
          </w:p>
        </w:tc>
        <w:tc>
          <w:tcPr>
            <w:tcW w:w="14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5.6%起</w:t>
            </w:r>
          </w:p>
        </w:tc>
        <w:tc>
          <w:tcPr>
            <w:tcW w:w="115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洪婷</w:t>
            </w:r>
          </w:p>
        </w:tc>
        <w:tc>
          <w:tcPr>
            <w:tcW w:w="2672" w:type="dxa"/>
            <w:noWrap w:val="0"/>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邮储银行台州分行</w:t>
            </w:r>
          </w:p>
        </w:tc>
        <w:tc>
          <w:tcPr>
            <w:tcW w:w="14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3.85%起</w:t>
            </w:r>
          </w:p>
        </w:tc>
        <w:tc>
          <w:tcPr>
            <w:tcW w:w="115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董庆</w:t>
            </w:r>
          </w:p>
        </w:tc>
        <w:tc>
          <w:tcPr>
            <w:tcW w:w="2672" w:type="dxa"/>
            <w:noWrap w:val="0"/>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81888982/18957683735</w:t>
            </w:r>
          </w:p>
        </w:tc>
      </w:tr>
    </w:tbl>
    <w:p>
      <w:pPr>
        <w:shd w:val="clear"/>
        <w:spacing w:line="360" w:lineRule="auto"/>
        <w:ind w:firstLine="480" w:firstLineChars="200"/>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合同履约保函联系方式</w:t>
      </w:r>
    </w:p>
    <w:tbl>
      <w:tblPr>
        <w:tblStyle w:val="30"/>
        <w:tblW w:w="0" w:type="auto"/>
        <w:tblInd w:w="3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0"/>
        <w:gridCol w:w="2270"/>
        <w:gridCol w:w="97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保险公司名称</w:t>
            </w:r>
          </w:p>
        </w:tc>
        <w:tc>
          <w:tcPr>
            <w:tcW w:w="22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保费率</w:t>
            </w:r>
          </w:p>
        </w:tc>
        <w:tc>
          <w:tcPr>
            <w:tcW w:w="97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59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中国人寿财产保险股份有限公司台州中心支公司</w:t>
            </w:r>
          </w:p>
        </w:tc>
        <w:tc>
          <w:tcPr>
            <w:tcW w:w="22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97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徐凌</w:t>
            </w:r>
          </w:p>
        </w:tc>
        <w:tc>
          <w:tcPr>
            <w:tcW w:w="159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永诚财产保险股份有限公司台州分公司</w:t>
            </w:r>
          </w:p>
        </w:tc>
        <w:tc>
          <w:tcPr>
            <w:tcW w:w="22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年费率1%，最低保费1000元</w:t>
            </w:r>
          </w:p>
        </w:tc>
        <w:tc>
          <w:tcPr>
            <w:tcW w:w="97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尹刚强</w:t>
            </w:r>
          </w:p>
        </w:tc>
        <w:tc>
          <w:tcPr>
            <w:tcW w:w="159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华泰财产保险有限公司台州中心支公司</w:t>
            </w:r>
          </w:p>
        </w:tc>
        <w:tc>
          <w:tcPr>
            <w:tcW w:w="22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年费率0.5%，最低保费1000元</w:t>
            </w:r>
          </w:p>
        </w:tc>
        <w:tc>
          <w:tcPr>
            <w:tcW w:w="97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王灵芳</w:t>
            </w:r>
          </w:p>
        </w:tc>
        <w:tc>
          <w:tcPr>
            <w:tcW w:w="159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中国大地财产保险股份有限公司台州中心支公司</w:t>
            </w:r>
          </w:p>
        </w:tc>
        <w:tc>
          <w:tcPr>
            <w:tcW w:w="22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年费率1.5%，最低保费1000元</w:t>
            </w:r>
          </w:p>
        </w:tc>
        <w:tc>
          <w:tcPr>
            <w:tcW w:w="97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徐小明</w:t>
            </w:r>
          </w:p>
        </w:tc>
        <w:tc>
          <w:tcPr>
            <w:tcW w:w="159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阳光保险台州中心支公司</w:t>
            </w:r>
          </w:p>
        </w:tc>
        <w:tc>
          <w:tcPr>
            <w:tcW w:w="22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97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林高明</w:t>
            </w:r>
          </w:p>
        </w:tc>
        <w:tc>
          <w:tcPr>
            <w:tcW w:w="159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中华联合财产保险股份有限公司台州中心支公司</w:t>
            </w:r>
          </w:p>
        </w:tc>
        <w:tc>
          <w:tcPr>
            <w:tcW w:w="22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年费率2%，最低保费500元</w:t>
            </w:r>
          </w:p>
        </w:tc>
        <w:tc>
          <w:tcPr>
            <w:tcW w:w="97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王仙高</w:t>
            </w:r>
          </w:p>
        </w:tc>
        <w:tc>
          <w:tcPr>
            <w:tcW w:w="159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中国人民财产保险股份有限公司台州中心支公司</w:t>
            </w:r>
          </w:p>
        </w:tc>
        <w:tc>
          <w:tcPr>
            <w:tcW w:w="22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年费率0.3%，最低保费1000元</w:t>
            </w:r>
          </w:p>
        </w:tc>
        <w:tc>
          <w:tcPr>
            <w:tcW w:w="97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王仙春</w:t>
            </w:r>
          </w:p>
        </w:tc>
        <w:tc>
          <w:tcPr>
            <w:tcW w:w="159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永安财产保险股份有限公司台州中心支公司</w:t>
            </w:r>
          </w:p>
        </w:tc>
        <w:tc>
          <w:tcPr>
            <w:tcW w:w="227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年费率0.3%，最低保费1000</w:t>
            </w:r>
          </w:p>
        </w:tc>
        <w:tc>
          <w:tcPr>
            <w:tcW w:w="97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王春宇</w:t>
            </w:r>
          </w:p>
        </w:tc>
        <w:tc>
          <w:tcPr>
            <w:tcW w:w="1590"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13676675331</w:t>
            </w:r>
          </w:p>
        </w:tc>
      </w:tr>
    </w:tbl>
    <w:p>
      <w:pPr>
        <w:shd w:val="clear"/>
        <w:spacing w:line="360" w:lineRule="auto"/>
        <w:ind w:firstLine="480" w:firstLineChars="200"/>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预付款保函联系方式</w:t>
      </w:r>
    </w:p>
    <w:tbl>
      <w:tblPr>
        <w:tblStyle w:val="30"/>
        <w:tblW w:w="0" w:type="auto"/>
        <w:tblInd w:w="3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5"/>
        <w:gridCol w:w="2265"/>
        <w:gridCol w:w="975"/>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保险公司名称</w:t>
            </w:r>
          </w:p>
        </w:tc>
        <w:tc>
          <w:tcPr>
            <w:tcW w:w="226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保费率</w:t>
            </w:r>
          </w:p>
        </w:tc>
        <w:tc>
          <w:tcPr>
            <w:tcW w:w="97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60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中国人寿财产保险股份有限公司台州中心支公司</w:t>
            </w:r>
          </w:p>
        </w:tc>
        <w:tc>
          <w:tcPr>
            <w:tcW w:w="226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年费率3%，最低保费500元</w:t>
            </w:r>
          </w:p>
        </w:tc>
        <w:tc>
          <w:tcPr>
            <w:tcW w:w="97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徐凌</w:t>
            </w:r>
          </w:p>
        </w:tc>
        <w:tc>
          <w:tcPr>
            <w:tcW w:w="160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阳光保险台州中心支公司</w:t>
            </w:r>
          </w:p>
        </w:tc>
        <w:tc>
          <w:tcPr>
            <w:tcW w:w="226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97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林高明</w:t>
            </w:r>
          </w:p>
        </w:tc>
        <w:tc>
          <w:tcPr>
            <w:tcW w:w="160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天安财产保险股份有限公司台州中心支公司</w:t>
            </w:r>
          </w:p>
        </w:tc>
        <w:tc>
          <w:tcPr>
            <w:tcW w:w="226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年费率1%-2%，最低保费500元</w:t>
            </w:r>
          </w:p>
        </w:tc>
        <w:tc>
          <w:tcPr>
            <w:tcW w:w="97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罗赛</w:t>
            </w:r>
          </w:p>
        </w:tc>
        <w:tc>
          <w:tcPr>
            <w:tcW w:w="1605" w:type="dxa"/>
            <w:noWrap w:val="0"/>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13736605643</w:t>
            </w:r>
          </w:p>
        </w:tc>
      </w:tr>
    </w:tbl>
    <w:p>
      <w:pPr>
        <w:shd w:val="clear"/>
        <w:spacing w:line="360" w:lineRule="auto"/>
        <w:jc w:val="right"/>
        <w:rPr>
          <w:rFonts w:hint="eastAsia" w:ascii="宋体" w:hAnsi="宋体" w:eastAsia="宋体" w:cs="宋体"/>
          <w:color w:val="000000" w:themeColor="text1"/>
          <w:sz w:val="24"/>
          <w:szCs w:val="32"/>
          <w:highlight w:val="none"/>
          <w:lang w:eastAsia="zh-CN"/>
          <w14:textFill>
            <w14:solidFill>
              <w14:schemeClr w14:val="tx1"/>
            </w14:solidFill>
          </w14:textFill>
        </w:rPr>
      </w:pPr>
    </w:p>
    <w:p>
      <w:pPr>
        <w:shd w:val="clear"/>
        <w:spacing w:line="360" w:lineRule="auto"/>
        <w:jc w:val="right"/>
        <w:rPr>
          <w:rFonts w:hint="eastAsia" w:ascii="宋体" w:hAnsi="宋体" w:eastAsia="宋体" w:cs="宋体"/>
          <w:color w:val="000000" w:themeColor="text1"/>
          <w:sz w:val="24"/>
          <w:szCs w:val="32"/>
          <w:highlight w:val="none"/>
          <w:lang w:eastAsia="zh-CN"/>
          <w14:textFill>
            <w14:solidFill>
              <w14:schemeClr w14:val="tx1"/>
            </w14:solidFill>
          </w14:textFill>
        </w:rPr>
      </w:pPr>
    </w:p>
    <w:p>
      <w:pPr>
        <w:shd w:val="clear"/>
        <w:spacing w:line="360" w:lineRule="auto"/>
        <w:jc w:val="right"/>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lang w:eastAsia="zh-CN"/>
          <w14:textFill>
            <w14:solidFill>
              <w14:schemeClr w14:val="tx1"/>
            </w14:solidFill>
          </w14:textFill>
        </w:rPr>
        <w:t>浙江五石中正工程咨询有限公司</w:t>
      </w:r>
    </w:p>
    <w:p>
      <w:pPr>
        <w:shd w:val="clear"/>
        <w:spacing w:line="360" w:lineRule="auto"/>
        <w:jc w:val="center"/>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cs="宋体"/>
          <w:color w:val="000000" w:themeColor="text1"/>
          <w:sz w:val="24"/>
          <w:szCs w:val="32"/>
          <w:highlight w:val="none"/>
          <w:lang w:eastAsia="zh-CN"/>
          <w14:textFill>
            <w14:solidFill>
              <w14:schemeClr w14:val="tx1"/>
            </w14:solidFill>
          </w14:textFill>
        </w:rPr>
        <w:t>二○二二年十月</w:t>
      </w: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pStyle w:val="12"/>
        <w:shd w:val="clear"/>
        <w:ind w:left="0" w:leftChars="0" w:firstLine="0" w:firstLineChars="0"/>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第二章 投标人须知</w:t>
      </w:r>
    </w:p>
    <w:p>
      <w:pPr>
        <w:shd w:val="clear"/>
        <w:spacing w:line="360" w:lineRule="auto"/>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前附表</w:t>
      </w:r>
    </w:p>
    <w:tbl>
      <w:tblPr>
        <w:tblStyle w:val="30"/>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041"/>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dxa"/>
            <w:vAlign w:val="center"/>
          </w:tcPr>
          <w:p>
            <w:pPr>
              <w:shd w:val="clear"/>
              <w:spacing w:line="26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2041" w:type="dxa"/>
            <w:vAlign w:val="center"/>
          </w:tcPr>
          <w:p>
            <w:pPr>
              <w:shd w:val="clear"/>
              <w:spacing w:line="26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    目</w:t>
            </w:r>
          </w:p>
        </w:tc>
        <w:tc>
          <w:tcPr>
            <w:tcW w:w="7199" w:type="dxa"/>
            <w:vAlign w:val="center"/>
          </w:tcPr>
          <w:p>
            <w:pPr>
              <w:shd w:val="clear"/>
              <w:spacing w:line="26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204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供应商特定资格要求</w:t>
            </w:r>
          </w:p>
        </w:tc>
        <w:tc>
          <w:tcPr>
            <w:tcW w:w="7199"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204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答疑会或</w:t>
            </w:r>
            <w:r>
              <w:rPr>
                <w:rFonts w:hint="eastAsia" w:ascii="宋体" w:hAnsi="宋体" w:eastAsia="宋体" w:cs="宋体"/>
                <w:color w:val="000000" w:themeColor="text1"/>
                <w:sz w:val="24"/>
                <w:highlight w:val="none"/>
                <w14:textFill>
                  <w14:solidFill>
                    <w14:schemeClr w14:val="tx1"/>
                  </w14:solidFill>
                </w14:textFill>
              </w:rPr>
              <w:t>现场踏勘</w:t>
            </w:r>
          </w:p>
        </w:tc>
        <w:tc>
          <w:tcPr>
            <w:tcW w:w="7199"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2041" w:type="dxa"/>
            <w:vAlign w:val="center"/>
          </w:tcPr>
          <w:p>
            <w:pPr>
              <w:shd w:val="clea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投标文件的组成、份数、效力</w:t>
            </w:r>
          </w:p>
        </w:tc>
        <w:tc>
          <w:tcPr>
            <w:tcW w:w="7199" w:type="dxa"/>
            <w:vAlign w:val="center"/>
          </w:tcPr>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本项目实行电子投标，供应商应准备电子投标文件、以介质（U盘）存储的数据电文形式的备份投标文件、纸质备份投标文件三类：</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1.电子投标文件，按政采云平台项目采购--电子招投标操作指南及本招标文件要求编制、递交。</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2.以介质（U盘）存储的数据电文形式的备份投标文件，按政采云平台项目采购-电子招投标操作指南中上传的电子投标文件格式，以U盘形式提供。</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3.纸质备份投标文件以纸质文件的形式编制，按资格证明文件、商务技术文件、报价文件三部分分别编制并单独装订成册，</w:t>
            </w:r>
            <w:r>
              <w:rPr>
                <w:rFonts w:hint="eastAsia" w:ascii="宋体" w:hAnsi="宋体" w:eastAsia="宋体" w:cs="宋体"/>
                <w:b/>
                <w:bCs/>
                <w:color w:val="000000" w:themeColor="text1"/>
                <w:sz w:val="24"/>
                <w:highlight w:val="none"/>
                <w14:textFill>
                  <w14:solidFill>
                    <w14:schemeClr w14:val="tx1"/>
                  </w14:solidFill>
                </w14:textFill>
              </w:rPr>
              <w:t>数量均为2份（一正一副）</w:t>
            </w:r>
            <w:r>
              <w:rPr>
                <w:rFonts w:hint="eastAsia" w:ascii="宋体" w:hAnsi="宋体" w:eastAsia="宋体" w:cs="宋体"/>
                <w:color w:val="000000" w:themeColor="text1"/>
                <w:sz w:val="24"/>
                <w:highlight w:val="none"/>
                <w14:textFill>
                  <w14:solidFill>
                    <w14:schemeClr w14:val="tx1"/>
                  </w14:solidFill>
                </w14:textFill>
              </w:rPr>
              <w:t>。资格证明文件、商务技术文件、报价文件三部分须分别密封封装，资格证明文件、商务技术文件、报价文件三部分未分别密封的投标文件将为无效。</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5.▲未传输递交电子投标文件的，投标无效。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204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投标有效期</w:t>
            </w:r>
          </w:p>
        </w:tc>
        <w:tc>
          <w:tcPr>
            <w:tcW w:w="7199"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投标有效期为开标后90天，</w:t>
            </w:r>
            <w:r>
              <w:rPr>
                <w:rFonts w:hint="eastAsia" w:ascii="宋体" w:hAnsi="宋体" w:eastAsia="宋体" w:cs="宋体"/>
                <w:color w:val="000000" w:themeColor="text1"/>
                <w:kern w:val="0"/>
                <w:sz w:val="24"/>
                <w:highlight w:val="none"/>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204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投标文件递交</w:t>
            </w:r>
          </w:p>
        </w:tc>
        <w:tc>
          <w:tcPr>
            <w:tcW w:w="7199" w:type="dxa"/>
            <w:vAlign w:val="center"/>
          </w:tcPr>
          <w:p>
            <w:pPr>
              <w:shd w:val="clea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截止时间：北京时间</w:t>
            </w:r>
            <w:r>
              <w:rPr>
                <w:rFonts w:hint="eastAsia" w:ascii="宋体" w:hAnsi="宋体" w:cs="宋体"/>
                <w:color w:val="000000" w:themeColor="text1"/>
                <w:sz w:val="24"/>
                <w:szCs w:val="32"/>
                <w:highlight w:val="none"/>
                <w:lang w:eastAsia="zh-CN"/>
                <w14:textFill>
                  <w14:solidFill>
                    <w14:schemeClr w14:val="tx1"/>
                  </w14:solidFill>
                </w14:textFill>
              </w:rPr>
              <w:t>2022年</w:t>
            </w:r>
            <w:r>
              <w:rPr>
                <w:rFonts w:hint="eastAsia" w:ascii="宋体" w:hAnsi="宋体" w:cs="宋体"/>
                <w:color w:val="000000" w:themeColor="text1"/>
                <w:sz w:val="24"/>
                <w:szCs w:val="32"/>
                <w:highlight w:val="none"/>
                <w:lang w:val="en-US" w:eastAsia="zh-CN"/>
                <w14:textFill>
                  <w14:solidFill>
                    <w14:schemeClr w14:val="tx1"/>
                  </w14:solidFill>
                </w14:textFill>
              </w:rPr>
              <w:t>11</w:t>
            </w:r>
            <w:r>
              <w:rPr>
                <w:rFonts w:hint="eastAsia" w:ascii="宋体" w:hAnsi="宋体" w:cs="宋体"/>
                <w:color w:val="000000" w:themeColor="text1"/>
                <w:sz w:val="24"/>
                <w:szCs w:val="32"/>
                <w:highlight w:val="none"/>
                <w:lang w:eastAsia="zh-CN"/>
                <w14:textFill>
                  <w14:solidFill>
                    <w14:schemeClr w14:val="tx1"/>
                  </w14:solidFill>
                </w14:textFill>
              </w:rPr>
              <w:t>月</w:t>
            </w:r>
            <w:r>
              <w:rPr>
                <w:rFonts w:hint="eastAsia" w:ascii="宋体" w:hAnsi="宋体" w:cs="宋体"/>
                <w:color w:val="000000" w:themeColor="text1"/>
                <w:sz w:val="24"/>
                <w:szCs w:val="32"/>
                <w:highlight w:val="none"/>
                <w:lang w:val="en-US" w:eastAsia="zh-CN"/>
                <w14:textFill>
                  <w14:solidFill>
                    <w14:schemeClr w14:val="tx1"/>
                  </w14:solidFill>
                </w14:textFill>
              </w:rPr>
              <w:t>21</w:t>
            </w:r>
            <w:r>
              <w:rPr>
                <w:rFonts w:hint="eastAsia" w:ascii="宋体" w:hAnsi="宋体" w:cs="宋体"/>
                <w:color w:val="000000" w:themeColor="text1"/>
                <w:sz w:val="24"/>
                <w:szCs w:val="32"/>
                <w:highlight w:val="none"/>
                <w:lang w:eastAsia="zh-CN"/>
                <w14:textFill>
                  <w14:solidFill>
                    <w14:schemeClr w14:val="tx1"/>
                  </w14:solidFill>
                </w14:textFill>
              </w:rPr>
              <w:t>日上午9:00</w:t>
            </w:r>
            <w:r>
              <w:rPr>
                <w:rFonts w:hint="eastAsia" w:ascii="宋体" w:hAnsi="宋体" w:cs="宋体"/>
                <w:color w:val="000000" w:themeColor="text1"/>
                <w:sz w:val="24"/>
                <w:szCs w:val="32"/>
                <w:highlight w:val="none"/>
                <w:lang w:val="en-US" w:eastAsia="zh-CN"/>
                <w14:textFill>
                  <w14:solidFill>
                    <w14:schemeClr w14:val="tx1"/>
                  </w14:solidFill>
                </w14:textFill>
              </w:rPr>
              <w:t>整</w:t>
            </w:r>
          </w:p>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投标供应商应当在投标截止时间前将生成的“电子加密投标文件”上传递交至“政府采购云平台”，并在开标当日投标截止时间前提交纸质备份投标文件。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204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开标时间及地点</w:t>
            </w:r>
          </w:p>
        </w:tc>
        <w:tc>
          <w:tcPr>
            <w:tcW w:w="7199" w:type="dxa"/>
            <w:vAlign w:val="center"/>
          </w:tcPr>
          <w:p>
            <w:pPr>
              <w:shd w:val="clea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时间：北京时间</w:t>
            </w:r>
            <w:r>
              <w:rPr>
                <w:rFonts w:hint="eastAsia" w:ascii="宋体" w:hAnsi="宋体" w:cs="宋体"/>
                <w:color w:val="000000" w:themeColor="text1"/>
                <w:sz w:val="24"/>
                <w:szCs w:val="32"/>
                <w:highlight w:val="none"/>
                <w:lang w:eastAsia="zh-CN"/>
                <w14:textFill>
                  <w14:solidFill>
                    <w14:schemeClr w14:val="tx1"/>
                  </w14:solidFill>
                </w14:textFill>
              </w:rPr>
              <w:t>2022年</w:t>
            </w:r>
            <w:r>
              <w:rPr>
                <w:rFonts w:hint="eastAsia" w:ascii="宋体" w:hAnsi="宋体" w:cs="宋体"/>
                <w:color w:val="000000" w:themeColor="text1"/>
                <w:sz w:val="24"/>
                <w:szCs w:val="32"/>
                <w:highlight w:val="none"/>
                <w:lang w:val="en-US" w:eastAsia="zh-CN"/>
                <w14:textFill>
                  <w14:solidFill>
                    <w14:schemeClr w14:val="tx1"/>
                  </w14:solidFill>
                </w14:textFill>
              </w:rPr>
              <w:t>11</w:t>
            </w:r>
            <w:r>
              <w:rPr>
                <w:rFonts w:hint="eastAsia" w:ascii="宋体" w:hAnsi="宋体" w:cs="宋体"/>
                <w:color w:val="000000" w:themeColor="text1"/>
                <w:sz w:val="24"/>
                <w:szCs w:val="32"/>
                <w:highlight w:val="none"/>
                <w:lang w:eastAsia="zh-CN"/>
                <w14:textFill>
                  <w14:solidFill>
                    <w14:schemeClr w14:val="tx1"/>
                  </w14:solidFill>
                </w14:textFill>
              </w:rPr>
              <w:t>月</w:t>
            </w:r>
            <w:r>
              <w:rPr>
                <w:rFonts w:hint="eastAsia" w:ascii="宋体" w:hAnsi="宋体" w:cs="宋体"/>
                <w:color w:val="000000" w:themeColor="text1"/>
                <w:sz w:val="24"/>
                <w:szCs w:val="32"/>
                <w:highlight w:val="none"/>
                <w:lang w:val="en-US" w:eastAsia="zh-CN"/>
                <w14:textFill>
                  <w14:solidFill>
                    <w14:schemeClr w14:val="tx1"/>
                  </w14:solidFill>
                </w14:textFill>
              </w:rPr>
              <w:t>21</w:t>
            </w:r>
            <w:r>
              <w:rPr>
                <w:rFonts w:hint="eastAsia" w:ascii="宋体" w:hAnsi="宋体" w:cs="宋体"/>
                <w:color w:val="000000" w:themeColor="text1"/>
                <w:sz w:val="24"/>
                <w:szCs w:val="32"/>
                <w:highlight w:val="none"/>
                <w:lang w:eastAsia="zh-CN"/>
                <w14:textFill>
                  <w14:solidFill>
                    <w14:schemeClr w14:val="tx1"/>
                  </w14:solidFill>
                </w14:textFill>
              </w:rPr>
              <w:t>日上午9:00</w:t>
            </w:r>
            <w:r>
              <w:rPr>
                <w:rFonts w:hint="eastAsia" w:ascii="宋体" w:hAnsi="宋体" w:cs="宋体"/>
                <w:color w:val="000000" w:themeColor="text1"/>
                <w:sz w:val="24"/>
                <w:szCs w:val="32"/>
                <w:highlight w:val="none"/>
                <w:lang w:val="en-US" w:eastAsia="zh-CN"/>
                <w14:textFill>
                  <w14:solidFill>
                    <w14:schemeClr w14:val="tx1"/>
                  </w14:solidFill>
                </w14:textFill>
              </w:rPr>
              <w:t>整</w:t>
            </w:r>
          </w:p>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szCs w:val="32"/>
                <w:highlight w:val="none"/>
                <w14:textFill>
                  <w14:solidFill>
                    <w14:schemeClr w14:val="tx1"/>
                  </w14:solidFill>
                </w14:textFill>
              </w:rPr>
              <w:t>台州市椒江区东环大道576号二楼（</w:t>
            </w:r>
            <w:r>
              <w:rPr>
                <w:rFonts w:hint="eastAsia" w:ascii="宋体" w:hAnsi="宋体" w:cs="宋体"/>
                <w:color w:val="000000" w:themeColor="text1"/>
                <w:sz w:val="24"/>
                <w:szCs w:val="32"/>
                <w:highlight w:val="none"/>
                <w:lang w:val="en-US" w:eastAsia="zh-CN"/>
                <w14:textFill>
                  <w14:solidFill>
                    <w14:schemeClr w14:val="tx1"/>
                  </w14:solidFill>
                </w14:textFill>
              </w:rPr>
              <w:t>五石</w:t>
            </w:r>
            <w:r>
              <w:rPr>
                <w:rFonts w:hint="eastAsia" w:ascii="宋体" w:hAnsi="宋体" w:cs="宋体"/>
                <w:color w:val="000000" w:themeColor="text1"/>
                <w:sz w:val="24"/>
                <w:szCs w:val="32"/>
                <w:highlight w:val="none"/>
                <w14:textFill>
                  <w14:solidFill>
                    <w14:schemeClr w14:val="tx1"/>
                  </w14:solidFill>
                </w14:textFill>
              </w:rPr>
              <w:t>开标室</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204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履约保证金</w:t>
            </w:r>
          </w:p>
        </w:tc>
        <w:tc>
          <w:tcPr>
            <w:tcW w:w="7199" w:type="dxa"/>
            <w:vAlign w:val="center"/>
          </w:tcPr>
          <w:p>
            <w:pPr>
              <w:shd w:val="clea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中标单位收到中标通知书后向甲方缴纳合同金额1%履约保证金，履约保证金在承包期满后10天内不计息退还。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2041" w:type="dxa"/>
            <w:vAlign w:val="center"/>
          </w:tcPr>
          <w:p>
            <w:pPr>
              <w:shd w:val="clear"/>
              <w:autoSpaceDE w:val="0"/>
              <w:autoSpaceDN w:val="0"/>
              <w:adjustRightIn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实质性条款</w:t>
            </w:r>
          </w:p>
        </w:tc>
        <w:tc>
          <w:tcPr>
            <w:tcW w:w="7199"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带“</w:t>
            </w:r>
            <w:r>
              <w:rPr>
                <w:rFonts w:hint="eastAsia" w:ascii="宋体" w:hAnsi="宋体" w:eastAsia="宋体" w:cs="宋体"/>
                <w:color w:val="000000" w:themeColor="text1"/>
                <w:sz w:val="24"/>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2041" w:type="dxa"/>
            <w:vAlign w:val="center"/>
          </w:tcPr>
          <w:p>
            <w:pPr>
              <w:shd w:val="clear"/>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样品及演示</w:t>
            </w:r>
          </w:p>
        </w:tc>
        <w:tc>
          <w:tcPr>
            <w:tcW w:w="7199" w:type="dxa"/>
            <w:vAlign w:val="center"/>
          </w:tcPr>
          <w:p>
            <w:pPr>
              <w:shd w:val="clear"/>
              <w:jc w:val="both"/>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Merge w:val="restart"/>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2041" w:type="dxa"/>
            <w:vAlign w:val="center"/>
          </w:tcPr>
          <w:p>
            <w:pPr>
              <w:shd w:val="clear"/>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是否专门面向中小微企业采购</w:t>
            </w:r>
          </w:p>
        </w:tc>
        <w:tc>
          <w:tcPr>
            <w:tcW w:w="7199" w:type="dxa"/>
            <w:vAlign w:val="center"/>
          </w:tcPr>
          <w:p>
            <w:pPr>
              <w:shd w:val="clear"/>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是</w:t>
            </w:r>
          </w:p>
          <w:p>
            <w:pPr>
              <w:shd w:val="clear"/>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Merge w:val="continue"/>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041" w:type="dxa"/>
            <w:vAlign w:val="center"/>
          </w:tcPr>
          <w:p>
            <w:pPr>
              <w:shd w:val="clear"/>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中小企业划分标准所属行业</w:t>
            </w:r>
          </w:p>
        </w:tc>
        <w:tc>
          <w:tcPr>
            <w:tcW w:w="7199" w:type="dxa"/>
            <w:vAlign w:val="center"/>
          </w:tcPr>
          <w:p>
            <w:pPr>
              <w:shd w:val="clear"/>
              <w:jc w:val="both"/>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所属行业：其他未列明行业。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2041"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节能环保</w:t>
            </w:r>
          </w:p>
        </w:tc>
        <w:tc>
          <w:tcPr>
            <w:tcW w:w="7199"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符合国家相关法律规定。</w:t>
            </w:r>
          </w:p>
        </w:tc>
      </w:tr>
    </w:tbl>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 、总  则</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 适用范围</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本招标文件适用于本次项目的招标、投标、评标、定标、验收、合同履约、付款等行为（法律、法规另有规定的，从其规定）。</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（二）定义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zh-CN"/>
          <w14:textFill>
            <w14:solidFill>
              <w14:schemeClr w14:val="tx1"/>
            </w14:solidFill>
          </w14:textFill>
        </w:rPr>
        <w:t>“采购组织机构”指采购人委托组织招标的采购代理机构。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2、采购人：是指委托采购代理机构采购本次项目的国家机关、事业单位和团体组织。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3、投标人：是指向采购</w:t>
      </w:r>
      <w:r>
        <w:rPr>
          <w:rFonts w:hint="eastAsia" w:ascii="宋体" w:hAnsi="宋体" w:eastAsia="宋体" w:cs="宋体"/>
          <w:color w:val="000000" w:themeColor="text1"/>
          <w:sz w:val="24"/>
          <w:szCs w:val="32"/>
          <w:highlight w:val="none"/>
          <w:lang w:val="zh-CN"/>
          <w14:textFill>
            <w14:solidFill>
              <w14:schemeClr w14:val="tx1"/>
            </w14:solidFill>
          </w14:textFill>
        </w:rPr>
        <w:t>组织</w:t>
      </w:r>
      <w:r>
        <w:rPr>
          <w:rFonts w:hint="eastAsia" w:ascii="宋体" w:hAnsi="宋体" w:eastAsia="宋体" w:cs="宋体"/>
          <w:color w:val="000000" w:themeColor="text1"/>
          <w:sz w:val="24"/>
          <w:szCs w:val="32"/>
          <w:highlight w:val="none"/>
          <w14:textFill>
            <w14:solidFill>
              <w14:schemeClr w14:val="tx1"/>
            </w14:solidFill>
          </w14:textFill>
        </w:rPr>
        <w:t>机构提交投标文件的单位或个人。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4、货物：是指各种形态和种类的物品，包括原材料、燃料、设备、产品等。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6、“书面形式”包括信函、传真等。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7、“▲”系指实质性要求条款。</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（三）投标费用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不论投标结果如何，投标人均应自行承担所有与投标有关的全部费用（招标文件有相关规定除外）。</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（四）特别说明</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000000" w:themeColor="text1"/>
          <w:sz w:val="24"/>
          <w:szCs w:val="32"/>
          <w:highlight w:val="none"/>
          <w14:textFill>
            <w14:solidFill>
              <w14:schemeClr w14:val="tx1"/>
            </w14:solidFill>
          </w14:textFill>
        </w:rPr>
        <w:tab/>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3、投标人不得相互串通投标报价，不得妨碍其他投标人的公平竞争，不得损害采购人或其他投标人的合法权益，投标人不得以向采购人、评标委员会成员行贿或者采取其他不正当手段谋取中标。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4、为采购项目提供整体设计、规范编制或者项目管理、监理、检测等服务的供应商，不得再参加该采购项目的其他采购活动。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5、投标文件格式中的表格式样可以根据项目差别做适当调整，但应当保持表格样式基本形态不变。</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6、单位负责人为同一人或者存在直接控股、管理关系的不同供应商，不得参加同一合同项下的政府采购活动。</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7、本项目不允许分包、转让。</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二、招标文件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（一）招标文件由招标文件总目录所列内容组成。</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（二）招标文件的澄清或修改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三、投标文件</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zh-CN"/>
          <w14:textFill>
            <w14:solidFill>
              <w14:schemeClr w14:val="tx1"/>
            </w14:solidFill>
          </w14:textFill>
        </w:rPr>
        <w:t>（一）</w:t>
      </w:r>
      <w:r>
        <w:rPr>
          <w:rFonts w:hint="eastAsia" w:ascii="宋体" w:hAnsi="宋体" w:eastAsia="宋体" w:cs="宋体"/>
          <w:b/>
          <w:bCs/>
          <w:color w:val="000000" w:themeColor="text1"/>
          <w:sz w:val="24"/>
          <w:szCs w:val="32"/>
          <w:highlight w:val="none"/>
          <w14:textFill>
            <w14:solidFill>
              <w14:schemeClr w14:val="tx1"/>
            </w14:solidFill>
          </w14:textFill>
        </w:rPr>
        <w:t>投标文件的组成</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投标人接到招标文件后，按照采购组织机构的要求提供：资格证明文件、商务与技术文件和报价文件。</w:t>
      </w:r>
      <w:r>
        <w:rPr>
          <w:rFonts w:hint="eastAsia" w:ascii="宋体" w:hAnsi="宋体" w:eastAsia="宋体" w:cs="宋体"/>
          <w:color w:val="000000" w:themeColor="text1"/>
          <w:sz w:val="24"/>
          <w:szCs w:val="32"/>
          <w:highlight w:val="none"/>
          <w:lang w:val="zh-CN"/>
          <w14:textFill>
            <w14:solidFill>
              <w14:schemeClr w14:val="tx1"/>
            </w14:solidFill>
          </w14:textFill>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1、资格证明文件的组成：</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1）投标声明书（附件</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）授权委托书（附件</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）法人或者其他组织的营业执照等证明文件，自然人的身份证明（附件</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）具有良好的商业信誉和健全的财务会计制度的承诺（附件</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lang w:val="en-US" w:eastAsia="zh-CN"/>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lang w:val="en-US" w:eastAsia="zh-CN"/>
          <w14:textFill>
            <w14:solidFill>
              <w14:schemeClr w14:val="tx1"/>
            </w14:solidFill>
          </w14:textFill>
        </w:rPr>
        <w:t>）依法缴纳税收和社会保障资金的承诺（附件</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val="en-US" w:eastAsia="zh-CN"/>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val="en-US" w:eastAsia="zh-CN"/>
          <w14:textFill>
            <w14:solidFill>
              <w14:schemeClr w14:val="tx1"/>
            </w14:solidFill>
          </w14:textFill>
        </w:rPr>
        <w:t>）参加政府采购活动前三年内，在经营活动中没有重大违法记录（附件</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en-US" w:eastAsia="zh-CN"/>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en-US" w:eastAsia="zh-CN"/>
          <w14:textFill>
            <w14:solidFill>
              <w14:schemeClr w14:val="tx1"/>
            </w14:solidFill>
          </w14:textFill>
        </w:rPr>
        <w:t>）需要说明的其他资料。</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2、商务与技术文件的组成：</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（1）投标人情况介绍。</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（2）投标方案描述：</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C.安装、调试及验收方案（包括项目验收标准和验收方法等）和措施；</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（3）投标产品描述及相关资料：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A.设备配置清单</w:t>
      </w:r>
      <w:r>
        <w:rPr>
          <w:rFonts w:hint="eastAsia" w:ascii="宋体" w:hAnsi="宋体" w:eastAsia="宋体" w:cs="宋体"/>
          <w:b/>
          <w:bCs/>
          <w:color w:val="000000" w:themeColor="text1"/>
          <w:sz w:val="24"/>
          <w:szCs w:val="32"/>
          <w:highlight w:val="none"/>
          <w14:textFill>
            <w14:solidFill>
              <w14:schemeClr w14:val="tx1"/>
            </w14:solidFill>
          </w14:textFill>
        </w:rPr>
        <w:t>（均不含报价）</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B.产品品牌及型号、技术参数指标、性能特点、图片资料以及所遵循的技术规范、产品质保期、出厂标准、产品质量相关检测报告等内容。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C.商务及技术响应表。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【特别提示：节能和环境标志产品最新一期政府采购清单，可在“中国政府采购网”中查看】</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（4）投标人通过的质量管理和质量保证体系、环保体系、自主创新相关证书、软件著作权证等等与本项目相关的认证证书或文件；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（5）类似项目的成功案例；</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（6）代理证明（或制造商出具的授权书）；</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（7）投标人认为需要提供的其他资料（包括可能影响投标人商务与技术文件评分的各类证明材料）；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（8）售后服务描述及承诺：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A.距采购人最近的服务网点详细介绍（包括地理位置、资质资格、技术力量、工作业绩、服务内容及联系电话等）。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B.针对本项目的售后服务措施及承诺（售后技术服务方案、人员配备、故障响应时间、技术培训方案等）。</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3、报价文件的组成</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（1）报价文件由开标一览表、报价明细表、中小企业等声明函（不符合中小企业要求的无需提供）以及投标人认为其他需要说明的内容组成。</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（2）此报价为投标人一次性报出唯一的最终价格，包含其它一切所要涉及到的费用，有选择的报价将被拒绝。</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4</w:t>
      </w: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政府采购优惠政策相关资料（如有）。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（6）投标报价应按招标文件中相关附表格式填写。</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（二）投标文件的制作及递交要求</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1、投标文件的制作要求</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（1）投标人应按照投标文件组成内容及项目招标需求制作投标文件，不按招标文件要求制作投标文件的将视情处理（拒收、扣分等），由此产生的责任由投标人自行承担。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（2）投标人应对所提供的全部资料的真实性承担法律责任，</w:t>
      </w:r>
      <w:r>
        <w:rPr>
          <w:rFonts w:hint="eastAsia" w:ascii="宋体" w:hAnsi="宋体" w:eastAsia="宋体" w:cs="宋体"/>
          <w:color w:val="000000" w:themeColor="text1"/>
          <w:sz w:val="24"/>
          <w:szCs w:val="32"/>
          <w:highlight w:val="none"/>
          <w:lang w:val="zh-CN"/>
          <w14:textFill>
            <w14:solidFill>
              <w14:schemeClr w14:val="tx1"/>
            </w14:solidFill>
          </w14:textFill>
        </w:rPr>
        <w:t>投标文件内容中有要求盖章或签字的地方，必须加盖投标人的公章以及法定代表人或授权委托代理人盖章或签字。</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投标文件以及投标人与采购组织机构就有关投标事宜的所有来往函电，均应以中文汉语书写。除签字、盖章、专用名称等特殊情形外，以中文汉语以外的文字表述的投标文件视同未提供。</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（4）投标计量单位，招标文件已有明确规定的，使用招标文件规定的计量单位；招标文件没有规定的，应采用中华人民共和国法定计量单位（货币单位：人民币元）。</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（5）若投标人不按招标文件的要求提供资格审查材料，其风险由投标人自行承担。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（6）与本次投标无关的内容请不要制作在内，确保投标文件有针对性、简洁明了。</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①投标文件的编制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本项目实行电子投标，</w:t>
      </w:r>
      <w:r>
        <w:rPr>
          <w:rFonts w:hint="eastAsia" w:ascii="宋体" w:hAnsi="宋体" w:eastAsia="宋体" w:cs="宋体"/>
          <w:color w:val="000000" w:themeColor="text1"/>
          <w:sz w:val="24"/>
          <w:highlight w:val="none"/>
          <w14:textFill>
            <w14:solidFill>
              <w14:schemeClr w14:val="tx1"/>
            </w14:solidFill>
          </w14:textFill>
        </w:rPr>
        <w:t>供应商应准备电子投标文件、以介质（U盘）存储的数据电文形式的备份投标文件、纸质备份投标文件三类</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（1）按政采云平台项目采购--电子招投标操作指南及本招标文件要求编制。</w:t>
      </w:r>
      <w:r>
        <w:rPr>
          <w:rFonts w:hint="eastAsia" w:ascii="宋体" w:hAnsi="宋体" w:eastAsia="宋体" w:cs="宋体"/>
          <w:color w:val="000000" w:themeColor="text1"/>
          <w:sz w:val="24"/>
          <w:szCs w:val="32"/>
          <w:highlight w:val="none"/>
          <w:lang w:val="en-GB"/>
          <w14:textFill>
            <w14:solidFill>
              <w14:schemeClr w14:val="tx1"/>
            </w14:solidFill>
          </w14:textFill>
        </w:rPr>
        <w:t>投标人应通过“政采云电子交易客户端”，并按照本招标文件和“政府采购云平台”的要求编制并加密投标文件。</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1.</w:t>
      </w: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投标人应当按照本章节 “投标文件组成”规定的内容及顺序在“政采云电子交易客户端”编制投标文件。其中《</w:t>
      </w:r>
      <w:r>
        <w:rPr>
          <w:rFonts w:hint="eastAsia" w:ascii="宋体" w:hAnsi="宋体" w:eastAsia="宋体" w:cs="宋体"/>
          <w:color w:val="000000" w:themeColor="text1"/>
          <w:sz w:val="24"/>
          <w:szCs w:val="32"/>
          <w:highlight w:val="none"/>
          <w14:textFill>
            <w14:solidFill>
              <w14:schemeClr w14:val="tx1"/>
            </w14:solidFill>
          </w14:textFill>
        </w:rPr>
        <w:t>资格证明文件</w:t>
      </w:r>
      <w:r>
        <w:rPr>
          <w:rFonts w:hint="eastAsia" w:ascii="宋体" w:hAnsi="宋体" w:eastAsia="宋体" w:cs="宋体"/>
          <w:color w:val="000000" w:themeColor="text1"/>
          <w:sz w:val="24"/>
          <w:szCs w:val="32"/>
          <w:highlight w:val="none"/>
          <w:lang w:val="en-GB"/>
          <w14:textFill>
            <w14:solidFill>
              <w14:schemeClr w14:val="tx1"/>
            </w14:solidFill>
          </w14:textFill>
        </w:rPr>
        <w:t>》和《</w:t>
      </w:r>
      <w:r>
        <w:rPr>
          <w:rFonts w:hint="eastAsia" w:ascii="宋体" w:hAnsi="宋体" w:eastAsia="宋体" w:cs="宋体"/>
          <w:color w:val="000000" w:themeColor="text1"/>
          <w:sz w:val="24"/>
          <w:szCs w:val="32"/>
          <w:highlight w:val="none"/>
          <w14:textFill>
            <w14:solidFill>
              <w14:schemeClr w14:val="tx1"/>
            </w14:solidFill>
          </w14:textFill>
        </w:rPr>
        <w:t>商务技术文件</w:t>
      </w:r>
      <w:r>
        <w:rPr>
          <w:rFonts w:hint="eastAsia" w:ascii="宋体" w:hAnsi="宋体" w:eastAsia="宋体" w:cs="宋体"/>
          <w:color w:val="000000" w:themeColor="text1"/>
          <w:sz w:val="24"/>
          <w:szCs w:val="32"/>
          <w:highlight w:val="none"/>
          <w:lang w:val="en-GB"/>
          <w14:textFill>
            <w14:solidFill>
              <w14:schemeClr w14:val="tx1"/>
            </w14:solidFill>
          </w14:textFill>
        </w:rPr>
        <w:t>》中不得出现本项目投标报价，如因投标人原因提前泄露投标报价，是投标人的责任。</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投标文件分为</w:t>
      </w:r>
      <w:r>
        <w:rPr>
          <w:rFonts w:hint="eastAsia" w:ascii="宋体" w:hAnsi="宋体" w:eastAsia="宋体" w:cs="宋体"/>
          <w:color w:val="000000" w:themeColor="text1"/>
          <w:sz w:val="24"/>
          <w:szCs w:val="32"/>
          <w:highlight w:val="none"/>
          <w:lang w:val="en-GB"/>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lang w:val="zh-CN"/>
          <w14:textFill>
            <w14:solidFill>
              <w14:schemeClr w14:val="tx1"/>
            </w14:solidFill>
          </w14:textFill>
        </w:rPr>
        <w:t>。各投标人在编制投标文件时请按照采购文件第六章规定的格式进行，</w:t>
      </w:r>
      <w:r>
        <w:rPr>
          <w:rFonts w:hint="eastAsia" w:ascii="宋体" w:hAnsi="宋体" w:eastAsia="宋体" w:cs="宋体"/>
          <w:color w:val="000000" w:themeColor="text1"/>
          <w:sz w:val="24"/>
          <w:szCs w:val="32"/>
          <w:highlight w:val="none"/>
          <w:lang w:val="en-GB"/>
          <w14:textFill>
            <w14:solidFill>
              <w14:schemeClr w14:val="tx1"/>
            </w14:solidFill>
          </w14:textFill>
        </w:rPr>
        <w:t>并按格式要求在指定位置根据要求进行签章，否则视为未提供，未提供格式的，请各投标人自行拟定格式，并加盖单位公章并由法定代表人或其授权代表签署（签字或盖章），否则视为未提供。</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1.3《投标文件》内容不完整、</w:t>
      </w:r>
      <w:r>
        <w:rPr>
          <w:rFonts w:hint="eastAsia" w:ascii="宋体" w:hAnsi="宋体" w:eastAsia="宋体" w:cs="宋体"/>
          <w:color w:val="000000" w:themeColor="text1"/>
          <w:sz w:val="24"/>
          <w:szCs w:val="32"/>
          <w:highlight w:val="none"/>
          <w:lang w:val="zh-CN"/>
          <w14:textFill>
            <w14:solidFill>
              <w14:schemeClr w14:val="tx1"/>
            </w14:solidFill>
          </w14:textFill>
        </w:rPr>
        <w:t>混乱的编排导致投标文件被误读或评标委员会查找不到有效文件是投标人的责任。</w:t>
      </w:r>
      <w:r>
        <w:rPr>
          <w:rFonts w:hint="eastAsia" w:ascii="宋体" w:hAnsi="宋体" w:eastAsia="宋体" w:cs="宋体"/>
          <w:color w:val="000000" w:themeColor="text1"/>
          <w:sz w:val="24"/>
          <w:szCs w:val="32"/>
          <w:highlight w:val="none"/>
          <w:lang w:val="en-GB"/>
          <w14:textFill>
            <w14:solidFill>
              <w14:schemeClr w14:val="tx1"/>
            </w14:solidFill>
          </w14:textFill>
        </w:rPr>
        <w:t>《投标文件》因字迹潦草或表达不清所引起的后果由投标人负责，▲投标文件未按规定的格式编制的，投标无效。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（2）以介质</w:t>
      </w:r>
      <w:r>
        <w:rPr>
          <w:rFonts w:hint="eastAsia" w:ascii="宋体" w:hAnsi="宋体" w:eastAsia="宋体" w:cs="宋体"/>
          <w:color w:val="000000" w:themeColor="text1"/>
          <w:sz w:val="24"/>
          <w:highlight w:val="none"/>
          <w14:textFill>
            <w14:solidFill>
              <w14:schemeClr w14:val="tx1"/>
            </w14:solidFill>
          </w14:textFill>
        </w:rPr>
        <w:t>（U盘）</w:t>
      </w:r>
      <w:r>
        <w:rPr>
          <w:rFonts w:hint="eastAsia" w:ascii="宋体" w:hAnsi="宋体" w:eastAsia="宋体" w:cs="宋体"/>
          <w:color w:val="000000" w:themeColor="text1"/>
          <w:sz w:val="24"/>
          <w:szCs w:val="32"/>
          <w:highlight w:val="none"/>
          <w14:textFill>
            <w14:solidFill>
              <w14:schemeClr w14:val="tx1"/>
            </w14:solidFill>
          </w14:textFill>
        </w:rPr>
        <w:t>存储的数据电文形式的备份投标文件，按政采云平台项目采购-电子招投标操作指南中上传的电子投标文件格式，以U盘形式提供。数量为1份。</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（3）纸质备份投标文件以纸质文件的形式编制，按</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分别编制并单独装订成册，</w:t>
      </w:r>
      <w:r>
        <w:rPr>
          <w:rFonts w:hint="eastAsia" w:ascii="宋体" w:hAnsi="宋体" w:eastAsia="宋体" w:cs="宋体"/>
          <w:b/>
          <w:bCs/>
          <w:color w:val="000000" w:themeColor="text1"/>
          <w:sz w:val="24"/>
          <w:highlight w:val="none"/>
          <w14:textFill>
            <w14:solidFill>
              <w14:schemeClr w14:val="tx1"/>
            </w14:solidFill>
          </w14:textFill>
        </w:rPr>
        <w:t>数量均为2份（一正一副）</w:t>
      </w: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须分别密封封装，</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未分别密封的投标文件将为无效。除报价文件外其余一律不准出现数字报价。如有不同标段，请按标段号分别装订，密封要求同上。</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Ⅰ电子投标文件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电子投标文件如内容不完整、编排混乱导致投标文件被误读、漏读，或者在按采购文件规定的部位查找不到相关内容的，由投标人自行承担。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2.温馨提醒：CA签章上目前没有法人或授权代表签字信息，需要投标人联系</w:t>
      </w:r>
      <w:r>
        <w:rPr>
          <w:rFonts w:hint="eastAsia" w:ascii="宋体" w:hAnsi="宋体" w:eastAsia="宋体" w:cs="宋体"/>
          <w:b/>
          <w:bCs/>
          <w:color w:val="000000" w:themeColor="text1"/>
          <w:sz w:val="24"/>
          <w:szCs w:val="32"/>
          <w:highlight w:val="none"/>
          <w14:textFill>
            <w14:solidFill>
              <w14:schemeClr w14:val="tx1"/>
            </w14:solidFill>
          </w14:textFill>
        </w:rPr>
        <w:t>浙江汇信科技有限公司（400-8884636）</w:t>
      </w:r>
      <w:r>
        <w:rPr>
          <w:rFonts w:hint="eastAsia" w:ascii="宋体" w:hAnsi="宋体" w:eastAsia="宋体" w:cs="宋体"/>
          <w:color w:val="000000" w:themeColor="text1"/>
          <w:sz w:val="24"/>
          <w:szCs w:val="32"/>
          <w:highlight w:val="none"/>
          <w14:textFill>
            <w14:solidFill>
              <w14:schemeClr w14:val="tx1"/>
            </w14:solidFill>
          </w14:textFill>
        </w:rPr>
        <w:t>等相应公司进行办理，或在投标文件中涉及到签字的位置线下签好字然后扫描或者拍照做成PDF的格式亦可。</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b/>
          <w:bCs/>
          <w:color w:val="000000" w:themeColor="text1"/>
          <w:sz w:val="24"/>
          <w:szCs w:val="32"/>
          <w:highlight w:val="none"/>
          <w14:textFill>
            <w14:solidFill>
              <w14:schemeClr w14:val="tx1"/>
            </w14:solidFill>
          </w14:textFill>
        </w:rPr>
        <w:t>以介质（U盘）存储的数据电文形式的备份投标文件</w:t>
      </w:r>
      <w:r>
        <w:rPr>
          <w:rFonts w:hint="eastAsia" w:ascii="宋体" w:hAnsi="宋体" w:eastAsia="宋体" w:cs="宋体"/>
          <w:color w:val="000000" w:themeColor="text1"/>
          <w:sz w:val="24"/>
          <w:szCs w:val="32"/>
          <w:highlight w:val="none"/>
          <w14:textFill>
            <w14:solidFill>
              <w14:schemeClr w14:val="tx1"/>
            </w14:solidFill>
          </w14:textFill>
        </w:rPr>
        <w:t>，按政采云平台项目采购-电子招投标操作指南中上传的电子投标文件格式，以U盘形式提供。数量为1份。</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Ⅱ纸质备份投标文件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1.所有纸质投标资料应按投标文件的组成所列内容及顺序装订成册，</w:t>
      </w:r>
      <w:r>
        <w:rPr>
          <w:rFonts w:hint="eastAsia" w:ascii="宋体" w:hAnsi="宋体" w:eastAsia="宋体" w:cs="宋体"/>
          <w:color w:val="000000" w:themeColor="text1"/>
          <w:sz w:val="24"/>
          <w:szCs w:val="32"/>
          <w:highlight w:val="none"/>
          <w:lang w:val="zh-CN"/>
          <w14:textFill>
            <w14:solidFill>
              <w14:schemeClr w14:val="tx1"/>
            </w14:solidFill>
          </w14:textFill>
        </w:rPr>
        <w:t>并逐页连续标注页码。因投标文件内容不完整、编排混乱导致投标文件被误读、漏读或者查找不到相关内容的责任由投标人自行承担。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2.投标人应按</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分别编制并单独装订成册，活页装订的投标文件将被拒绝。投标文件需打印或用不褪色的墨水填写。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3.投标人应按</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分别密封封装纸质备份投标文件。</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w:t>
      </w:r>
      <w:r>
        <w:rPr>
          <w:rFonts w:hint="eastAsia" w:ascii="宋体" w:hAnsi="宋体" w:eastAsia="宋体" w:cs="宋体"/>
          <w:color w:val="000000" w:themeColor="text1"/>
          <w:sz w:val="24"/>
          <w:szCs w:val="32"/>
          <w:highlight w:val="none"/>
          <w14:textFill>
            <w14:solidFill>
              <w14:schemeClr w14:val="tx1"/>
            </w14:solidFill>
          </w14:textFill>
        </w:rPr>
        <w:t>）”、“开标时启封”字样，未按上述要求密封及加写标记，采购组织机构对投标文件的误投和提前启封不负责任。</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4.项目如分标段，各标段投标文件必须分开编制，并按上述份数要求单独密封包装。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w:t>
      </w:r>
      <w:r>
        <w:rPr>
          <w:rFonts w:hint="eastAsia" w:ascii="宋体" w:hAnsi="宋体" w:eastAsia="宋体" w:cs="宋体"/>
          <w:color w:val="000000" w:themeColor="text1"/>
          <w:sz w:val="24"/>
          <w:szCs w:val="32"/>
          <w:highlight w:val="none"/>
          <w:lang w:val="zh-CN"/>
          <w14:textFill>
            <w14:solidFill>
              <w14:schemeClr w14:val="tx1"/>
            </w14:solidFill>
          </w14:textFill>
        </w:rPr>
        <w:t>因密封不严、标记不明而造成失密、拒收、过早启封等情况，采购组织机构概不负责。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7.纸质备份投标文件须由投标人在规定位置盖章并由法定代表人签署或盖章，投标人应写全称。纸质备份投标文件未按照招标文件要求签署、盖章的，其投标无效。</w:t>
      </w:r>
    </w:p>
    <w:p>
      <w:pPr>
        <w:shd w:val="clear"/>
        <w:spacing w:line="360" w:lineRule="auto"/>
        <w:ind w:firstLine="480"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8.纸质备份投标文件不得涂改，若有修改错漏处，须加盖单位公章或法定代表人或授权委托人签字或盖章。投标文件因字迹潦草或表达不清所引起的后果由投标人负责。</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2、投标文件的递交要求</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）“投标文件”的上传、递交：见《前附表》。▲未传输递交电子投标文件的，投标无效。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（2）以介质</w:t>
      </w:r>
      <w:r>
        <w:rPr>
          <w:rFonts w:hint="eastAsia" w:ascii="宋体" w:hAnsi="宋体" w:eastAsia="宋体" w:cs="宋体"/>
          <w:color w:val="000000" w:themeColor="text1"/>
          <w:sz w:val="24"/>
          <w:highlight w:val="none"/>
          <w14:textFill>
            <w14:solidFill>
              <w14:schemeClr w14:val="tx1"/>
            </w14:solidFill>
          </w14:textFill>
        </w:rPr>
        <w:t>（U盘）</w:t>
      </w:r>
      <w:r>
        <w:rPr>
          <w:rFonts w:hint="eastAsia" w:ascii="宋体" w:hAnsi="宋体" w:eastAsia="宋体" w:cs="宋体"/>
          <w:color w:val="000000" w:themeColor="text1"/>
          <w:sz w:val="24"/>
          <w:szCs w:val="32"/>
          <w:highlight w:val="none"/>
          <w14:textFill>
            <w14:solidFill>
              <w14:schemeClr w14:val="tx1"/>
            </w14:solidFill>
          </w14:textFill>
        </w:rPr>
        <w:t>存储的数据电文形式的备份投标文件和纸质备份投标文件必须在规定时间前送达或邮寄至</w:t>
      </w:r>
      <w:r>
        <w:rPr>
          <w:rFonts w:hint="eastAsia" w:ascii="宋体" w:hAnsi="宋体" w:eastAsia="宋体" w:cs="宋体"/>
          <w:color w:val="000000" w:themeColor="text1"/>
          <w:sz w:val="24"/>
          <w:highlight w:val="none"/>
          <w:lang w:val="en-GB"/>
          <w14:textFill>
            <w14:solidFill>
              <w14:schemeClr w14:val="tx1"/>
            </w14:solidFill>
          </w14:textFill>
        </w:rPr>
        <w:t>公告规定的</w:t>
      </w:r>
      <w:r>
        <w:rPr>
          <w:rFonts w:hint="eastAsia" w:ascii="宋体" w:hAnsi="宋体" w:eastAsia="宋体" w:cs="宋体"/>
          <w:color w:val="000000" w:themeColor="text1"/>
          <w:sz w:val="24"/>
          <w:szCs w:val="32"/>
          <w:highlight w:val="none"/>
          <w14:textFill>
            <w14:solidFill>
              <w14:schemeClr w14:val="tx1"/>
            </w14:solidFill>
          </w14:textFill>
        </w:rPr>
        <w:t>地点。备份投标文件在截止时间后提交，采购组织机构将拒绝接收。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（3）如有特殊情况，采购组织机构延长截止时间和开标时间，采购组织机构和投标人的权利和义务将受到新的截止时间和开标时间的约束。</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4</w:t>
      </w:r>
      <w:r>
        <w:rPr>
          <w:rFonts w:hint="eastAsia" w:ascii="宋体" w:hAnsi="宋体" w:eastAsia="宋体" w:cs="宋体"/>
          <w:color w:val="000000" w:themeColor="text1"/>
          <w:sz w:val="24"/>
          <w:szCs w:val="32"/>
          <w:highlight w:val="none"/>
          <w:lang w:val="en-GB"/>
          <w14:textFill>
            <w14:solidFill>
              <w14:schemeClr w14:val="tx1"/>
            </w14:solidFill>
          </w14:textFill>
        </w:rPr>
        <w:t>）投标文件的备选方案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投标人不得递交任何的投标备选（替代）方案，否则其投标文件将作无效标处理。与“电子加密投标文件”同时生成的“备份投标文件”不是投标备选（替代）方案。</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（三）投标文件的有效期</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自投标截止日起90天投标文件应保持有效。有效期不足的投标文件将被拒绝。</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w:t>
      </w:r>
      <w:r>
        <w:rPr>
          <w:rFonts w:hint="eastAsia" w:ascii="宋体" w:hAnsi="宋体" w:eastAsia="宋体" w:cs="宋体"/>
          <w:color w:val="000000" w:themeColor="text1"/>
          <w:sz w:val="24"/>
          <w:szCs w:val="32"/>
          <w:highlight w:val="none"/>
          <w:lang w:val="en-GB"/>
          <w14:textFill>
            <w14:solidFill>
              <w14:schemeClr w14:val="tx1"/>
            </w14:solidFill>
          </w14:textFill>
        </w:rPr>
        <w:t>在特殊情况下，采购人可与投标人协商延长投标文件的有效期，这种要求和答复均以书面形式进行。</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3.中标人的投标文件自开标之日起至合同履行完毕均应保持有效。</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四、</w:t>
      </w:r>
      <w:r>
        <w:rPr>
          <w:rFonts w:hint="eastAsia" w:ascii="宋体" w:hAnsi="宋体" w:eastAsia="宋体" w:cs="宋体"/>
          <w:b/>
          <w:bCs/>
          <w:color w:val="000000" w:themeColor="text1"/>
          <w:sz w:val="24"/>
          <w:szCs w:val="32"/>
          <w:highlight w:val="none"/>
          <w14:textFill>
            <w14:solidFill>
              <w14:schemeClr w14:val="tx1"/>
            </w14:solidFill>
          </w14:textFill>
        </w:rPr>
        <w:t>开标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（一）开标事项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采购组织机构在“招标公告”规定的时间和地点公开开标，本次招标采用先评审商务资格和技术服务方案，后公开并评审报价的办法实施。</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（1）电子交易平台发生故障而无法登录访问的；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（2）电子交易平台应用或数据库出现错误，不能进行正常操作的；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（3）电子交易平台发现严重安全漏洞，有潜在泄密危险的；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（4）病毒导致不能进行正常操作的；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（5）其他无法保证电子交易的公平、公正和安全的情况。</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（二） 开标程序：</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1、开标会由招标项目负责人主持，主持人宣布开标会议开始；</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2、主持人介绍参加开标会的人员名单；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3、主持人宣布评标期间的有关事项，告知应当回避的情形，提请有关人员回避；对投标人进行签到验证。</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4、向各投标人发出电子加密投标文件【开始解密】通知，由投标人按招标文件规定的时间内自行进行投标文件解密。投标文件的制作和解密应使用同一个数字证书，否则将可能解密失败。</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5、采购组织机构点击【开启标书信息】，开启标书成功后进入开标流程。</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资格证明文件和商务技术文件</w:t>
      </w:r>
      <w:r>
        <w:rPr>
          <w:rFonts w:hint="eastAsia" w:ascii="宋体" w:hAnsi="宋体" w:eastAsia="宋体" w:cs="宋体"/>
          <w:color w:val="000000" w:themeColor="text1"/>
          <w:sz w:val="24"/>
          <w:szCs w:val="32"/>
          <w:highlight w:val="none"/>
          <w14:textFill>
            <w14:solidFill>
              <w14:schemeClr w14:val="tx1"/>
            </w14:solidFill>
          </w14:textFill>
        </w:rPr>
        <w:t>评审；</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7、由主持人公布无效投标的投标人名单、投标无效的原因及其他有效投标的评分汇总分；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8、开启报价响应文件：采购代理机构成功开启报价响应文件后，方可查看各供应商报价情况。</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9、报价文件评审；</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10、由主持人公布无效投标的投标人名单、投标无效的原因及其他有效投标的报价文件得分；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11、宣布综合得分结果及中标候选人名单；</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12、开标会议结束。</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五、评标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（一）组建评标委员会</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评标委员会由采购人代表和评审专家组成，成员人数为</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人以上单数，其中评审专家不得少于成员总数的三分之二。</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（二）评标程序</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1、资格审查</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2、符合性审查</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3、综合比较与评价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（3）评标时，评标委员会各成员应当独立对每个投标人的投标文件进行评价，并汇总每个投标人的得分。</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4、得分确认及评审报告编写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（1）评标委员会对报价文件进行复核，对于系统计算出的价格分及总得分进行确认；</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（3）评标委员会按评标原则及得分情况编写评审报告。</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5、评价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采购组织机构对评标委员会评审专家进行评价。</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（三）澄清问题的形式</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投标人的澄清、说明或者补正应当采用书面形式，并加盖公章，或者由法定代理人或其授权委托代理人签字，并不得超出投标文件的范围或者改变投标文件的实质性内容。</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（四）错误修正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投标文件报价出现前后不一致的，除招标文件另有规定外，按照下列规定修正：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1、投标文件中开标一览表（报价表）内容与投标文件中相应内容不一致的，以开标一览表（报价表）为准；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2、大写金额和小写金额不一致的，以大写金额为准；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3、单价金额小数点或者百分比有明显错位的，以开标一览表的总价为准，并修改单价；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4、总价金额与按单价汇总金额不一致的，以单价金额计算结果为准。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（五）投标人存在下列情况之一的，投标无效：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1、电子投标文件及纸质备份投标文件在指定页面无法定代表人盖章或签字、未在指定页面盖公章、在指定页面无被授权人签字或未提供法定代表人授权委托书。</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eastAsia="宋体" w:cs="宋体"/>
          <w:color w:val="000000" w:themeColor="text1"/>
          <w:sz w:val="24"/>
          <w:szCs w:val="32"/>
          <w:highlight w:val="none"/>
          <w14:textFill>
            <w14:solidFill>
              <w14:schemeClr w14:val="tx1"/>
            </w14:solidFill>
          </w14:textFill>
        </w:rPr>
        <w:t>跟报价文件出现混装或在</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eastAsia="宋体" w:cs="宋体"/>
          <w:color w:val="000000" w:themeColor="text1"/>
          <w:sz w:val="24"/>
          <w:szCs w:val="32"/>
          <w:highlight w:val="none"/>
          <w14:textFill>
            <w14:solidFill>
              <w14:schemeClr w14:val="tx1"/>
            </w14:solidFill>
          </w14:textFill>
        </w:rPr>
        <w:t>中出现投标报价的，或者报价文件中报价的货物跟</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eastAsia="宋体" w:cs="宋体"/>
          <w:color w:val="000000" w:themeColor="text1"/>
          <w:sz w:val="24"/>
          <w:szCs w:val="32"/>
          <w:highlight w:val="none"/>
          <w14:textFill>
            <w14:solidFill>
              <w14:schemeClr w14:val="tx1"/>
            </w14:solidFill>
          </w14:textFill>
        </w:rPr>
        <w:t>中的投标货物出现重大偏差的。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3、不具备招标文件中规定的资格要求的。</w:t>
      </w:r>
      <w:r>
        <w:rPr>
          <w:rFonts w:hint="eastAsia" w:ascii="宋体" w:hAnsi="宋体" w:eastAsia="宋体" w:cs="宋体"/>
          <w:color w:val="000000" w:themeColor="text1"/>
          <w:sz w:val="24"/>
          <w:szCs w:val="32"/>
          <w:highlight w:val="none"/>
          <w14:textFill>
            <w14:solidFill>
              <w14:schemeClr w14:val="tx1"/>
            </w14:solidFill>
          </w14:textFill>
        </w:rPr>
        <w:tab/>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4、投标文件含有采购人不能接受的附加条件的。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5、授权委托代理人未能出具身份证明或与法定代表人授权委托人身份不符的。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7、报价超过招标文件中规定的预算金额/最高限价。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8</w:t>
      </w:r>
      <w:r>
        <w:rPr>
          <w:rFonts w:hint="eastAsia" w:ascii="宋体" w:hAnsi="宋体" w:eastAsia="宋体" w:cs="宋体"/>
          <w:color w:val="000000" w:themeColor="text1"/>
          <w:sz w:val="24"/>
          <w:szCs w:val="32"/>
          <w:highlight w:val="none"/>
          <w14:textFill>
            <w14:solidFill>
              <w14:schemeClr w14:val="tx1"/>
            </w14:solidFill>
          </w14:textFill>
        </w:rPr>
        <w:t>、投标文件提供虚假材料的。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9</w:t>
      </w:r>
      <w:r>
        <w:rPr>
          <w:rFonts w:hint="eastAsia" w:ascii="宋体" w:hAnsi="宋体" w:eastAsia="宋体" w:cs="宋体"/>
          <w:color w:val="000000" w:themeColor="text1"/>
          <w:sz w:val="24"/>
          <w:szCs w:val="32"/>
          <w:highlight w:val="none"/>
          <w14:textFill>
            <w14:solidFill>
              <w14:schemeClr w14:val="tx1"/>
            </w14:solidFill>
          </w14:textFill>
        </w:rPr>
        <w:t>、投标人的电子投标文件无法按时解密的。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10</w:t>
      </w:r>
      <w:r>
        <w:rPr>
          <w:rFonts w:hint="eastAsia" w:ascii="宋体" w:hAnsi="宋体" w:eastAsia="宋体" w:cs="宋体"/>
          <w:color w:val="000000" w:themeColor="text1"/>
          <w:sz w:val="24"/>
          <w:szCs w:val="32"/>
          <w:highlight w:val="none"/>
          <w14:textFill>
            <w14:solidFill>
              <w14:schemeClr w14:val="tx1"/>
            </w14:solidFill>
          </w14:textFill>
        </w:rPr>
        <w:t>、不符合中华人民共和国财政部令第87号《政府采购货物和服务招标投标管理办法》第三十七条情形之一的，视为投标人串通投标，其投标无效，并移送采购监管部门：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（1）不同投标人的投标文件由同一单位或者个人编制；不同投标人的投标文件，由同一台电脑编制；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（2）不同投标人委托同一单位或者个人办理投标事宜；</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（3）不同投标人的投标文件载明的项目管理成员或者联系人员为同一人；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（4）不同投标人的投标文件异常一致或者投标报价呈规律性差异；</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（5）不同投标人的投标文件相互混装。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z w:val="24"/>
          <w:szCs w:val="32"/>
          <w:highlight w:val="none"/>
          <w14:textFill>
            <w14:solidFill>
              <w14:schemeClr w14:val="tx1"/>
            </w14:solidFill>
          </w14:textFill>
        </w:rPr>
        <w:t>、不符合法律、法规和招标文件中规定的其他实质性要求的（招标文件中打“▲”内容及被拒绝的条款）。</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z w:val="24"/>
          <w:szCs w:val="32"/>
          <w:highlight w:val="none"/>
          <w14:textFill>
            <w14:solidFill>
              <w14:schemeClr w14:val="tx1"/>
            </w14:solidFill>
          </w14:textFill>
        </w:rPr>
        <w:t>、未传输递交电子投标文件的或者未按规定提供相应的备份投标文件，造成项目开评标活动无法进行下去的。</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（六）有下列情况之一的，本次招标作为废标处理：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1、出现影响采购公正的违法、违规行为的；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3、因重大变故，采购任务取消的；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4、法律、法规和招标文件规定的其他导致评标结果无效的。</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（七）评标原则和评标办法</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2、评标办法。具体评标内容及评分标准等详见《第三章 评标方法及评分标准》。</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（八）评标过程的监控</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六、定标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3、发出中标通知书。采购组织机构在发布中标结果的同时，向中标人发出中标通知书。</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5、招标代理费用：按照下列表格标准向中标单位收取招标代理费，中标方须在中标通知书发出5日内一次性付清。（户名：</w:t>
      </w:r>
      <w:r>
        <w:rPr>
          <w:rFonts w:hint="eastAsia" w:ascii="宋体" w:hAnsi="宋体" w:eastAsia="宋体" w:cs="宋体"/>
          <w:color w:val="000000" w:themeColor="text1"/>
          <w:sz w:val="24"/>
          <w:szCs w:val="32"/>
          <w:highlight w:val="none"/>
          <w:lang w:eastAsia="zh-CN"/>
          <w14:textFill>
            <w14:solidFill>
              <w14:schemeClr w14:val="tx1"/>
            </w14:solidFill>
          </w14:textFill>
        </w:rPr>
        <w:t>浙江五石中正工程咨询有限公司</w:t>
      </w:r>
      <w:r>
        <w:rPr>
          <w:rFonts w:hint="eastAsia" w:ascii="宋体" w:hAnsi="宋体" w:eastAsia="宋体" w:cs="宋体"/>
          <w:color w:val="000000" w:themeColor="text1"/>
          <w:sz w:val="24"/>
          <w:szCs w:val="32"/>
          <w:highlight w:val="none"/>
          <w14:textFill>
            <w14:solidFill>
              <w14:schemeClr w14:val="tx1"/>
            </w14:solidFill>
          </w14:textFill>
        </w:rPr>
        <w:t>；账号：1202003209900014176；开户银行：中国工商银行杭州市潮王路支行）财务电话：0571-88271625。</w:t>
      </w:r>
    </w:p>
    <w:tbl>
      <w:tblPr>
        <w:tblStyle w:val="30"/>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服务类型、费率、中标金额（万元）</w:t>
            </w:r>
          </w:p>
        </w:tc>
        <w:tc>
          <w:tcPr>
            <w:tcW w:w="177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货物招标</w:t>
            </w:r>
          </w:p>
        </w:tc>
        <w:tc>
          <w:tcPr>
            <w:tcW w:w="164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服务招标</w:t>
            </w:r>
          </w:p>
        </w:tc>
        <w:tc>
          <w:tcPr>
            <w:tcW w:w="211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100以下</w:t>
            </w:r>
          </w:p>
        </w:tc>
        <w:tc>
          <w:tcPr>
            <w:tcW w:w="177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1.50%</w:t>
            </w:r>
          </w:p>
        </w:tc>
        <w:tc>
          <w:tcPr>
            <w:tcW w:w="164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1.50%</w:t>
            </w:r>
          </w:p>
        </w:tc>
        <w:tc>
          <w:tcPr>
            <w:tcW w:w="211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100-500</w:t>
            </w:r>
          </w:p>
        </w:tc>
        <w:tc>
          <w:tcPr>
            <w:tcW w:w="177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1.10%</w:t>
            </w:r>
          </w:p>
        </w:tc>
        <w:tc>
          <w:tcPr>
            <w:tcW w:w="164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0.80%</w:t>
            </w:r>
          </w:p>
        </w:tc>
        <w:tc>
          <w:tcPr>
            <w:tcW w:w="211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500-1000</w:t>
            </w:r>
          </w:p>
        </w:tc>
        <w:tc>
          <w:tcPr>
            <w:tcW w:w="177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0.80%</w:t>
            </w:r>
          </w:p>
        </w:tc>
        <w:tc>
          <w:tcPr>
            <w:tcW w:w="164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0.45%</w:t>
            </w:r>
          </w:p>
        </w:tc>
        <w:tc>
          <w:tcPr>
            <w:tcW w:w="211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1000-5000</w:t>
            </w:r>
          </w:p>
        </w:tc>
        <w:tc>
          <w:tcPr>
            <w:tcW w:w="177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0.50%</w:t>
            </w:r>
          </w:p>
        </w:tc>
        <w:tc>
          <w:tcPr>
            <w:tcW w:w="164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0.25%</w:t>
            </w:r>
          </w:p>
        </w:tc>
        <w:tc>
          <w:tcPr>
            <w:tcW w:w="211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5000-10000</w:t>
            </w:r>
          </w:p>
        </w:tc>
        <w:tc>
          <w:tcPr>
            <w:tcW w:w="177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0.25%</w:t>
            </w:r>
          </w:p>
        </w:tc>
        <w:tc>
          <w:tcPr>
            <w:tcW w:w="164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0.10%</w:t>
            </w:r>
          </w:p>
        </w:tc>
        <w:tc>
          <w:tcPr>
            <w:tcW w:w="211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10000-100000</w:t>
            </w:r>
          </w:p>
        </w:tc>
        <w:tc>
          <w:tcPr>
            <w:tcW w:w="177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c>
          <w:tcPr>
            <w:tcW w:w="164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c>
          <w:tcPr>
            <w:tcW w:w="211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100000以上</w:t>
            </w:r>
          </w:p>
        </w:tc>
        <w:tc>
          <w:tcPr>
            <w:tcW w:w="177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0.01%</w:t>
            </w:r>
          </w:p>
        </w:tc>
        <w:tc>
          <w:tcPr>
            <w:tcW w:w="164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0.01%</w:t>
            </w:r>
          </w:p>
        </w:tc>
        <w:tc>
          <w:tcPr>
            <w:tcW w:w="211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0.01%</w:t>
            </w:r>
          </w:p>
        </w:tc>
      </w:tr>
    </w:tbl>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七、合同签订及公告</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（一）签订合同</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1、采购人应当自中标通知书发出之日起</w:t>
      </w:r>
      <w:r>
        <w:rPr>
          <w:rFonts w:hint="eastAsia" w:ascii="宋体" w:hAnsi="宋体" w:cs="宋体"/>
          <w:color w:val="000000" w:themeColor="text1"/>
          <w:sz w:val="24"/>
          <w:szCs w:val="32"/>
          <w:highlight w:val="none"/>
          <w:lang w:val="en-US" w:eastAsia="zh-CN"/>
          <w14:textFill>
            <w14:solidFill>
              <w14:schemeClr w14:val="tx1"/>
            </w14:solidFill>
          </w14:textFill>
        </w:rPr>
        <w:t>30天</w:t>
      </w:r>
      <w:r>
        <w:rPr>
          <w:rFonts w:hint="eastAsia" w:ascii="宋体" w:hAnsi="宋体" w:eastAsia="宋体" w:cs="宋体"/>
          <w:color w:val="000000" w:themeColor="text1"/>
          <w:sz w:val="24"/>
          <w:szCs w:val="32"/>
          <w:highlight w:val="none"/>
          <w14:textFill>
            <w14:solidFill>
              <w14:schemeClr w14:val="tx1"/>
            </w14:solidFill>
          </w14:textFill>
        </w:rPr>
        <w:t>内，按照招标文件和中标人投标文件的规定，与中标人签订书面合同。所签订的合同不得对招标文件确定的事项和中标人投标文件作实质性修改。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2、采购人不得向中标人提出任何不合理的要求作为签订合同的条件。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3、中标供应商无故拖延、拒签合同的，取消中标资格。</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（二）合同公告及备案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1、采购人应当自政府采购合同签订之日起2个工作日内，在省级以上财政部门指定的政府采购信息发布媒体及相关网站上公告。</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pStyle w:val="10"/>
        <w:shd w:val="clear"/>
        <w:rPr>
          <w:rFonts w:hint="eastAsia" w:ascii="宋体" w:hAnsi="宋体" w:eastAsia="宋体" w:cs="宋体"/>
          <w:b/>
          <w:bCs/>
          <w:color w:val="000000" w:themeColor="text1"/>
          <w:sz w:val="36"/>
          <w:szCs w:val="44"/>
          <w:highlight w:val="none"/>
          <w14:textFill>
            <w14:solidFill>
              <w14:schemeClr w14:val="tx1"/>
            </w14:solidFill>
          </w14:textFill>
        </w:rPr>
      </w:pPr>
    </w:p>
    <w:p>
      <w:pPr>
        <w:pStyle w:val="11"/>
        <w:shd w:val="clear"/>
        <w:rPr>
          <w:rFonts w:hint="eastAsia" w:ascii="宋体" w:hAnsi="宋体" w:eastAsia="宋体" w:cs="宋体"/>
          <w:b/>
          <w:bCs/>
          <w:color w:val="000000" w:themeColor="text1"/>
          <w:sz w:val="36"/>
          <w:szCs w:val="44"/>
          <w:highlight w:val="none"/>
          <w14:textFill>
            <w14:solidFill>
              <w14:schemeClr w14:val="tx1"/>
            </w14:solidFill>
          </w14:textFill>
        </w:rPr>
      </w:pPr>
    </w:p>
    <w:p>
      <w:pPr>
        <w:pStyle w:val="12"/>
        <w:shd w:val="clear"/>
        <w:rPr>
          <w:rFonts w:hint="eastAsia" w:ascii="宋体" w:hAnsi="宋体" w:eastAsia="宋体" w:cs="宋体"/>
          <w:b/>
          <w:bCs/>
          <w:color w:val="000000" w:themeColor="text1"/>
          <w:sz w:val="36"/>
          <w:szCs w:val="44"/>
          <w:highlight w:val="none"/>
          <w14:textFill>
            <w14:solidFill>
              <w14:schemeClr w14:val="tx1"/>
            </w14:solidFill>
          </w14:textFill>
        </w:rPr>
      </w:pPr>
    </w:p>
    <w:p>
      <w:pPr>
        <w:shd w:val="clear"/>
        <w:rPr>
          <w:rFonts w:hint="eastAsia" w:ascii="宋体" w:hAnsi="宋体" w:eastAsia="宋体" w:cs="宋体"/>
          <w:b/>
          <w:bCs/>
          <w:color w:val="000000" w:themeColor="text1"/>
          <w:sz w:val="36"/>
          <w:szCs w:val="44"/>
          <w:highlight w:val="none"/>
          <w14:textFill>
            <w14:solidFill>
              <w14:schemeClr w14:val="tx1"/>
            </w14:solidFill>
          </w14:textFill>
        </w:rPr>
      </w:pPr>
    </w:p>
    <w:p>
      <w:pPr>
        <w:pStyle w:val="10"/>
        <w:shd w:val="clear"/>
        <w:rPr>
          <w:rFonts w:hint="eastAsia" w:ascii="宋体" w:hAnsi="宋体" w:eastAsia="宋体" w:cs="宋体"/>
          <w:b/>
          <w:bCs/>
          <w:color w:val="000000" w:themeColor="text1"/>
          <w:sz w:val="36"/>
          <w:szCs w:val="44"/>
          <w:highlight w:val="none"/>
          <w14:textFill>
            <w14:solidFill>
              <w14:schemeClr w14:val="tx1"/>
            </w14:solidFill>
          </w14:textFill>
        </w:rPr>
      </w:pPr>
    </w:p>
    <w:p>
      <w:pPr>
        <w:pStyle w:val="11"/>
        <w:shd w:val="clear"/>
        <w:rPr>
          <w:rFonts w:hint="eastAsia" w:ascii="宋体" w:hAnsi="宋体" w:eastAsia="宋体" w:cs="宋体"/>
          <w:b/>
          <w:bCs/>
          <w:color w:val="000000" w:themeColor="text1"/>
          <w:sz w:val="36"/>
          <w:szCs w:val="44"/>
          <w:highlight w:val="none"/>
          <w14:textFill>
            <w14:solidFill>
              <w14:schemeClr w14:val="tx1"/>
            </w14:solidFill>
          </w14:textFill>
        </w:rPr>
      </w:pPr>
    </w:p>
    <w:p>
      <w:pPr>
        <w:pStyle w:val="12"/>
        <w:shd w:val="clear"/>
        <w:rPr>
          <w:rFonts w:hint="eastAsia" w:ascii="宋体" w:hAnsi="宋体" w:eastAsia="宋体" w:cs="宋体"/>
          <w:b/>
          <w:bCs/>
          <w:color w:val="000000" w:themeColor="text1"/>
          <w:sz w:val="36"/>
          <w:szCs w:val="44"/>
          <w:highlight w:val="none"/>
          <w14:textFill>
            <w14:solidFill>
              <w14:schemeClr w14:val="tx1"/>
            </w14:solidFill>
          </w14:textFill>
        </w:rPr>
      </w:pPr>
    </w:p>
    <w:p>
      <w:pPr>
        <w:shd w:val="clear"/>
        <w:rPr>
          <w:rFonts w:hint="eastAsia" w:ascii="宋体" w:hAnsi="宋体" w:eastAsia="宋体" w:cs="宋体"/>
          <w:b/>
          <w:bCs/>
          <w:color w:val="000000" w:themeColor="text1"/>
          <w:sz w:val="36"/>
          <w:szCs w:val="44"/>
          <w:highlight w:val="none"/>
          <w14:textFill>
            <w14:solidFill>
              <w14:schemeClr w14:val="tx1"/>
            </w14:solidFill>
          </w14:textFill>
        </w:rPr>
      </w:pPr>
    </w:p>
    <w:p>
      <w:pPr>
        <w:pStyle w:val="10"/>
        <w:shd w:val="clear"/>
        <w:rPr>
          <w:rFonts w:hint="eastAsia" w:ascii="宋体" w:hAnsi="宋体" w:eastAsia="宋体" w:cs="宋体"/>
          <w:b/>
          <w:bCs/>
          <w:color w:val="000000" w:themeColor="text1"/>
          <w:sz w:val="36"/>
          <w:szCs w:val="44"/>
          <w:highlight w:val="none"/>
          <w14:textFill>
            <w14:solidFill>
              <w14:schemeClr w14:val="tx1"/>
            </w14:solidFill>
          </w14:textFill>
        </w:rPr>
      </w:pPr>
    </w:p>
    <w:p>
      <w:pPr>
        <w:pStyle w:val="11"/>
        <w:shd w:val="clear"/>
        <w:rPr>
          <w:rFonts w:hint="eastAsia" w:ascii="宋体" w:hAnsi="宋体" w:eastAsia="宋体" w:cs="宋体"/>
          <w:b/>
          <w:bCs/>
          <w:color w:val="000000" w:themeColor="text1"/>
          <w:sz w:val="36"/>
          <w:szCs w:val="44"/>
          <w:highlight w:val="none"/>
          <w14:textFill>
            <w14:solidFill>
              <w14:schemeClr w14:val="tx1"/>
            </w14:solidFill>
          </w14:textFill>
        </w:rPr>
      </w:pPr>
    </w:p>
    <w:p>
      <w:pPr>
        <w:pStyle w:val="12"/>
        <w:shd w:val="clear"/>
        <w:rPr>
          <w:rFonts w:hint="eastAsia" w:ascii="宋体" w:hAnsi="宋体" w:eastAsia="宋体" w:cs="宋体"/>
          <w:b/>
          <w:bCs/>
          <w:color w:val="000000" w:themeColor="text1"/>
          <w:sz w:val="36"/>
          <w:szCs w:val="44"/>
          <w:highlight w:val="none"/>
          <w14:textFill>
            <w14:solidFill>
              <w14:schemeClr w14:val="tx1"/>
            </w14:solidFill>
          </w14:textFill>
        </w:rPr>
      </w:pPr>
    </w:p>
    <w:p>
      <w:pPr>
        <w:shd w:val="clear"/>
        <w:rPr>
          <w:rFonts w:hint="eastAsia" w:ascii="宋体" w:hAnsi="宋体" w:eastAsia="宋体" w:cs="宋体"/>
          <w:b/>
          <w:bCs/>
          <w:color w:val="000000" w:themeColor="text1"/>
          <w:sz w:val="36"/>
          <w:szCs w:val="44"/>
          <w:highlight w:val="none"/>
          <w14:textFill>
            <w14:solidFill>
              <w14:schemeClr w14:val="tx1"/>
            </w14:solidFill>
          </w14:textFill>
        </w:rPr>
      </w:pPr>
    </w:p>
    <w:p>
      <w:pPr>
        <w:pStyle w:val="10"/>
        <w:shd w:val="clear"/>
        <w:rPr>
          <w:rFonts w:hint="eastAsia" w:ascii="宋体" w:hAnsi="宋体" w:eastAsia="宋体" w:cs="宋体"/>
          <w:b/>
          <w:bCs/>
          <w:color w:val="000000" w:themeColor="text1"/>
          <w:sz w:val="36"/>
          <w:szCs w:val="44"/>
          <w:highlight w:val="none"/>
          <w14:textFill>
            <w14:solidFill>
              <w14:schemeClr w14:val="tx1"/>
            </w14:solidFill>
          </w14:textFill>
        </w:rPr>
      </w:pPr>
    </w:p>
    <w:p>
      <w:pPr>
        <w:pStyle w:val="11"/>
        <w:shd w:val="clear"/>
        <w:rPr>
          <w:rFonts w:hint="eastAsia" w:ascii="宋体" w:hAnsi="宋体" w:eastAsia="宋体" w:cs="宋体"/>
          <w:b/>
          <w:bCs/>
          <w:color w:val="000000" w:themeColor="text1"/>
          <w:sz w:val="36"/>
          <w:szCs w:val="44"/>
          <w:highlight w:val="none"/>
          <w14:textFill>
            <w14:solidFill>
              <w14:schemeClr w14:val="tx1"/>
            </w14:solidFill>
          </w14:textFill>
        </w:rPr>
      </w:pPr>
    </w:p>
    <w:p>
      <w:pPr>
        <w:pStyle w:val="12"/>
        <w:shd w:val="clear"/>
        <w:rPr>
          <w:rFonts w:hint="eastAsia" w:ascii="宋体" w:hAnsi="宋体" w:eastAsia="宋体" w:cs="宋体"/>
          <w:b/>
          <w:bCs/>
          <w:color w:val="000000" w:themeColor="text1"/>
          <w:sz w:val="36"/>
          <w:szCs w:val="44"/>
          <w:highlight w:val="none"/>
          <w14:textFill>
            <w14:solidFill>
              <w14:schemeClr w14:val="tx1"/>
            </w14:solidFill>
          </w14:textFill>
        </w:rPr>
      </w:pPr>
    </w:p>
    <w:p>
      <w:pPr>
        <w:shd w:val="clear"/>
        <w:rPr>
          <w:rFonts w:hint="eastAsia" w:ascii="宋体" w:hAnsi="宋体" w:eastAsia="宋体" w:cs="宋体"/>
          <w:b/>
          <w:bCs/>
          <w:color w:val="000000" w:themeColor="text1"/>
          <w:sz w:val="36"/>
          <w:szCs w:val="44"/>
          <w:highlight w:val="none"/>
          <w14:textFill>
            <w14:solidFill>
              <w14:schemeClr w14:val="tx1"/>
            </w14:solidFill>
          </w14:textFill>
        </w:rPr>
      </w:pPr>
    </w:p>
    <w:p>
      <w:pPr>
        <w:pStyle w:val="10"/>
        <w:shd w:val="clear"/>
        <w:rPr>
          <w:rFonts w:hint="eastAsia" w:ascii="宋体" w:hAnsi="宋体" w:eastAsia="宋体" w:cs="宋体"/>
          <w:b/>
          <w:bCs/>
          <w:color w:val="000000" w:themeColor="text1"/>
          <w:sz w:val="36"/>
          <w:szCs w:val="44"/>
          <w:highlight w:val="none"/>
          <w14:textFill>
            <w14:solidFill>
              <w14:schemeClr w14:val="tx1"/>
            </w14:solidFill>
          </w14:textFill>
        </w:rPr>
      </w:pPr>
    </w:p>
    <w:p>
      <w:pPr>
        <w:pStyle w:val="11"/>
        <w:shd w:val="clear"/>
        <w:rPr>
          <w:rFonts w:hint="eastAsia" w:ascii="宋体" w:hAnsi="宋体" w:eastAsia="宋体" w:cs="宋体"/>
          <w:b/>
          <w:bCs/>
          <w:color w:val="000000" w:themeColor="text1"/>
          <w:sz w:val="36"/>
          <w:szCs w:val="44"/>
          <w:highlight w:val="none"/>
          <w14:textFill>
            <w14:solidFill>
              <w14:schemeClr w14:val="tx1"/>
            </w14:solidFill>
          </w14:textFill>
        </w:rPr>
      </w:pPr>
    </w:p>
    <w:p>
      <w:pPr>
        <w:pStyle w:val="12"/>
        <w:shd w:val="clear"/>
        <w:rPr>
          <w:rFonts w:hint="eastAsia" w:ascii="宋体" w:hAnsi="宋体" w:eastAsia="宋体" w:cs="宋体"/>
          <w:b/>
          <w:bCs/>
          <w:color w:val="000000" w:themeColor="text1"/>
          <w:sz w:val="36"/>
          <w:szCs w:val="44"/>
          <w:highlight w:val="none"/>
          <w14:textFill>
            <w14:solidFill>
              <w14:schemeClr w14:val="tx1"/>
            </w14:solidFill>
          </w14:textFill>
        </w:rPr>
      </w:pPr>
    </w:p>
    <w:p>
      <w:pPr>
        <w:shd w:val="clear"/>
        <w:rPr>
          <w:rFonts w:hint="eastAsia"/>
          <w:color w:val="000000" w:themeColor="text1"/>
          <w:highlight w:val="none"/>
          <w14:textFill>
            <w14:solidFill>
              <w14:schemeClr w14:val="tx1"/>
            </w14:solidFill>
          </w14:textFill>
        </w:rPr>
      </w:pPr>
    </w:p>
    <w:p>
      <w:pPr>
        <w:shd w:val="clear"/>
        <w:rPr>
          <w:rFonts w:hint="eastAsia" w:ascii="宋体" w:hAnsi="宋体" w:eastAsia="宋体" w:cs="宋体"/>
          <w:color w:val="000000" w:themeColor="text1"/>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第三章 评标办法及评分标准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一、采购组织机构将组织评标委员会，对投标人提供的投标文件进行综合评审。</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二、本次招标项目的评标方法为综合评分法，总计100分。</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（一）商务与技术文件中的客观分由评标委员会讨论后统一打分；其余在规定的分值内单独评定打分。</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（二）各投标人商务与技术文件得分按照评标委员会成员的独立评分结果汇总后的算术平均分计算，计算公式为：</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商务与技术文件得分</w:t>
      </w:r>
      <w:r>
        <w:rPr>
          <w:rFonts w:hint="eastAsia" w:ascii="宋体" w:hAnsi="宋体" w:eastAsia="宋体" w:cs="宋体"/>
          <w:color w:val="000000" w:themeColor="text1"/>
          <w:sz w:val="24"/>
          <w:szCs w:val="32"/>
          <w:highlight w:val="none"/>
          <w:lang w:val="zh-CN"/>
          <w14:textFill>
            <w14:solidFill>
              <w14:schemeClr w14:val="tx1"/>
            </w14:solidFill>
          </w14:textFill>
        </w:rPr>
        <w:t>=评标委员会所有成员评分合计数/评标委员会组成人员数。</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（三）投标报价得分采用低价优先法计算，即满足招标文件要求且投标价格最低的投标报价为评标基准价，其报价得满分。其他投标人的投标报价得分按下列公式计算：</w:t>
      </w:r>
    </w:p>
    <w:p>
      <w:pPr>
        <w:shd w:val="clear"/>
        <w:spacing w:line="360" w:lineRule="auto"/>
        <w:ind w:firstLine="480" w:firstLineChars="200"/>
        <w:rPr>
          <w:rFonts w:hint="eastAsia" w:ascii="宋体" w:hAnsi="宋体" w:eastAsia="宋体" w:cs="宋体"/>
          <w:color w:val="000000" w:themeColor="text1"/>
          <w:sz w:val="24"/>
          <w:szCs w:val="32"/>
          <w:highlight w:val="none"/>
          <w:u w:val="singl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投标报价得分=（评标基准价／投标报价）×</w:t>
      </w:r>
      <w:r>
        <w:rPr>
          <w:rFonts w:hint="eastAsia" w:ascii="宋体" w:hAnsi="宋体" w:eastAsia="宋体" w:cs="宋体"/>
          <w:color w:val="000000" w:themeColor="text1"/>
          <w:sz w:val="24"/>
          <w:szCs w:val="32"/>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32"/>
          <w:highlight w:val="none"/>
          <w:u w:val="single"/>
          <w14:textFill>
            <w14:solidFill>
              <w14:schemeClr w14:val="tx1"/>
            </w14:solidFill>
          </w14:textFill>
        </w:rPr>
        <w:t>0%×100 。</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（四）投标人综合得分＝资格证明文件、商务技术文件得分＋投标报价得分。</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（五）政府采购政策及优惠：</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zh-CN"/>
          <w14:textFill>
            <w14:solidFill>
              <w14:schemeClr w14:val="tx1"/>
            </w14:solidFill>
          </w14:textFill>
        </w:rPr>
        <w:t>）根据浙江省财政厅发布的《浙江省财政厅关于进一步加大政府采购支持中小企业力度</w:t>
      </w:r>
      <w:r>
        <w:rPr>
          <w:rFonts w:hint="eastAsia" w:ascii="宋体" w:hAnsi="宋体" w:cs="宋体"/>
          <w:color w:val="000000" w:themeColor="text1"/>
          <w:sz w:val="24"/>
          <w:szCs w:val="32"/>
          <w:highlight w:val="none"/>
          <w14:textFill>
            <w14:solidFill>
              <w14:schemeClr w14:val="tx1"/>
            </w14:solidFill>
          </w14:textFill>
        </w:rPr>
        <w:t xml:space="preserve"> 助力扎实稳住经济</w:t>
      </w:r>
      <w:r>
        <w:rPr>
          <w:rFonts w:hint="eastAsia" w:ascii="宋体" w:hAnsi="宋体" w:cs="宋体"/>
          <w:color w:val="000000" w:themeColor="text1"/>
          <w:sz w:val="24"/>
          <w:szCs w:val="32"/>
          <w:highlight w:val="none"/>
          <w:lang w:val="zh-CN"/>
          <w14:textFill>
            <w14:solidFill>
              <w14:schemeClr w14:val="tx1"/>
            </w14:solidFill>
          </w14:textFill>
        </w:rPr>
        <w:t>的通知》【浙财采监〔2022〕</w:t>
      </w:r>
      <w:r>
        <w:rPr>
          <w:rFonts w:hint="eastAsia" w:ascii="宋体" w:hAnsi="宋体" w:cs="宋体"/>
          <w:color w:val="000000" w:themeColor="text1"/>
          <w:sz w:val="24"/>
          <w:szCs w:val="32"/>
          <w:highlight w:val="none"/>
          <w14:textFill>
            <w14:solidFill>
              <w14:schemeClr w14:val="tx1"/>
            </w14:solidFill>
          </w14:textFill>
        </w:rPr>
        <w:t>8</w:t>
      </w:r>
      <w:r>
        <w:rPr>
          <w:rFonts w:hint="eastAsia" w:ascii="宋体" w:hAnsi="宋体" w:cs="宋体"/>
          <w:color w:val="000000" w:themeColor="text1"/>
          <w:sz w:val="24"/>
          <w:szCs w:val="32"/>
          <w:highlight w:val="none"/>
          <w:lang w:val="zh-CN"/>
          <w14:textFill>
            <w14:solidFill>
              <w14:schemeClr w14:val="tx1"/>
            </w14:solidFill>
          </w14:textFill>
        </w:rPr>
        <w:t>号】规定，落实财政部、工业和信息化部发布的《政府采购促进中小企业发展管理办法》【财库（2020）46号】和《财政部关于进一步加大政府采购支持中小企业力度的通知》【财库（</w:t>
      </w:r>
      <w:r>
        <w:rPr>
          <w:rFonts w:hint="eastAsia" w:ascii="宋体" w:hAnsi="宋体" w:cs="宋体"/>
          <w:color w:val="000000" w:themeColor="text1"/>
          <w:sz w:val="24"/>
          <w:szCs w:val="32"/>
          <w:highlight w:val="none"/>
          <w14:textFill>
            <w14:solidFill>
              <w14:schemeClr w14:val="tx1"/>
            </w14:solidFill>
          </w14:textFill>
        </w:rPr>
        <w:t>2022</w:t>
      </w: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19号</w:t>
      </w:r>
      <w:r>
        <w:rPr>
          <w:rFonts w:hint="eastAsia" w:ascii="宋体" w:hAnsi="宋体" w:cs="宋体"/>
          <w:color w:val="000000" w:themeColor="text1"/>
          <w:sz w:val="24"/>
          <w:szCs w:val="32"/>
          <w:highlight w:val="none"/>
          <w:lang w:val="zh-CN"/>
          <w14:textFill>
            <w14:solidFill>
              <w14:schemeClr w14:val="tx1"/>
            </w14:solidFill>
          </w14:textFill>
        </w:rPr>
        <w:t>】有关规定，货物和服务项目中未预留份额专门面向中小企业采购的，以及预留份额项目中的非预留部分采购包，采购单位、采购代理机构应当对符合规定的小微企业报价给予</w:t>
      </w: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0%的扣除，用扣除后的价格参加评审。</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单位、采购代理机构应当对联合体或者大中型企业的报价给予</w:t>
      </w:r>
      <w:r>
        <w:rPr>
          <w:rFonts w:hint="eastAsia" w:ascii="宋体" w:hAnsi="宋体" w:cs="宋体"/>
          <w:color w:val="000000" w:themeColor="text1"/>
          <w:sz w:val="24"/>
          <w:szCs w:val="32"/>
          <w:highlight w:val="none"/>
          <w14:textFill>
            <w14:solidFill>
              <w14:schemeClr w14:val="tx1"/>
            </w14:solidFill>
          </w14:textFill>
        </w:rPr>
        <w:t>6%</w:t>
      </w:r>
      <w:r>
        <w:rPr>
          <w:rFonts w:hint="eastAsia" w:ascii="宋体" w:hAnsi="宋体" w:cs="宋体"/>
          <w:color w:val="000000" w:themeColor="text1"/>
          <w:sz w:val="24"/>
          <w:szCs w:val="32"/>
          <w:highlight w:val="none"/>
          <w:lang w:val="zh-CN"/>
          <w14:textFill>
            <w14:solidFill>
              <w14:schemeClr w14:val="tx1"/>
            </w14:solidFill>
          </w14:textFill>
        </w:rPr>
        <w:t>的扣除，用扣除后的价格参加评审。</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组成联合体或者接受分包的小微企业与联合体内其他企业、分包企业之间存在直接控股、管理关系的，不享受价格扣除优惠政策。</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投标文件中须同时出具《政府采购促进中小企业发展管理办法》【财库（2020）46号】规定的《中小企业声明函》，否则不得享受价格扣除。</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本项目对符合规定的小微企业（含小型企业）报价给予</w:t>
      </w:r>
      <w:r>
        <w:rPr>
          <w:rFonts w:hint="eastAsia" w:ascii="宋体" w:hAnsi="宋体" w:cs="宋体"/>
          <w:color w:val="000000" w:themeColor="text1"/>
          <w:sz w:val="24"/>
          <w:szCs w:val="32"/>
          <w:highlight w:val="none"/>
          <w14:textFill>
            <w14:solidFill>
              <w14:schemeClr w14:val="tx1"/>
            </w14:solidFill>
          </w14:textFill>
        </w:rPr>
        <w:t>20</w:t>
      </w:r>
      <w:r>
        <w:rPr>
          <w:rFonts w:hint="eastAsia" w:ascii="宋体" w:hAnsi="宋体" w:cs="宋体"/>
          <w:color w:val="000000" w:themeColor="text1"/>
          <w:sz w:val="24"/>
          <w:szCs w:val="32"/>
          <w:highlight w:val="none"/>
          <w:lang w:val="zh-CN"/>
          <w14:textFill>
            <w14:solidFill>
              <w14:schemeClr w14:val="tx1"/>
            </w14:solidFill>
          </w14:textFill>
        </w:rPr>
        <w:t>%的扣除。</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（2）根据《关于政府采购支持监狱企业发展有关问题的通知》（财库[2014]68号）的规定，供应商如为监狱企业且所投产品为小型或微型企业生产的，其投标报价扣除</w:t>
      </w:r>
      <w:r>
        <w:rPr>
          <w:rFonts w:hint="eastAsia" w:ascii="宋体" w:hAnsi="宋体" w:cs="宋体"/>
          <w:color w:val="000000" w:themeColor="text1"/>
          <w:kern w:val="0"/>
          <w:sz w:val="24"/>
          <w:highlight w:val="none"/>
          <w14:textFill>
            <w14:solidFill>
              <w14:schemeClr w14:val="tx1"/>
            </w14:solidFill>
          </w14:textFill>
        </w:rPr>
        <w:t>20</w:t>
      </w:r>
      <w:r>
        <w:rPr>
          <w:rFonts w:hint="eastAsia" w:ascii="宋体" w:hAnsi="宋体" w:cs="宋体"/>
          <w:color w:val="000000" w:themeColor="text1"/>
          <w:kern w:val="0"/>
          <w:sz w:val="24"/>
          <w:highlight w:val="none"/>
          <w:lang w:val="zh-CN"/>
          <w14:textFill>
            <w14:solidFill>
              <w14:schemeClr w14:val="tx1"/>
            </w14:solidFill>
          </w14:textFill>
        </w:rPr>
        <w:t>%后参与评审。</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投标文件中须同时提供：供应商的省级以上监狱管理局、戒毒管理局（含新疆生产建设兵团）出具的属于监狱企业的证明文件，未提供完整证明材料的，投标报价不予扣减。</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享受政府采购支持政策的残疾人福利性单位应当同时满足以下条件：</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①安置的残疾人占本单位在职职工人数的比例不低于25%（含25%），并且安置的残疾人人数不少于10人（含10人）；</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②依法与安置的每位残疾人签订了一年以上（含一年）的劳动合同或服务协议；</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③为安置的每位残疾人按月足额缴纳了基本养老保险、基本医疗保险、失业保险、工伤保险和生育保险等社会保险费；</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④通过银行等金融机构向安置的每位残疾人，按月支付了不低于单位所在区县适用的经省级人民政府批准的月最低工资标准的工资；</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⑤提供本单位制造的货物、承担的工程或者服务（以下简称产品），或者提供其他残疾人福利性单位制造的货物（不包括使用非残疾人福利性单位注册商标的货物）。</w:t>
      </w:r>
    </w:p>
    <w:p>
      <w:pPr>
        <w:shd w:val="clea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注：得分以系统计算为准，保留2位小数。</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五、提供相同品牌产品的不同投标人参加同一合同项下投标的，按一家供应商认定：</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（1）采用最低评标价法的采购项目，以其中通过资格审查、符合性审查且报价最低的参加评标；报价相同的，由评标委员会集体确定一个投标人参加评标，其他投标无效。</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（2）使用综合评分法的采购项目，评审后得分最高的同品牌投标人获得中标人推荐资格；评审得分相同的，由评标委员会集体推荐一个投标人作为中标候选人，其他同品牌投标人不作为中标候选人。</w:t>
      </w:r>
    </w:p>
    <w:p>
      <w:pPr>
        <w:shd w:val="clear"/>
        <w:spacing w:line="360" w:lineRule="auto"/>
        <w:ind w:firstLine="480"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六、本次评分具体分值细化条款如下表：</w:t>
      </w:r>
    </w:p>
    <w:p>
      <w:pPr>
        <w:shd w:val="clear"/>
        <w:spacing w:line="360" w:lineRule="auto"/>
        <w:ind w:firstLine="482" w:firstLineChars="200"/>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标项一、标项二：</w:t>
      </w:r>
    </w:p>
    <w:tbl>
      <w:tblPr>
        <w:tblStyle w:val="30"/>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14"/>
        <w:gridCol w:w="7204"/>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58"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21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评分项目</w:t>
            </w:r>
          </w:p>
        </w:tc>
        <w:tc>
          <w:tcPr>
            <w:tcW w:w="720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评审细则</w:t>
            </w:r>
          </w:p>
        </w:tc>
        <w:tc>
          <w:tcPr>
            <w:tcW w:w="730"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58"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1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服务需求响应</w:t>
            </w:r>
          </w:p>
        </w:tc>
        <w:tc>
          <w:tcPr>
            <w:tcW w:w="7204" w:type="dxa"/>
            <w:noWrap/>
            <w:vAlign w:val="center"/>
          </w:tcPr>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依据标书</w:t>
            </w:r>
            <w:r>
              <w:rPr>
                <w:rFonts w:hint="eastAsia" w:ascii="宋体" w:hAnsi="宋体" w:cs="宋体"/>
                <w:color w:val="000000" w:themeColor="text1"/>
                <w:sz w:val="24"/>
                <w:szCs w:val="24"/>
                <w:highlight w:val="none"/>
                <w:lang w:eastAsia="zh-CN"/>
                <w14:textFill>
                  <w14:solidFill>
                    <w14:schemeClr w14:val="tx1"/>
                  </w14:solidFill>
                </w14:textFill>
              </w:rPr>
              <w:t>七、服务需求</w:t>
            </w:r>
            <w:r>
              <w:rPr>
                <w:rFonts w:hint="eastAsia" w:ascii="宋体" w:hAnsi="宋体" w:eastAsia="宋体" w:cs="宋体"/>
                <w:color w:val="000000" w:themeColor="text1"/>
                <w:sz w:val="24"/>
                <w:szCs w:val="24"/>
                <w:highlight w:val="none"/>
                <w14:textFill>
                  <w14:solidFill>
                    <w14:schemeClr w14:val="tx1"/>
                  </w14:solidFill>
                </w14:textFill>
              </w:rPr>
              <w:t>里的2.2、2.3内容，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结合</w:t>
            </w:r>
            <w:r>
              <w:rPr>
                <w:rFonts w:hint="eastAsia" w:ascii="宋体" w:hAnsi="宋体" w:eastAsia="宋体" w:cs="宋体"/>
                <w:color w:val="000000" w:themeColor="text1"/>
                <w:sz w:val="24"/>
                <w:szCs w:val="24"/>
                <w:highlight w:val="none"/>
                <w14:textFill>
                  <w14:solidFill>
                    <w14:schemeClr w14:val="tx1"/>
                  </w14:solidFill>
                </w14:textFill>
              </w:rPr>
              <w:t>投标人提供的服务需求响应情况进行评审：完全满足招标要求得20分，每项偏离扣2分。基本分扣完为止。</w:t>
            </w:r>
          </w:p>
        </w:tc>
        <w:tc>
          <w:tcPr>
            <w:tcW w:w="730"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8"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21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体系认证</w:t>
            </w:r>
          </w:p>
        </w:tc>
        <w:tc>
          <w:tcPr>
            <w:tcW w:w="7204" w:type="dxa"/>
            <w:noWrap/>
            <w:vAlign w:val="center"/>
          </w:tcPr>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投标人具有有效的ISO9001质量管理体系认证、ISO14001环境管理体系认证、OHSAS18001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GB/T2800)</w:t>
            </w:r>
            <w:r>
              <w:rPr>
                <w:rFonts w:hint="eastAsia" w:ascii="宋体" w:hAnsi="宋体" w:eastAsia="宋体" w:cs="宋体"/>
                <w:color w:val="000000" w:themeColor="text1"/>
                <w:sz w:val="24"/>
                <w:szCs w:val="24"/>
                <w:highlight w:val="none"/>
                <w14:textFill>
                  <w14:solidFill>
                    <w14:schemeClr w14:val="tx1"/>
                  </w14:solidFill>
                </w14:textFill>
              </w:rPr>
              <w:t>或</w:t>
            </w:r>
            <w:r>
              <w:rPr>
                <w:rFonts w:hint="eastAsia" w:ascii="宋体" w:hAnsi="宋体" w:eastAsia="宋体" w:cs="宋体"/>
                <w:color w:val="000000" w:themeColor="text1"/>
                <w:sz w:val="24"/>
                <w:szCs w:val="24"/>
                <w:highlight w:val="none"/>
                <w:lang w:val="en-US" w:eastAsia="zh-CN"/>
                <w14:textFill>
                  <w14:solidFill>
                    <w14:schemeClr w14:val="tx1"/>
                  </w14:solidFill>
                </w14:textFill>
              </w:rPr>
              <w:t>ISO45001（</w:t>
            </w:r>
            <w:r>
              <w:rPr>
                <w:rFonts w:hint="eastAsia" w:ascii="宋体" w:hAnsi="宋体" w:eastAsia="宋体" w:cs="宋体"/>
                <w:color w:val="000000" w:themeColor="text1"/>
                <w:sz w:val="24"/>
                <w:szCs w:val="24"/>
                <w:highlight w:val="none"/>
                <w14:textFill>
                  <w14:solidFill>
                    <w14:schemeClr w14:val="tx1"/>
                  </w14:solidFill>
                </w14:textFill>
              </w:rPr>
              <w:t>GB/T</w:t>
            </w:r>
            <w:r>
              <w:rPr>
                <w:rFonts w:hint="eastAsia" w:ascii="宋体" w:hAnsi="宋体" w:eastAsia="宋体" w:cs="宋体"/>
                <w:color w:val="000000" w:themeColor="text1"/>
                <w:sz w:val="24"/>
                <w:szCs w:val="24"/>
                <w:highlight w:val="none"/>
                <w:lang w:val="en-US" w:eastAsia="zh-CN"/>
                <w14:textFill>
                  <w14:solidFill>
                    <w14:schemeClr w14:val="tx1"/>
                  </w14:solidFill>
                </w14:textFill>
              </w:rPr>
              <w:t>4500</w:t>
            </w:r>
            <w:r>
              <w:rPr>
                <w:rFonts w:hint="eastAsia" w:ascii="宋体" w:hAnsi="宋体" w:eastAsia="宋体" w:cs="宋体"/>
                <w:color w:val="000000" w:themeColor="text1"/>
                <w:sz w:val="24"/>
                <w:szCs w:val="24"/>
                <w:highlight w:val="none"/>
                <w14:textFill>
                  <w14:solidFill>
                    <w14:schemeClr w14:val="tx1"/>
                  </w14:solidFill>
                </w14:textFill>
              </w:rPr>
              <w:t>1)职业健康安全管理体系认证，ISO 20000信息技术服务管理体系认证、ISO27001信息安全管理体系认证，全部具备的得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分，每少一个扣</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分，扣完为止。</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注：须提供证明材料复印件，未提供不得分。</w:t>
            </w:r>
          </w:p>
        </w:tc>
        <w:tc>
          <w:tcPr>
            <w:tcW w:w="730"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8"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21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企业服务能力</w:t>
            </w:r>
          </w:p>
        </w:tc>
        <w:tc>
          <w:tcPr>
            <w:tcW w:w="7204" w:type="dxa"/>
            <w:noWrap/>
            <w:vAlign w:val="center"/>
          </w:tcPr>
          <w:p>
            <w:pPr>
              <w:shd w:val="clear"/>
              <w:bidi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具有</w:t>
            </w:r>
            <w:r>
              <w:rPr>
                <w:rFonts w:hint="eastAsia" w:ascii="宋体" w:hAnsi="宋体" w:eastAsia="宋体" w:cs="宋体"/>
                <w:color w:val="000000" w:themeColor="text1"/>
                <w:sz w:val="24"/>
                <w:szCs w:val="24"/>
                <w:highlight w:val="none"/>
                <w:lang w:eastAsia="zh-CN"/>
                <w14:textFill>
                  <w14:solidFill>
                    <w14:schemeClr w14:val="tx1"/>
                  </w14:solidFill>
                </w14:textFill>
              </w:rPr>
              <w:t>自动监控系统（气）</w:t>
            </w:r>
            <w:r>
              <w:rPr>
                <w:rFonts w:hint="eastAsia" w:ascii="宋体" w:hAnsi="宋体" w:eastAsia="宋体" w:cs="宋体"/>
                <w:color w:val="000000" w:themeColor="text1"/>
                <w:sz w:val="24"/>
                <w:szCs w:val="24"/>
                <w:highlight w:val="none"/>
                <w:lang w:val="zh-CN"/>
                <w14:textFill>
                  <w14:solidFill>
                    <w14:schemeClr w14:val="tx1"/>
                  </w14:solidFill>
                </w14:textFill>
              </w:rPr>
              <w:t>运营服务能力评价一级证书</w:t>
            </w:r>
            <w:r>
              <w:rPr>
                <w:rFonts w:hint="eastAsia" w:ascii="宋体" w:hAnsi="宋体" w:cs="宋体"/>
                <w:color w:val="000000" w:themeColor="text1"/>
                <w:sz w:val="24"/>
                <w:szCs w:val="24"/>
                <w:highlight w:val="none"/>
                <w:lang w:eastAsia="zh-CN"/>
                <w14:textFill>
                  <w14:solidFill>
                    <w14:schemeClr w14:val="tx1"/>
                  </w14:solidFill>
                </w14:textFill>
              </w:rPr>
              <w:t>或</w:t>
            </w:r>
            <w:r>
              <w:rPr>
                <w:rFonts w:hint="eastAsia" w:ascii="宋体" w:hAnsi="宋体" w:eastAsia="宋体" w:cs="宋体"/>
                <w:color w:val="000000" w:themeColor="text1"/>
                <w:sz w:val="24"/>
                <w:szCs w:val="24"/>
                <w:highlight w:val="none"/>
                <w:lang w:val="zh-CN"/>
                <w14:textFill>
                  <w14:solidFill>
                    <w14:schemeClr w14:val="tx1"/>
                  </w14:solidFill>
                </w14:textFill>
              </w:rPr>
              <w:t>环境空气连续自动监测系统运营服务认证证书二级以上的得3分，没有不得分。</w:t>
            </w:r>
          </w:p>
          <w:p>
            <w:pPr>
              <w:numPr>
                <w:ilvl w:val="0"/>
                <w:numId w:val="0"/>
              </w:num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）投标人（或投标人子公司、分公司）</w:t>
            </w:r>
            <w:r>
              <w:rPr>
                <w:rFonts w:hint="eastAsia" w:ascii="宋体" w:hAnsi="宋体" w:eastAsia="宋体" w:cs="宋体"/>
                <w:color w:val="000000" w:themeColor="text1"/>
                <w:sz w:val="24"/>
                <w:szCs w:val="24"/>
                <w:highlight w:val="none"/>
                <w:lang w:val="en-US" w:eastAsia="zh-CN"/>
                <w14:textFill>
                  <w14:solidFill>
                    <w14:schemeClr w14:val="tx1"/>
                  </w14:solidFill>
                </w14:textFill>
              </w:rPr>
              <w:t>自</w:t>
            </w:r>
            <w:r>
              <w:rPr>
                <w:rFonts w:hint="eastAsia" w:ascii="宋体" w:hAnsi="宋体" w:eastAsia="宋体" w:cs="宋体"/>
                <w:color w:val="000000" w:themeColor="text1"/>
                <w:sz w:val="24"/>
                <w:szCs w:val="24"/>
                <w:highlight w:val="none"/>
                <w14:textFill>
                  <w14:solidFill>
                    <w14:schemeClr w14:val="tx1"/>
                  </w14:solidFill>
                </w14:textFill>
              </w:rPr>
              <w:t>有</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或具有合作协议的</w:t>
            </w:r>
            <w:r>
              <w:rPr>
                <w:rFonts w:hint="eastAsia" w:ascii="宋体" w:hAnsi="宋体" w:eastAsia="宋体" w:cs="宋体"/>
                <w:color w:val="000000" w:themeColor="text1"/>
                <w:sz w:val="24"/>
                <w:szCs w:val="24"/>
                <w:highlight w:val="none"/>
                <w14:textFill>
                  <w14:solidFill>
                    <w14:schemeClr w14:val="tx1"/>
                  </w14:solidFill>
                </w14:textFill>
              </w:rPr>
              <w:t>CMA计量认证实验室</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且检测能力覆盖环境空气常规6参数和VOCs的，得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分，每少一个扣1分，扣完为止。</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注：须提供相关证明文件复印件，未提供不得分。</w:t>
            </w:r>
          </w:p>
        </w:tc>
        <w:tc>
          <w:tcPr>
            <w:tcW w:w="730"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58"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21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投标人信誉</w:t>
            </w:r>
          </w:p>
        </w:tc>
        <w:tc>
          <w:tcPr>
            <w:tcW w:w="7204" w:type="dxa"/>
            <w:noWrap/>
            <w:vAlign w:val="center"/>
          </w:tcPr>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投标人提供近</w:t>
            </w:r>
            <w:r>
              <w:rPr>
                <w:rFonts w:hint="eastAsia" w:ascii="宋体" w:hAnsi="宋体" w:eastAsia="宋体" w:cs="宋体"/>
                <w:color w:val="000000" w:themeColor="text1"/>
                <w:sz w:val="24"/>
                <w:szCs w:val="24"/>
                <w:highlight w:val="none"/>
                <w:lang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年内在全国所有环境服务活动中未受到行政处罚以及刑事犯罪的承诺书得3分，未提供不得分。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注：须如实承诺，如经证实提供不实承诺，将不实承诺的情形报送向政府采购管理办公室，并追究相关责任。</w:t>
            </w:r>
          </w:p>
        </w:tc>
        <w:tc>
          <w:tcPr>
            <w:tcW w:w="730"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58"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21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同类业绩</w:t>
            </w:r>
          </w:p>
        </w:tc>
        <w:tc>
          <w:tcPr>
            <w:tcW w:w="7204" w:type="dxa"/>
            <w:noWrap/>
          </w:tcPr>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）投标人自2018年1月1日以来承担过环境空气自动站运维成功案例的，每个项目得0.</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分，本项最高得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分。（以合同签订时间为准，须同时提供合同及中标通知书复印件）</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）投标人自2018年1月1日以来承担过VOC自动监测站运维项目，每个项目得0.</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分，本项最高得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分。（以合同签订时间为准，须同时提供合同及中标通知书复印件）</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注：相同站点不同年份的运维业绩不重复计算；（纸质投标文件中只需提供合同复印件，电子投标文件需提供合同原件扫描件，不提供不得分）</w:t>
            </w:r>
          </w:p>
        </w:tc>
        <w:tc>
          <w:tcPr>
            <w:tcW w:w="730"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58"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21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项目实施方案</w:t>
            </w:r>
          </w:p>
        </w:tc>
        <w:tc>
          <w:tcPr>
            <w:tcW w:w="7204" w:type="dxa"/>
            <w:noWrap/>
            <w:vAlign w:val="center"/>
          </w:tcPr>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（1）项目了解程度（0-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分）：对本项目各站的熟悉了解程度，充分结合本项目提出当前各站运维存在的问题和应对措施； </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（2）运维方案（0-1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分）：根据投标人提供的运维方案、运维服务质量保证措施等内容进行综合评议，酌情给分：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运维方案及关键技术措施编制合理、清晰，运维方案中编制依据、技术措施等完全符合本项目、关键技术措施内容详尽的得1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分；运维方案及关键技术措施编制得合理性、清晰度有欠缺，运维方案中编制依据、技术措施等部分适用本项目，关键技术措施内容较为详尽的得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分；运维方案及关键技术措施编制内容粗糙，有明显不针对本项目措施的得0-</w:t>
            </w:r>
            <w:r>
              <w:rPr>
                <w:rFonts w:hint="eastAsia" w:ascii="宋体" w:hAnsi="宋体" w:cs="宋体"/>
                <w:color w:val="000000" w:themeColor="text1"/>
                <w:sz w:val="24"/>
                <w:szCs w:val="24"/>
                <w:highlight w:val="none"/>
                <w:lang w:val="en-US" w:eastAsia="zh-CN"/>
                <w14:textFill>
                  <w14:solidFill>
                    <w14:schemeClr w14:val="tx1"/>
                  </w14:solidFill>
                </w14:textFill>
              </w:rPr>
              <w:t>7.9</w:t>
            </w:r>
            <w:r>
              <w:rPr>
                <w:rFonts w:hint="eastAsia" w:ascii="宋体" w:hAnsi="宋体" w:eastAsia="宋体" w:cs="宋体"/>
                <w:color w:val="000000" w:themeColor="text1"/>
                <w:sz w:val="24"/>
                <w:szCs w:val="24"/>
                <w:highlight w:val="none"/>
                <w14:textFill>
                  <w14:solidFill>
                    <w14:schemeClr w14:val="tx1"/>
                  </w14:solidFill>
                </w14:textFill>
              </w:rPr>
              <w:t>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（3）运维管理制度（0-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分）：制定合理完善、切实有效的运维管理制度，是否全面、有针对性，措施是否完善等情况进行打分。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根据投标人提供的备品备件库建立程序，是否详细完善等情况进行打分</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30"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8"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21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技术及运维力量</w:t>
            </w:r>
          </w:p>
        </w:tc>
        <w:tc>
          <w:tcPr>
            <w:tcW w:w="7204" w:type="dxa"/>
            <w:noWrap/>
            <w:vAlign w:val="center"/>
          </w:tcPr>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（1）项目负责人配置（0-4分）：项目负责人具备环境类高级职称（含副高）的得2分，中级职称的得1分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项目负责人具有</w:t>
            </w:r>
            <w:r>
              <w:rPr>
                <w:rFonts w:hint="eastAsia" w:ascii="宋体" w:hAnsi="宋体" w:eastAsia="宋体" w:cs="宋体"/>
                <w:color w:val="000000" w:themeColor="text1"/>
                <w:sz w:val="24"/>
                <w:szCs w:val="24"/>
                <w:highlight w:val="none"/>
                <w14:textFill>
                  <w14:solidFill>
                    <w14:schemeClr w14:val="tx1"/>
                  </w14:solidFill>
                </w14:textFill>
              </w:rPr>
              <w:t>省级环境监测主管部门或环境监测协会颁发的大气环境自动监测系统（区域站、超级站）运维考核合格证的得2分，其他不得分。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（2）技术力量配置（0-16分）：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根据各投标人拟派本项目工作小组人员组成情况（人员数量、人员资质、人员工作经验等）以及车辆配备情况进行综合评分。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1、具有一年以上空气自动站、VOCs设备运维经验的技术人员5人及以上</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车辆3辆及以上</w:t>
            </w:r>
            <w:r>
              <w:rPr>
                <w:rFonts w:hint="eastAsia" w:ascii="宋体" w:hAnsi="宋体" w:eastAsia="宋体" w:cs="宋体"/>
                <w:color w:val="000000" w:themeColor="text1"/>
                <w:sz w:val="24"/>
                <w:szCs w:val="24"/>
                <w:highlight w:val="none"/>
                <w14:textFill>
                  <w14:solidFill>
                    <w14:schemeClr w14:val="tx1"/>
                  </w14:solidFill>
                </w14:textFill>
              </w:rPr>
              <w:t>得6分，每少1人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或1车</w:t>
            </w:r>
            <w:r>
              <w:rPr>
                <w:rFonts w:hint="eastAsia" w:ascii="宋体" w:hAnsi="宋体" w:eastAsia="宋体" w:cs="宋体"/>
                <w:color w:val="000000" w:themeColor="text1"/>
                <w:sz w:val="24"/>
                <w:szCs w:val="24"/>
                <w:highlight w:val="none"/>
                <w14:textFill>
                  <w14:solidFill>
                    <w14:schemeClr w14:val="tx1"/>
                  </w14:solidFill>
                </w14:textFill>
              </w:rPr>
              <w:t>扣</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分，扣完为止。（至少有1人具备VOCs设备运维经验，需提供本单位的近6个月社保证明和相关证明材料复印件加盖公章）（0-6分）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2、运维人员持有省级环境监测主管部门或环境监测协会颁发的大气环境自动监测系统（区域站、超级站）运维考核合格证，每人仅限提供1本，每本得1分，最高可得5分，不提供不得分。（0-5分）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3、VOC数据审核和报告编制人员具有研究生</w:t>
            </w:r>
            <w:r>
              <w:rPr>
                <w:rFonts w:hint="eastAsia" w:ascii="宋体" w:hAnsi="宋体" w:eastAsia="宋体" w:cs="宋体"/>
                <w:color w:val="000000" w:themeColor="text1"/>
                <w:sz w:val="24"/>
                <w:szCs w:val="24"/>
                <w:highlight w:val="none"/>
                <w:lang w:val="en-US" w:eastAsia="zh-CN"/>
                <w14:textFill>
                  <w14:solidFill>
                    <w14:schemeClr w14:val="tx1"/>
                  </w14:solidFill>
                </w14:textFill>
              </w:rPr>
              <w:t>学历</w:t>
            </w:r>
            <w:r>
              <w:rPr>
                <w:rFonts w:hint="eastAsia" w:ascii="宋体" w:hAnsi="宋体" w:eastAsia="宋体" w:cs="宋体"/>
                <w:color w:val="000000" w:themeColor="text1"/>
                <w:sz w:val="24"/>
                <w:szCs w:val="24"/>
                <w:highlight w:val="none"/>
                <w14:textFill>
                  <w14:solidFill>
                    <w14:schemeClr w14:val="tx1"/>
                  </w14:solidFill>
                </w14:textFill>
              </w:rPr>
              <w:t>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分，本科的得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分，本科以下不得分，需提供化学相关专业的学历证明，不提供不得分。（0-</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自有车辆设备须提供设备照片、购车发票、车辆行驶证及机动车登记证书清晰扫描件或复印件；</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企业租赁车辆的须提供设备照片、租赁协议及车辆行驶证清晰扫描件或复印件；</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以上评分点均须提供相关人员证书及最近一个季度任意一个月的社保证明材料，否则不得分。</w:t>
            </w:r>
          </w:p>
        </w:tc>
        <w:tc>
          <w:tcPr>
            <w:tcW w:w="730" w:type="dxa"/>
            <w:tcBorders>
              <w:bottom w:val="single" w:color="auto"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0-20</w:t>
            </w:r>
          </w:p>
        </w:tc>
      </w:tr>
    </w:tbl>
    <w:p>
      <w:pPr>
        <w:shd w:val="clear"/>
        <w:bidi w:val="0"/>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标项三、标项四：</w:t>
      </w:r>
    </w:p>
    <w:tbl>
      <w:tblPr>
        <w:tblStyle w:val="3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200"/>
        <w:gridCol w:w="7220"/>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81"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200"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评分项目</w:t>
            </w:r>
          </w:p>
        </w:tc>
        <w:tc>
          <w:tcPr>
            <w:tcW w:w="7220"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评审细则</w:t>
            </w:r>
          </w:p>
        </w:tc>
        <w:tc>
          <w:tcPr>
            <w:tcW w:w="71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81"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00"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服务需求响应</w:t>
            </w:r>
          </w:p>
        </w:tc>
        <w:tc>
          <w:tcPr>
            <w:tcW w:w="7220" w:type="dxa"/>
            <w:noWrap/>
            <w:vAlign w:val="center"/>
          </w:tcPr>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依据标书</w:t>
            </w:r>
            <w:r>
              <w:rPr>
                <w:rFonts w:hint="eastAsia" w:ascii="宋体" w:hAnsi="宋体" w:cs="宋体"/>
                <w:color w:val="000000" w:themeColor="text1"/>
                <w:sz w:val="24"/>
                <w:szCs w:val="24"/>
                <w:highlight w:val="none"/>
                <w:lang w:eastAsia="zh-CN"/>
                <w14:textFill>
                  <w14:solidFill>
                    <w14:schemeClr w14:val="tx1"/>
                  </w14:solidFill>
                </w14:textFill>
              </w:rPr>
              <w:t>七、服务需求</w:t>
            </w:r>
            <w:r>
              <w:rPr>
                <w:rFonts w:hint="eastAsia" w:ascii="宋体" w:hAnsi="宋体" w:eastAsia="宋体" w:cs="宋体"/>
                <w:color w:val="000000" w:themeColor="text1"/>
                <w:sz w:val="24"/>
                <w:szCs w:val="24"/>
                <w:highlight w:val="none"/>
                <w14:textFill>
                  <w14:solidFill>
                    <w14:schemeClr w14:val="tx1"/>
                  </w14:solidFill>
                </w14:textFill>
              </w:rPr>
              <w:t>里的2.2、2.3内容，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结合</w:t>
            </w:r>
            <w:r>
              <w:rPr>
                <w:rFonts w:hint="eastAsia" w:ascii="宋体" w:hAnsi="宋体" w:eastAsia="宋体" w:cs="宋体"/>
                <w:color w:val="000000" w:themeColor="text1"/>
                <w:sz w:val="24"/>
                <w:szCs w:val="24"/>
                <w:highlight w:val="none"/>
                <w14:textFill>
                  <w14:solidFill>
                    <w14:schemeClr w14:val="tx1"/>
                  </w14:solidFill>
                </w14:textFill>
              </w:rPr>
              <w:t>投标人提供的服务需求响应情况进行评审：完全满足招标要求得20分，每项偏离扣2分。基本分扣完为止。</w:t>
            </w:r>
          </w:p>
        </w:tc>
        <w:tc>
          <w:tcPr>
            <w:tcW w:w="71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1"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200"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体系认证</w:t>
            </w:r>
          </w:p>
        </w:tc>
        <w:tc>
          <w:tcPr>
            <w:tcW w:w="7220" w:type="dxa"/>
            <w:noWrap/>
            <w:vAlign w:val="center"/>
          </w:tcPr>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投标人具有有效的ISO9001质量管理体系认证、ISO14001环境管理体系认证、OHSAS18001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GB/T2800)</w:t>
            </w:r>
            <w:r>
              <w:rPr>
                <w:rFonts w:hint="eastAsia" w:ascii="宋体" w:hAnsi="宋体" w:eastAsia="宋体" w:cs="宋体"/>
                <w:color w:val="000000" w:themeColor="text1"/>
                <w:sz w:val="24"/>
                <w:szCs w:val="24"/>
                <w:highlight w:val="none"/>
                <w14:textFill>
                  <w14:solidFill>
                    <w14:schemeClr w14:val="tx1"/>
                  </w14:solidFill>
                </w14:textFill>
              </w:rPr>
              <w:t>或</w:t>
            </w:r>
            <w:r>
              <w:rPr>
                <w:rFonts w:hint="eastAsia" w:ascii="宋体" w:hAnsi="宋体" w:eastAsia="宋体" w:cs="宋体"/>
                <w:color w:val="000000" w:themeColor="text1"/>
                <w:sz w:val="24"/>
                <w:szCs w:val="24"/>
                <w:highlight w:val="none"/>
                <w:lang w:val="en-US" w:eastAsia="zh-CN"/>
                <w14:textFill>
                  <w14:solidFill>
                    <w14:schemeClr w14:val="tx1"/>
                  </w14:solidFill>
                </w14:textFill>
              </w:rPr>
              <w:t>ISO45001（</w:t>
            </w:r>
            <w:r>
              <w:rPr>
                <w:rFonts w:hint="eastAsia" w:ascii="宋体" w:hAnsi="宋体" w:eastAsia="宋体" w:cs="宋体"/>
                <w:color w:val="000000" w:themeColor="text1"/>
                <w:sz w:val="24"/>
                <w:szCs w:val="24"/>
                <w:highlight w:val="none"/>
                <w14:textFill>
                  <w14:solidFill>
                    <w14:schemeClr w14:val="tx1"/>
                  </w14:solidFill>
                </w14:textFill>
              </w:rPr>
              <w:t>GB/T</w:t>
            </w:r>
            <w:r>
              <w:rPr>
                <w:rFonts w:hint="eastAsia" w:ascii="宋体" w:hAnsi="宋体" w:eastAsia="宋体" w:cs="宋体"/>
                <w:color w:val="000000" w:themeColor="text1"/>
                <w:sz w:val="24"/>
                <w:szCs w:val="24"/>
                <w:highlight w:val="none"/>
                <w:lang w:val="en-US" w:eastAsia="zh-CN"/>
                <w14:textFill>
                  <w14:solidFill>
                    <w14:schemeClr w14:val="tx1"/>
                  </w14:solidFill>
                </w14:textFill>
              </w:rPr>
              <w:t>4500</w:t>
            </w:r>
            <w:r>
              <w:rPr>
                <w:rFonts w:hint="eastAsia" w:ascii="宋体" w:hAnsi="宋体" w:eastAsia="宋体" w:cs="宋体"/>
                <w:color w:val="000000" w:themeColor="text1"/>
                <w:sz w:val="24"/>
                <w:szCs w:val="24"/>
                <w:highlight w:val="none"/>
                <w14:textFill>
                  <w14:solidFill>
                    <w14:schemeClr w14:val="tx1"/>
                  </w14:solidFill>
                </w14:textFill>
              </w:rPr>
              <w:t>1)职业健康安全管理体系认证，ISO 20000信息技术服务管理体系认证、ISO27001信息安全管理体系认证，全部具备的得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分，每少一个扣</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分，扣完为止。</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注：须提供证明材料复印件，未提供不得分。</w:t>
            </w:r>
          </w:p>
        </w:tc>
        <w:tc>
          <w:tcPr>
            <w:tcW w:w="71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1"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200"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企业服务能力</w:t>
            </w:r>
          </w:p>
        </w:tc>
        <w:tc>
          <w:tcPr>
            <w:tcW w:w="7220" w:type="dxa"/>
            <w:noWrap/>
            <w:vAlign w:val="center"/>
          </w:tcPr>
          <w:p>
            <w:pPr>
              <w:shd w:val="clear"/>
              <w:bidi w:val="0"/>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）具有地表水水质自动监测站运营服务评价证书一级的得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分，二级得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分，没有不得分。提供证书扫描件加盖公章。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0-5分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）投标人（或投标人子公司、分公司）</w:t>
            </w:r>
            <w:r>
              <w:rPr>
                <w:rFonts w:hint="eastAsia" w:ascii="宋体" w:hAnsi="宋体" w:eastAsia="宋体" w:cs="宋体"/>
                <w:color w:val="000000" w:themeColor="text1"/>
                <w:sz w:val="24"/>
                <w:szCs w:val="24"/>
                <w:highlight w:val="none"/>
                <w:lang w:val="en-US" w:eastAsia="zh-CN"/>
                <w14:textFill>
                  <w14:solidFill>
                    <w14:schemeClr w14:val="tx1"/>
                  </w14:solidFill>
                </w14:textFill>
              </w:rPr>
              <w:t>自</w:t>
            </w:r>
            <w:r>
              <w:rPr>
                <w:rFonts w:hint="eastAsia" w:ascii="宋体" w:hAnsi="宋体" w:eastAsia="宋体" w:cs="宋体"/>
                <w:color w:val="000000" w:themeColor="text1"/>
                <w:sz w:val="24"/>
                <w:szCs w:val="24"/>
                <w:highlight w:val="none"/>
                <w14:textFill>
                  <w14:solidFill>
                    <w14:schemeClr w14:val="tx1"/>
                  </w14:solidFill>
                </w14:textFill>
              </w:rPr>
              <w:t>有</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或具有合作协议的</w:t>
            </w:r>
            <w:r>
              <w:rPr>
                <w:rFonts w:hint="eastAsia" w:ascii="宋体" w:hAnsi="宋体" w:eastAsia="宋体" w:cs="宋体"/>
                <w:color w:val="000000" w:themeColor="text1"/>
                <w:sz w:val="24"/>
                <w:szCs w:val="24"/>
                <w:highlight w:val="none"/>
                <w14:textFill>
                  <w14:solidFill>
                    <w14:schemeClr w14:val="tx1"/>
                  </w14:solidFill>
                </w14:textFill>
              </w:rPr>
              <w:t>CMA计量认证实验室</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且</w:t>
            </w:r>
            <w:r>
              <w:rPr>
                <w:rFonts w:hint="eastAsia" w:ascii="宋体" w:hAnsi="宋体" w:eastAsia="宋体" w:cs="宋体"/>
                <w:color w:val="000000" w:themeColor="text1"/>
                <w:sz w:val="24"/>
                <w:szCs w:val="24"/>
                <w:highlight w:val="none"/>
                <w14:textFill>
                  <w14:solidFill>
                    <w14:schemeClr w14:val="tx1"/>
                  </w14:solidFill>
                </w14:textFill>
              </w:rPr>
              <w:t>检测能力覆盖标书表二中水质自动站监测参数的，得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，每少一个扣</w:t>
            </w:r>
            <w:r>
              <w:rPr>
                <w:rFonts w:hint="eastAsia" w:ascii="宋体" w:hAnsi="宋体" w:eastAsia="宋体" w:cs="宋体"/>
                <w:color w:val="000000" w:themeColor="text1"/>
                <w:sz w:val="24"/>
                <w:szCs w:val="24"/>
                <w:highlight w:val="none"/>
                <w:lang w:val="en-US" w:eastAsia="zh-CN"/>
                <w14:textFill>
                  <w14:solidFill>
                    <w14:schemeClr w14:val="tx1"/>
                  </w14:solidFill>
                </w14:textFill>
              </w:rPr>
              <w:t>1分，扣完为止</w:t>
            </w:r>
            <w:r>
              <w:rPr>
                <w:rFonts w:hint="eastAsia" w:ascii="宋体" w:hAnsi="宋体" w:eastAsia="宋体" w:cs="宋体"/>
                <w:color w:val="000000" w:themeColor="text1"/>
                <w:sz w:val="24"/>
                <w:szCs w:val="24"/>
                <w:highlight w:val="none"/>
                <w14:textFill>
                  <w14:solidFill>
                    <w14:schemeClr w14:val="tx1"/>
                  </w14:solidFill>
                </w14:textFill>
              </w:rPr>
              <w:t>。</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注：须提供相关证明文件复印件，未提供不得分。</w:t>
            </w:r>
          </w:p>
        </w:tc>
        <w:tc>
          <w:tcPr>
            <w:tcW w:w="71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1"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200"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投标人信誉</w:t>
            </w:r>
          </w:p>
        </w:tc>
        <w:tc>
          <w:tcPr>
            <w:tcW w:w="7220" w:type="dxa"/>
            <w:noWrap/>
            <w:vAlign w:val="center"/>
          </w:tcPr>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投标人提供近</w:t>
            </w:r>
            <w:r>
              <w:rPr>
                <w:rFonts w:hint="eastAsia" w:ascii="宋体" w:hAnsi="宋体" w:eastAsia="宋体" w:cs="宋体"/>
                <w:color w:val="000000" w:themeColor="text1"/>
                <w:sz w:val="24"/>
                <w:szCs w:val="24"/>
                <w:highlight w:val="none"/>
                <w:lang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年内在全国所有环境服务活动中未受到行政处罚以及刑事犯罪的承诺书得3分，未提供不得分。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注：须如实承诺，如经证实提供不实承诺，将不实承诺的情形报送向政府采购管理办公室，并追究相关责任。</w:t>
            </w:r>
          </w:p>
        </w:tc>
        <w:tc>
          <w:tcPr>
            <w:tcW w:w="71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81"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200"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同类业绩</w:t>
            </w:r>
          </w:p>
        </w:tc>
        <w:tc>
          <w:tcPr>
            <w:tcW w:w="7220" w:type="dxa"/>
            <w:noWrap/>
          </w:tcPr>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、2018年1月1日以来（以合同签订日期为准）供应商具有的省、市级水质自动监测站运维项目成功案例的，每个合同得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、2018年1月1日以来（以合同签订日期为准）供应商具有的县、区级水质自动监测站运维项目成功案例的，每个合同得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相同站点不同年份的运维业绩不重复计算，运维业绩需为地表水或饮用水运维业绩（建设含运维项目或水质自动监测数据服务类项目均认可），污染源业绩不累入计算。须提供合同扫描件并加盖公章，未按要求提供的不得分。</w:t>
            </w:r>
          </w:p>
        </w:tc>
        <w:tc>
          <w:tcPr>
            <w:tcW w:w="71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81"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200"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项目实施方案</w:t>
            </w:r>
          </w:p>
        </w:tc>
        <w:tc>
          <w:tcPr>
            <w:tcW w:w="7220" w:type="dxa"/>
            <w:noWrap/>
            <w:vAlign w:val="center"/>
          </w:tcPr>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（1）项目了解程度（0-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分）：对本项目各站的熟悉了解程度，充分结合本项目提出当前各站运维存在的问题和应对措施； </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（2）运维方案（0-16分）：根据投标人提供的运维方案、运维服务质量保证措施等内容进行综合评议，酌情给分：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运维方案及关键技术措施编制合理、清晰，运维方案中编制依据、技术措施等完全符合本项目、关键技术措施内容详尽的得12</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-16分；运维方案及关键技术措施编制得合理性、清晰度有欠缺，运维方案中编制依据、技术措施等部分适用本项目，关键技术措施内容较为详尽的得8-12分；运维方案及关键技术措施编制内容粗糙，有明显不针对本项目措施的得0-</w:t>
            </w:r>
            <w:r>
              <w:rPr>
                <w:rFonts w:hint="eastAsia" w:ascii="宋体" w:hAnsi="宋体" w:cs="宋体"/>
                <w:color w:val="000000" w:themeColor="text1"/>
                <w:sz w:val="24"/>
                <w:szCs w:val="24"/>
                <w:highlight w:val="none"/>
                <w:lang w:val="en-US" w:eastAsia="zh-CN"/>
                <w14:textFill>
                  <w14:solidFill>
                    <w14:schemeClr w14:val="tx1"/>
                  </w14:solidFill>
                </w14:textFill>
              </w:rPr>
              <w:t>7.9</w:t>
            </w:r>
            <w:r>
              <w:rPr>
                <w:rFonts w:hint="eastAsia" w:ascii="宋体" w:hAnsi="宋体" w:eastAsia="宋体" w:cs="宋体"/>
                <w:color w:val="000000" w:themeColor="text1"/>
                <w:sz w:val="24"/>
                <w:szCs w:val="24"/>
                <w:highlight w:val="none"/>
                <w14:textFill>
                  <w14:solidFill>
                    <w14:schemeClr w14:val="tx1"/>
                  </w14:solidFill>
                </w14:textFill>
              </w:rPr>
              <w:t>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（3）运维管理制度（0-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分）：制定合理完善、切实有效的运维管理制度，是否全面、有针对性，措施是否完善等情况进行打分。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根据投标人提供的备品备件库建立程序，是否详细完善等情况进行打分</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1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200"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技术及运维力量</w:t>
            </w:r>
          </w:p>
        </w:tc>
        <w:tc>
          <w:tcPr>
            <w:tcW w:w="7220" w:type="dxa"/>
            <w:noWrap/>
            <w:vAlign w:val="center"/>
          </w:tcPr>
          <w:p>
            <w:pPr>
              <w:shd w:val="clear"/>
              <w:bidi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（1）项目负责人配置（0-4分）：项目负责人具备环境类高级职称（含副高）</w:t>
            </w:r>
            <w:r>
              <w:rPr>
                <w:rFonts w:hint="eastAsia" w:ascii="宋体" w:hAnsi="宋体" w:eastAsia="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14:textFill>
                  <w14:solidFill>
                    <w14:schemeClr w14:val="tx1"/>
                  </w14:solidFill>
                </w14:textFill>
              </w:rPr>
              <w:t>中级职称的得2分，省级</w:t>
            </w:r>
            <w:r>
              <w:rPr>
                <w:rFonts w:hint="eastAsia" w:ascii="宋体" w:hAnsi="宋体" w:eastAsia="宋体" w:cs="宋体"/>
                <w:color w:val="000000" w:themeColor="text1"/>
                <w:sz w:val="24"/>
                <w:szCs w:val="24"/>
                <w:highlight w:val="none"/>
                <w:lang w:val="en-US" w:eastAsia="zh-CN"/>
                <w14:textFill>
                  <w14:solidFill>
                    <w14:schemeClr w14:val="tx1"/>
                  </w14:solidFill>
                </w14:textFill>
              </w:rPr>
              <w:t>及以上</w:t>
            </w:r>
            <w:r>
              <w:rPr>
                <w:rFonts w:hint="eastAsia" w:ascii="宋体" w:hAnsi="宋体" w:eastAsia="宋体" w:cs="宋体"/>
                <w:color w:val="000000" w:themeColor="text1"/>
                <w:sz w:val="24"/>
                <w:szCs w:val="24"/>
                <w:highlight w:val="none"/>
                <w14:textFill>
                  <w14:solidFill>
                    <w14:schemeClr w14:val="tx1"/>
                  </w14:solidFill>
                </w14:textFill>
              </w:rPr>
              <w:t>环境监测主管部门或环境监测协会颁发的水质环境自动监测系统运维考核合格证的得2分，其他不得分。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（2）技术力量配置（0-16分）：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根据各投标人拟派本项目工作小组人员组成情况（人员数量、人员资质、人员工作经验等）以及车辆配备情况进行综合评分。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1、具有一年以水质自动监测站设备运维经验的技术人员人数5人及以上</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车3辆及以上</w:t>
            </w:r>
            <w:r>
              <w:rPr>
                <w:rFonts w:hint="eastAsia" w:ascii="宋体" w:hAnsi="宋体" w:eastAsia="宋体" w:cs="宋体"/>
                <w:color w:val="000000" w:themeColor="text1"/>
                <w:sz w:val="24"/>
                <w:szCs w:val="24"/>
                <w:highlight w:val="none"/>
                <w14:textFill>
                  <w14:solidFill>
                    <w14:schemeClr w14:val="tx1"/>
                  </w14:solidFill>
                </w14:textFill>
              </w:rPr>
              <w:t>得6分，每少1人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或1车</w:t>
            </w:r>
            <w:r>
              <w:rPr>
                <w:rFonts w:hint="eastAsia" w:ascii="宋体" w:hAnsi="宋体" w:eastAsia="宋体" w:cs="宋体"/>
                <w:color w:val="000000" w:themeColor="text1"/>
                <w:sz w:val="24"/>
                <w:szCs w:val="24"/>
                <w:highlight w:val="none"/>
                <w14:textFill>
                  <w14:solidFill>
                    <w14:schemeClr w14:val="tx1"/>
                  </w14:solidFill>
                </w14:textFill>
              </w:rPr>
              <w:t>扣3分，扣完为止。（需提供本单位的近6个月社保证明和相关证明材料复印件加盖公章）（0-6分）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2、运维人员持有省级环境监测主管部门或环境监测协会颁发的水质环境自动监测系统运维考核合格证，每人仅限提供1本，每本得1分，最高可得5分，不提供不得分。（0-5分）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建有涉及到本项目仪器的备品备件库以及备机（配备足够满足运维需要的仪器及耗材），评委根据备件库和备机情况酌情打分，最高为5分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（0-5分）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注：自有车辆设备须提供设备照片、购车发票、车辆行驶证及机动车登记证书清晰扫描件或复印件；</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企业租赁车辆的须提供设备照片、租赁协议及车辆行驶证清晰扫描件或复印件</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以上评分点均须提供相关人员证书及最近一个季度任意一个月的社保证明材料，否则不得分。</w:t>
            </w:r>
          </w:p>
        </w:tc>
        <w:tc>
          <w:tcPr>
            <w:tcW w:w="714" w:type="dxa"/>
            <w:tcBorders>
              <w:bottom w:val="single" w:color="auto"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0-20</w:t>
            </w:r>
          </w:p>
        </w:tc>
      </w:tr>
    </w:tbl>
    <w:p>
      <w:pPr>
        <w:pStyle w:val="11"/>
        <w:shd w:val="clear"/>
        <w:spacing w:line="360" w:lineRule="auto"/>
        <w:ind w:left="0" w:leftChars="0"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标项五：</w:t>
      </w:r>
    </w:p>
    <w:tbl>
      <w:tblPr>
        <w:tblStyle w:val="3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185"/>
        <w:gridCol w:w="7155"/>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82"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185"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评分项目</w:t>
            </w:r>
          </w:p>
        </w:tc>
        <w:tc>
          <w:tcPr>
            <w:tcW w:w="7155"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评审细则</w:t>
            </w:r>
          </w:p>
        </w:tc>
        <w:tc>
          <w:tcPr>
            <w:tcW w:w="796"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vMerge w:val="restart"/>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c>
          <w:tcPr>
            <w:tcW w:w="1185" w:type="dxa"/>
            <w:vMerge w:val="restart"/>
            <w:vAlign w:val="center"/>
          </w:tcPr>
          <w:p>
            <w:pPr>
              <w:shd w:val="clea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服务方案</w:t>
            </w:r>
          </w:p>
        </w:tc>
        <w:tc>
          <w:tcPr>
            <w:tcW w:w="7155" w:type="dxa"/>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、重点难点把握及应对投标人对本项目监理工作重点难点问题把握准确的，应对措施合理有针对性的得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分；把握应对尚可，有部分不足的得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分；明显欠缺不足的得</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1.9</w:t>
            </w:r>
            <w:r>
              <w:rPr>
                <w:rFonts w:hint="eastAsia" w:ascii="宋体" w:hAnsi="宋体" w:cs="宋体"/>
                <w:color w:val="000000" w:themeColor="text1"/>
                <w:sz w:val="24"/>
                <w:highlight w:val="none"/>
                <w14:textFill>
                  <w14:solidFill>
                    <w14:schemeClr w14:val="tx1"/>
                  </w14:solidFill>
                </w14:textFill>
              </w:rPr>
              <w:t>分，不提供或严重欠缺不足的不得分。</w:t>
            </w:r>
          </w:p>
        </w:tc>
        <w:tc>
          <w:tcPr>
            <w:tcW w:w="796" w:type="dxa"/>
            <w:vAlign w:val="center"/>
          </w:tcPr>
          <w:p>
            <w:pPr>
              <w:shd w:val="clea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185"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55" w:type="dxa"/>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、项目实施方案（包括项目组织、运行机制、岗位设置、任务分工、监督控制、实施保障等）</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方案完整具体、合理可行，符合需求，有利于项目实施的得4-</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分；方案基本可行，有部分不足的得2-3.9分；明显欠缺不足的得0-1.9分，不提供或严重欠缺不足的不得分。</w:t>
            </w:r>
          </w:p>
        </w:tc>
        <w:tc>
          <w:tcPr>
            <w:tcW w:w="796" w:type="dxa"/>
            <w:vAlign w:val="center"/>
          </w:tcPr>
          <w:p>
            <w:pPr>
              <w:shd w:val="clea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78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185"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55" w:type="dxa"/>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、运维体系检查方案（包括检查内容、检查方法、检查周期、流程等）</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方案完整具体、合理可行，符合采购需求，能有效实现检查任务的得4-6分；方案基本可行，有部分不足的得2-</w:t>
            </w:r>
            <w:r>
              <w:rPr>
                <w:rFonts w:hint="eastAsia" w:ascii="宋体" w:hAnsi="宋体" w:cs="宋体"/>
                <w:color w:val="000000" w:themeColor="text1"/>
                <w:sz w:val="24"/>
                <w:highlight w:val="none"/>
                <w:lang w:val="en-US" w:eastAsia="zh-CN"/>
                <w14:textFill>
                  <w14:solidFill>
                    <w14:schemeClr w14:val="tx1"/>
                  </w14:solidFill>
                </w14:textFill>
              </w:rPr>
              <w:t>3.9</w:t>
            </w:r>
            <w:r>
              <w:rPr>
                <w:rFonts w:hint="eastAsia" w:ascii="宋体" w:hAnsi="宋体" w:cs="宋体"/>
                <w:color w:val="000000" w:themeColor="text1"/>
                <w:sz w:val="24"/>
                <w:highlight w:val="none"/>
                <w14:textFill>
                  <w14:solidFill>
                    <w14:schemeClr w14:val="tx1"/>
                  </w14:solidFill>
                </w14:textFill>
              </w:rPr>
              <w:t>分；明显欠缺不足的得0-1.9分，不提供或严重欠缺不足的不得分。</w:t>
            </w:r>
          </w:p>
        </w:tc>
        <w:tc>
          <w:tcPr>
            <w:tcW w:w="796"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185"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55" w:type="dxa"/>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、质控考核方案（包括考核内容、方式、方法等）方案完整具体、合理可行，能有效实现考核要求的得4-</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分；方案基本可行，有部分不足的得2-3.9分；明显欠缺不足的得0-1.9分，不提供或严重欠缺不足的不得分。</w:t>
            </w:r>
          </w:p>
        </w:tc>
        <w:tc>
          <w:tcPr>
            <w:tcW w:w="796" w:type="dxa"/>
            <w:vAlign w:val="center"/>
          </w:tcPr>
          <w:p>
            <w:pPr>
              <w:shd w:val="clea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185"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55" w:type="dxa"/>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、运维工作考核方案（针对监测数据质量、数据有效率、运维质量等进行考核）方案完整具体、合理可行，能有效实现考核要求的得4-</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分；方案基本可行，有部分不足的得2-3.9分；明显欠缺不足的得0-1.9分，不提供或严重欠缺不足的不得分。</w:t>
            </w:r>
          </w:p>
        </w:tc>
        <w:tc>
          <w:tcPr>
            <w:tcW w:w="796" w:type="dxa"/>
            <w:vAlign w:val="center"/>
          </w:tcPr>
          <w:p>
            <w:pPr>
              <w:shd w:val="clea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185"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55" w:type="dxa"/>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、任务需求及应急响应方案</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方案完整具体、合理、可行，对于监理（检查）任务需求和突发应急事件能有效、及时响应和处理的得4-5分；方案基本可行，有部分不足的得2-3.9分；明显欠缺不足的得0.1-1.9分，不提供或严重欠缺不足的不得分。</w:t>
            </w:r>
          </w:p>
        </w:tc>
        <w:tc>
          <w:tcPr>
            <w:tcW w:w="796"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185"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55" w:type="dxa"/>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、档案管理方案和</w:t>
            </w:r>
            <w:r>
              <w:rPr>
                <w:rFonts w:hint="eastAsia" w:ascii="宋体" w:hAnsi="宋体" w:cs="宋体"/>
                <w:color w:val="000000" w:themeColor="text1"/>
                <w:sz w:val="24"/>
                <w:highlight w:val="none"/>
                <w:lang w:val="zh-CN"/>
                <w14:textFill>
                  <w14:solidFill>
                    <w14:schemeClr w14:val="tx1"/>
                  </w14:solidFill>
                </w14:textFill>
              </w:rPr>
              <w:t>安全生产措施、保密措施</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档案管理方案和相关</w:t>
            </w:r>
            <w:r>
              <w:rPr>
                <w:rFonts w:hint="eastAsia" w:ascii="宋体" w:hAnsi="宋体" w:cs="宋体"/>
                <w:color w:val="000000" w:themeColor="text1"/>
                <w:sz w:val="24"/>
                <w:highlight w:val="none"/>
                <w:lang w:val="zh-CN"/>
                <w14:textFill>
                  <w14:solidFill>
                    <w14:schemeClr w14:val="tx1"/>
                  </w14:solidFill>
                </w14:textFill>
              </w:rPr>
              <w:t>措施</w:t>
            </w:r>
            <w:r>
              <w:rPr>
                <w:rFonts w:hint="eastAsia" w:ascii="宋体" w:hAnsi="宋体" w:cs="宋体"/>
                <w:color w:val="000000" w:themeColor="text1"/>
                <w:sz w:val="24"/>
                <w:highlight w:val="none"/>
                <w14:textFill>
                  <w14:solidFill>
                    <w14:schemeClr w14:val="tx1"/>
                  </w14:solidFill>
                </w14:textFill>
              </w:rPr>
              <w:t>完整、合理、可行，能保障项目实施的得3.1-4分；方案基本可行，有部分不足的得2-3分；明显欠缺不足的得0.1-1.9分，不提供或严重欠缺不足的不得分。</w:t>
            </w:r>
          </w:p>
        </w:tc>
        <w:tc>
          <w:tcPr>
            <w:tcW w:w="796"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185"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55" w:type="dxa"/>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、颗粒物比对工作方案</w:t>
            </w:r>
          </w:p>
          <w:p>
            <w:pPr>
              <w:shd w:val="clear"/>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每年从22个站点中抽取30%开展一次比对，比对方案完整、合理可行、比对设备符合标准的得5分，方案存在欠缺、不足的得2-3分，明显不可行的不得分。</w:t>
            </w:r>
          </w:p>
        </w:tc>
        <w:tc>
          <w:tcPr>
            <w:tcW w:w="796" w:type="dxa"/>
            <w:vAlign w:val="center"/>
          </w:tcPr>
          <w:p>
            <w:pPr>
              <w:shd w:val="clea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185"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55" w:type="dxa"/>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、V</w:t>
            </w:r>
            <w:r>
              <w:rPr>
                <w:rFonts w:ascii="宋体" w:hAnsi="宋体" w:cs="宋体"/>
                <w:color w:val="000000" w:themeColor="text1"/>
                <w:sz w:val="24"/>
                <w:highlight w:val="none"/>
                <w14:textFill>
                  <w14:solidFill>
                    <w14:schemeClr w14:val="tx1"/>
                  </w14:solidFill>
                </w14:textFill>
              </w:rPr>
              <w:t>OC</w:t>
            </w:r>
            <w:r>
              <w:rPr>
                <w:rFonts w:hint="eastAsia" w:ascii="宋体" w:hAnsi="宋体" w:cs="宋体"/>
                <w:color w:val="000000" w:themeColor="text1"/>
                <w:sz w:val="24"/>
                <w:highlight w:val="none"/>
                <w14:textFill>
                  <w14:solidFill>
                    <w14:schemeClr w14:val="tx1"/>
                  </w14:solidFill>
                </w14:textFill>
              </w:rPr>
              <w:t>设备监理方案</w:t>
            </w:r>
          </w:p>
          <w:p>
            <w:pPr>
              <w:shd w:val="clear"/>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投标人根据对V</w:t>
            </w:r>
            <w:r>
              <w:rPr>
                <w:rFonts w:ascii="宋体" w:hAnsi="宋体" w:cs="宋体"/>
                <w:color w:val="000000" w:themeColor="text1"/>
                <w:sz w:val="24"/>
                <w:highlight w:val="none"/>
                <w14:textFill>
                  <w14:solidFill>
                    <w14:schemeClr w14:val="tx1"/>
                  </w14:solidFill>
                </w14:textFill>
              </w:rPr>
              <w:t>OC</w:t>
            </w:r>
            <w:r>
              <w:rPr>
                <w:rFonts w:hint="eastAsia" w:ascii="宋体" w:hAnsi="宋体" w:cs="宋体"/>
                <w:color w:val="000000" w:themeColor="text1"/>
                <w:sz w:val="24"/>
                <w:highlight w:val="none"/>
                <w14:textFill>
                  <w14:solidFill>
                    <w14:schemeClr w14:val="tx1"/>
                  </w14:solidFill>
                </w14:textFill>
              </w:rPr>
              <w:t>设备的了解以及工作经验，给出</w:t>
            </w:r>
            <w:r>
              <w:rPr>
                <w:rFonts w:hint="eastAsia" w:ascii="宋体" w:hAnsi="宋体" w:cs="宋体"/>
                <w:color w:val="000000" w:themeColor="text1"/>
                <w:sz w:val="24"/>
                <w:highlight w:val="none"/>
                <w:lang w:eastAsia="zh-CN"/>
                <w14:textFill>
                  <w14:solidFill>
                    <w14:schemeClr w14:val="tx1"/>
                  </w14:solidFill>
                </w14:textFill>
              </w:rPr>
              <w:t>对</w:t>
            </w:r>
            <w:r>
              <w:rPr>
                <w:rFonts w:hint="eastAsia" w:ascii="宋体" w:hAnsi="宋体" w:cs="宋体"/>
                <w:color w:val="000000" w:themeColor="text1"/>
                <w:sz w:val="24"/>
                <w:highlight w:val="none"/>
                <w14:textFill>
                  <w14:solidFill>
                    <w14:schemeClr w14:val="tx1"/>
                  </w14:solidFill>
                </w14:textFill>
              </w:rPr>
              <w:t>V</w:t>
            </w:r>
            <w:r>
              <w:rPr>
                <w:rFonts w:ascii="宋体" w:hAnsi="宋体" w:cs="宋体"/>
                <w:color w:val="000000" w:themeColor="text1"/>
                <w:sz w:val="24"/>
                <w:highlight w:val="none"/>
                <w14:textFill>
                  <w14:solidFill>
                    <w14:schemeClr w14:val="tx1"/>
                  </w14:solidFill>
                </w14:textFill>
              </w:rPr>
              <w:t>OC</w:t>
            </w:r>
            <w:r>
              <w:rPr>
                <w:rFonts w:hint="eastAsia" w:ascii="宋体" w:hAnsi="宋体" w:cs="宋体"/>
                <w:color w:val="000000" w:themeColor="text1"/>
                <w:sz w:val="24"/>
                <w:highlight w:val="none"/>
                <w14:textFill>
                  <w14:solidFill>
                    <w14:schemeClr w14:val="tx1"/>
                  </w14:solidFill>
                </w14:textFill>
              </w:rPr>
              <w:t>设备和质控的</w:t>
            </w:r>
            <w:r>
              <w:rPr>
                <w:rFonts w:hint="eastAsia" w:ascii="宋体" w:hAnsi="宋体" w:cs="宋体"/>
                <w:color w:val="000000" w:themeColor="text1"/>
                <w:sz w:val="24"/>
                <w:highlight w:val="none"/>
                <w:lang w:eastAsia="zh-CN"/>
                <w14:textFill>
                  <w14:solidFill>
                    <w14:schemeClr w14:val="tx1"/>
                  </w14:solidFill>
                </w14:textFill>
              </w:rPr>
              <w:t>监理</w:t>
            </w:r>
            <w:r>
              <w:rPr>
                <w:rFonts w:hint="eastAsia" w:ascii="宋体" w:hAnsi="宋体" w:cs="宋体"/>
                <w:color w:val="000000" w:themeColor="text1"/>
                <w:sz w:val="24"/>
                <w:highlight w:val="none"/>
                <w14:textFill>
                  <w14:solidFill>
                    <w14:schemeClr w14:val="tx1"/>
                  </w14:solidFill>
                </w14:textFill>
              </w:rPr>
              <w:t>方案，方案完整具体、合理可行，符合需求，有利于项目实施的得</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分；方案基本可行，有部分不足的得1-</w:t>
            </w:r>
            <w:r>
              <w:rPr>
                <w:rFonts w:ascii="宋体" w:hAnsi="宋体" w:cs="宋体"/>
                <w:color w:val="000000" w:themeColor="text1"/>
                <w:sz w:val="24"/>
                <w:highlight w:val="none"/>
                <w14:textFill>
                  <w14:solidFill>
                    <w14:schemeClr w14:val="tx1"/>
                  </w14:solidFill>
                </w14:textFill>
              </w:rPr>
              <w:t>1.9</w:t>
            </w:r>
            <w:r>
              <w:rPr>
                <w:rFonts w:hint="eastAsia" w:ascii="宋体" w:hAnsi="宋体" w:cs="宋体"/>
                <w:color w:val="000000" w:themeColor="text1"/>
                <w:sz w:val="24"/>
                <w:highlight w:val="none"/>
                <w14:textFill>
                  <w14:solidFill>
                    <w14:schemeClr w14:val="tx1"/>
                  </w14:solidFill>
                </w14:textFill>
              </w:rPr>
              <w:t>分；明显欠缺不足的得0.1-</w:t>
            </w:r>
            <w:r>
              <w:rPr>
                <w:rFonts w:ascii="宋体" w:hAnsi="宋体" w:cs="宋体"/>
                <w:color w:val="000000" w:themeColor="text1"/>
                <w:sz w:val="24"/>
                <w:highlight w:val="none"/>
                <w14:textFill>
                  <w14:solidFill>
                    <w14:schemeClr w14:val="tx1"/>
                  </w14:solidFill>
                </w14:textFill>
              </w:rPr>
              <w:t>0.9</w:t>
            </w:r>
            <w:r>
              <w:rPr>
                <w:rFonts w:hint="eastAsia" w:ascii="宋体" w:hAnsi="宋体" w:cs="宋体"/>
                <w:color w:val="000000" w:themeColor="text1"/>
                <w:sz w:val="24"/>
                <w:highlight w:val="none"/>
                <w14:textFill>
                  <w14:solidFill>
                    <w14:schemeClr w14:val="tx1"/>
                  </w14:solidFill>
                </w14:textFill>
              </w:rPr>
              <w:t>分，不提供或严重欠缺不足的不得分。</w:t>
            </w:r>
          </w:p>
        </w:tc>
        <w:tc>
          <w:tcPr>
            <w:tcW w:w="796" w:type="dxa"/>
            <w:vAlign w:val="center"/>
          </w:tcPr>
          <w:p>
            <w:pPr>
              <w:shd w:val="clea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ascii="宋体" w:hAnsi="宋体" w:cs="宋体"/>
                <w:color w:val="000000" w:themeColor="text1"/>
                <w:sz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vMerge w:val="restar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185" w:type="dxa"/>
            <w:vMerge w:val="restar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技术力量投入</w:t>
            </w:r>
          </w:p>
        </w:tc>
        <w:tc>
          <w:tcPr>
            <w:tcW w:w="7155" w:type="dxa"/>
            <w:tcBorders>
              <w:bottom w:val="single" w:color="auto" w:sz="4" w:space="0"/>
            </w:tcBorders>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1、项目负责人</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（1）项目负责人具有环境类专业高级职称和PMP项目管理证书的得2分，缺项不得分；</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（2）项目负责人2020年1月1日以来（以项目合同签订日期为准）负责过空气自动监测站运维监理项目的得1分。</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（3）项目负责人具有环境监测主管部门或环境监测协会颁发的大气环境自动监测系统运维考核合格证及VOC运维考核合格证，得2分，缺项不得分；</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负责人必须是投标单位或者控股公司正式员工，提供相关证书复印件、业绩证明（同时提供项目合同及担任项目负责人证明）复印件及社保主管部门近2个月内出具（打印/下载）的在投标单位的参保证明，否则不得分）</w:t>
            </w:r>
          </w:p>
        </w:tc>
        <w:tc>
          <w:tcPr>
            <w:tcW w:w="796" w:type="dxa"/>
            <w:tcBorders>
              <w:bottom w:val="single" w:color="auto" w:sz="4" w:space="0"/>
            </w:tcBorders>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185"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55" w:type="dxa"/>
            <w:tcBorders>
              <w:bottom w:val="single" w:color="auto" w:sz="4" w:space="0"/>
            </w:tcBorders>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2、项目组人员（项目负责人除外）</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（1）项目组检查人员持有具备省级及以上环境监测主管部门或环境监测协会颁发的大气环境自动监测系统运维考核合格证及区域站、超级站运维考核合格证，每人得2分，最高得4分，缺项减1分，没有不得分。</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（2）项目组人员具有环境监测领域专业中级及以上职称的，每人得1分，最高得2分。</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（人员必须是投标单位或者控股公司正式员工，提供人员相关证书复印件及社保主管部门近2个月内出具（打印/下载）的人员在投标单位的参保证明，否则不得分）</w:t>
            </w:r>
          </w:p>
        </w:tc>
        <w:tc>
          <w:tcPr>
            <w:tcW w:w="796" w:type="dxa"/>
            <w:tcBorders>
              <w:bottom w:val="single" w:color="auto" w:sz="4" w:space="0"/>
            </w:tcBorders>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vMerge w:val="restar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185" w:type="dxa"/>
            <w:vMerge w:val="restar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服务保障能力</w:t>
            </w:r>
          </w:p>
        </w:tc>
        <w:tc>
          <w:tcPr>
            <w:tcW w:w="7155" w:type="dxa"/>
            <w:tcBorders>
              <w:bottom w:val="single" w:color="auto" w:sz="4" w:space="0"/>
            </w:tcBorders>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1、现场测试设备配置情况</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为本项目至少配置流量计、臭氧发生器、动态校准仪，颗粒物比对设备，标准气体，设备全部满足的得6分，缺项每个扣1.2分。（提供购买发票等相关证明材料复印件）。</w:t>
            </w:r>
          </w:p>
        </w:tc>
        <w:tc>
          <w:tcPr>
            <w:tcW w:w="796" w:type="dxa"/>
            <w:tcBorders>
              <w:bottom w:val="single" w:color="auto" w:sz="4" w:space="0"/>
            </w:tcBorders>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185"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55" w:type="dxa"/>
            <w:tcBorders>
              <w:bottom w:val="single" w:color="auto" w:sz="4" w:space="0"/>
            </w:tcBorders>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2、车辆配置情况</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为本项目配置不少于2辆运维检查车辆，提供1辆得1分，最高得2分。（须提供车辆行驶证的复印件(如为租赁车辆，须另外提供车辆租赁协议的复印件) 加盖公章，未提供不得分。）</w:t>
            </w:r>
          </w:p>
        </w:tc>
        <w:tc>
          <w:tcPr>
            <w:tcW w:w="796" w:type="dxa"/>
            <w:tcBorders>
              <w:bottom w:val="single" w:color="auto" w:sz="4" w:space="0"/>
            </w:tcBorders>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185"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55" w:type="dxa"/>
            <w:tcBorders>
              <w:bottom w:val="single" w:color="auto" w:sz="4" w:space="0"/>
            </w:tcBorders>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3、技术支持方案（包括技术服务后备力量保障、技术交流、技术咨询服务）最高得4分。</w:t>
            </w:r>
          </w:p>
        </w:tc>
        <w:tc>
          <w:tcPr>
            <w:tcW w:w="796" w:type="dxa"/>
            <w:tcBorders>
              <w:bottom w:val="single" w:color="auto" w:sz="4" w:space="0"/>
            </w:tcBorders>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185"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55" w:type="dxa"/>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4、服务质量保障措施及保障体系</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质量保障措施科学、合理、可行，质量保障体系完备周全，并具有及时性、便捷性的得3.1-4分；保障措施基本可行，有部分不足的得2-3分；明显欠缺不足的得0.1-1.9分。</w:t>
            </w:r>
          </w:p>
        </w:tc>
        <w:tc>
          <w:tcPr>
            <w:tcW w:w="796"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185"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55" w:type="dxa"/>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、服务及时性承诺</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如遇特殊情况，投标人承诺接到业主通知后半个小时内作出回应及判断的得</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分，不承诺不得分。</w:t>
            </w:r>
          </w:p>
        </w:tc>
        <w:tc>
          <w:tcPr>
            <w:tcW w:w="796"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ascii="宋体" w:hAnsi="宋体" w:cs="宋体"/>
                <w:color w:val="000000" w:themeColor="text1"/>
                <w:sz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185"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投标投标人相关证书</w:t>
            </w:r>
          </w:p>
        </w:tc>
        <w:tc>
          <w:tcPr>
            <w:tcW w:w="7155" w:type="dxa"/>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投标人具有I</w:t>
            </w:r>
            <w:r>
              <w:rPr>
                <w:rFonts w:ascii="宋体" w:hAnsi="宋体" w:cs="宋体"/>
                <w:color w:val="000000" w:themeColor="text1"/>
                <w:sz w:val="24"/>
                <w:highlight w:val="none"/>
                <w14:textFill>
                  <w14:solidFill>
                    <w14:schemeClr w14:val="tx1"/>
                  </w14:solidFill>
                </w14:textFill>
              </w:rPr>
              <w:t>SO9001</w:t>
            </w:r>
            <w:r>
              <w:rPr>
                <w:rFonts w:hint="eastAsia" w:ascii="宋体" w:hAnsi="宋体" w:cs="宋体"/>
                <w:color w:val="000000" w:themeColor="text1"/>
                <w:sz w:val="24"/>
                <w:highlight w:val="none"/>
                <w14:textFill>
                  <w14:solidFill>
                    <w14:schemeClr w14:val="tx1"/>
                  </w14:solidFill>
                </w14:textFill>
              </w:rPr>
              <w:t>质量管理体系认证证书、I</w:t>
            </w:r>
            <w:r>
              <w:rPr>
                <w:rFonts w:ascii="宋体" w:hAnsi="宋体" w:cs="宋体"/>
                <w:color w:val="000000" w:themeColor="text1"/>
                <w:sz w:val="24"/>
                <w:highlight w:val="none"/>
                <w14:textFill>
                  <w14:solidFill>
                    <w14:schemeClr w14:val="tx1"/>
                  </w14:solidFill>
                </w14:textFill>
              </w:rPr>
              <w:t>SO14001</w:t>
            </w:r>
            <w:r>
              <w:rPr>
                <w:rFonts w:hint="eastAsia" w:ascii="宋体" w:hAnsi="宋体" w:cs="宋体"/>
                <w:color w:val="000000" w:themeColor="text1"/>
                <w:sz w:val="24"/>
                <w:highlight w:val="none"/>
                <w14:textFill>
                  <w14:solidFill>
                    <w14:schemeClr w14:val="tx1"/>
                  </w14:solidFill>
                </w14:textFill>
              </w:rPr>
              <w:t>环境管理体系认证证书、I</w:t>
            </w:r>
            <w:r>
              <w:rPr>
                <w:rFonts w:ascii="宋体" w:hAnsi="宋体" w:cs="宋体"/>
                <w:color w:val="000000" w:themeColor="text1"/>
                <w:sz w:val="24"/>
                <w:highlight w:val="none"/>
                <w14:textFill>
                  <w14:solidFill>
                    <w14:schemeClr w14:val="tx1"/>
                  </w14:solidFill>
                </w14:textFill>
              </w:rPr>
              <w:t>SO45001</w:t>
            </w:r>
            <w:r>
              <w:rPr>
                <w:rFonts w:hint="eastAsia" w:ascii="宋体" w:hAnsi="宋体" w:cs="宋体"/>
                <w:color w:val="000000" w:themeColor="text1"/>
                <w:sz w:val="24"/>
                <w:highlight w:val="none"/>
                <w14:textFill>
                  <w14:solidFill>
                    <w14:schemeClr w14:val="tx1"/>
                  </w14:solidFill>
                </w14:textFill>
              </w:rPr>
              <w:t>职业健康安全管理体系认证证书、I</w:t>
            </w:r>
            <w:r>
              <w:rPr>
                <w:rFonts w:ascii="宋体" w:hAnsi="宋体" w:cs="宋体"/>
                <w:color w:val="000000" w:themeColor="text1"/>
                <w:sz w:val="24"/>
                <w:highlight w:val="none"/>
                <w14:textFill>
                  <w14:solidFill>
                    <w14:schemeClr w14:val="tx1"/>
                  </w14:solidFill>
                </w14:textFill>
              </w:rPr>
              <w:t>SO20000</w:t>
            </w:r>
            <w:r>
              <w:rPr>
                <w:rFonts w:hint="eastAsia" w:ascii="宋体" w:hAnsi="宋体" w:cs="宋体"/>
                <w:color w:val="000000" w:themeColor="text1"/>
                <w:sz w:val="24"/>
                <w:highlight w:val="none"/>
                <w:lang w:val="zh-CN"/>
                <w14:textFill>
                  <w14:solidFill>
                    <w14:schemeClr w14:val="tx1"/>
                  </w14:solidFill>
                </w14:textFill>
              </w:rPr>
              <w:t>信息技术服务管理体系认证证书</w:t>
            </w:r>
            <w:r>
              <w:rPr>
                <w:rFonts w:hint="eastAsia" w:ascii="宋体" w:hAnsi="宋体" w:cs="宋体"/>
                <w:color w:val="000000" w:themeColor="text1"/>
                <w:sz w:val="24"/>
                <w:highlight w:val="none"/>
                <w14:textFill>
                  <w14:solidFill>
                    <w14:schemeClr w14:val="tx1"/>
                  </w14:solidFill>
                </w14:textFill>
              </w:rPr>
              <w:t>，每个得1分，最高4分。</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（提供证书复印件加盖公章）</w:t>
            </w:r>
          </w:p>
        </w:tc>
        <w:tc>
          <w:tcPr>
            <w:tcW w:w="796"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185" w:type="dxa"/>
            <w:vAlign w:val="center"/>
          </w:tcPr>
          <w:p>
            <w:pPr>
              <w:shd w:val="clear"/>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投标人提供实验室服务能力</w:t>
            </w:r>
          </w:p>
        </w:tc>
        <w:tc>
          <w:tcPr>
            <w:tcW w:w="7155" w:type="dxa"/>
            <w:vAlign w:val="center"/>
          </w:tcPr>
          <w:p>
            <w:pPr>
              <w:numPr>
                <w:ilvl w:val="0"/>
                <w:numId w:val="3"/>
              </w:numPr>
              <w:shd w:val="clea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投标人（或投标人子公司、分公司）</w:t>
            </w:r>
            <w:r>
              <w:rPr>
                <w:rFonts w:hint="eastAsia" w:ascii="宋体" w:hAnsi="宋体" w:cs="宋体"/>
                <w:color w:val="000000" w:themeColor="text1"/>
                <w:sz w:val="24"/>
                <w:highlight w:val="none"/>
                <w:lang w:eastAsia="zh-CN"/>
                <w14:textFill>
                  <w14:solidFill>
                    <w14:schemeClr w14:val="tx1"/>
                  </w14:solidFill>
                </w14:textFill>
              </w:rPr>
              <w:t>具有</w:t>
            </w:r>
            <w:r>
              <w:rPr>
                <w:rFonts w:hint="eastAsia" w:ascii="宋体" w:hAnsi="宋体" w:cs="宋体"/>
                <w:color w:val="000000" w:themeColor="text1"/>
                <w:sz w:val="24"/>
                <w:highlight w:val="none"/>
                <w14:textFill>
                  <w14:solidFill>
                    <w14:schemeClr w14:val="tx1"/>
                  </w14:solidFill>
                </w14:textFill>
              </w:rPr>
              <w:t>CMA计量认证实验室</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且检测能力覆盖环境空气常规6参数和VOCs的，得</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分，每少一个扣1分，扣完为止。</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出具投标人资质实验室声明，以及有效期内的实验室证书和项目附表清单加盖投标人公章。实验室需为投标人自有，实验室为投标人下设机构或为投标人子公司下设机构，均视为投标人自有实验室，并提供相关证明材料；</w:t>
            </w:r>
          </w:p>
        </w:tc>
        <w:tc>
          <w:tcPr>
            <w:tcW w:w="796" w:type="dxa"/>
            <w:vAlign w:val="center"/>
          </w:tcPr>
          <w:p>
            <w:pPr>
              <w:shd w:val="clea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185" w:type="dxa"/>
            <w:vAlign w:val="center"/>
          </w:tcPr>
          <w:p>
            <w:pPr>
              <w:shd w:val="clear"/>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投标人资质能力</w:t>
            </w:r>
          </w:p>
        </w:tc>
        <w:tc>
          <w:tcPr>
            <w:tcW w:w="7155" w:type="dxa"/>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1、中国环境保护产业协会颁发的环境空气连续自动监测系统运营服务证书得1分；</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2、AAA信用等级证书得1分；</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3、具有相关生态环境在线监控系统运营维护监督管理类软件的著作权得1分；</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4、具有相关生态环境在线监控系统移动终端类软件的著作权得1分。</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5、具有相关环境空气质量在线监测系统类软件的著作权得1分。</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（以上所有证书资料均须在有效期内，以相关证明材料复印件加盖公章为准，没有不得分）</w:t>
            </w:r>
          </w:p>
        </w:tc>
        <w:tc>
          <w:tcPr>
            <w:tcW w:w="796"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Merge w:val="restar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185" w:type="dxa"/>
            <w:vMerge w:val="restart"/>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投标投标人业绩及业主满意度评价</w:t>
            </w:r>
          </w:p>
        </w:tc>
        <w:tc>
          <w:tcPr>
            <w:tcW w:w="7155" w:type="dxa"/>
            <w:vAlign w:val="center"/>
          </w:tcPr>
          <w:p>
            <w:pPr>
              <w:shd w:val="clea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投</w:t>
            </w:r>
            <w:r>
              <w:rPr>
                <w:rFonts w:hint="eastAsia" w:ascii="宋体" w:hAnsi="宋体" w:cs="宋体"/>
                <w:color w:val="000000" w:themeColor="text1"/>
                <w:sz w:val="24"/>
                <w:highlight w:val="none"/>
                <w14:textFill>
                  <w14:solidFill>
                    <w14:schemeClr w14:val="tx1"/>
                  </w14:solidFill>
                </w14:textFill>
              </w:rPr>
              <w:t>标人从2</w:t>
            </w:r>
            <w:r>
              <w:rPr>
                <w:rFonts w:ascii="宋体" w:hAnsi="宋体" w:cs="宋体"/>
                <w:color w:val="000000" w:themeColor="text1"/>
                <w:sz w:val="24"/>
                <w:highlight w:val="none"/>
                <w14:textFill>
                  <w14:solidFill>
                    <w14:schemeClr w14:val="tx1"/>
                  </w14:solidFill>
                </w14:textFill>
              </w:rPr>
              <w:t>020</w:t>
            </w:r>
            <w:r>
              <w:rPr>
                <w:rFonts w:hint="eastAsia" w:ascii="宋体" w:hAnsi="宋体" w:cs="宋体"/>
                <w:color w:val="000000" w:themeColor="text1"/>
                <w:sz w:val="24"/>
                <w:highlight w:val="none"/>
                <w14:textFill>
                  <w14:solidFill>
                    <w14:schemeClr w14:val="tx1"/>
                  </w14:solidFill>
                </w14:textFill>
              </w:rPr>
              <w:t>年1月至今承担过空气自动监测站（含V</w:t>
            </w:r>
            <w:r>
              <w:rPr>
                <w:rFonts w:ascii="宋体" w:hAnsi="宋体" w:cs="宋体"/>
                <w:color w:val="000000" w:themeColor="text1"/>
                <w:sz w:val="24"/>
                <w:highlight w:val="none"/>
                <w14:textFill>
                  <w14:solidFill>
                    <w14:schemeClr w14:val="tx1"/>
                  </w14:solidFill>
                </w14:textFill>
              </w:rPr>
              <w:t>OC</w:t>
            </w:r>
            <w:r>
              <w:rPr>
                <w:rFonts w:hint="eastAsia" w:ascii="宋体" w:hAnsi="宋体" w:cs="宋体"/>
                <w:color w:val="000000" w:themeColor="text1"/>
                <w:sz w:val="24"/>
                <w:highlight w:val="none"/>
                <w14:textFill>
                  <w14:solidFill>
                    <w14:schemeClr w14:val="tx1"/>
                  </w14:solidFill>
                </w14:textFill>
              </w:rPr>
              <w:t>）自动监测系统运维检查（监理）业绩的，每提供一份合同得0</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分，最高得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（注：须提供合同复印件并加盖公章，未按要求提供的不得分。如证明材料中未明确业绩特征的，须另提供业主方相关证明（资料），否则不得分） </w:t>
            </w:r>
          </w:p>
        </w:tc>
        <w:tc>
          <w:tcPr>
            <w:tcW w:w="796" w:type="dxa"/>
            <w:vAlign w:val="center"/>
          </w:tcPr>
          <w:p>
            <w:pPr>
              <w:shd w:val="clea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185" w:type="dxa"/>
            <w:vMerge w:val="continue"/>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7155" w:type="dxa"/>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业主对业绩的履约满意度评价（提供业主履约评价证明复印件，格式可自拟；一个项目只能有一个评价；评价必须是针对上述符合要求业绩且履约评价中写有“满意”或“优秀”评语的，否则不予认可），每提供1个符合要求的评价得0</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分，最高</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tc>
        <w:tc>
          <w:tcPr>
            <w:tcW w:w="796"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ascii="宋体" w:hAnsi="宋体" w:cs="宋体"/>
                <w:color w:val="000000" w:themeColor="text1"/>
                <w:sz w:val="24"/>
                <w:highlight w:val="none"/>
                <w14:textFill>
                  <w14:solidFill>
                    <w14:schemeClr w14:val="tx1"/>
                  </w14:solidFill>
                </w14:textFill>
              </w:rPr>
              <w:t>1</w:t>
            </w:r>
          </w:p>
        </w:tc>
      </w:tr>
    </w:tbl>
    <w:p>
      <w:pPr>
        <w:pStyle w:val="12"/>
        <w:shd w:val="clea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numPr>
          <w:ilvl w:val="0"/>
          <w:numId w:val="4"/>
        </w:num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bookmarkStart w:id="94" w:name="_GoBack"/>
      <w:bookmarkEnd w:id="94"/>
      <w:r>
        <w:rPr>
          <w:rFonts w:hint="eastAsia" w:ascii="宋体" w:hAnsi="宋体" w:eastAsia="宋体" w:cs="宋体"/>
          <w:b/>
          <w:bCs/>
          <w:color w:val="000000" w:themeColor="text1"/>
          <w:sz w:val="36"/>
          <w:szCs w:val="44"/>
          <w:highlight w:val="none"/>
          <w14:textFill>
            <w14:solidFill>
              <w14:schemeClr w14:val="tx1"/>
            </w14:solidFill>
          </w14:textFill>
        </w:rPr>
        <w:t>公开招标需求</w:t>
      </w:r>
    </w:p>
    <w:p>
      <w:pPr>
        <w:shd w:val="clear"/>
        <w:snapToGrid w:val="0"/>
        <w:spacing w:line="360" w:lineRule="auto"/>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一、项目编号：</w:t>
      </w:r>
      <w:r>
        <w:rPr>
          <w:rFonts w:hint="eastAsia" w:ascii="宋体" w:hAnsi="宋体" w:cs="宋体"/>
          <w:b w:val="0"/>
          <w:bCs/>
          <w:color w:val="000000" w:themeColor="text1"/>
          <w:sz w:val="24"/>
          <w:szCs w:val="24"/>
          <w:highlight w:val="none"/>
          <w:lang w:eastAsia="zh-CN"/>
          <w14:textFill>
            <w14:solidFill>
              <w14:schemeClr w14:val="tx1"/>
            </w14:solidFill>
          </w14:textFill>
        </w:rPr>
        <w:t>ZJWS2022-JJ287</w:t>
      </w:r>
    </w:p>
    <w:p>
      <w:pPr>
        <w:shd w:val="clear"/>
        <w:snapToGrid w:val="0"/>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二、采购人：</w:t>
      </w:r>
      <w:r>
        <w:rPr>
          <w:rFonts w:hint="eastAsia" w:ascii="宋体" w:hAnsi="宋体" w:eastAsia="宋体" w:cs="宋体"/>
          <w:color w:val="000000" w:themeColor="text1"/>
          <w:sz w:val="24"/>
          <w:szCs w:val="24"/>
          <w:highlight w:val="none"/>
          <w14:textFill>
            <w14:solidFill>
              <w14:schemeClr w14:val="tx1"/>
            </w14:solidFill>
          </w14:textFill>
        </w:rPr>
        <w:t>浙江省台州生态环境监测中心</w:t>
      </w:r>
    </w:p>
    <w:p>
      <w:pPr>
        <w:shd w:val="clear"/>
        <w:snapToGrid w:val="0"/>
        <w:spacing w:line="360" w:lineRule="auto"/>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三、本次采购内容：</w:t>
      </w:r>
      <w:r>
        <w:rPr>
          <w:rFonts w:hint="eastAsia" w:ascii="宋体" w:hAnsi="宋体" w:cs="宋体"/>
          <w:color w:val="000000" w:themeColor="text1"/>
          <w:sz w:val="24"/>
          <w:szCs w:val="20"/>
          <w:highlight w:val="none"/>
          <w14:textFill>
            <w14:solidFill>
              <w14:schemeClr w14:val="tx1"/>
            </w14:solidFill>
          </w14:textFill>
        </w:rPr>
        <w:t>台州市省控城市环境空气自动监测站、重点工业园区空气自动监测站运维服务</w:t>
      </w:r>
      <w:r>
        <w:rPr>
          <w:rFonts w:hint="eastAsia" w:ascii="宋体" w:hAnsi="宋体" w:cs="宋体"/>
          <w:color w:val="000000" w:themeColor="text1"/>
          <w:sz w:val="24"/>
          <w:szCs w:val="20"/>
          <w:highlight w:val="none"/>
          <w:lang w:eastAsia="zh-CN"/>
          <w14:textFill>
            <w14:solidFill>
              <w14:schemeClr w14:val="tx1"/>
            </w14:solidFill>
          </w14:textFill>
        </w:rPr>
        <w:t>；</w:t>
      </w:r>
      <w:r>
        <w:rPr>
          <w:rFonts w:hint="eastAsia" w:ascii="宋体" w:hAnsi="宋体" w:cs="宋体"/>
          <w:color w:val="000000" w:themeColor="text1"/>
          <w:sz w:val="24"/>
          <w:szCs w:val="20"/>
          <w:highlight w:val="none"/>
          <w14:textFill>
            <w14:solidFill>
              <w14:schemeClr w14:val="tx1"/>
            </w14:solidFill>
          </w14:textFill>
        </w:rPr>
        <w:t>台州市省控地表水（交接断面）自动监测站、饮用水水源地水质自动监测站运维服务</w:t>
      </w:r>
      <w:r>
        <w:rPr>
          <w:rFonts w:hint="eastAsia" w:ascii="宋体" w:hAnsi="宋体" w:cs="宋体"/>
          <w:color w:val="000000" w:themeColor="text1"/>
          <w:sz w:val="24"/>
          <w:szCs w:val="20"/>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台州市省控城市环境空气自动监测站、重点工业园区环境空气自动监测站运维服务监理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pPr>
        <w:shd w:val="clear"/>
        <w:snapToGrid w:val="0"/>
        <w:spacing w:line="360" w:lineRule="auto"/>
        <w:textAlignment w:val="baseline"/>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四、服务期限及相关要求：</w:t>
      </w:r>
    </w:p>
    <w:p>
      <w:pPr>
        <w:keepLines w:val="0"/>
        <w:widowControl w:val="0"/>
        <w:shd w:val="clear"/>
        <w:snapToGrid w:val="0"/>
        <w:spacing w:before="0" w:beforeAutospacing="0" w:after="0" w:afterAutospacing="0" w:line="360" w:lineRule="auto"/>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cs="宋体"/>
          <w:b w:val="0"/>
          <w:i w:val="0"/>
          <w:caps w:val="0"/>
          <w:color w:val="000000" w:themeColor="text1"/>
          <w:spacing w:val="0"/>
          <w:w w:val="100"/>
          <w:sz w:val="24"/>
          <w:szCs w:val="20"/>
          <w:highlight w:val="none"/>
          <w14:textFill>
            <w14:solidFill>
              <w14:schemeClr w14:val="tx1"/>
            </w14:solidFill>
          </w14:textFill>
        </w:rPr>
        <w:t>服务期限从合同签订生效之日起开始计算，</w:t>
      </w:r>
      <w:r>
        <w:rPr>
          <w:rFonts w:hint="eastAsia" w:ascii="宋体" w:hAnsi="宋体" w:cs="宋体"/>
          <w:b w:val="0"/>
          <w:i w:val="0"/>
          <w:caps w:val="0"/>
          <w:color w:val="000000" w:themeColor="text1"/>
          <w:spacing w:val="0"/>
          <w:w w:val="100"/>
          <w:sz w:val="24"/>
          <w:szCs w:val="20"/>
          <w:highlight w:val="none"/>
          <w:lang w:val="en-US" w:eastAsia="zh-CN"/>
          <w14:textFill>
            <w14:solidFill>
              <w14:schemeClr w14:val="tx1"/>
            </w14:solidFill>
          </w14:textFill>
        </w:rPr>
        <w:t>为期365天，</w:t>
      </w:r>
      <w:r>
        <w:rPr>
          <w:rFonts w:hint="eastAsia" w:ascii="宋体" w:hAnsi="宋体" w:cs="宋体"/>
          <w:b w:val="0"/>
          <w:i w:val="0"/>
          <w:caps w:val="0"/>
          <w:color w:val="000000" w:themeColor="text1"/>
          <w:spacing w:val="0"/>
          <w:w w:val="100"/>
          <w:sz w:val="24"/>
          <w:szCs w:val="20"/>
          <w:highlight w:val="none"/>
          <w14:textFill>
            <w14:solidFill>
              <w14:schemeClr w14:val="tx1"/>
            </w14:solidFill>
          </w14:textFill>
        </w:rPr>
        <w:t>相关要求及考核未达到采购人要求，采购人将终止与中标人本项目合同并有权没收中标人履约保证金。</w:t>
      </w:r>
    </w:p>
    <w:p>
      <w:pPr>
        <w:numPr>
          <w:ilvl w:val="0"/>
          <w:numId w:val="0"/>
        </w:numPr>
        <w:shd w:val="clear"/>
        <w:snapToGrid w:val="0"/>
        <w:spacing w:line="340" w:lineRule="exact"/>
        <w:textAlignment w:val="baseline"/>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lang w:eastAsia="zh-CN"/>
          <w14:textFill>
            <w14:solidFill>
              <w14:schemeClr w14:val="tx1"/>
            </w14:solidFill>
          </w14:textFill>
        </w:rPr>
        <w:t>五、</w:t>
      </w:r>
      <w:r>
        <w:rPr>
          <w:rFonts w:hint="eastAsia" w:ascii="宋体" w:hAnsi="宋体" w:eastAsia="宋体" w:cs="宋体"/>
          <w:b/>
          <w:color w:val="000000" w:themeColor="text1"/>
          <w:sz w:val="24"/>
          <w:szCs w:val="24"/>
          <w:highlight w:val="none"/>
          <w:shd w:val="clear" w:color="auto" w:fill="FFFFFF"/>
          <w14:textFill>
            <w14:solidFill>
              <w14:schemeClr w14:val="tx1"/>
            </w14:solidFill>
          </w14:textFill>
        </w:rPr>
        <w:t>服务事项</w:t>
      </w:r>
    </w:p>
    <w:tbl>
      <w:tblPr>
        <w:tblStyle w:val="30"/>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605"/>
        <w:gridCol w:w="705"/>
        <w:gridCol w:w="1315"/>
        <w:gridCol w:w="1245"/>
        <w:gridCol w:w="943"/>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w:t>
            </w:r>
          </w:p>
        </w:tc>
        <w:tc>
          <w:tcPr>
            <w:tcW w:w="360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采购内容</w:t>
            </w:r>
          </w:p>
        </w:tc>
        <w:tc>
          <w:tcPr>
            <w:tcW w:w="70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数量</w:t>
            </w:r>
          </w:p>
        </w:tc>
        <w:tc>
          <w:tcPr>
            <w:tcW w:w="131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w:t>
            </w:r>
            <w:r>
              <w:rPr>
                <w:rFonts w:hint="eastAsia" w:ascii="宋体" w:hAnsi="宋体" w:eastAsia="宋体" w:cs="宋体"/>
                <w:color w:val="000000" w:themeColor="text1"/>
                <w:sz w:val="24"/>
                <w:szCs w:val="24"/>
                <w:highlight w:val="none"/>
                <w:lang w:val="en-US" w:eastAsia="zh-CN"/>
                <w14:textFill>
                  <w14:solidFill>
                    <w14:schemeClr w14:val="tx1"/>
                  </w14:solidFill>
                </w14:textFill>
              </w:rPr>
              <w:t>价</w:t>
            </w:r>
          </w:p>
        </w:tc>
        <w:tc>
          <w:tcPr>
            <w:tcW w:w="1245"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w:t>
            </w:r>
          </w:p>
        </w:tc>
        <w:tc>
          <w:tcPr>
            <w:tcW w:w="943"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期</w:t>
            </w:r>
          </w:p>
        </w:tc>
        <w:tc>
          <w:tcPr>
            <w:tcW w:w="1331"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6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360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台州市集聚区、椒江区、临海市、温岭市、玉环市5个省控城市环境空气自动监测站、6个重点工业园区空气站运维服务</w:t>
            </w:r>
          </w:p>
        </w:tc>
        <w:tc>
          <w:tcPr>
            <w:tcW w:w="70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w:t>
            </w:r>
          </w:p>
        </w:tc>
        <w:tc>
          <w:tcPr>
            <w:tcW w:w="131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366.8</w:t>
            </w:r>
            <w:r>
              <w:rPr>
                <w:rFonts w:hint="eastAsia" w:ascii="宋体" w:hAnsi="宋体" w:eastAsia="宋体" w:cs="宋体"/>
                <w:color w:val="000000" w:themeColor="text1"/>
                <w:sz w:val="24"/>
                <w:szCs w:val="24"/>
                <w:highlight w:val="none"/>
                <w:lang w:val="en-US" w:eastAsia="zh-CN"/>
                <w14:textFill>
                  <w14:solidFill>
                    <w14:schemeClr w14:val="tx1"/>
                  </w14:solidFill>
                </w14:textFill>
              </w:rPr>
              <w:t>万元</w:t>
            </w:r>
          </w:p>
        </w:tc>
        <w:tc>
          <w:tcPr>
            <w:tcW w:w="1245" w:type="dxa"/>
            <w:vAlign w:val="center"/>
          </w:tcPr>
          <w:p>
            <w:pPr>
              <w:shd w:val="clear"/>
              <w:bidi w:val="0"/>
              <w:spacing w:line="360" w:lineRule="auto"/>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282.3</w:t>
            </w:r>
          </w:p>
          <w:p>
            <w:pPr>
              <w:shd w:val="clear"/>
              <w:bidi w:val="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万元</w:t>
            </w:r>
          </w:p>
        </w:tc>
        <w:tc>
          <w:tcPr>
            <w:tcW w:w="943"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365天</w:t>
            </w:r>
          </w:p>
        </w:tc>
        <w:tc>
          <w:tcPr>
            <w:tcW w:w="1331"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360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黄岩区、天台县、三门县，仙居县6个省控城市环境空气质量自动监测站、4个</w:t>
            </w:r>
            <w:r>
              <w:rPr>
                <w:rFonts w:hint="eastAsia" w:ascii="宋体" w:hAnsi="宋体" w:eastAsia="宋体" w:cs="宋体"/>
                <w:color w:val="000000" w:themeColor="text1"/>
                <w:sz w:val="24"/>
                <w:szCs w:val="24"/>
                <w:highlight w:val="none"/>
                <w14:textFill>
                  <w14:solidFill>
                    <w14:schemeClr w14:val="tx1"/>
                  </w14:solidFill>
                </w14:textFill>
              </w:rPr>
              <w:t>重点工业园区环境空气自动监测站运维</w:t>
            </w:r>
          </w:p>
        </w:tc>
        <w:tc>
          <w:tcPr>
            <w:tcW w:w="705"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w:t>
            </w:r>
          </w:p>
        </w:tc>
        <w:tc>
          <w:tcPr>
            <w:tcW w:w="131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252万元</w:t>
            </w:r>
          </w:p>
        </w:tc>
        <w:tc>
          <w:tcPr>
            <w:tcW w:w="124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43"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365天</w:t>
            </w:r>
          </w:p>
        </w:tc>
        <w:tc>
          <w:tcPr>
            <w:tcW w:w="1331"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40"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360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椒江区、黄岩区、路桥区、温岭市、玉环市6个省控地表水交接断面水质自动监测站、5个饮用水源地水质自动监测站运维服务</w:t>
            </w:r>
          </w:p>
        </w:tc>
        <w:tc>
          <w:tcPr>
            <w:tcW w:w="70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w:t>
            </w:r>
          </w:p>
        </w:tc>
        <w:tc>
          <w:tcPr>
            <w:tcW w:w="131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241</w:t>
            </w:r>
            <w:r>
              <w:rPr>
                <w:rFonts w:hint="eastAsia" w:ascii="宋体" w:hAnsi="宋体" w:eastAsia="宋体" w:cs="宋体"/>
                <w:color w:val="000000" w:themeColor="text1"/>
                <w:sz w:val="24"/>
                <w:szCs w:val="24"/>
                <w:highlight w:val="none"/>
                <w:lang w:val="en-US" w:eastAsia="zh-CN"/>
                <w14:textFill>
                  <w14:solidFill>
                    <w14:schemeClr w14:val="tx1"/>
                  </w14:solidFill>
                </w14:textFill>
              </w:rPr>
              <w:t>万元</w:t>
            </w:r>
          </w:p>
        </w:tc>
        <w:tc>
          <w:tcPr>
            <w:tcW w:w="1245" w:type="dxa"/>
            <w:vAlign w:val="center"/>
          </w:tcPr>
          <w:p>
            <w:pPr>
              <w:shd w:val="clear"/>
              <w:bidi w:val="0"/>
              <w:spacing w:line="360" w:lineRule="auto"/>
              <w:jc w:val="cente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943"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365天</w:t>
            </w:r>
          </w:p>
        </w:tc>
        <w:tc>
          <w:tcPr>
            <w:tcW w:w="1331"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640"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360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临海市、天台县、三门县，仙居县5个省控地表水交接断面水质自动监测站、5个饮用水源地水质自动监测站运维服务</w:t>
            </w:r>
          </w:p>
        </w:tc>
        <w:tc>
          <w:tcPr>
            <w:tcW w:w="70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w:t>
            </w:r>
          </w:p>
        </w:tc>
        <w:tc>
          <w:tcPr>
            <w:tcW w:w="131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221</w:t>
            </w:r>
            <w:r>
              <w:rPr>
                <w:rFonts w:hint="eastAsia" w:ascii="宋体" w:hAnsi="宋体" w:eastAsia="宋体" w:cs="宋体"/>
                <w:color w:val="000000" w:themeColor="text1"/>
                <w:sz w:val="24"/>
                <w:szCs w:val="24"/>
                <w:highlight w:val="none"/>
                <w:lang w:val="en-US" w:eastAsia="zh-CN"/>
                <w14:textFill>
                  <w14:solidFill>
                    <w14:schemeClr w14:val="tx1"/>
                  </w14:solidFill>
                </w14:textFill>
              </w:rPr>
              <w:t>万元</w:t>
            </w:r>
          </w:p>
        </w:tc>
        <w:tc>
          <w:tcPr>
            <w:tcW w:w="1245" w:type="dxa"/>
            <w:vAlign w:val="center"/>
          </w:tcPr>
          <w:p>
            <w:pPr>
              <w:shd w:val="clear"/>
              <w:bidi w:val="0"/>
              <w:spacing w:line="360" w:lineRule="auto"/>
              <w:jc w:val="cente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943"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365天</w:t>
            </w:r>
          </w:p>
        </w:tc>
        <w:tc>
          <w:tcPr>
            <w:tcW w:w="1331"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40"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3605"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12个省控城市环境空气</w:t>
            </w:r>
          </w:p>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10个重点工业园区环境空气自动监测站运维监理服务</w:t>
            </w:r>
          </w:p>
        </w:tc>
        <w:tc>
          <w:tcPr>
            <w:tcW w:w="70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w:t>
            </w:r>
          </w:p>
        </w:tc>
        <w:tc>
          <w:tcPr>
            <w:tcW w:w="1315"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83.2</w:t>
            </w:r>
            <w:r>
              <w:rPr>
                <w:rFonts w:hint="eastAsia" w:ascii="宋体" w:hAnsi="宋体" w:eastAsia="宋体" w:cs="宋体"/>
                <w:color w:val="000000" w:themeColor="text1"/>
                <w:sz w:val="24"/>
                <w:szCs w:val="24"/>
                <w:highlight w:val="none"/>
                <w14:textFill>
                  <w14:solidFill>
                    <w14:schemeClr w14:val="tx1"/>
                  </w14:solidFill>
                </w14:textFill>
              </w:rPr>
              <w:t>万元</w:t>
            </w:r>
          </w:p>
        </w:tc>
        <w:tc>
          <w:tcPr>
            <w:tcW w:w="1245" w:type="dxa"/>
            <w:vAlign w:val="center"/>
          </w:tcPr>
          <w:p>
            <w:pPr>
              <w:shd w:val="clear"/>
              <w:bidi w:val="0"/>
              <w:spacing w:line="360" w:lineRule="auto"/>
              <w:jc w:val="cente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943" w:type="dxa"/>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365天</w:t>
            </w:r>
          </w:p>
        </w:tc>
        <w:tc>
          <w:tcPr>
            <w:tcW w:w="1331"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9784" w:type="dxa"/>
            <w:gridSpan w:val="7"/>
            <w:vAlign w:val="center"/>
          </w:tcPr>
          <w:p>
            <w:pPr>
              <w:shd w:val="clear"/>
              <w:bidi w:val="0"/>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备注：</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本项目共分</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个标项，按标项1、标项2、标项</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标项</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标项</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顺序开标、评标，投标人可以参加所有标段的投标，同一投标人最多只能中一个标段。单位负责人为同一人或者存在直接控股、管理关系的不同供应商，或两个及多个公司同属于一个集团公司的不同供应商不得参加同一合同项下的政府采购活动。</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投标人必须在所投每个标段按照“标段*&gt;标段*&gt;标段*&gt;标段*&gt;标段*”的格式注明优先选择顺序（每个标段注明的顺序应一致）。</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每个标段评审得分最高的投标人为排名第一的中标候选人。若投标人在多个标段中得分均为第一，则根据投标人注明的优先顺序中标标段几，此多个标段中剩余标段则由得分排名第二的投标人中标；若剩余标段第二名均为同一家单位，则根据投标人注明的优先顺序中标标段几；剩余标段则由第三名中标，以此类推）</w:t>
            </w:r>
          </w:p>
        </w:tc>
      </w:tr>
    </w:tbl>
    <w:p>
      <w:pPr>
        <w:numPr>
          <w:ilvl w:val="0"/>
          <w:numId w:val="0"/>
        </w:numPr>
        <w:shd w:val="clear"/>
        <w:snapToGrid w:val="0"/>
        <w:spacing w:line="340" w:lineRule="exac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lang w:eastAsia="zh-CN"/>
          <w14:textFill>
            <w14:solidFill>
              <w14:schemeClr w14:val="tx1"/>
            </w14:solidFill>
          </w14:textFill>
        </w:rPr>
        <w:t>六、</w:t>
      </w:r>
      <w:r>
        <w:rPr>
          <w:rFonts w:hint="eastAsia" w:ascii="宋体" w:hAnsi="宋体" w:eastAsia="宋体" w:cs="宋体"/>
          <w:b/>
          <w:color w:val="000000" w:themeColor="text1"/>
          <w:sz w:val="24"/>
          <w:szCs w:val="24"/>
          <w:highlight w:val="none"/>
          <w:shd w:val="clear" w:color="auto" w:fill="FFFFFF"/>
          <w14:textFill>
            <w14:solidFill>
              <w14:schemeClr w14:val="tx1"/>
            </w14:solidFill>
          </w14:textFill>
        </w:rPr>
        <w:t>标项划分及采购详情：</w:t>
      </w:r>
    </w:p>
    <w:p>
      <w:pPr>
        <w:shd w:val="clear"/>
        <w:spacing w:line="360" w:lineRule="auto"/>
        <w:ind w:firstLine="482" w:firstLineChars="20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表一  标项及站点清单</w:t>
      </w:r>
    </w:p>
    <w:tbl>
      <w:tblPr>
        <w:tblStyle w:val="31"/>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
        <w:gridCol w:w="960"/>
        <w:gridCol w:w="1"/>
        <w:gridCol w:w="749"/>
        <w:gridCol w:w="1"/>
        <w:gridCol w:w="1709"/>
        <w:gridCol w:w="1"/>
        <w:gridCol w:w="329"/>
        <w:gridCol w:w="1935"/>
        <w:gridCol w:w="1"/>
        <w:gridCol w:w="1754"/>
        <w:gridCol w:w="1574"/>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jc w:val="center"/>
        </w:trPr>
        <w:tc>
          <w:tcPr>
            <w:tcW w:w="961"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w:t>
            </w: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站点名称</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站点属性</w:t>
            </w:r>
          </w:p>
        </w:tc>
        <w:tc>
          <w:tcPr>
            <w:tcW w:w="1754" w:type="dxa"/>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属地</w:t>
            </w:r>
          </w:p>
        </w:tc>
        <w:tc>
          <w:tcPr>
            <w:tcW w:w="1575"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jc w:val="center"/>
        </w:trPr>
        <w:tc>
          <w:tcPr>
            <w:tcW w:w="961" w:type="dxa"/>
            <w:gridSpan w:val="2"/>
            <w:vMerge w:val="restart"/>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标项一</w:t>
            </w: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温岭环监站</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城市站</w:t>
            </w:r>
          </w:p>
        </w:tc>
        <w:tc>
          <w:tcPr>
            <w:tcW w:w="1754" w:type="dxa"/>
            <w:vMerge w:val="restart"/>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温岭市</w:t>
            </w:r>
          </w:p>
        </w:tc>
        <w:tc>
          <w:tcPr>
            <w:tcW w:w="1575" w:type="dxa"/>
            <w:gridSpan w:val="2"/>
            <w:vMerge w:val="restart"/>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280万元</w:t>
            </w:r>
          </w:p>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城市站14万元/年</w:t>
            </w:r>
          </w:p>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工业园区站42万元/年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之江</w:t>
            </w:r>
            <w:r>
              <w:rPr>
                <w:rFonts w:hint="eastAsia" w:ascii="宋体" w:hAnsi="宋体" w:eastAsia="宋体" w:cs="宋体"/>
                <w:color w:val="000000" w:themeColor="text1"/>
                <w:sz w:val="24"/>
                <w:szCs w:val="24"/>
                <w:highlight w:val="none"/>
                <w:lang w:val="en-US" w:eastAsia="zh-CN"/>
                <w14:textFill>
                  <w14:solidFill>
                    <w14:schemeClr w14:val="tx1"/>
                  </w14:solidFill>
                </w14:textFill>
              </w:rPr>
              <w:t>高级</w:t>
            </w:r>
            <w:r>
              <w:rPr>
                <w:rFonts w:hint="eastAsia" w:ascii="宋体" w:hAnsi="宋体" w:eastAsia="宋体" w:cs="宋体"/>
                <w:color w:val="000000" w:themeColor="text1"/>
                <w:sz w:val="24"/>
                <w:szCs w:val="24"/>
                <w:highlight w:val="none"/>
                <w14:textFill>
                  <w14:solidFill>
                    <w14:schemeClr w14:val="tx1"/>
                  </w14:solidFill>
                </w14:textFill>
              </w:rPr>
              <w:t>中学</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城市站</w:t>
            </w:r>
          </w:p>
        </w:tc>
        <w:tc>
          <w:tcPr>
            <w:tcW w:w="1754" w:type="dxa"/>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东部新区</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工业园区站</w:t>
            </w:r>
          </w:p>
        </w:tc>
        <w:tc>
          <w:tcPr>
            <w:tcW w:w="1754" w:type="dxa"/>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玉环环监站</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城市站</w:t>
            </w:r>
          </w:p>
        </w:tc>
        <w:tc>
          <w:tcPr>
            <w:tcW w:w="1754" w:type="dxa"/>
            <w:vMerge w:val="restart"/>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玉环市</w:t>
            </w:r>
          </w:p>
        </w:tc>
        <w:tc>
          <w:tcPr>
            <w:tcW w:w="157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楚门</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中心</w:t>
            </w:r>
            <w:r>
              <w:rPr>
                <w:rFonts w:hint="eastAsia" w:ascii="宋体" w:hAnsi="宋体" w:eastAsia="宋体" w:cs="宋体"/>
                <w:color w:val="000000" w:themeColor="text1"/>
                <w:sz w:val="24"/>
                <w:szCs w:val="24"/>
                <w:highlight w:val="none"/>
                <w14:textFill>
                  <w14:solidFill>
                    <w14:schemeClr w14:val="tx1"/>
                  </w14:solidFill>
                </w14:textFill>
              </w:rPr>
              <w:t>小学</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城市站+工业园区站</w:t>
            </w:r>
          </w:p>
        </w:tc>
        <w:tc>
          <w:tcPr>
            <w:tcW w:w="1754" w:type="dxa"/>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医化工业园区</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工业园区站</w:t>
            </w:r>
          </w:p>
        </w:tc>
        <w:tc>
          <w:tcPr>
            <w:tcW w:w="1754" w:type="dxa"/>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w:t>
            </w:r>
          </w:p>
        </w:tc>
        <w:tc>
          <w:tcPr>
            <w:tcW w:w="157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十塘坝站</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工业园区站</w:t>
            </w:r>
          </w:p>
        </w:tc>
        <w:tc>
          <w:tcPr>
            <w:tcW w:w="1754" w:type="dxa"/>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台州经济开发区</w:t>
            </w:r>
          </w:p>
        </w:tc>
        <w:tc>
          <w:tcPr>
            <w:tcW w:w="157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临海环保大楼</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城市站</w:t>
            </w:r>
          </w:p>
        </w:tc>
        <w:tc>
          <w:tcPr>
            <w:tcW w:w="1754" w:type="dxa"/>
            <w:vMerge w:val="restart"/>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临海市</w:t>
            </w:r>
          </w:p>
        </w:tc>
        <w:tc>
          <w:tcPr>
            <w:tcW w:w="157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巾山小学</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城市站</w:t>
            </w:r>
          </w:p>
        </w:tc>
        <w:tc>
          <w:tcPr>
            <w:tcW w:w="1754" w:type="dxa"/>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7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13" w:hRule="atLeast"/>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头门港</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工业园区站</w:t>
            </w:r>
          </w:p>
        </w:tc>
        <w:tc>
          <w:tcPr>
            <w:tcW w:w="1754" w:type="dxa"/>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7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杜桥眼镜园区</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工业园区站</w:t>
            </w:r>
          </w:p>
        </w:tc>
        <w:tc>
          <w:tcPr>
            <w:tcW w:w="1754" w:type="dxa"/>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7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5729" w:type="dxa"/>
            <w:gridSpan w:val="6"/>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现有一台安捷伦GC-MS升级到最新版本masshuter软件所需的所有配件插件（智能卡3.3等）</w:t>
            </w:r>
          </w:p>
        </w:tc>
        <w:tc>
          <w:tcPr>
            <w:tcW w:w="1575"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jc w:val="center"/>
        </w:trPr>
        <w:tc>
          <w:tcPr>
            <w:tcW w:w="961" w:type="dxa"/>
            <w:gridSpan w:val="2"/>
            <w:vMerge w:val="restart"/>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标项二</w:t>
            </w: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江口医化园区</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工业园区站</w:t>
            </w:r>
          </w:p>
        </w:tc>
        <w:tc>
          <w:tcPr>
            <w:tcW w:w="1754" w:type="dxa"/>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黄岩区</w:t>
            </w:r>
          </w:p>
        </w:tc>
        <w:tc>
          <w:tcPr>
            <w:tcW w:w="1575" w:type="dxa"/>
            <w:gridSpan w:val="2"/>
            <w:vMerge w:val="restart"/>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育青中学</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城市站</w:t>
            </w:r>
          </w:p>
        </w:tc>
        <w:tc>
          <w:tcPr>
            <w:tcW w:w="1754" w:type="dxa"/>
            <w:vMerge w:val="restart"/>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天台县</w:t>
            </w:r>
          </w:p>
        </w:tc>
        <w:tc>
          <w:tcPr>
            <w:tcW w:w="157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实验中学</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城市站</w:t>
            </w:r>
          </w:p>
        </w:tc>
        <w:tc>
          <w:tcPr>
            <w:tcW w:w="1754" w:type="dxa"/>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洪三橡胶工业</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工业园区站</w:t>
            </w:r>
          </w:p>
        </w:tc>
        <w:tc>
          <w:tcPr>
            <w:tcW w:w="1754" w:type="dxa"/>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仙居环监站</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城市站</w:t>
            </w:r>
          </w:p>
        </w:tc>
        <w:tc>
          <w:tcPr>
            <w:tcW w:w="1754" w:type="dxa"/>
            <w:vMerge w:val="restart"/>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仙居县</w:t>
            </w:r>
          </w:p>
        </w:tc>
        <w:tc>
          <w:tcPr>
            <w:tcW w:w="157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新生中学</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城市站</w:t>
            </w:r>
          </w:p>
        </w:tc>
        <w:tc>
          <w:tcPr>
            <w:tcW w:w="1754" w:type="dxa"/>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现代工业园区</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工业园区站</w:t>
            </w:r>
          </w:p>
        </w:tc>
        <w:tc>
          <w:tcPr>
            <w:tcW w:w="1754" w:type="dxa"/>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三门环监楼</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城市站</w:t>
            </w:r>
          </w:p>
        </w:tc>
        <w:tc>
          <w:tcPr>
            <w:tcW w:w="1754" w:type="dxa"/>
            <w:vMerge w:val="restart"/>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三门县</w:t>
            </w:r>
          </w:p>
        </w:tc>
        <w:tc>
          <w:tcPr>
            <w:tcW w:w="157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心湖站</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城市站</w:t>
            </w:r>
          </w:p>
        </w:tc>
        <w:tc>
          <w:tcPr>
            <w:tcW w:w="1754" w:type="dxa"/>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沿海工业城</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工业园区站</w:t>
            </w:r>
          </w:p>
        </w:tc>
        <w:tc>
          <w:tcPr>
            <w:tcW w:w="1754" w:type="dxa"/>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961" w:type="dxa"/>
            <w:gridSpan w:val="2"/>
            <w:vMerge w:val="restart"/>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标项三</w:t>
            </w: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黄礁</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地表水</w:t>
            </w:r>
          </w:p>
        </w:tc>
        <w:tc>
          <w:tcPr>
            <w:tcW w:w="1755"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w:t>
            </w:r>
          </w:p>
        </w:tc>
        <w:tc>
          <w:tcPr>
            <w:tcW w:w="1574" w:type="dxa"/>
            <w:vMerge w:val="restart"/>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235万元</w:t>
            </w:r>
          </w:p>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饮用水站23万元/年</w:t>
            </w:r>
          </w:p>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地表水站20万元/年</w:t>
            </w:r>
          </w:p>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水站含站房租金、水电费、光纤接入费、防雷检测费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佛岭水库</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饮用水源地</w:t>
            </w:r>
          </w:p>
        </w:tc>
        <w:tc>
          <w:tcPr>
            <w:tcW w:w="1755"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黄岩区</w:t>
            </w:r>
          </w:p>
        </w:tc>
        <w:tc>
          <w:tcPr>
            <w:tcW w:w="1574" w:type="dxa"/>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坝头闸</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地表水</w:t>
            </w:r>
          </w:p>
        </w:tc>
        <w:tc>
          <w:tcPr>
            <w:tcW w:w="1755"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路桥区</w:t>
            </w:r>
          </w:p>
        </w:tc>
        <w:tc>
          <w:tcPr>
            <w:tcW w:w="1574" w:type="dxa"/>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滨海</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地表水</w:t>
            </w:r>
          </w:p>
        </w:tc>
        <w:tc>
          <w:tcPr>
            <w:tcW w:w="1755" w:type="dxa"/>
            <w:gridSpan w:val="2"/>
            <w:vMerge w:val="restart"/>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温岭市</w:t>
            </w:r>
          </w:p>
        </w:tc>
        <w:tc>
          <w:tcPr>
            <w:tcW w:w="1574" w:type="dxa"/>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泽国</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地表水</w:t>
            </w:r>
          </w:p>
        </w:tc>
        <w:tc>
          <w:tcPr>
            <w:tcW w:w="175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4" w:type="dxa"/>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75" w:hRule="atLeast"/>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湖漫水库</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饮用水源地</w:t>
            </w:r>
          </w:p>
        </w:tc>
        <w:tc>
          <w:tcPr>
            <w:tcW w:w="175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74" w:type="dxa"/>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分水山泄水闸</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地表水</w:t>
            </w:r>
          </w:p>
        </w:tc>
        <w:tc>
          <w:tcPr>
            <w:tcW w:w="1755" w:type="dxa"/>
            <w:gridSpan w:val="2"/>
            <w:vMerge w:val="restart"/>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玉环</w:t>
            </w:r>
            <w:r>
              <w:rPr>
                <w:rFonts w:hint="eastAsia" w:ascii="宋体" w:hAnsi="宋体" w:eastAsia="宋体" w:cs="宋体"/>
                <w:color w:val="000000" w:themeColor="text1"/>
                <w:sz w:val="24"/>
                <w:szCs w:val="24"/>
                <w:highlight w:val="none"/>
                <w14:textFill>
                  <w14:solidFill>
                    <w14:schemeClr w14:val="tx1"/>
                  </w14:solidFill>
                </w14:textFill>
              </w:rPr>
              <w:t>市</w:t>
            </w:r>
          </w:p>
        </w:tc>
        <w:tc>
          <w:tcPr>
            <w:tcW w:w="1574" w:type="dxa"/>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90" w:hRule="atLeast"/>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礁头闸</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地表水</w:t>
            </w:r>
          </w:p>
        </w:tc>
        <w:tc>
          <w:tcPr>
            <w:tcW w:w="175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74" w:type="dxa"/>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小闾水库</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饮用水源地</w:t>
            </w:r>
          </w:p>
        </w:tc>
        <w:tc>
          <w:tcPr>
            <w:tcW w:w="175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74" w:type="dxa"/>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双庙水库</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饮用水源地</w:t>
            </w:r>
          </w:p>
        </w:tc>
        <w:tc>
          <w:tcPr>
            <w:tcW w:w="175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74" w:type="dxa"/>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961"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1710" w:type="dxa"/>
            <w:gridSpan w:val="2"/>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里墩水库</w:t>
            </w:r>
          </w:p>
        </w:tc>
        <w:tc>
          <w:tcPr>
            <w:tcW w:w="2265" w:type="dxa"/>
            <w:gridSpan w:val="3"/>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饮用水源地</w:t>
            </w:r>
          </w:p>
        </w:tc>
        <w:tc>
          <w:tcPr>
            <w:tcW w:w="1755" w:type="dxa"/>
            <w:gridSpan w:val="2"/>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74" w:type="dxa"/>
            <w:vMerge w:val="continue"/>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961" w:type="dxa"/>
            <w:gridSpan w:val="2"/>
            <w:vMerge w:val="continue"/>
            <w:tcBorders>
              <w:bottom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bottom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3975" w:type="dxa"/>
            <w:gridSpan w:val="5"/>
            <w:tcBorders>
              <w:bottom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总磷、总氮、高锰酸盐指数、氨氮、PH、电导率、溶氧、浊度标准样品</w:t>
            </w:r>
          </w:p>
        </w:tc>
        <w:tc>
          <w:tcPr>
            <w:tcW w:w="1755" w:type="dxa"/>
            <w:gridSpan w:val="2"/>
            <w:tcBorders>
              <w:bottom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四个季度质控考核</w:t>
            </w:r>
          </w:p>
        </w:tc>
        <w:tc>
          <w:tcPr>
            <w:tcW w:w="1574" w:type="dxa"/>
            <w:tcBorders>
              <w:bottom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96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标项四</w:t>
            </w: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百步</w:t>
            </w:r>
          </w:p>
        </w:tc>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地表水</w:t>
            </w:r>
          </w:p>
        </w:tc>
        <w:tc>
          <w:tcPr>
            <w:tcW w:w="175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临海市</w:t>
            </w:r>
          </w:p>
        </w:tc>
        <w:tc>
          <w:tcPr>
            <w:tcW w:w="1574" w:type="dxa"/>
            <w:vMerge w:val="restart"/>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9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牛头山</w:t>
            </w:r>
          </w:p>
        </w:tc>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饮用水源地</w:t>
            </w:r>
          </w:p>
        </w:tc>
        <w:tc>
          <w:tcPr>
            <w:tcW w:w="17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4" w:type="dxa"/>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9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田芯</w:t>
            </w:r>
          </w:p>
        </w:tc>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地表水</w:t>
            </w:r>
          </w:p>
        </w:tc>
        <w:tc>
          <w:tcPr>
            <w:tcW w:w="175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天台县</w:t>
            </w:r>
          </w:p>
        </w:tc>
        <w:tc>
          <w:tcPr>
            <w:tcW w:w="1574" w:type="dxa"/>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9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黄龙水库</w:t>
            </w:r>
          </w:p>
        </w:tc>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饮用水源地</w:t>
            </w:r>
          </w:p>
        </w:tc>
        <w:tc>
          <w:tcPr>
            <w:tcW w:w="17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4" w:type="dxa"/>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9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冲背</w:t>
            </w:r>
          </w:p>
        </w:tc>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地表水</w:t>
            </w:r>
          </w:p>
        </w:tc>
        <w:tc>
          <w:tcPr>
            <w:tcW w:w="175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仙居县</w:t>
            </w:r>
          </w:p>
        </w:tc>
        <w:tc>
          <w:tcPr>
            <w:tcW w:w="1574" w:type="dxa"/>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9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西岙水库</w:t>
            </w:r>
          </w:p>
        </w:tc>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饮用水源地</w:t>
            </w:r>
          </w:p>
        </w:tc>
        <w:tc>
          <w:tcPr>
            <w:tcW w:w="17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4" w:type="dxa"/>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9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涛头堍</w:t>
            </w:r>
          </w:p>
        </w:tc>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地表水</w:t>
            </w:r>
          </w:p>
        </w:tc>
        <w:tc>
          <w:tcPr>
            <w:tcW w:w="175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三门县</w:t>
            </w:r>
          </w:p>
        </w:tc>
        <w:tc>
          <w:tcPr>
            <w:tcW w:w="1574" w:type="dxa"/>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9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健跳</w:t>
            </w:r>
          </w:p>
        </w:tc>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地表水</w:t>
            </w:r>
          </w:p>
        </w:tc>
        <w:tc>
          <w:tcPr>
            <w:tcW w:w="17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4" w:type="dxa"/>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9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石岩</w:t>
            </w:r>
          </w:p>
        </w:tc>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饮用水源地</w:t>
            </w:r>
          </w:p>
        </w:tc>
        <w:tc>
          <w:tcPr>
            <w:tcW w:w="17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4" w:type="dxa"/>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9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佃石水库</w:t>
            </w:r>
          </w:p>
        </w:tc>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饮用水源地</w:t>
            </w:r>
          </w:p>
        </w:tc>
        <w:tc>
          <w:tcPr>
            <w:tcW w:w="17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4" w:type="dxa"/>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3975" w:type="dxa"/>
            <w:gridSpan w:val="5"/>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总磷、总氮、高锰酸盐指数、氨氮、PH、电导率、溶氧、浊度标准样品</w:t>
            </w:r>
          </w:p>
        </w:tc>
        <w:tc>
          <w:tcPr>
            <w:tcW w:w="1755"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四个季度质控考核</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restart"/>
            <w:tcBorders>
              <w:top w:val="single" w:color="auto" w:sz="4" w:space="0"/>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标项五：</w:t>
            </w:r>
            <w:r>
              <w:rPr>
                <w:rFonts w:hint="eastAsia" w:ascii="宋体" w:hAnsi="宋体" w:eastAsia="宋体" w:cs="宋体"/>
                <w:b w:val="0"/>
                <w:bCs w:val="0"/>
                <w:color w:val="000000" w:themeColor="text1"/>
                <w:sz w:val="24"/>
                <w:szCs w:val="24"/>
                <w:highlight w:val="none"/>
                <w14:textFill>
                  <w14:solidFill>
                    <w14:schemeClr w14:val="tx1"/>
                  </w14:solidFill>
                </w14:textFill>
              </w:rPr>
              <w:t>省控环境空气自动监测站运维监理内容</w:t>
            </w: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序号</w:t>
            </w:r>
          </w:p>
        </w:tc>
        <w:tc>
          <w:tcPr>
            <w:tcW w:w="1710" w:type="dxa"/>
            <w:gridSpan w:val="2"/>
            <w:tcBorders>
              <w:top w:val="single" w:color="auto" w:sz="4" w:space="0"/>
              <w:left w:val="single" w:color="auto" w:sz="4" w:space="0"/>
              <w:right w:val="single" w:color="auto" w:sz="4" w:space="0"/>
            </w:tcBorders>
            <w:noWrap w:val="0"/>
            <w:vAlign w:val="center"/>
          </w:tcPr>
          <w:p>
            <w:pPr>
              <w:widowControl/>
              <w:shd w:val="clear"/>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行政区</w:t>
            </w:r>
          </w:p>
        </w:tc>
        <w:tc>
          <w:tcPr>
            <w:tcW w:w="4020" w:type="dxa"/>
            <w:gridSpan w:val="5"/>
            <w:tcBorders>
              <w:top w:val="single" w:color="auto" w:sz="4" w:space="0"/>
              <w:left w:val="single" w:color="auto" w:sz="4" w:space="0"/>
              <w:bottom w:val="single" w:color="auto" w:sz="4" w:space="0"/>
              <w:right w:val="single" w:color="auto" w:sz="4" w:space="0"/>
            </w:tcBorders>
            <w:noWrap w:val="0"/>
            <w:vAlign w:val="center"/>
          </w:tcPr>
          <w:p>
            <w:pPr>
              <w:widowControl/>
              <w:shd w:val="clear"/>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站点</w:t>
            </w:r>
          </w:p>
        </w:tc>
        <w:tc>
          <w:tcPr>
            <w:tcW w:w="1574" w:type="dxa"/>
            <w:tcBorders>
              <w:top w:val="single" w:color="auto" w:sz="4" w:space="0"/>
              <w:left w:val="single" w:color="auto" w:sz="4" w:space="0"/>
              <w:right w:val="single" w:color="auto" w:sz="4" w:space="0"/>
            </w:tcBorders>
            <w:noWrap w:val="0"/>
            <w:vAlign w:val="center"/>
          </w:tcPr>
          <w:p>
            <w:pPr>
              <w:widowControl/>
              <w:shd w:val="clea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710" w:type="dxa"/>
            <w:gridSpan w:val="2"/>
            <w:vMerge w:val="restart"/>
            <w:tcBorders>
              <w:top w:val="single" w:color="auto" w:sz="4" w:space="0"/>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临海市</w:t>
            </w:r>
          </w:p>
        </w:tc>
        <w:tc>
          <w:tcPr>
            <w:tcW w:w="4020" w:type="dxa"/>
            <w:gridSpan w:val="5"/>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临海环保大楼</w:t>
            </w:r>
          </w:p>
        </w:tc>
        <w:tc>
          <w:tcPr>
            <w:tcW w:w="1574" w:type="dxa"/>
            <w:vMerge w:val="restart"/>
            <w:tcBorders>
              <w:top w:val="single" w:color="auto" w:sz="4" w:space="0"/>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pacing w:val="-11"/>
                <w:sz w:val="24"/>
                <w:szCs w:val="24"/>
                <w:highlight w:val="none"/>
                <w14:textFill>
                  <w14:solidFill>
                    <w14:schemeClr w14:val="tx1"/>
                  </w14:solidFill>
                </w14:textFill>
              </w:rPr>
            </w:pPr>
            <w:r>
              <w:rPr>
                <w:rFonts w:hint="eastAsia" w:ascii="宋体" w:hAnsi="宋体" w:eastAsia="宋体" w:cs="宋体"/>
                <w:color w:val="000000" w:themeColor="text1"/>
                <w:spacing w:val="-11"/>
                <w:sz w:val="24"/>
                <w:szCs w:val="24"/>
                <w:highlight w:val="none"/>
                <w14:textFill>
                  <w14:solidFill>
                    <w14:schemeClr w14:val="tx1"/>
                  </w14:solidFill>
                </w14:textFill>
              </w:rPr>
              <w:t>常规六参数</w:t>
            </w:r>
          </w:p>
          <w:p>
            <w:pPr>
              <w:shd w:val="clear"/>
              <w:bidi w:val="0"/>
              <w:spacing w:line="360" w:lineRule="auto"/>
              <w:jc w:val="center"/>
              <w:rPr>
                <w:rFonts w:hint="eastAsia" w:ascii="宋体" w:hAnsi="宋体" w:eastAsia="宋体" w:cs="宋体"/>
                <w:color w:val="000000" w:themeColor="text1"/>
                <w:spacing w:val="-11"/>
                <w:sz w:val="24"/>
                <w:szCs w:val="24"/>
                <w:highlight w:val="none"/>
                <w14:textFill>
                  <w14:solidFill>
                    <w14:schemeClr w14:val="tx1"/>
                  </w14:solidFill>
                </w14:textFill>
              </w:rPr>
            </w:pPr>
            <w:r>
              <w:rPr>
                <w:rFonts w:hint="eastAsia" w:ascii="宋体" w:hAnsi="宋体" w:eastAsia="宋体" w:cs="宋体"/>
                <w:color w:val="000000" w:themeColor="text1"/>
                <w:spacing w:val="-11"/>
                <w:sz w:val="24"/>
                <w:szCs w:val="24"/>
                <w:highlight w:val="none"/>
                <w14:textFill>
                  <w14:solidFill>
                    <w14:schemeClr w14:val="tx1"/>
                  </w14:solidFill>
                </w14:textFill>
              </w:rPr>
              <w:t>气象五参数运维及数据情况监理</w:t>
            </w:r>
          </w:p>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710" w:type="dxa"/>
            <w:gridSpan w:val="2"/>
            <w:vMerge w:val="continue"/>
            <w:tcBorders>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020" w:type="dxa"/>
            <w:gridSpan w:val="5"/>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临海巾山小学</w:t>
            </w:r>
          </w:p>
        </w:tc>
        <w:tc>
          <w:tcPr>
            <w:tcW w:w="1574" w:type="dxa"/>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710" w:type="dxa"/>
            <w:gridSpan w:val="2"/>
            <w:vMerge w:val="restart"/>
            <w:tcBorders>
              <w:top w:val="single" w:color="auto" w:sz="4" w:space="0"/>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温岭市</w:t>
            </w:r>
          </w:p>
        </w:tc>
        <w:tc>
          <w:tcPr>
            <w:tcW w:w="4020" w:type="dxa"/>
            <w:gridSpan w:val="5"/>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温岭环监站</w:t>
            </w:r>
          </w:p>
        </w:tc>
        <w:tc>
          <w:tcPr>
            <w:tcW w:w="1574" w:type="dxa"/>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710" w:type="dxa"/>
            <w:gridSpan w:val="2"/>
            <w:vMerge w:val="continue"/>
            <w:tcBorders>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020" w:type="dxa"/>
            <w:gridSpan w:val="5"/>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温岭之江高级中学</w:t>
            </w:r>
          </w:p>
        </w:tc>
        <w:tc>
          <w:tcPr>
            <w:tcW w:w="1574" w:type="dxa"/>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710" w:type="dxa"/>
            <w:gridSpan w:val="2"/>
            <w:vMerge w:val="restart"/>
            <w:tcBorders>
              <w:top w:val="single" w:color="auto" w:sz="4" w:space="0"/>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玉环市</w:t>
            </w:r>
          </w:p>
        </w:tc>
        <w:tc>
          <w:tcPr>
            <w:tcW w:w="4020" w:type="dxa"/>
            <w:gridSpan w:val="5"/>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玉环环监站</w:t>
            </w:r>
          </w:p>
        </w:tc>
        <w:tc>
          <w:tcPr>
            <w:tcW w:w="1574" w:type="dxa"/>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710" w:type="dxa"/>
            <w:gridSpan w:val="2"/>
            <w:vMerge w:val="continue"/>
            <w:tcBorders>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020" w:type="dxa"/>
            <w:gridSpan w:val="5"/>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玉环楚门中心小学</w:t>
            </w:r>
          </w:p>
        </w:tc>
        <w:tc>
          <w:tcPr>
            <w:tcW w:w="1574" w:type="dxa"/>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710" w:type="dxa"/>
            <w:gridSpan w:val="2"/>
            <w:vMerge w:val="restart"/>
            <w:tcBorders>
              <w:top w:val="single" w:color="auto" w:sz="4" w:space="0"/>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天台县</w:t>
            </w:r>
          </w:p>
        </w:tc>
        <w:tc>
          <w:tcPr>
            <w:tcW w:w="4020" w:type="dxa"/>
            <w:gridSpan w:val="5"/>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天台育青中学</w:t>
            </w:r>
          </w:p>
        </w:tc>
        <w:tc>
          <w:tcPr>
            <w:tcW w:w="1574" w:type="dxa"/>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710" w:type="dxa"/>
            <w:gridSpan w:val="2"/>
            <w:vMerge w:val="continue"/>
            <w:tcBorders>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020" w:type="dxa"/>
            <w:gridSpan w:val="5"/>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天台实验中学</w:t>
            </w:r>
          </w:p>
        </w:tc>
        <w:tc>
          <w:tcPr>
            <w:tcW w:w="1574" w:type="dxa"/>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1710" w:type="dxa"/>
            <w:gridSpan w:val="2"/>
            <w:vMerge w:val="restart"/>
            <w:tcBorders>
              <w:top w:val="single" w:color="auto" w:sz="4" w:space="0"/>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仙居县</w:t>
            </w:r>
          </w:p>
        </w:tc>
        <w:tc>
          <w:tcPr>
            <w:tcW w:w="4020" w:type="dxa"/>
            <w:gridSpan w:val="5"/>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仙居新生中学</w:t>
            </w:r>
          </w:p>
        </w:tc>
        <w:tc>
          <w:tcPr>
            <w:tcW w:w="1574" w:type="dxa"/>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1710" w:type="dxa"/>
            <w:gridSpan w:val="2"/>
            <w:vMerge w:val="continue"/>
            <w:tcBorders>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020" w:type="dxa"/>
            <w:gridSpan w:val="5"/>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仙居环监站</w:t>
            </w:r>
          </w:p>
        </w:tc>
        <w:tc>
          <w:tcPr>
            <w:tcW w:w="1574" w:type="dxa"/>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1710" w:type="dxa"/>
            <w:gridSpan w:val="2"/>
            <w:vMerge w:val="restart"/>
            <w:tcBorders>
              <w:top w:val="single" w:color="auto" w:sz="4" w:space="0"/>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三门县</w:t>
            </w:r>
          </w:p>
        </w:tc>
        <w:tc>
          <w:tcPr>
            <w:tcW w:w="4020" w:type="dxa"/>
            <w:gridSpan w:val="5"/>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三门环监站</w:t>
            </w:r>
          </w:p>
        </w:tc>
        <w:tc>
          <w:tcPr>
            <w:tcW w:w="1574" w:type="dxa"/>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1710"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020" w:type="dxa"/>
            <w:gridSpan w:val="5"/>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三门心湖站</w:t>
            </w:r>
          </w:p>
        </w:tc>
        <w:tc>
          <w:tcPr>
            <w:tcW w:w="1574" w:type="dxa"/>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54" w:type="dxa"/>
            <w:gridSpan w:val="10"/>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单价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.2万</w:t>
            </w:r>
            <w:r>
              <w:rPr>
                <w:rFonts w:hint="eastAsia" w:ascii="宋体" w:hAnsi="宋体" w:eastAsia="宋体" w:cs="宋体"/>
                <w:b w:val="0"/>
                <w:bCs w:val="0"/>
                <w:color w:val="000000" w:themeColor="text1"/>
                <w:sz w:val="24"/>
                <w:szCs w:val="24"/>
                <w:highlight w:val="none"/>
                <w14:textFill>
                  <w14:solidFill>
                    <w14:schemeClr w14:val="tx1"/>
                  </w14:solidFill>
                </w14:textFill>
              </w:rPr>
              <w:t>元/个/年</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合计</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38</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4</w:t>
            </w:r>
            <w:r>
              <w:rPr>
                <w:rFonts w:hint="eastAsia" w:ascii="宋体" w:hAnsi="宋体" w:eastAsia="宋体" w:cs="宋体"/>
                <w:b w:val="0"/>
                <w:bCs w:val="0"/>
                <w:color w:val="000000" w:themeColor="text1"/>
                <w:kern w:val="0"/>
                <w:sz w:val="24"/>
                <w:szCs w:val="24"/>
                <w:highlight w:val="none"/>
                <w:lang w:eastAsia="zh-CN" w:bidi="ar"/>
                <w14:textFill>
                  <w14:solidFill>
                    <w14:schemeClr w14:val="tx1"/>
                  </w14:solidFill>
                </w14:textFill>
              </w:rPr>
              <w:t>万</w:t>
            </w: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restart"/>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标项五：</w:t>
            </w:r>
            <w:r>
              <w:rPr>
                <w:rFonts w:hint="eastAsia" w:ascii="宋体" w:hAnsi="宋体" w:eastAsia="宋体" w:cs="宋体"/>
                <w:b w:val="0"/>
                <w:bCs w:val="0"/>
                <w:color w:val="000000" w:themeColor="text1"/>
                <w:sz w:val="24"/>
                <w:szCs w:val="24"/>
                <w:highlight w:val="none"/>
                <w14:textFill>
                  <w14:solidFill>
                    <w14:schemeClr w14:val="tx1"/>
                  </w14:solidFill>
                </w14:textFill>
              </w:rPr>
              <w:t>重点工业园区环境空气自动监测站运维监理内容</w:t>
            </w: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040" w:type="dxa"/>
            <w:gridSpan w:val="4"/>
            <w:tcBorders>
              <w:left w:val="single" w:color="auto" w:sz="4" w:space="0"/>
              <w:right w:val="single" w:color="auto" w:sz="4" w:space="0"/>
            </w:tcBorders>
            <w:noWrap w:val="0"/>
            <w:vAlign w:val="center"/>
          </w:tcPr>
          <w:p>
            <w:pPr>
              <w:widowControl/>
              <w:shd w:val="clear"/>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椒江区</w:t>
            </w:r>
          </w:p>
        </w:tc>
        <w:tc>
          <w:tcPr>
            <w:tcW w:w="3690"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spacing w:line="396" w:lineRule="exact"/>
              <w:jc w:val="center"/>
              <w:textAlignment w:val="cente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椒江医化工业园区</w:t>
            </w:r>
          </w:p>
        </w:tc>
        <w:tc>
          <w:tcPr>
            <w:tcW w:w="1574" w:type="dxa"/>
            <w:vMerge w:val="restart"/>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1"/>
                <w:sz w:val="24"/>
                <w:szCs w:val="24"/>
                <w:highlight w:val="none"/>
                <w14:textFill>
                  <w14:solidFill>
                    <w14:schemeClr w14:val="tx1"/>
                  </w14:solidFill>
                </w14:textFill>
              </w:rPr>
              <w:t>VOCs+常规六参数+气象五参数运维及数据情况监理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040" w:type="dxa"/>
            <w:gridSpan w:val="4"/>
            <w:tcBorders>
              <w:left w:val="single" w:color="auto" w:sz="4" w:space="0"/>
              <w:right w:val="single" w:color="auto" w:sz="4" w:space="0"/>
            </w:tcBorders>
            <w:noWrap w:val="0"/>
            <w:vAlign w:val="center"/>
          </w:tcPr>
          <w:p>
            <w:pPr>
              <w:widowControl/>
              <w:shd w:val="clear"/>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台州经济开发区</w:t>
            </w:r>
          </w:p>
        </w:tc>
        <w:tc>
          <w:tcPr>
            <w:tcW w:w="3690"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spacing w:line="396" w:lineRule="exact"/>
              <w:jc w:val="center"/>
              <w:textAlignment w:val="cente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集聚区十塘坝站</w:t>
            </w:r>
          </w:p>
        </w:tc>
        <w:tc>
          <w:tcPr>
            <w:tcW w:w="1574" w:type="dxa"/>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040" w:type="dxa"/>
            <w:gridSpan w:val="4"/>
            <w:tcBorders>
              <w:left w:val="single" w:color="auto" w:sz="4" w:space="0"/>
              <w:right w:val="single" w:color="auto" w:sz="4" w:space="0"/>
            </w:tcBorders>
            <w:noWrap w:val="0"/>
            <w:vAlign w:val="center"/>
          </w:tcPr>
          <w:p>
            <w:pPr>
              <w:widowControl/>
              <w:shd w:val="clear"/>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黄岩区</w:t>
            </w:r>
          </w:p>
        </w:tc>
        <w:tc>
          <w:tcPr>
            <w:tcW w:w="3690"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spacing w:line="396" w:lineRule="exact"/>
              <w:jc w:val="center"/>
              <w:textAlignment w:val="cente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江口医化园区</w:t>
            </w:r>
          </w:p>
        </w:tc>
        <w:tc>
          <w:tcPr>
            <w:tcW w:w="1574" w:type="dxa"/>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040" w:type="dxa"/>
            <w:gridSpan w:val="4"/>
            <w:vMerge w:val="restart"/>
            <w:tcBorders>
              <w:left w:val="single" w:color="auto" w:sz="4" w:space="0"/>
              <w:right w:val="single" w:color="auto" w:sz="4" w:space="0"/>
            </w:tcBorders>
            <w:noWrap w:val="0"/>
            <w:vAlign w:val="center"/>
          </w:tcPr>
          <w:p>
            <w:pPr>
              <w:widowControl/>
              <w:shd w:val="clear"/>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临海市</w:t>
            </w:r>
          </w:p>
        </w:tc>
        <w:tc>
          <w:tcPr>
            <w:tcW w:w="3690" w:type="dxa"/>
            <w:gridSpan w:val="3"/>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头门港</w:t>
            </w:r>
          </w:p>
        </w:tc>
        <w:tc>
          <w:tcPr>
            <w:tcW w:w="1574" w:type="dxa"/>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040" w:type="dxa"/>
            <w:gridSpan w:val="4"/>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3690" w:type="dxa"/>
            <w:gridSpan w:val="3"/>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杜桥眼镜园区</w:t>
            </w:r>
          </w:p>
        </w:tc>
        <w:tc>
          <w:tcPr>
            <w:tcW w:w="1574" w:type="dxa"/>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040" w:type="dxa"/>
            <w:gridSpan w:val="4"/>
            <w:tcBorders>
              <w:left w:val="single" w:color="auto" w:sz="4" w:space="0"/>
              <w:right w:val="single" w:color="auto" w:sz="4" w:space="0"/>
            </w:tcBorders>
            <w:noWrap w:val="0"/>
            <w:vAlign w:val="center"/>
          </w:tcPr>
          <w:p>
            <w:pPr>
              <w:widowControl/>
              <w:shd w:val="clear"/>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温岭市</w:t>
            </w:r>
          </w:p>
        </w:tc>
        <w:tc>
          <w:tcPr>
            <w:tcW w:w="3690"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spacing w:line="396" w:lineRule="exact"/>
              <w:jc w:val="center"/>
              <w:textAlignment w:val="cente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温岭东部新区</w:t>
            </w:r>
          </w:p>
        </w:tc>
        <w:tc>
          <w:tcPr>
            <w:tcW w:w="1574" w:type="dxa"/>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2040" w:type="dxa"/>
            <w:gridSpan w:val="4"/>
            <w:tcBorders>
              <w:left w:val="single" w:color="auto" w:sz="4" w:space="0"/>
              <w:right w:val="single" w:color="auto" w:sz="4" w:space="0"/>
            </w:tcBorders>
            <w:noWrap w:val="0"/>
            <w:vAlign w:val="center"/>
          </w:tcPr>
          <w:p>
            <w:pPr>
              <w:widowControl/>
              <w:shd w:val="clear"/>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玉环市</w:t>
            </w:r>
          </w:p>
        </w:tc>
        <w:tc>
          <w:tcPr>
            <w:tcW w:w="3690"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spacing w:line="396" w:lineRule="exact"/>
              <w:jc w:val="center"/>
              <w:textAlignment w:val="cente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玉环楚门中心小学</w:t>
            </w:r>
          </w:p>
        </w:tc>
        <w:tc>
          <w:tcPr>
            <w:tcW w:w="1574" w:type="dxa"/>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1"/>
                <w:sz w:val="24"/>
                <w:szCs w:val="24"/>
                <w:highlight w:val="none"/>
                <w14:textFill>
                  <w14:solidFill>
                    <w14:schemeClr w14:val="tx1"/>
                  </w14:solidFill>
                </w14:textFill>
              </w:rPr>
              <w:t>VOCs运维及数据情况监理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3"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2040" w:type="dxa"/>
            <w:gridSpan w:val="4"/>
            <w:tcBorders>
              <w:left w:val="single" w:color="auto" w:sz="4" w:space="0"/>
              <w:right w:val="single" w:color="auto" w:sz="4" w:space="0"/>
            </w:tcBorders>
            <w:noWrap w:val="0"/>
            <w:vAlign w:val="center"/>
          </w:tcPr>
          <w:p>
            <w:pPr>
              <w:widowControl/>
              <w:shd w:val="clear"/>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天台县</w:t>
            </w:r>
          </w:p>
        </w:tc>
        <w:tc>
          <w:tcPr>
            <w:tcW w:w="3690"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spacing w:line="396" w:lineRule="exact"/>
              <w:jc w:val="center"/>
              <w:textAlignment w:val="cente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天台洪三橡胶工业园区</w:t>
            </w:r>
          </w:p>
        </w:tc>
        <w:tc>
          <w:tcPr>
            <w:tcW w:w="1574" w:type="dxa"/>
            <w:vMerge w:val="restart"/>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1"/>
                <w:sz w:val="24"/>
                <w:szCs w:val="24"/>
                <w:highlight w:val="none"/>
                <w14:textFill>
                  <w14:solidFill>
                    <w14:schemeClr w14:val="tx1"/>
                  </w14:solidFill>
                </w14:textFill>
              </w:rPr>
              <w:t>VOCs+常规六参数+气象五参数运维及数据情况监理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98"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2040" w:type="dxa"/>
            <w:gridSpan w:val="4"/>
            <w:tcBorders>
              <w:left w:val="single" w:color="auto" w:sz="4" w:space="0"/>
              <w:right w:val="single" w:color="auto" w:sz="4" w:space="0"/>
            </w:tcBorders>
            <w:noWrap w:val="0"/>
            <w:vAlign w:val="center"/>
          </w:tcPr>
          <w:p>
            <w:pPr>
              <w:widowControl/>
              <w:shd w:val="clear"/>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仙居县</w:t>
            </w:r>
          </w:p>
        </w:tc>
        <w:tc>
          <w:tcPr>
            <w:tcW w:w="3690"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spacing w:line="396" w:lineRule="exact"/>
              <w:jc w:val="center"/>
              <w:textAlignment w:val="cente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现代工业园区</w:t>
            </w:r>
          </w:p>
        </w:tc>
        <w:tc>
          <w:tcPr>
            <w:tcW w:w="1574" w:type="dxa"/>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8"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2040" w:type="dxa"/>
            <w:gridSpan w:val="4"/>
            <w:tcBorders>
              <w:left w:val="single" w:color="auto" w:sz="4" w:space="0"/>
              <w:right w:val="single" w:color="auto" w:sz="4" w:space="0"/>
            </w:tcBorders>
            <w:noWrap w:val="0"/>
            <w:vAlign w:val="center"/>
          </w:tcPr>
          <w:p>
            <w:pPr>
              <w:widowControl/>
              <w:shd w:val="clear"/>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三门县</w:t>
            </w:r>
          </w:p>
        </w:tc>
        <w:tc>
          <w:tcPr>
            <w:tcW w:w="3690"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spacing w:line="396" w:lineRule="exact"/>
              <w:jc w:val="center"/>
              <w:textAlignment w:val="cente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三门沿海工业城</w:t>
            </w:r>
          </w:p>
        </w:tc>
        <w:tc>
          <w:tcPr>
            <w:tcW w:w="1574" w:type="dxa"/>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1" w:hRule="atLeast"/>
          <w:jc w:val="center"/>
        </w:trPr>
        <w:tc>
          <w:tcPr>
            <w:tcW w:w="961" w:type="dxa"/>
            <w:gridSpan w:val="2"/>
            <w:vMerge w:val="continue"/>
            <w:tcBorders>
              <w:left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54" w:type="dxa"/>
            <w:gridSpan w:val="10"/>
            <w:tcBorders>
              <w:top w:val="single" w:color="auto" w:sz="4" w:space="0"/>
              <w:left w:val="single" w:color="auto" w:sz="4" w:space="0"/>
              <w:bottom w:val="single" w:color="auto" w:sz="4" w:space="0"/>
              <w:right w:val="single" w:color="auto" w:sz="4" w:space="0"/>
            </w:tcBorders>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单价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.8万</w:t>
            </w:r>
            <w:r>
              <w:rPr>
                <w:rFonts w:hint="eastAsia" w:ascii="宋体" w:hAnsi="宋体" w:eastAsia="宋体" w:cs="宋体"/>
                <w:b w:val="0"/>
                <w:bCs w:val="0"/>
                <w:color w:val="000000" w:themeColor="text1"/>
                <w:sz w:val="24"/>
                <w:szCs w:val="24"/>
                <w:highlight w:val="none"/>
                <w14:textFill>
                  <w14:solidFill>
                    <w14:schemeClr w14:val="tx1"/>
                  </w14:solidFill>
                </w14:textFill>
              </w:rPr>
              <w:t>元/个/年</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合计</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cs="宋体"/>
                <w:b w:val="0"/>
                <w:bCs w:val="0"/>
                <w:color w:val="000000" w:themeColor="text1"/>
                <w:kern w:val="0"/>
                <w:sz w:val="24"/>
                <w:szCs w:val="24"/>
                <w:highlight w:val="none"/>
                <w:lang w:val="en-US" w:eastAsia="zh-CN" w:bidi="ar"/>
                <w14:textFill>
                  <w14:solidFill>
                    <w14:schemeClr w14:val="tx1"/>
                  </w14:solidFill>
                </w14:textFill>
              </w:rPr>
              <w:t>44.8万</w:t>
            </w:r>
            <w:r>
              <w:rPr>
                <w:rFonts w:hint="eastAsia" w:ascii="宋体" w:hAnsi="宋体" w:eastAsia="宋体" w:cs="宋体"/>
                <w:b w:val="0"/>
                <w:bCs w:val="0"/>
                <w:color w:val="000000" w:themeColor="text1"/>
                <w:kern w:val="0"/>
                <w:sz w:val="24"/>
                <w:szCs w:val="24"/>
                <w:highlight w:val="none"/>
                <w:lang w:bidi="ar"/>
                <w14:textFill>
                  <w14:solidFill>
                    <w14:schemeClr w14:val="tx1"/>
                  </w14:solidFill>
                </w14:textFill>
              </w:rPr>
              <w:t>元</w:t>
            </w:r>
          </w:p>
        </w:tc>
      </w:tr>
    </w:tbl>
    <w:p>
      <w:pPr>
        <w:pStyle w:val="11"/>
        <w:shd w:val="clear"/>
        <w:rPr>
          <w:rFonts w:hint="eastAsia"/>
          <w:color w:val="000000" w:themeColor="text1"/>
          <w:highlight w:val="none"/>
          <w14:textFill>
            <w14:solidFill>
              <w14:schemeClr w14:val="tx1"/>
            </w14:solidFill>
          </w14:textFill>
        </w:rPr>
        <w:sectPr>
          <w:footerReference r:id="rId4" w:type="default"/>
          <w:pgSz w:w="11906" w:h="16838"/>
          <w:pgMar w:top="1383" w:right="1746" w:bottom="1383" w:left="1746" w:header="851" w:footer="992" w:gutter="0"/>
          <w:pgNumType w:fmt="decimal" w:start="1"/>
          <w:cols w:space="425" w:num="1"/>
          <w:docGrid w:type="lines" w:linePitch="312" w:charSpace="0"/>
        </w:sectPr>
      </w:pPr>
    </w:p>
    <w:p>
      <w:pPr>
        <w:pStyle w:val="11"/>
        <w:shd w:val="clear"/>
        <w:spacing w:line="360" w:lineRule="auto"/>
        <w:ind w:firstLine="211"/>
        <w:jc w:val="both"/>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表二</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空气自动监测站各站点仪器清单</w:t>
      </w:r>
    </w:p>
    <w:tbl>
      <w:tblPr>
        <w:tblStyle w:val="30"/>
        <w:tblW w:w="14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577"/>
        <w:gridCol w:w="1222"/>
        <w:gridCol w:w="1403"/>
        <w:gridCol w:w="1380"/>
        <w:gridCol w:w="1365"/>
        <w:gridCol w:w="1380"/>
        <w:gridCol w:w="1350"/>
        <w:gridCol w:w="1335"/>
        <w:gridCol w:w="1905"/>
        <w:gridCol w:w="1210"/>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6" w:hRule="atLeast"/>
          <w:jc w:val="center"/>
        </w:trPr>
        <w:tc>
          <w:tcPr>
            <w:tcW w:w="577"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222"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站点名称</w:t>
            </w:r>
          </w:p>
        </w:tc>
        <w:tc>
          <w:tcPr>
            <w:tcW w:w="1403"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SO2型号</w:t>
            </w:r>
          </w:p>
        </w:tc>
        <w:tc>
          <w:tcPr>
            <w:tcW w:w="138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NOx型号</w:t>
            </w:r>
          </w:p>
        </w:tc>
        <w:tc>
          <w:tcPr>
            <w:tcW w:w="136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CO型号</w:t>
            </w:r>
          </w:p>
        </w:tc>
        <w:tc>
          <w:tcPr>
            <w:tcW w:w="138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O3型号</w:t>
            </w:r>
          </w:p>
        </w:tc>
        <w:tc>
          <w:tcPr>
            <w:tcW w:w="135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PM10型号</w:t>
            </w:r>
          </w:p>
        </w:tc>
        <w:tc>
          <w:tcPr>
            <w:tcW w:w="133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PM2.5型号</w:t>
            </w:r>
          </w:p>
        </w:tc>
        <w:tc>
          <w:tcPr>
            <w:tcW w:w="190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VOCs型号</w:t>
            </w:r>
          </w:p>
        </w:tc>
        <w:tc>
          <w:tcPr>
            <w:tcW w:w="121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动态</w:t>
            </w:r>
          </w:p>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校准仪</w:t>
            </w:r>
          </w:p>
        </w:tc>
        <w:tc>
          <w:tcPr>
            <w:tcW w:w="1211"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零气</w:t>
            </w:r>
          </w:p>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6" w:hRule="atLeast"/>
          <w:jc w:val="center"/>
        </w:trPr>
        <w:tc>
          <w:tcPr>
            <w:tcW w:w="577"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22"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温岭环监站</w:t>
            </w:r>
          </w:p>
        </w:tc>
        <w:tc>
          <w:tcPr>
            <w:tcW w:w="1403"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8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6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赛默飞48i</w:t>
            </w:r>
          </w:p>
        </w:tc>
        <w:tc>
          <w:tcPr>
            <w:tcW w:w="138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5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33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90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21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211"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6" w:hRule="atLeast"/>
          <w:jc w:val="center"/>
        </w:trPr>
        <w:tc>
          <w:tcPr>
            <w:tcW w:w="577"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222"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温岭之江高级中学</w:t>
            </w:r>
          </w:p>
        </w:tc>
        <w:tc>
          <w:tcPr>
            <w:tcW w:w="1403"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8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6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赛默飞48i</w:t>
            </w:r>
          </w:p>
        </w:tc>
        <w:tc>
          <w:tcPr>
            <w:tcW w:w="138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5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33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90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21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赛默飞146i</w:t>
            </w:r>
          </w:p>
        </w:tc>
        <w:tc>
          <w:tcPr>
            <w:tcW w:w="1211"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6" w:hRule="atLeast"/>
          <w:jc w:val="center"/>
        </w:trPr>
        <w:tc>
          <w:tcPr>
            <w:tcW w:w="577"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222"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温岭东部新区</w:t>
            </w:r>
          </w:p>
        </w:tc>
        <w:tc>
          <w:tcPr>
            <w:tcW w:w="1403"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8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6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赛默飞48i</w:t>
            </w:r>
          </w:p>
        </w:tc>
        <w:tc>
          <w:tcPr>
            <w:tcW w:w="138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5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33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90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鹏宇ZF-PKU-VOC1007</w:t>
            </w:r>
          </w:p>
        </w:tc>
        <w:tc>
          <w:tcPr>
            <w:tcW w:w="121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赛默飞146i</w:t>
            </w:r>
          </w:p>
        </w:tc>
        <w:tc>
          <w:tcPr>
            <w:tcW w:w="1211"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6" w:hRule="atLeast"/>
          <w:jc w:val="center"/>
        </w:trPr>
        <w:tc>
          <w:tcPr>
            <w:tcW w:w="577"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222"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玉环环监站</w:t>
            </w:r>
          </w:p>
        </w:tc>
        <w:tc>
          <w:tcPr>
            <w:tcW w:w="1403"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赛默飞43i</w:t>
            </w:r>
          </w:p>
        </w:tc>
        <w:tc>
          <w:tcPr>
            <w:tcW w:w="138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赛默飞42i</w:t>
            </w:r>
          </w:p>
        </w:tc>
        <w:tc>
          <w:tcPr>
            <w:tcW w:w="136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赛默飞48i</w:t>
            </w:r>
          </w:p>
        </w:tc>
        <w:tc>
          <w:tcPr>
            <w:tcW w:w="138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赛默飞49i</w:t>
            </w:r>
          </w:p>
        </w:tc>
        <w:tc>
          <w:tcPr>
            <w:tcW w:w="135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33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90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21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赛默飞146i</w:t>
            </w:r>
          </w:p>
        </w:tc>
        <w:tc>
          <w:tcPr>
            <w:tcW w:w="1211"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6" w:hRule="atLeast"/>
          <w:jc w:val="center"/>
        </w:trPr>
        <w:tc>
          <w:tcPr>
            <w:tcW w:w="577"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222"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玉环楚门中心小学</w:t>
            </w:r>
          </w:p>
        </w:tc>
        <w:tc>
          <w:tcPr>
            <w:tcW w:w="1403"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8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6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赛默飞48i</w:t>
            </w:r>
          </w:p>
        </w:tc>
        <w:tc>
          <w:tcPr>
            <w:tcW w:w="138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5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33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90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禾信AC-GCMS 1000</w:t>
            </w:r>
          </w:p>
        </w:tc>
        <w:tc>
          <w:tcPr>
            <w:tcW w:w="121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赛默飞146i</w:t>
            </w:r>
          </w:p>
        </w:tc>
        <w:tc>
          <w:tcPr>
            <w:tcW w:w="1211"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6" w:hRule="atLeast"/>
          <w:jc w:val="center"/>
        </w:trPr>
        <w:tc>
          <w:tcPr>
            <w:tcW w:w="577"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222"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椒江医化工业园区</w:t>
            </w:r>
          </w:p>
        </w:tc>
        <w:tc>
          <w:tcPr>
            <w:tcW w:w="1403"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赛默飞43i</w:t>
            </w:r>
          </w:p>
        </w:tc>
        <w:tc>
          <w:tcPr>
            <w:tcW w:w="138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赛默飞42i</w:t>
            </w:r>
          </w:p>
        </w:tc>
        <w:tc>
          <w:tcPr>
            <w:tcW w:w="136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赛默飞48i</w:t>
            </w:r>
          </w:p>
        </w:tc>
        <w:tc>
          <w:tcPr>
            <w:tcW w:w="138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赛默飞49i</w:t>
            </w:r>
          </w:p>
        </w:tc>
        <w:tc>
          <w:tcPr>
            <w:tcW w:w="135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33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90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鹏宇ZF-PKU-VOC1007</w:t>
            </w:r>
          </w:p>
        </w:tc>
        <w:tc>
          <w:tcPr>
            <w:tcW w:w="121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赛默飞146i</w:t>
            </w:r>
          </w:p>
        </w:tc>
        <w:tc>
          <w:tcPr>
            <w:tcW w:w="1211"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6" w:hRule="atLeast"/>
          <w:jc w:val="center"/>
        </w:trPr>
        <w:tc>
          <w:tcPr>
            <w:tcW w:w="577"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222"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黄岩江口医化园区</w:t>
            </w:r>
          </w:p>
        </w:tc>
        <w:tc>
          <w:tcPr>
            <w:tcW w:w="1403"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聚光AQMS-500</w:t>
            </w:r>
          </w:p>
        </w:tc>
        <w:tc>
          <w:tcPr>
            <w:tcW w:w="138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聚光AQMS-600</w:t>
            </w:r>
          </w:p>
        </w:tc>
        <w:tc>
          <w:tcPr>
            <w:tcW w:w="136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聚光AQMS-400</w:t>
            </w:r>
          </w:p>
        </w:tc>
        <w:tc>
          <w:tcPr>
            <w:tcW w:w="138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聚光AQMS-300</w:t>
            </w:r>
          </w:p>
        </w:tc>
        <w:tc>
          <w:tcPr>
            <w:tcW w:w="135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聚光BPM-200</w:t>
            </w:r>
          </w:p>
        </w:tc>
        <w:tc>
          <w:tcPr>
            <w:tcW w:w="133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聚光BPM-200</w:t>
            </w:r>
          </w:p>
        </w:tc>
        <w:tc>
          <w:tcPr>
            <w:tcW w:w="190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谱育EXPEC 2000</w:t>
            </w:r>
          </w:p>
        </w:tc>
        <w:tc>
          <w:tcPr>
            <w:tcW w:w="121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AQMS200</w:t>
            </w:r>
          </w:p>
        </w:tc>
        <w:tc>
          <w:tcPr>
            <w:tcW w:w="1211"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AQMS100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6" w:hRule="atLeast"/>
          <w:jc w:val="center"/>
        </w:trPr>
        <w:tc>
          <w:tcPr>
            <w:tcW w:w="577"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222"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集聚区十塘坝站</w:t>
            </w:r>
          </w:p>
        </w:tc>
        <w:tc>
          <w:tcPr>
            <w:tcW w:w="1403"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赛默飞43i</w:t>
            </w:r>
          </w:p>
        </w:tc>
        <w:tc>
          <w:tcPr>
            <w:tcW w:w="138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赛默飞42i</w:t>
            </w:r>
          </w:p>
        </w:tc>
        <w:tc>
          <w:tcPr>
            <w:tcW w:w="136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赛默飞48i</w:t>
            </w:r>
          </w:p>
        </w:tc>
        <w:tc>
          <w:tcPr>
            <w:tcW w:w="138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赛默飞49i</w:t>
            </w:r>
          </w:p>
        </w:tc>
        <w:tc>
          <w:tcPr>
            <w:tcW w:w="135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33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90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赛默飞5800-GM</w:t>
            </w:r>
          </w:p>
        </w:tc>
        <w:tc>
          <w:tcPr>
            <w:tcW w:w="121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赛默飞146i</w:t>
            </w:r>
          </w:p>
        </w:tc>
        <w:tc>
          <w:tcPr>
            <w:tcW w:w="1211"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6" w:hRule="atLeast"/>
          <w:jc w:val="center"/>
        </w:trPr>
        <w:tc>
          <w:tcPr>
            <w:tcW w:w="577"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1222"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临海环保大楼</w:t>
            </w:r>
          </w:p>
        </w:tc>
        <w:tc>
          <w:tcPr>
            <w:tcW w:w="1403"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8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6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赛默飞48i</w:t>
            </w:r>
          </w:p>
        </w:tc>
        <w:tc>
          <w:tcPr>
            <w:tcW w:w="138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5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33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90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21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赛默飞146i</w:t>
            </w:r>
          </w:p>
        </w:tc>
        <w:tc>
          <w:tcPr>
            <w:tcW w:w="1211"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6" w:hRule="atLeast"/>
          <w:jc w:val="center"/>
        </w:trPr>
        <w:tc>
          <w:tcPr>
            <w:tcW w:w="577"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1222"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临海巾山小学</w:t>
            </w:r>
          </w:p>
        </w:tc>
        <w:tc>
          <w:tcPr>
            <w:tcW w:w="1403"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8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6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赛默飞48i</w:t>
            </w:r>
          </w:p>
        </w:tc>
        <w:tc>
          <w:tcPr>
            <w:tcW w:w="138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5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33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905"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210"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赛默飞146i</w:t>
            </w:r>
          </w:p>
        </w:tc>
        <w:tc>
          <w:tcPr>
            <w:tcW w:w="1211" w:type="dxa"/>
            <w:shd w:val="clear" w:color="auto" w:fill="auto"/>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6" w:hRule="atLeast"/>
          <w:jc w:val="center"/>
        </w:trPr>
        <w:tc>
          <w:tcPr>
            <w:tcW w:w="577"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1222"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头门港</w:t>
            </w:r>
          </w:p>
        </w:tc>
        <w:tc>
          <w:tcPr>
            <w:tcW w:w="1403"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赛默飞43i</w:t>
            </w:r>
          </w:p>
        </w:tc>
        <w:tc>
          <w:tcPr>
            <w:tcW w:w="138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赛默飞42i</w:t>
            </w:r>
          </w:p>
        </w:tc>
        <w:tc>
          <w:tcPr>
            <w:tcW w:w="136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赛默飞48i</w:t>
            </w:r>
          </w:p>
        </w:tc>
        <w:tc>
          <w:tcPr>
            <w:tcW w:w="138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赛默飞49i</w:t>
            </w:r>
          </w:p>
        </w:tc>
        <w:tc>
          <w:tcPr>
            <w:tcW w:w="135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33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90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鹏宇ZF-PKU-VOC1007</w:t>
            </w:r>
          </w:p>
        </w:tc>
        <w:tc>
          <w:tcPr>
            <w:tcW w:w="121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赛默飞146i</w:t>
            </w:r>
          </w:p>
        </w:tc>
        <w:tc>
          <w:tcPr>
            <w:tcW w:w="1211"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6" w:hRule="atLeast"/>
          <w:jc w:val="center"/>
        </w:trPr>
        <w:tc>
          <w:tcPr>
            <w:tcW w:w="577"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1222"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杜桥眼镜园区</w:t>
            </w:r>
          </w:p>
        </w:tc>
        <w:tc>
          <w:tcPr>
            <w:tcW w:w="1403"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赛默飞43i</w:t>
            </w:r>
          </w:p>
        </w:tc>
        <w:tc>
          <w:tcPr>
            <w:tcW w:w="138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赛默飞42i</w:t>
            </w:r>
          </w:p>
        </w:tc>
        <w:tc>
          <w:tcPr>
            <w:tcW w:w="136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赛默飞48i</w:t>
            </w:r>
          </w:p>
        </w:tc>
        <w:tc>
          <w:tcPr>
            <w:tcW w:w="138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赛默飞49i</w:t>
            </w:r>
          </w:p>
        </w:tc>
        <w:tc>
          <w:tcPr>
            <w:tcW w:w="135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33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90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鹏宇ZF-PKU-VOC1007</w:t>
            </w:r>
          </w:p>
        </w:tc>
        <w:tc>
          <w:tcPr>
            <w:tcW w:w="121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赛默飞146i</w:t>
            </w:r>
          </w:p>
        </w:tc>
        <w:tc>
          <w:tcPr>
            <w:tcW w:w="1211"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6" w:hRule="atLeast"/>
          <w:jc w:val="center"/>
        </w:trPr>
        <w:tc>
          <w:tcPr>
            <w:tcW w:w="577"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1222"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天台育青中学</w:t>
            </w:r>
          </w:p>
        </w:tc>
        <w:tc>
          <w:tcPr>
            <w:tcW w:w="1403"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赛默飞43i</w:t>
            </w:r>
          </w:p>
        </w:tc>
        <w:tc>
          <w:tcPr>
            <w:tcW w:w="138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赛默飞42i</w:t>
            </w:r>
          </w:p>
        </w:tc>
        <w:tc>
          <w:tcPr>
            <w:tcW w:w="136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赛默飞48i</w:t>
            </w:r>
          </w:p>
        </w:tc>
        <w:tc>
          <w:tcPr>
            <w:tcW w:w="138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赛默飞49i</w:t>
            </w:r>
          </w:p>
        </w:tc>
        <w:tc>
          <w:tcPr>
            <w:tcW w:w="135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33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90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21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赛默飞146i</w:t>
            </w:r>
          </w:p>
        </w:tc>
        <w:tc>
          <w:tcPr>
            <w:tcW w:w="1211"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6" w:hRule="atLeast"/>
          <w:jc w:val="center"/>
        </w:trPr>
        <w:tc>
          <w:tcPr>
            <w:tcW w:w="577"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c>
          <w:tcPr>
            <w:tcW w:w="1222"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天台实验中学</w:t>
            </w:r>
          </w:p>
        </w:tc>
        <w:tc>
          <w:tcPr>
            <w:tcW w:w="1403"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赛默飞43i</w:t>
            </w:r>
          </w:p>
        </w:tc>
        <w:tc>
          <w:tcPr>
            <w:tcW w:w="138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赛默飞42i</w:t>
            </w:r>
          </w:p>
        </w:tc>
        <w:tc>
          <w:tcPr>
            <w:tcW w:w="136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赛默飞48i</w:t>
            </w:r>
          </w:p>
        </w:tc>
        <w:tc>
          <w:tcPr>
            <w:tcW w:w="138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赛默飞49i</w:t>
            </w:r>
          </w:p>
        </w:tc>
        <w:tc>
          <w:tcPr>
            <w:tcW w:w="135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33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90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21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赛默飞146i</w:t>
            </w:r>
          </w:p>
        </w:tc>
        <w:tc>
          <w:tcPr>
            <w:tcW w:w="1211"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6" w:hRule="atLeast"/>
          <w:jc w:val="center"/>
        </w:trPr>
        <w:tc>
          <w:tcPr>
            <w:tcW w:w="577"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c>
          <w:tcPr>
            <w:tcW w:w="1222"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天台洪三橡胶工业</w:t>
            </w:r>
          </w:p>
        </w:tc>
        <w:tc>
          <w:tcPr>
            <w:tcW w:w="1403"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聚光AQMS-500</w:t>
            </w:r>
          </w:p>
        </w:tc>
        <w:tc>
          <w:tcPr>
            <w:tcW w:w="138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聚光AQMS-600</w:t>
            </w:r>
          </w:p>
        </w:tc>
        <w:tc>
          <w:tcPr>
            <w:tcW w:w="136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聚光AQMS-400</w:t>
            </w:r>
          </w:p>
        </w:tc>
        <w:tc>
          <w:tcPr>
            <w:tcW w:w="138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聚光AQMS-300</w:t>
            </w:r>
          </w:p>
        </w:tc>
        <w:tc>
          <w:tcPr>
            <w:tcW w:w="135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聚光BPM-200</w:t>
            </w:r>
          </w:p>
        </w:tc>
        <w:tc>
          <w:tcPr>
            <w:tcW w:w="133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聚光BPM-200</w:t>
            </w:r>
          </w:p>
        </w:tc>
        <w:tc>
          <w:tcPr>
            <w:tcW w:w="190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谱育EXPEC 2000</w:t>
            </w:r>
          </w:p>
        </w:tc>
        <w:tc>
          <w:tcPr>
            <w:tcW w:w="121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AQMS200</w:t>
            </w:r>
          </w:p>
        </w:tc>
        <w:tc>
          <w:tcPr>
            <w:tcW w:w="1211"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AQMS100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6" w:hRule="atLeast"/>
          <w:jc w:val="center"/>
        </w:trPr>
        <w:tc>
          <w:tcPr>
            <w:tcW w:w="577"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p>
        </w:tc>
        <w:tc>
          <w:tcPr>
            <w:tcW w:w="1222"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仙居环监站</w:t>
            </w:r>
          </w:p>
        </w:tc>
        <w:tc>
          <w:tcPr>
            <w:tcW w:w="1403"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8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6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赛默飞48i</w:t>
            </w:r>
          </w:p>
        </w:tc>
        <w:tc>
          <w:tcPr>
            <w:tcW w:w="138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5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33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90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21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赛默飞146i</w:t>
            </w:r>
          </w:p>
        </w:tc>
        <w:tc>
          <w:tcPr>
            <w:tcW w:w="1211"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6" w:hRule="atLeast"/>
          <w:jc w:val="center"/>
        </w:trPr>
        <w:tc>
          <w:tcPr>
            <w:tcW w:w="577"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1222"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仙居新生中学</w:t>
            </w:r>
          </w:p>
        </w:tc>
        <w:tc>
          <w:tcPr>
            <w:tcW w:w="1403"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8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6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赛默飞48i</w:t>
            </w:r>
          </w:p>
        </w:tc>
        <w:tc>
          <w:tcPr>
            <w:tcW w:w="138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瑞典荣生AR500</w:t>
            </w:r>
          </w:p>
        </w:tc>
        <w:tc>
          <w:tcPr>
            <w:tcW w:w="135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33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90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21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赛默飞146i</w:t>
            </w:r>
          </w:p>
        </w:tc>
        <w:tc>
          <w:tcPr>
            <w:tcW w:w="1211"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6" w:hRule="atLeast"/>
          <w:jc w:val="center"/>
        </w:trPr>
        <w:tc>
          <w:tcPr>
            <w:tcW w:w="577"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w:t>
            </w:r>
          </w:p>
        </w:tc>
        <w:tc>
          <w:tcPr>
            <w:tcW w:w="1222"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仙居现代工业园区</w:t>
            </w:r>
          </w:p>
        </w:tc>
        <w:tc>
          <w:tcPr>
            <w:tcW w:w="1403"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赛默飞43i</w:t>
            </w:r>
          </w:p>
        </w:tc>
        <w:tc>
          <w:tcPr>
            <w:tcW w:w="138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赛默飞42i</w:t>
            </w:r>
          </w:p>
        </w:tc>
        <w:tc>
          <w:tcPr>
            <w:tcW w:w="136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赛默飞48i</w:t>
            </w:r>
          </w:p>
        </w:tc>
        <w:tc>
          <w:tcPr>
            <w:tcW w:w="138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赛默飞49i</w:t>
            </w:r>
          </w:p>
        </w:tc>
        <w:tc>
          <w:tcPr>
            <w:tcW w:w="135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33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90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禾信ACGCMS1000</w:t>
            </w:r>
          </w:p>
        </w:tc>
        <w:tc>
          <w:tcPr>
            <w:tcW w:w="121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赛默飞146i</w:t>
            </w:r>
          </w:p>
        </w:tc>
        <w:tc>
          <w:tcPr>
            <w:tcW w:w="1211"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6" w:hRule="atLeast"/>
          <w:jc w:val="center"/>
        </w:trPr>
        <w:tc>
          <w:tcPr>
            <w:tcW w:w="577"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w:t>
            </w:r>
          </w:p>
        </w:tc>
        <w:tc>
          <w:tcPr>
            <w:tcW w:w="1222"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三门环监站</w:t>
            </w:r>
          </w:p>
        </w:tc>
        <w:tc>
          <w:tcPr>
            <w:tcW w:w="1403"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瑞荣荣生AR500</w:t>
            </w:r>
          </w:p>
        </w:tc>
        <w:tc>
          <w:tcPr>
            <w:tcW w:w="138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瑞荣荣生AR500</w:t>
            </w:r>
          </w:p>
        </w:tc>
        <w:tc>
          <w:tcPr>
            <w:tcW w:w="136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赛默飞48i</w:t>
            </w:r>
          </w:p>
        </w:tc>
        <w:tc>
          <w:tcPr>
            <w:tcW w:w="138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瑞荣荣生AR500</w:t>
            </w:r>
          </w:p>
        </w:tc>
        <w:tc>
          <w:tcPr>
            <w:tcW w:w="135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33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90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21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赛默飞146i</w:t>
            </w:r>
          </w:p>
        </w:tc>
        <w:tc>
          <w:tcPr>
            <w:tcW w:w="1211"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6" w:hRule="atLeast"/>
          <w:jc w:val="center"/>
        </w:trPr>
        <w:tc>
          <w:tcPr>
            <w:tcW w:w="577"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w:t>
            </w:r>
          </w:p>
        </w:tc>
        <w:tc>
          <w:tcPr>
            <w:tcW w:w="1222"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三门心湖站</w:t>
            </w:r>
          </w:p>
        </w:tc>
        <w:tc>
          <w:tcPr>
            <w:tcW w:w="1403"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赛默飞43i</w:t>
            </w:r>
          </w:p>
        </w:tc>
        <w:tc>
          <w:tcPr>
            <w:tcW w:w="138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赛默飞42i</w:t>
            </w:r>
          </w:p>
        </w:tc>
        <w:tc>
          <w:tcPr>
            <w:tcW w:w="136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赛默飞48i</w:t>
            </w:r>
          </w:p>
        </w:tc>
        <w:tc>
          <w:tcPr>
            <w:tcW w:w="138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赛默飞49i</w:t>
            </w:r>
          </w:p>
        </w:tc>
        <w:tc>
          <w:tcPr>
            <w:tcW w:w="135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33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90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21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赛默飞146i</w:t>
            </w:r>
          </w:p>
        </w:tc>
        <w:tc>
          <w:tcPr>
            <w:tcW w:w="1211"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6" w:hRule="atLeast"/>
          <w:jc w:val="center"/>
        </w:trPr>
        <w:tc>
          <w:tcPr>
            <w:tcW w:w="577"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p>
        </w:tc>
        <w:tc>
          <w:tcPr>
            <w:tcW w:w="1222"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三门沿海工业城</w:t>
            </w:r>
          </w:p>
        </w:tc>
        <w:tc>
          <w:tcPr>
            <w:tcW w:w="1403"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赛默飞43i</w:t>
            </w:r>
          </w:p>
        </w:tc>
        <w:tc>
          <w:tcPr>
            <w:tcW w:w="138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赛默飞42i</w:t>
            </w:r>
          </w:p>
        </w:tc>
        <w:tc>
          <w:tcPr>
            <w:tcW w:w="136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赛默飞48i</w:t>
            </w:r>
          </w:p>
        </w:tc>
        <w:tc>
          <w:tcPr>
            <w:tcW w:w="138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赛默飞49i</w:t>
            </w:r>
          </w:p>
        </w:tc>
        <w:tc>
          <w:tcPr>
            <w:tcW w:w="135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33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SHARP5030</w:t>
            </w:r>
          </w:p>
        </w:tc>
        <w:tc>
          <w:tcPr>
            <w:tcW w:w="1905"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谱育EXPEC 2000</w:t>
            </w:r>
          </w:p>
        </w:tc>
        <w:tc>
          <w:tcPr>
            <w:tcW w:w="1210"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赛默飞146i</w:t>
            </w:r>
          </w:p>
        </w:tc>
        <w:tc>
          <w:tcPr>
            <w:tcW w:w="1211" w:type="dxa"/>
            <w:shd w:val="clear" w:color="auto" w:fill="auto"/>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赛默飞111</w:t>
            </w:r>
          </w:p>
        </w:tc>
      </w:tr>
    </w:tbl>
    <w:p>
      <w:pPr>
        <w:widowControl/>
        <w:shd w:val="clear"/>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水质自动监测站各站点主要设备清单</w:t>
      </w:r>
    </w:p>
    <w:tbl>
      <w:tblPr>
        <w:tblStyle w:val="30"/>
        <w:tblW w:w="14346" w:type="dxa"/>
        <w:jc w:val="center"/>
        <w:tblLayout w:type="fixed"/>
        <w:tblCellMar>
          <w:top w:w="0" w:type="dxa"/>
          <w:left w:w="0" w:type="dxa"/>
          <w:bottom w:w="0" w:type="dxa"/>
          <w:right w:w="0" w:type="dxa"/>
        </w:tblCellMar>
      </w:tblPr>
      <w:tblGrid>
        <w:gridCol w:w="1781"/>
        <w:gridCol w:w="1425"/>
        <w:gridCol w:w="1380"/>
        <w:gridCol w:w="2745"/>
        <w:gridCol w:w="2685"/>
        <w:gridCol w:w="2010"/>
        <w:gridCol w:w="2320"/>
      </w:tblGrid>
      <w:tr>
        <w:tblPrEx>
          <w:tblCellMar>
            <w:top w:w="0" w:type="dxa"/>
            <w:left w:w="0" w:type="dxa"/>
            <w:bottom w:w="0" w:type="dxa"/>
            <w:right w:w="0" w:type="dxa"/>
          </w:tblCellMar>
        </w:tblPrEx>
        <w:trPr>
          <w:trHeight w:val="966" w:hRule="atLeast"/>
          <w:jc w:val="center"/>
        </w:trPr>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站点名称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五参数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氨氮</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总磷总氮</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高锰酸盐指数</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藻类分类</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生物毒性</w:t>
            </w:r>
          </w:p>
        </w:tc>
      </w:tr>
      <w:tr>
        <w:tblPrEx>
          <w:tblCellMar>
            <w:top w:w="0" w:type="dxa"/>
            <w:left w:w="0" w:type="dxa"/>
            <w:bottom w:w="0" w:type="dxa"/>
            <w:right w:w="0" w:type="dxa"/>
          </w:tblCellMar>
        </w:tblPrEx>
        <w:trPr>
          <w:trHeight w:val="966" w:hRule="atLeast"/>
          <w:jc w:val="center"/>
        </w:trPr>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黄礁</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哈希SC1000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w:t>
            </w:r>
          </w:p>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AMTAXTM sc</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哈希NPW-160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科泽K301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CellMar>
            <w:top w:w="0" w:type="dxa"/>
            <w:left w:w="0" w:type="dxa"/>
            <w:bottom w:w="0" w:type="dxa"/>
            <w:right w:w="0" w:type="dxa"/>
          </w:tblCellMar>
        </w:tblPrEx>
        <w:trPr>
          <w:trHeight w:val="966" w:hRule="atLeast"/>
          <w:jc w:val="center"/>
        </w:trPr>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坝头闸</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WTW 2020XT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岛津NHN-4210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哈希NPW-160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亚那科C0D-380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CellMar>
            <w:top w:w="0" w:type="dxa"/>
            <w:left w:w="0" w:type="dxa"/>
            <w:bottom w:w="0" w:type="dxa"/>
            <w:right w:w="0" w:type="dxa"/>
          </w:tblCellMar>
        </w:tblPrEx>
        <w:trPr>
          <w:trHeight w:val="966" w:hRule="atLeast"/>
          <w:jc w:val="center"/>
        </w:trPr>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佛岭水库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哈希SC1000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岛津NHN-4210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岛津TNP-4110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亚那科C0D-380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BBE AOA</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Microlan Toxcontrol</w:t>
            </w:r>
          </w:p>
        </w:tc>
      </w:tr>
      <w:tr>
        <w:tblPrEx>
          <w:tblCellMar>
            <w:top w:w="0" w:type="dxa"/>
            <w:left w:w="0" w:type="dxa"/>
            <w:bottom w:w="0" w:type="dxa"/>
            <w:right w:w="0" w:type="dxa"/>
          </w:tblCellMar>
        </w:tblPrEx>
        <w:trPr>
          <w:trHeight w:val="966" w:hRule="atLeast"/>
          <w:jc w:val="center"/>
        </w:trPr>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滨海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WTW 2020XT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岛津NHN-4210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哈希NPW-160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亚那科C0D-380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CellMar>
            <w:top w:w="0" w:type="dxa"/>
            <w:left w:w="0" w:type="dxa"/>
            <w:bottom w:w="0" w:type="dxa"/>
            <w:right w:w="0" w:type="dxa"/>
          </w:tblCellMar>
        </w:tblPrEx>
        <w:trPr>
          <w:trHeight w:val="966" w:hRule="atLeast"/>
          <w:jc w:val="center"/>
        </w:trPr>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泽国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哈希SC1000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w:t>
            </w:r>
          </w:p>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AMTAXTM sc</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哈希NPW-160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科泽K301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CellMar>
            <w:top w:w="0" w:type="dxa"/>
            <w:left w:w="0" w:type="dxa"/>
            <w:bottom w:w="0" w:type="dxa"/>
            <w:right w:w="0" w:type="dxa"/>
          </w:tblCellMar>
        </w:tblPrEx>
        <w:trPr>
          <w:trHeight w:val="966" w:hRule="atLeast"/>
          <w:jc w:val="center"/>
        </w:trPr>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湖漫水库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哈希SC1000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布朗卢比PowerMon</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哈希NPW-160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科泽K301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BBE AOA</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深圳有为UTOX</w:t>
            </w:r>
          </w:p>
        </w:tc>
      </w:tr>
      <w:tr>
        <w:tblPrEx>
          <w:tblCellMar>
            <w:top w:w="0" w:type="dxa"/>
            <w:left w:w="0" w:type="dxa"/>
            <w:bottom w:w="0" w:type="dxa"/>
            <w:right w:w="0" w:type="dxa"/>
          </w:tblCellMar>
        </w:tblPrEx>
        <w:trPr>
          <w:trHeight w:val="966" w:hRule="atLeast"/>
          <w:jc w:val="center"/>
        </w:trPr>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分水山泄水闸</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哈希SC1000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w:t>
            </w:r>
          </w:p>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AMTAXTM sc</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哈希NPW-160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科泽K301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CellMar>
            <w:top w:w="0" w:type="dxa"/>
            <w:left w:w="0" w:type="dxa"/>
            <w:bottom w:w="0" w:type="dxa"/>
            <w:right w:w="0" w:type="dxa"/>
          </w:tblCellMar>
        </w:tblPrEx>
        <w:trPr>
          <w:trHeight w:val="966" w:hRule="atLeast"/>
          <w:jc w:val="center"/>
        </w:trPr>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礁头闸</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哈希SC1000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w:t>
            </w:r>
          </w:p>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AMTAXTM sc</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哈希NPW-160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科泽K301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CellMar>
            <w:top w:w="0" w:type="dxa"/>
            <w:left w:w="0" w:type="dxa"/>
            <w:bottom w:w="0" w:type="dxa"/>
            <w:right w:w="0" w:type="dxa"/>
          </w:tblCellMar>
        </w:tblPrEx>
        <w:trPr>
          <w:trHeight w:val="966" w:hRule="atLeast"/>
          <w:jc w:val="center"/>
        </w:trPr>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小闾水库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哈希SC1000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布朗卢比PowerMon</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岛津TNP-4110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科泽K301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BBE AOA</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理工环科WQMS2000</w:t>
            </w:r>
          </w:p>
        </w:tc>
      </w:tr>
      <w:tr>
        <w:tblPrEx>
          <w:tblCellMar>
            <w:top w:w="0" w:type="dxa"/>
            <w:left w:w="0" w:type="dxa"/>
            <w:bottom w:w="0" w:type="dxa"/>
            <w:right w:w="0" w:type="dxa"/>
          </w:tblCellMar>
        </w:tblPrEx>
        <w:trPr>
          <w:trHeight w:val="966" w:hRule="atLeast"/>
          <w:jc w:val="center"/>
        </w:trPr>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双庙水库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WTW 2020XT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岛津NHN-4210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岛津TNP-4200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亚那科C0D-380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BBE AOA</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理工环科WQMS2000</w:t>
            </w:r>
          </w:p>
        </w:tc>
      </w:tr>
      <w:tr>
        <w:tblPrEx>
          <w:tblCellMar>
            <w:top w:w="0" w:type="dxa"/>
            <w:left w:w="0" w:type="dxa"/>
            <w:bottom w:w="0" w:type="dxa"/>
            <w:right w:w="0" w:type="dxa"/>
          </w:tblCellMar>
        </w:tblPrEx>
        <w:trPr>
          <w:trHeight w:val="966" w:hRule="atLeast"/>
          <w:jc w:val="center"/>
        </w:trPr>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里墩水库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WTW 2020XT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岛津NHN-4210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岛津TNP-4200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亚那科C0D-380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BBE AOA</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理工环科WQMS2000</w:t>
            </w:r>
          </w:p>
        </w:tc>
      </w:tr>
      <w:tr>
        <w:tblPrEx>
          <w:tblCellMar>
            <w:top w:w="0" w:type="dxa"/>
            <w:left w:w="0" w:type="dxa"/>
            <w:bottom w:w="0" w:type="dxa"/>
            <w:right w:w="0" w:type="dxa"/>
          </w:tblCellMar>
        </w:tblPrEx>
        <w:trPr>
          <w:trHeight w:val="966" w:hRule="atLeast"/>
          <w:jc w:val="center"/>
        </w:trPr>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百步</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WTW 2020XT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岛津NHN-4210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哈希NPW-160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亚那科C0D-380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CellMar>
            <w:top w:w="0" w:type="dxa"/>
            <w:left w:w="0" w:type="dxa"/>
            <w:bottom w:w="0" w:type="dxa"/>
            <w:right w:w="0" w:type="dxa"/>
          </w:tblCellMar>
        </w:tblPrEx>
        <w:trPr>
          <w:trHeight w:val="966" w:hRule="atLeast"/>
          <w:jc w:val="center"/>
        </w:trPr>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牛头山</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哈希SC1000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布朗卢比PowerMon</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岛津TNP-4110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科泽K301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BBE AOA</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理工环科WQMS2000</w:t>
            </w:r>
          </w:p>
        </w:tc>
      </w:tr>
      <w:tr>
        <w:tblPrEx>
          <w:tblCellMar>
            <w:top w:w="0" w:type="dxa"/>
            <w:left w:w="0" w:type="dxa"/>
            <w:bottom w:w="0" w:type="dxa"/>
            <w:right w:w="0" w:type="dxa"/>
          </w:tblCellMar>
        </w:tblPrEx>
        <w:trPr>
          <w:trHeight w:val="966" w:hRule="atLeast"/>
          <w:jc w:val="center"/>
        </w:trPr>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田芯</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哈希SC1000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w:t>
            </w:r>
          </w:p>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AMTAXTM sc</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哈希NPW-160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科泽K301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CellMar>
            <w:top w:w="0" w:type="dxa"/>
            <w:left w:w="0" w:type="dxa"/>
            <w:bottom w:w="0" w:type="dxa"/>
            <w:right w:w="0" w:type="dxa"/>
          </w:tblCellMar>
        </w:tblPrEx>
        <w:trPr>
          <w:trHeight w:val="966" w:hRule="atLeast"/>
          <w:jc w:val="center"/>
        </w:trPr>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黄龙水库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哈希SC1000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布朗卢比PowerMon</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岛津TNP-4110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科泽K301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BBE AOA</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理工环科WQMS2000</w:t>
            </w:r>
          </w:p>
        </w:tc>
      </w:tr>
      <w:tr>
        <w:tblPrEx>
          <w:tblCellMar>
            <w:top w:w="0" w:type="dxa"/>
            <w:left w:w="0" w:type="dxa"/>
            <w:bottom w:w="0" w:type="dxa"/>
            <w:right w:w="0" w:type="dxa"/>
          </w:tblCellMar>
        </w:tblPrEx>
        <w:trPr>
          <w:trHeight w:val="966" w:hRule="atLeast"/>
          <w:jc w:val="center"/>
        </w:trPr>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冲背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WTW 2020XT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岛津NHN-4210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岛津TNP-4200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中兴E310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CellMar>
            <w:top w:w="0" w:type="dxa"/>
            <w:left w:w="0" w:type="dxa"/>
            <w:bottom w:w="0" w:type="dxa"/>
            <w:right w:w="0" w:type="dxa"/>
          </w:tblCellMar>
        </w:tblPrEx>
        <w:trPr>
          <w:trHeight w:val="966" w:hRule="atLeast"/>
          <w:jc w:val="center"/>
        </w:trPr>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西岙水库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哈希SC1000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布朗卢比PowerMon</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岛津TNP-4110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科泽K301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BBE AOA</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理工环科WQMS2000</w:t>
            </w:r>
          </w:p>
        </w:tc>
      </w:tr>
      <w:tr>
        <w:tblPrEx>
          <w:tblCellMar>
            <w:top w:w="0" w:type="dxa"/>
            <w:left w:w="0" w:type="dxa"/>
            <w:bottom w:w="0" w:type="dxa"/>
            <w:right w:w="0" w:type="dxa"/>
          </w:tblCellMar>
        </w:tblPrEx>
        <w:trPr>
          <w:trHeight w:val="966" w:hRule="atLeast"/>
          <w:jc w:val="center"/>
        </w:trPr>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涛头堍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WTW 2020XT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岛津NHN-4210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岛津TNP-4200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中兴E310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CellMar>
            <w:top w:w="0" w:type="dxa"/>
            <w:left w:w="0" w:type="dxa"/>
            <w:bottom w:w="0" w:type="dxa"/>
            <w:right w:w="0" w:type="dxa"/>
          </w:tblCellMar>
        </w:tblPrEx>
        <w:trPr>
          <w:trHeight w:val="966" w:hRule="atLeast"/>
          <w:jc w:val="center"/>
        </w:trPr>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健跳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WTW 2020XT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岛津NHN-4210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岛津TNP-4200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中兴E310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CellMar>
            <w:top w:w="0" w:type="dxa"/>
            <w:left w:w="0" w:type="dxa"/>
            <w:bottom w:w="0" w:type="dxa"/>
            <w:right w:w="0" w:type="dxa"/>
          </w:tblCellMar>
        </w:tblPrEx>
        <w:trPr>
          <w:trHeight w:val="966" w:hRule="atLeast"/>
          <w:jc w:val="center"/>
        </w:trPr>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石岩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哈希</w:t>
            </w:r>
          </w:p>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SC1000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中兴C310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岛津TNP-4110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科泽K301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BBE AOA</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理工环科WQMS2000</w:t>
            </w:r>
          </w:p>
        </w:tc>
      </w:tr>
      <w:tr>
        <w:tblPrEx>
          <w:tblCellMar>
            <w:top w:w="0" w:type="dxa"/>
            <w:left w:w="0" w:type="dxa"/>
            <w:bottom w:w="0" w:type="dxa"/>
            <w:right w:w="0" w:type="dxa"/>
          </w:tblCellMar>
        </w:tblPrEx>
        <w:trPr>
          <w:trHeight w:val="966" w:hRule="atLeast"/>
          <w:jc w:val="center"/>
        </w:trPr>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佃石水库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理工环科WQMS2000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理工环科WQMS2000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理工环科WQMS2000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理工环科WQMS2000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BBE AOA</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理工环科WQMS2000</w:t>
            </w:r>
          </w:p>
        </w:tc>
      </w:tr>
    </w:tbl>
    <w:p>
      <w:pPr>
        <w:shd w:val="clear"/>
        <w:rPr>
          <w:rFonts w:hint="eastAsia"/>
          <w:color w:val="000000" w:themeColor="text1"/>
          <w:highlight w:val="none"/>
          <w14:textFill>
            <w14:solidFill>
              <w14:schemeClr w14:val="tx1"/>
            </w14:solidFill>
          </w14:textFill>
        </w:rPr>
        <w:sectPr>
          <w:pgSz w:w="16838" w:h="11906" w:orient="landscape"/>
          <w:pgMar w:top="1440" w:right="1440" w:bottom="1440" w:left="1440" w:header="851" w:footer="992" w:gutter="0"/>
          <w:pgNumType w:fmt="decimal"/>
          <w:cols w:space="0" w:num="1"/>
          <w:docGrid w:type="lines" w:linePitch="322" w:charSpace="0"/>
        </w:sectPr>
      </w:pPr>
    </w:p>
    <w:p>
      <w:pPr>
        <w:shd w:val="clear"/>
        <w:bidi w:val="0"/>
        <w:spacing w:line="360" w:lineRule="auto"/>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七、</w:t>
      </w:r>
      <w:r>
        <w:rPr>
          <w:rFonts w:hint="eastAsia"/>
          <w:b/>
          <w:bCs/>
          <w:color w:val="000000" w:themeColor="text1"/>
          <w:sz w:val="24"/>
          <w:szCs w:val="24"/>
          <w:highlight w:val="none"/>
          <w14:textFill>
            <w14:solidFill>
              <w14:schemeClr w14:val="tx1"/>
            </w14:solidFill>
          </w14:textFill>
        </w:rPr>
        <w:t>服务需求</w:t>
      </w:r>
    </w:p>
    <w:p>
      <w:pPr>
        <w:shd w:val="clear"/>
        <w:bidi w:val="0"/>
        <w:spacing w:line="360" w:lineRule="auto"/>
        <w:rPr>
          <w:rFonts w:hint="eastAsia"/>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标项一、标项二空气自动监测站服务需求：</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1、工作内容</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1.1运维</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技术规范和相关要求对仪器进行运行维护及管理，包括日常维护、日常数据初审、仪器维修、故障处理、备品备件耗材提供。按要求完成质控措施，填写运维记录、仪器校准记录、质控记录、故障排除记录等。服务期内仪器维修费、耗材及备品备件、站点运行所需电费、网络费、防雷检测报告由中标人承担及提供。</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1.2</w:t>
      </w:r>
      <w:r>
        <w:rPr>
          <w:rFonts w:hint="eastAsia" w:ascii="宋体" w:hAnsi="宋体" w:eastAsia="宋体" w:cs="宋体"/>
          <w:b/>
          <w:bCs/>
          <w:color w:val="000000" w:themeColor="text1"/>
          <w:sz w:val="24"/>
          <w:szCs w:val="24"/>
          <w:highlight w:val="none"/>
          <w:lang w:eastAsia="zh-CN"/>
          <w14:textFill>
            <w14:solidFill>
              <w14:schemeClr w14:val="tx1"/>
            </w14:solidFill>
          </w14:textFill>
        </w:rPr>
        <w:t>监理</w:t>
      </w:r>
      <w:r>
        <w:rPr>
          <w:rFonts w:hint="eastAsia" w:ascii="宋体" w:hAnsi="宋体" w:eastAsia="宋体" w:cs="宋体"/>
          <w:b/>
          <w:bCs/>
          <w:color w:val="000000" w:themeColor="text1"/>
          <w:sz w:val="24"/>
          <w:szCs w:val="24"/>
          <w:highlight w:val="none"/>
          <w14:textFill>
            <w14:solidFill>
              <w14:schemeClr w14:val="tx1"/>
            </w14:solidFill>
          </w14:textFill>
        </w:rPr>
        <w:t>检查</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运维服务期内，标项一和标项二中标单位</w:t>
      </w:r>
      <w:r>
        <w:rPr>
          <w:rFonts w:hint="eastAsia" w:ascii="宋体" w:hAnsi="宋体" w:eastAsia="宋体" w:cs="宋体"/>
          <w:color w:val="000000" w:themeColor="text1"/>
          <w:sz w:val="24"/>
          <w:szCs w:val="24"/>
          <w:highlight w:val="none"/>
          <w:lang w:eastAsia="zh-CN"/>
          <w14:textFill>
            <w14:solidFill>
              <w14:schemeClr w14:val="tx1"/>
            </w14:solidFill>
          </w14:textFill>
        </w:rPr>
        <w:t>配合监理单位进行监理</w:t>
      </w:r>
      <w:r>
        <w:rPr>
          <w:rFonts w:hint="eastAsia" w:ascii="宋体" w:hAnsi="宋体" w:eastAsia="宋体" w:cs="宋体"/>
          <w:color w:val="000000" w:themeColor="text1"/>
          <w:sz w:val="24"/>
          <w:szCs w:val="24"/>
          <w:highlight w:val="none"/>
          <w14:textFill>
            <w14:solidFill>
              <w14:schemeClr w14:val="tx1"/>
            </w14:solidFill>
          </w14:textFill>
        </w:rPr>
        <w:t>检查，</w:t>
      </w:r>
      <w:r>
        <w:rPr>
          <w:rFonts w:hint="eastAsia" w:ascii="宋体" w:hAnsi="宋体" w:eastAsia="宋体" w:cs="宋体"/>
          <w:color w:val="000000" w:themeColor="text1"/>
          <w:sz w:val="24"/>
          <w:szCs w:val="24"/>
          <w:highlight w:val="none"/>
          <w:lang w:eastAsia="zh-CN"/>
          <w14:textFill>
            <w14:solidFill>
              <w14:schemeClr w14:val="tx1"/>
            </w14:solidFill>
          </w14:textFill>
        </w:rPr>
        <w:t>监理</w:t>
      </w:r>
      <w:r>
        <w:rPr>
          <w:rFonts w:hint="eastAsia" w:ascii="宋体" w:hAnsi="宋体" w:eastAsia="宋体" w:cs="宋体"/>
          <w:color w:val="000000" w:themeColor="text1"/>
          <w:sz w:val="24"/>
          <w:szCs w:val="24"/>
          <w:highlight w:val="none"/>
          <w14:textFill>
            <w14:solidFill>
              <w14:schemeClr w14:val="tx1"/>
            </w14:solidFill>
          </w14:textFill>
        </w:rPr>
        <w:t>检查工作包括但不限于运维体系检查、数据质量监督检查、异常数据检查和盲样考核等</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2、总体要求</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2.1项目实施规范</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环境空气气态污染物（SO2、NO2、O3、CO）连续自动监测系统运行与质控技术规范》（HJ818-2018）、《环境空气颗粒物（PM10和PM2.5)连续自动监测系统运行和质控技术规范》（HJ817-2018）、《国家环境空气监测网环境空气挥发性有机物连续自动监测质量控制技术规定(试行)》、《国家环境空气质量监测网城市站运行管理实施细则》、《浙江省环境空气质量自动监测系统运行管理细则》、《浙江省生态环境监测中心关于加强全省环境空气自动监测系统相关工作的通知》和《浙江省省控环境空气自动监测站及重点工业园区环境空气自动监测站管理实施细则》（浙环监函[2021]12号）、《浙江省城市环境空气自动监测系统运维检查和质控考核工作方案》（浙环监发[2020]18号）等相关技术规范和管理细则要求进行运行维护及管理；</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2.2对运维单位的要求</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2.2.1投标人必须有较强的系统集成能力，具有空气、VOCs自动监测站运维能力，承担过类似的空气自动监测运维工作，在业界有良好的信誉和口碑，且具备稳定的专业服务团队；</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2.2.2运维单位必须在台州市设立固定服务点及办事机构，为本项目配置专业的运维人员和车辆（标项一、二各</w:t>
      </w:r>
      <w:r>
        <w:rPr>
          <w:rFonts w:hint="eastAsia" w:ascii="宋体" w:hAnsi="宋体" w:eastAsia="宋体" w:cs="宋体"/>
          <w:color w:val="000000" w:themeColor="text1"/>
          <w:sz w:val="24"/>
          <w:szCs w:val="24"/>
          <w:highlight w:val="none"/>
          <w:lang w:val="en-US" w:eastAsia="zh-CN"/>
          <w14:textFill>
            <w14:solidFill>
              <w14:schemeClr w14:val="tx1"/>
            </w14:solidFill>
          </w14:textFill>
        </w:rPr>
        <w:t>需</w:t>
      </w:r>
      <w:r>
        <w:rPr>
          <w:rFonts w:hint="eastAsia" w:ascii="宋体" w:hAnsi="宋体" w:eastAsia="宋体" w:cs="宋体"/>
          <w:color w:val="000000" w:themeColor="text1"/>
          <w:sz w:val="24"/>
          <w:szCs w:val="24"/>
          <w:highlight w:val="none"/>
          <w14:textFill>
            <w14:solidFill>
              <w14:schemeClr w14:val="tx1"/>
            </w14:solidFill>
          </w14:textFill>
        </w:rPr>
        <w:t>至少5名专业</w:t>
      </w:r>
      <w:r>
        <w:rPr>
          <w:rFonts w:hint="eastAsia" w:ascii="宋体" w:hAnsi="宋体" w:eastAsia="宋体" w:cs="宋体"/>
          <w:color w:val="000000" w:themeColor="text1"/>
          <w:sz w:val="24"/>
          <w:szCs w:val="24"/>
          <w:highlight w:val="none"/>
          <w:lang w:val="en-US" w:eastAsia="zh-CN"/>
          <w14:textFill>
            <w14:solidFill>
              <w14:schemeClr w14:val="tx1"/>
            </w14:solidFill>
          </w14:textFill>
        </w:rPr>
        <w:t>运维</w:t>
      </w:r>
      <w:r>
        <w:rPr>
          <w:rFonts w:hint="eastAsia" w:ascii="宋体" w:hAnsi="宋体" w:eastAsia="宋体" w:cs="宋体"/>
          <w:color w:val="000000" w:themeColor="text1"/>
          <w:sz w:val="24"/>
          <w:szCs w:val="24"/>
          <w:highlight w:val="none"/>
          <w14:textFill>
            <w14:solidFill>
              <w14:schemeClr w14:val="tx1"/>
            </w14:solidFill>
          </w14:textFill>
        </w:rPr>
        <w:t>人员，配备配备专用车辆3辆；标项一、二分别各提供一名技术人员常驻浙江省台州生态环境监测中心），驻站人员须熟练掌握浙江省环境空气自动监测数据审核和分析技术指南相关知识，胜任数据审核及报告编制工作。运维人员需有两年以上相关工作经验且具有省级及以上环境监测主管部门或环境协会颁发的空气质量自动站运维培训合格证，并在有效期内。运维车辆和技术人员必须为本项目专用，不得与其他项目兼用。专业技术人员队伍应保持相对稳定，并在投标时提供聘用合同及职工社会保险缴纳有效材料（原件及复印件）供采购人查验。</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 委托运维期间，要求运维公司提供7×24小时全天候服务，当项目运维清单中设备发生故障时，须向采购人报告，中标人承担所有维修费用，故障须尽快解决，故障超过1天须说明原因并提供维修证明，维修时间最迟不得超过3天，如在3天内无法修复的设备，须提供相当性能、功能的备机，但备机不得连续使用超过一个月。</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运维单位应建立备品备件制度，在办事机构配备足够的备品备件、专用工具耗材（便携式电脑、万用表、远程数据查询系统、各种硬件接口线、接口调试软件及常用零部件等）、药品试剂等，为本项目常备与同品牌的常规6</w:t>
      </w:r>
      <w:r>
        <w:rPr>
          <w:rFonts w:hint="eastAsia" w:ascii="宋体" w:hAnsi="宋体" w:eastAsia="宋体" w:cs="宋体"/>
          <w:color w:val="000000" w:themeColor="text1"/>
          <w:sz w:val="24"/>
          <w:szCs w:val="24"/>
          <w:highlight w:val="none"/>
          <w:lang w:val="en-US" w:eastAsia="zh-CN"/>
          <w14:textFill>
            <w14:solidFill>
              <w14:schemeClr w14:val="tx1"/>
            </w14:solidFill>
          </w14:textFill>
        </w:rPr>
        <w:t>参数</w:t>
      </w:r>
      <w:r>
        <w:rPr>
          <w:rFonts w:hint="eastAsia" w:ascii="宋体" w:hAnsi="宋体" w:eastAsia="宋体" w:cs="宋体"/>
          <w:color w:val="000000" w:themeColor="text1"/>
          <w:sz w:val="24"/>
          <w:szCs w:val="24"/>
          <w:highlight w:val="none"/>
          <w14:textFill>
            <w14:solidFill>
              <w14:schemeClr w14:val="tx1"/>
            </w14:solidFill>
          </w14:textFill>
        </w:rPr>
        <w:t>备机一套（存放在采购人指定地点），确保运维项目的应急使用；</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2.2.5运维单位不得以任何形式对自动监测站所涉及的资产进行租用、出售、抵押、转移或处置；在委托运营维护及管理期间，运维单位有责任保证上述全部资产的完整、安全并始终处于良好状态。</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2.2.6在城市环境空气自动监测系统、重点工业园区自动监测站运维及管理期间，严格按照相关规范标准和仪器设备说明书对所管理的系统及仪器设备进行规范操作和精心维护及必要维修，保证系统及仪器设备的正常运行，达到业主提出的系统及仪器设备考核指标要求。运行单位须积极协助和配合浙江省台州生态环境监测中心完成上级部门对自动监测站运行检查及考核工作。运维过程中的耗材、备品备件需采用原厂件，如确实采购不到原厂件的，需向采购人报备并采购具有相同技术指标的耗材或配件。</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2.2.7提供完整的环境空气自动监测系统运维实施方案（含应急事故处理方案），提出解决问题的措施，明确维护方法、周期、内容及技术保障（包含本项目所含主要分析设备的日常维护和常见故障诊断方法）。有完善的管理制度及技术人员培训制度，指定项目负责人，并组织专职人员负责日常运营及质量管理。</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2.2.8数据保密，在委托管理期间，受托方应对系统状况和数据严格保密。未经委托方同意，受托方不得利用本项目的任意资料对外开展技术交流、业务联系、数据交换等。</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2.2.9运维单位须按照技术规范和管理细则要求填写仪器运维表格，做好空气站运行管理记录和存档。每次到站房运维后须为每台仪器填写运维表格，包括仪器原始设置、报警、维修、更换、保养、仪器校准、标气使用、采样管清洁等运行维护内容。运维期结束后所有原始记录须整理成册上交给采购人。每次更换下来的耗材、配件须保存好，标注更换日期，经采购人认可后方可处理。每半年提交一次运维报告，年度运维完成后提交总报告。</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2.2.10每月对运维站点出现的异常数据提交异常分析报告，并在报告中详细阐明异常原因和异常时段；工业园区空气自动站的VOCs数据，每月按站点进行分析并编制分析报告。</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2.3运维工作要求</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运维工作</w:t>
      </w:r>
      <w:r>
        <w:rPr>
          <w:rFonts w:hint="eastAsia" w:ascii="宋体" w:hAnsi="宋体" w:eastAsia="宋体" w:cs="宋体"/>
          <w:color w:val="000000" w:themeColor="text1"/>
          <w:sz w:val="24"/>
          <w:szCs w:val="24"/>
          <w:highlight w:val="none"/>
          <w14:textFill>
            <w14:solidFill>
              <w14:schemeClr w14:val="tx1"/>
            </w14:solidFill>
          </w14:textFill>
        </w:rPr>
        <w:t>主要包括环境管理、站房巡检管理、系统运行管理、质量控制、数据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初</w:t>
      </w:r>
      <w:r>
        <w:rPr>
          <w:rFonts w:hint="eastAsia" w:ascii="宋体" w:hAnsi="宋体" w:eastAsia="宋体" w:cs="宋体"/>
          <w:color w:val="000000" w:themeColor="text1"/>
          <w:sz w:val="24"/>
          <w:szCs w:val="24"/>
          <w:highlight w:val="none"/>
          <w14:textFill>
            <w14:solidFill>
              <w14:schemeClr w14:val="tx1"/>
            </w14:solidFill>
          </w14:textFill>
        </w:rPr>
        <w:t>审核等，参照《浙江省环境空气质量自动监测系统运行管理细则》《浙江省大气环境自动监测运维质控技术指南》执行，具体要求如下：</w:t>
      </w:r>
    </w:p>
    <w:p>
      <w:pPr>
        <w:shd w:val="clear"/>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(一)点位环境管理</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1.观察站点周边环境的变化；</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2.查看点位周围安全隐患；</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3.查看站点外围的道路、供电、通讯、给排水设施等；</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4.查看站房外围的防护栏、隔离带有无损坏情况；</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5.查看周围树木是否需要修剪；</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6.记录巡检情况，如果发现影响站点代表性和监测正常运行的环境变化，应及时进行处理，并报告浙江省台州生态环境监测中心；</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7.填写《巡查记录》。</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8.查看站点是否有人为干扰监测情况发生；如发现人为干扰情况须立即报告浙江省台州生态环境监测中心；</w:t>
      </w:r>
    </w:p>
    <w:p>
      <w:pPr>
        <w:shd w:val="clear"/>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（二）站房巡检管理（每周）</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1.查看站房的基础设施，包括避雷系统、消防、供电、通讯、给排水设施、供暖设施等；2.检查站房外部状况，包括建筑物、站房防漏防渗、天线设施；</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3.注意站房内部异常气味和噪音，并排查；</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4.检查站房内部设施，包括消防、照明、强弱电和接地、通讯网络、应急设施等；</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检查室内空调的是否工作正常和查看室内的温湿度。检查空调的出风口，防止出风直接吹在电磁阀和采样管上。冬夏季节检查站房室内外温差。若温差较大引起采样装置出现冷凝水，及时调整站房温度降低温差，或对采样总管采取适当的控制措施，防止冷凝现象。站房空调发生故障时应根据应急管理时效要求及时修复，如不能修复应及时更换，以确保子站监测设备正常运行；</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6.检查站房排风装置工作是否正常；</w:t>
      </w:r>
      <w:r>
        <w:rPr>
          <w:rFonts w:hint="eastAsia" w:ascii="宋体" w:hAnsi="宋体" w:eastAsia="宋体" w:cs="宋体"/>
          <w:color w:val="000000" w:themeColor="text1"/>
          <w:sz w:val="24"/>
          <w:szCs w:val="24"/>
          <w:highlight w:val="none"/>
          <w14:textFill>
            <w14:solidFill>
              <w14:schemeClr w14:val="tx1"/>
            </w14:solidFill>
          </w14:textFill>
        </w:rPr>
        <w:tab/>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7.检查稳压电源参数是否正常；</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8.检查各电源插头、线板工作是否正常；</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9.保持站房内部卫生整洁；</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10.记录巡检情况，如果发现影响自动站安全和正常运行的情况，应及时进行处理并修复，同时报告浙江省台州生态环境监测中心；</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11.填写《巡查记录》。</w:t>
      </w:r>
    </w:p>
    <w:p>
      <w:pPr>
        <w:shd w:val="clear"/>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（三）日常运维工作</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1.每日上午远程检查仪器运行状态，检查数据传输系统是否正常，是否存在报警，如发现数据持续异常情况，应立即前往站点进行检查；</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每日常检查谱图基线是否存在异常漂移，进行重积分，查看看上传平台的数据是否正常，并于17:00前对前一日数据进行审核和上传，VOC审核须将异常数据进行无效标识或剔除处理，并对需要进行基线调整的色谱峰进行重积分（节假日可顺延）；</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3.每日浓度漂移检查，浓度漂移FID≦15%，MSD≦30%。保留时间漂移≦0.5分钟，每日检查MSD内标响应，峰面积变化应为绘制校准曲线时峰面积的50-150%</w:t>
      </w:r>
    </w:p>
    <w:p>
      <w:pPr>
        <w:shd w:val="clear"/>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9" w:name="_Toc267994005"/>
      <w:bookmarkStart w:id="10" w:name="_Toc323393824"/>
      <w:bookmarkStart w:id="11" w:name="_Toc272221148"/>
      <w:r>
        <w:rPr>
          <w:rFonts w:hint="eastAsia" w:ascii="宋体" w:hAnsi="宋体" w:eastAsia="宋体" w:cs="宋体"/>
          <w:b/>
          <w:bCs/>
          <w:color w:val="000000" w:themeColor="text1"/>
          <w:sz w:val="24"/>
          <w:szCs w:val="24"/>
          <w:highlight w:val="none"/>
          <w14:textFill>
            <w14:solidFill>
              <w14:schemeClr w14:val="tx1"/>
            </w14:solidFill>
          </w14:textFill>
        </w:rPr>
        <w:t>(四)周</w:t>
      </w:r>
      <w:bookmarkEnd w:id="9"/>
      <w:r>
        <w:rPr>
          <w:rFonts w:hint="eastAsia" w:ascii="宋体" w:hAnsi="宋体" w:eastAsia="宋体" w:cs="宋体"/>
          <w:b/>
          <w:bCs/>
          <w:color w:val="000000" w:themeColor="text1"/>
          <w:sz w:val="24"/>
          <w:szCs w:val="24"/>
          <w:highlight w:val="none"/>
          <w14:textFill>
            <w14:solidFill>
              <w14:schemeClr w14:val="tx1"/>
            </w14:solidFill>
          </w14:textFill>
        </w:rPr>
        <w:t>运维工作</w:t>
      </w:r>
      <w:bookmarkEnd w:id="10"/>
      <w:bookmarkEnd w:id="11"/>
    </w:p>
    <w:p>
      <w:pPr>
        <w:shd w:val="clear"/>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1.常规六参数及其辅助设备（每周进行一次常规六参数零跨检查）</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(1)每周一次零点、标点检查或校准，并做好记录（O3零点和多点不得在每日9-17时进行）。</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(2)检查气体分析仪器采样过滤膜的污染情况，每周更换一次，保留滤膜并标记存储和记录以备可能研究。</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(3)检查采样总管系统、支路管线结合部和排气管路，查看是否漏气或堵塞现象。</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(4)检查颗粒物（PM10/PM2.5）纸带使用情况，及时更换。</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(5)检查空压机运行情况及时排空空气压缩机储气瓶中的积水。</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(6)检查标准气体钢瓶是否安全固定、阀门是否漏气、标准气体的有效期限和消耗情况等。</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（7）每周至少一次长光程监测系统光强检查，如有参数光强低于40％，必须调光，调光后SO2强度低于40%时或每1年须更换氙灯；</w:t>
      </w:r>
    </w:p>
    <w:p>
      <w:pPr>
        <w:shd w:val="clear"/>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2.VOCs分析仪</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(1)氮氢空一体机更换硅胶；</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(2)添加氢空（氮）一体机的超纯水；</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(3)每周更换内标，每两周更换氢空（氮）一体机的活性炭和采样过滤膜；</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(4)每十天左右更换外标。</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(5)每周检查FID氢气和空气输入压力和流量、初始炉温、升温降温程序、载气压力和流量、管线温度、EPC设置、质谱温度、EI能量是否正常。</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2" w:name="_Toc250034272"/>
      <w:bookmarkStart w:id="13" w:name="_Toc144956168"/>
      <w:bookmarkStart w:id="14" w:name="_Toc197339973"/>
      <w:bookmarkStart w:id="15" w:name="_Toc144179233"/>
      <w:bookmarkStart w:id="16" w:name="_Toc197315105"/>
      <w:bookmarkStart w:id="17" w:name="_Toc145075080"/>
      <w:bookmarkStart w:id="18" w:name="_Toc144871332"/>
      <w:bookmarkStart w:id="19" w:name="_Toc197658119"/>
      <w:bookmarkStart w:id="20" w:name="_Toc144954407"/>
      <w:bookmarkStart w:id="21" w:name="_Toc144866575"/>
      <w:bookmarkStart w:id="22" w:name="_Toc197315596"/>
      <w:bookmarkStart w:id="23" w:name="_Toc197155180"/>
      <w:bookmarkStart w:id="24" w:name="_Toc197155569"/>
      <w:bookmarkStart w:id="25" w:name="_Toc197690499"/>
      <w:bookmarkStart w:id="26" w:name="_Toc144956537"/>
      <w:bookmarkStart w:id="27" w:name="_Toc144955167"/>
      <w:bookmarkStart w:id="28" w:name="_Toc250374361"/>
      <w:bookmarkStart w:id="29" w:name="_Toc144592495"/>
      <w:bookmarkStart w:id="30" w:name="_Toc144870601"/>
      <w:bookmarkStart w:id="31" w:name="_Toc197359290"/>
      <w:bookmarkStart w:id="32" w:name="_Toc144179121"/>
      <w:bookmarkStart w:id="33" w:name="_Toc144179195"/>
      <w:bookmarkStart w:id="34" w:name="_Toc197690280"/>
      <w:bookmarkStart w:id="35" w:name="_Toc144866439"/>
      <w:bookmarkStart w:id="36" w:name="_Toc144178880"/>
      <w:bookmarkStart w:id="37" w:name="_Toc144869805"/>
      <w:bookmarkStart w:id="38" w:name="_Toc144956384"/>
      <w:bookmarkStart w:id="39" w:name="_Toc197156170"/>
      <w:bookmarkStart w:id="40" w:name="_Toc197358174"/>
      <w:r>
        <w:rPr>
          <w:rFonts w:hint="eastAsia" w:ascii="宋体" w:hAnsi="宋体" w:eastAsia="宋体" w:cs="宋体"/>
          <w:color w:val="000000" w:themeColor="text1"/>
          <w:sz w:val="24"/>
          <w:szCs w:val="24"/>
          <w:highlight w:val="none"/>
          <w14:textFill>
            <w14:solidFill>
              <w14:schemeClr w14:val="tx1"/>
            </w14:solidFill>
          </w14:textFill>
        </w:rPr>
        <w:t>(6)每次运维结束后记录仪器各显示状态参数，汇总运维记录。</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(7)VOCs气密性检查，冷井工作状态检查，真空泵工作状态。每周检查载气净化装置、质谱真空度，FID、MSD工作温度是否正常。</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(8)每周检查零气空白和系统空白。</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(9)每周检查分离度，环戊烷和异戊烷的分离度、2，3-二甲基戊烷和2甲基己烷的分离度、邻二甲苯和苯乙烯的分离度均应＞1.0</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(10)每周进行一次单点检查，相对误差应FID≦20%，MSD≦30%。</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shd w:val="clear"/>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1" w:name="_Toc323393826"/>
      <w:bookmarkStart w:id="42" w:name="_Toc267994007"/>
      <w:bookmarkStart w:id="43" w:name="_Toc272221150"/>
      <w:r>
        <w:rPr>
          <w:rFonts w:hint="eastAsia" w:ascii="宋体" w:hAnsi="宋体" w:eastAsia="宋体" w:cs="宋体"/>
          <w:b/>
          <w:bCs/>
          <w:color w:val="000000" w:themeColor="text1"/>
          <w:sz w:val="24"/>
          <w:szCs w:val="24"/>
          <w:highlight w:val="none"/>
          <w14:textFill>
            <w14:solidFill>
              <w14:schemeClr w14:val="tx1"/>
            </w14:solidFill>
          </w14:textFill>
        </w:rPr>
        <w:t>(五)月度/半年度运维工作</w:t>
      </w:r>
    </w:p>
    <w:p>
      <w:pPr>
        <w:shd w:val="clear"/>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4" w:name="_Hlk75948735"/>
      <w:r>
        <w:rPr>
          <w:rFonts w:hint="eastAsia" w:ascii="宋体" w:hAnsi="宋体" w:eastAsia="宋体" w:cs="宋体"/>
          <w:b/>
          <w:bCs/>
          <w:color w:val="000000" w:themeColor="text1"/>
          <w:sz w:val="24"/>
          <w:szCs w:val="24"/>
          <w:highlight w:val="none"/>
          <w14:textFill>
            <w14:solidFill>
              <w14:schemeClr w14:val="tx1"/>
            </w14:solidFill>
          </w14:textFill>
        </w:rPr>
        <w:t>1. 常规六参数及其辅助设备</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(1)每月对仪器包含（VOCs）进行气密性检查并对仪器流量进行检查或校准，使用可追溯标准流量计。</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(2)每季度对站点设备进行清洁（包括采样管）。</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(3)每季度一次气态污染物仪器（包含动态校准仪）精密度检查并做好记录。</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(4)每季度对臭氧进行溯源与标准传递工作。</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(5)每季度对颗粒物仪器进行标准膜校准、浊度检查等校准，对颗粒物仪器进行温度、湿度和压力检查或校准。</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(6)每半年对气态污染物总采样管进行一次清洗。</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(7)每半年对氮氧化物分析仪的钼炉转化率至少检查一次。</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(8)每半年气态污染物仪器（两次间隔为5-7月）（包含动态校准仪）一次多点线性校准并做好记录。</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(9)仪器维修更换重要部件（如电光部件和光学部件等）后要进行多点线性校准。</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（10）每半年对长光程监测系统发射/接受端的前窗玻璃窗镜至少进行一次清洁，擦洗时注意避免损坏前窗玻璃。每季度对长光程仪器进行一次运行状态检查。</w:t>
      </w:r>
    </w:p>
    <w:bookmarkEnd w:id="44"/>
    <w:p>
      <w:pPr>
        <w:shd w:val="clear"/>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 VOCs分析仪</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(1)每季度进行5个点以上的多点校准；</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(2)每月清洗冷凝器；</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(3)每月对在线VOC和气象六参数仪器内部相关部件外部灰尘吹扫。</w:t>
      </w:r>
      <w:bookmarkEnd w:id="41"/>
      <w:bookmarkEnd w:id="42"/>
      <w:bookmarkEnd w:id="43"/>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(4)检查气路连接的密封性；</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(5)屋顶采样口及气象杆密封胶检查；</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(6)每月清洗一次空调过滤网，防止尘土阻塞空调过滤网影响运行效率；</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(7)每季度清洗离子源，更换MS灯丝；</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(8)每5个月左右更换高纯氦气。</w:t>
      </w:r>
    </w:p>
    <w:p>
      <w:pPr>
        <w:shd w:val="clear"/>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5" w:name="_Toc144870603"/>
      <w:bookmarkStart w:id="46" w:name="_Toc144592497"/>
      <w:bookmarkStart w:id="47" w:name="_Toc144954409"/>
      <w:bookmarkStart w:id="48" w:name="_Toc197358176"/>
      <w:bookmarkStart w:id="49" w:name="_Toc197155182"/>
      <w:bookmarkStart w:id="50" w:name="_Toc144956386"/>
      <w:bookmarkStart w:id="51" w:name="_Toc250374363"/>
      <w:bookmarkStart w:id="52" w:name="_Toc144871334"/>
      <w:bookmarkStart w:id="53" w:name="_Toc144866441"/>
      <w:bookmarkStart w:id="54" w:name="_Toc144956170"/>
      <w:bookmarkStart w:id="55" w:name="_Toc197658121"/>
      <w:bookmarkStart w:id="56" w:name="_Toc197155571"/>
      <w:bookmarkStart w:id="57" w:name="_Toc197339975"/>
      <w:bookmarkStart w:id="58" w:name="_Toc144179123"/>
      <w:bookmarkStart w:id="59" w:name="_Toc197315598"/>
      <w:bookmarkStart w:id="60" w:name="_Toc197359292"/>
      <w:bookmarkStart w:id="61" w:name="_Toc250034274"/>
      <w:bookmarkStart w:id="62" w:name="_Toc267994008"/>
      <w:bookmarkStart w:id="63" w:name="_Toc197690501"/>
      <w:bookmarkStart w:id="64" w:name="_Toc144179197"/>
      <w:bookmarkStart w:id="65" w:name="_Toc197690282"/>
      <w:bookmarkStart w:id="66" w:name="_Toc144956539"/>
      <w:bookmarkStart w:id="67" w:name="_Toc145075082"/>
      <w:bookmarkStart w:id="68" w:name="_Toc144866577"/>
      <w:bookmarkStart w:id="69" w:name="_Toc323393827"/>
      <w:bookmarkStart w:id="70" w:name="_Toc197156172"/>
      <w:bookmarkStart w:id="71" w:name="_Toc144179235"/>
      <w:bookmarkStart w:id="72" w:name="_Toc144178882"/>
      <w:bookmarkStart w:id="73" w:name="_Toc197315107"/>
      <w:bookmarkStart w:id="74" w:name="_Toc272221151"/>
      <w:bookmarkStart w:id="75" w:name="_Toc144955169"/>
      <w:bookmarkStart w:id="76" w:name="_Toc144869807"/>
      <w:r>
        <w:rPr>
          <w:rFonts w:hint="eastAsia" w:ascii="宋体" w:hAnsi="宋体" w:eastAsia="宋体" w:cs="宋体"/>
          <w:b/>
          <w:bCs/>
          <w:color w:val="000000" w:themeColor="text1"/>
          <w:sz w:val="24"/>
          <w:szCs w:val="24"/>
          <w:highlight w:val="none"/>
          <w14:textFill>
            <w14:solidFill>
              <w14:schemeClr w14:val="tx1"/>
            </w14:solidFill>
          </w14:textFill>
        </w:rPr>
        <w:t>(六)年度</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hint="eastAsia" w:ascii="宋体" w:hAnsi="宋体" w:eastAsia="宋体" w:cs="宋体"/>
          <w:b/>
          <w:bCs/>
          <w:color w:val="000000" w:themeColor="text1"/>
          <w:sz w:val="24"/>
          <w:szCs w:val="24"/>
          <w:highlight w:val="none"/>
          <w14:textFill>
            <w14:solidFill>
              <w14:schemeClr w14:val="tx1"/>
            </w14:solidFill>
          </w14:textFill>
        </w:rPr>
        <w:t>运维工作</w:t>
      </w:r>
    </w:p>
    <w:p>
      <w:pPr>
        <w:shd w:val="clear"/>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1.常规六参数及其辅助设备</w:t>
      </w:r>
    </w:p>
    <w:p>
      <w:pPr>
        <w:shd w:val="clear"/>
        <w:bidi w:val="0"/>
        <w:spacing w:line="36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(1)氮氧化物分析仪的钼炉转化率每年至少检查一次（两次检查间隔为10-14月）。</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(2)在每年4月份之前完成所有子站O3的溯源与标准传递工作。</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(3)颗粒物每年一次标准膜质量校准，每年一次环境温度/压力校准并做好记录。</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(4)多元气体校准仪：每年进行一次标气和零气的质量流量计校准并做好记录。</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(5)每年对各监测仪器的准确度进行一次审核，对仪器压力传感器进行一次检查和校准。</w:t>
      </w:r>
    </w:p>
    <w:p>
      <w:pPr>
        <w:shd w:val="clear"/>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2.VOCs分析仪</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(1)每年更换机械泵泵油。</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(2)按需更换易耗器材的使用寿命及时更换（色谱柱，捕集柱，除水石英管，电子倍增器等）。</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(3)每年进行一次检出限检查，90%以上组分检出限≦0.1ppb。</w:t>
      </w:r>
    </w:p>
    <w:p>
      <w:pPr>
        <w:shd w:val="clear"/>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77" w:name="_Toc250374366"/>
      <w:bookmarkStart w:id="78" w:name="_Toc323393829"/>
      <w:bookmarkStart w:id="79" w:name="_Toc272221153"/>
      <w:bookmarkStart w:id="80" w:name="_Toc440621208"/>
      <w:bookmarkStart w:id="81" w:name="_Toc436815027"/>
      <w:bookmarkStart w:id="82" w:name="_Toc250034277"/>
      <w:bookmarkStart w:id="83" w:name="_Toc267994011"/>
      <w:bookmarkStart w:id="84" w:name="_Toc246415792"/>
      <w:r>
        <w:rPr>
          <w:rFonts w:hint="eastAsia" w:ascii="宋体" w:hAnsi="宋体" w:eastAsia="宋体" w:cs="宋体"/>
          <w:b/>
          <w:bCs/>
          <w:color w:val="000000" w:themeColor="text1"/>
          <w:sz w:val="24"/>
          <w:szCs w:val="24"/>
          <w:highlight w:val="none"/>
          <w14:textFill>
            <w14:solidFill>
              <w14:schemeClr w14:val="tx1"/>
            </w14:solidFill>
          </w14:textFill>
        </w:rPr>
        <w:t>(七)系统检修</w:t>
      </w:r>
      <w:bookmarkEnd w:id="77"/>
      <w:bookmarkEnd w:id="78"/>
      <w:bookmarkEnd w:id="79"/>
      <w:bookmarkEnd w:id="80"/>
      <w:bookmarkEnd w:id="81"/>
      <w:bookmarkEnd w:id="82"/>
      <w:bookmarkEnd w:id="83"/>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1.若发现仪器故障，检修时需要仪器设备停用、拆除或更换的，应事先报经用户同意。</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在接到用户故障通知后，在工作时间4小时内赶到现场进行处理。对于一些容易诊断的故障，维修时间不超过24小时；对不易诊断和维修的仪器故障，若72小时内无法排除，使用备机。</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2.仪器经过维修后，在正常使用和运行之前应确保维修内容全部完成，性能通过检测程序。若对监测仪器进行了核心部件更换，在正常使用和运行之前应对仪器进行一次多点校准和性能考核。</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3.若数据存储/控制仪发生故障，在24小时内给出解决方案，48小时内修复或更换，并保证已采集的数据不丢失。</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4.检修人员进行维修时及时做好维修记录。维修记录应包含该故障发生的时间、故障现象、维修措施和内容、维修结果、校准检查等记录。</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5.对于重大事故，严重影响系统运行或无法运行时，双方组织有关领导和技术人员到现场进行实地考察，经研究后，共同商定解决方案。</w:t>
      </w:r>
    </w:p>
    <w:bookmarkEnd w:id="84"/>
    <w:p>
      <w:pPr>
        <w:shd w:val="clear"/>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85" w:name="_Toc272221154"/>
      <w:bookmarkStart w:id="86" w:name="_Toc440621209"/>
      <w:bookmarkStart w:id="87" w:name="_Toc323393830"/>
      <w:bookmarkStart w:id="88" w:name="_Toc436815028"/>
      <w:r>
        <w:rPr>
          <w:rFonts w:hint="eastAsia" w:ascii="宋体" w:hAnsi="宋体" w:eastAsia="宋体" w:cs="宋体"/>
          <w:b/>
          <w:bCs/>
          <w:color w:val="000000" w:themeColor="text1"/>
          <w:sz w:val="24"/>
          <w:szCs w:val="24"/>
          <w:highlight w:val="none"/>
          <w14:textFill>
            <w14:solidFill>
              <w14:schemeClr w14:val="tx1"/>
            </w14:solidFill>
          </w14:textFill>
        </w:rPr>
        <w:t>(八) 系统年度维护及大修工作</w:t>
      </w:r>
      <w:bookmarkEnd w:id="85"/>
      <w:bookmarkEnd w:id="86"/>
      <w:bookmarkEnd w:id="87"/>
      <w:bookmarkEnd w:id="88"/>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为了保证空气自动监测站的长期正常运行，每年度对系统进行年度维护和大修，必要时，对气路和关键零部件进行更换，对不合理的地方进行改造。具体内容如下：</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（1）对仪器电路各测试点进行测试与调整。</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（2）对仪器进行气路检漏和流量检查。</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（3）对仪器光路、气路、电路板和各种接头及插座等进行检查和清洁处理。</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（4）对仪器的输出零点和满量程进行检查和校准，并检查仪器的输出线性。</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（5）在每次完成仪器年度维护和大修后，或更换了仪器中的关键零部件后，应对仪器重新进行多点校准和检查。</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（6）维护人员在进行年度维护和大修时，应及时做好维护记录。维护记录需包含对仪器采取的维护措施和内容，以及校准核查等记录。</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（7）对所有的历史图谱、数据、文件进行备份。</w:t>
      </w:r>
    </w:p>
    <w:p>
      <w:pPr>
        <w:shd w:val="clear"/>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（九）仪器质控措施</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长光程仪器每半年进行1次多点校准和2次零点校正并做好记录（臭氧零点和多点不得在每日9-15时进行）；多元气体校准仪：每年进行一次标气和零气的质量流量计校准并做好记录。(使用有效期内的国家一级标准气体或其它权威部门确定的标准气体并提供标物证书复印件（随气体钢瓶提供）。校准使用的气压、温度计必须经过计量检定部门检定并处于有效期内（检定/校准证书复印件跟随仪器）。</w:t>
      </w:r>
    </w:p>
    <w:p>
      <w:pPr>
        <w:shd w:val="clear"/>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（十）平台数据查看和数据审核</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常驻中心人员工作日每日到中心站报到（上午8:30），查看仪器运行状况、工作参数、数据采集和传输情况（包括市站平台、省站平台及国家站平台）是否正常（网络查看），每日于中午11点前完成前一日数据审核工作，每日查看数据两次（上午9:00前/下午15:30-16:00）并做好记录，若发现问题，及时查明原因并按应急管理中的时限要求处理。</w:t>
      </w:r>
    </w:p>
    <w:p>
      <w:pPr>
        <w:shd w:val="clear"/>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eastAsia="宋体" w:cs="宋体"/>
          <w:b/>
          <w:bCs/>
          <w:color w:val="000000" w:themeColor="text1"/>
          <w:sz w:val="24"/>
          <w:szCs w:val="24"/>
          <w:highlight w:val="none"/>
          <w:lang w:eastAsia="zh-CN"/>
          <w14:textFill>
            <w14:solidFill>
              <w14:schemeClr w14:val="tx1"/>
            </w14:solidFill>
          </w14:textFill>
        </w:rPr>
        <w:t>一</w:t>
      </w:r>
      <w:r>
        <w:rPr>
          <w:rFonts w:hint="eastAsia" w:ascii="宋体" w:hAnsi="宋体" w:eastAsia="宋体" w:cs="宋体"/>
          <w:b/>
          <w:bCs/>
          <w:color w:val="000000" w:themeColor="text1"/>
          <w:sz w:val="24"/>
          <w:szCs w:val="24"/>
          <w:highlight w:val="none"/>
          <w14:textFill>
            <w14:solidFill>
              <w14:schemeClr w14:val="tx1"/>
            </w14:solidFill>
          </w14:textFill>
        </w:rPr>
        <w:t>) 其他</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(1)配合浙江省台州生态环境监测中心及上级主管部门进行气站质量保证和质量控制工作。</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(2)随时接受浙江省台州生态环境监测中心及上级主管部门的工作考核及质量考核。</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(3)质量审核支持性文件《环境空气质量自动监测技术规范》</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(4)配合用户方做好质量审核工作，质量审核内容和时间视用户方要求而定。</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(5)配合计量院做好强检工作。</w:t>
      </w:r>
    </w:p>
    <w:p>
      <w:pPr>
        <w:shd w:val="clear"/>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eastAsia="宋体" w:cs="宋体"/>
          <w:b/>
          <w:bCs/>
          <w:color w:val="000000" w:themeColor="text1"/>
          <w:sz w:val="24"/>
          <w:szCs w:val="24"/>
          <w:highlight w:val="none"/>
          <w:lang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)应急管理</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出现监测数据异常、仪器故障或通讯故障，正常工作日应在6小时内到达子站处理故障并将信息反馈中心站；故障严重不能及时解决时，应关闭故障仪器的数据采集通道并告知中心站。如不能在72小时内排除故障，应更换备机，故障设备运回中心站，并负责维修仪器，故障设备应在一周内完成维修，维修完毕及时替换备机，并做好相应维修记录。如因自身技术能力不足无法修复仪器，需委托仪器生产厂商服务的，运维单位须负责相关费用。</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2.设备检修周期安排：每六个月对仪器进行一次预防性维护和各测试参数检查，同时做好记录。</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3.故障处理措施：投标人必须提供完善的故障处理预案。</w:t>
      </w:r>
    </w:p>
    <w:p>
      <w:pPr>
        <w:shd w:val="clear"/>
        <w:bidi w:val="0"/>
        <w:spacing w:line="360" w:lineRule="auto"/>
        <w:rPr>
          <w:rFonts w:hint="eastAsia"/>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标项三、标项四水质自动监测站服务需求：</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1、工作内容</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1.1运维</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技术规范和相关要求对仪器进行运行维护及管理，包括日常维护、日常数据初审、仪器维修、故障处理、备品备件耗材提供。按要求完成质控措施，填写运维记录、仪器校准记录、质控记录、故障排除记录等。服务期内仪器维修费、耗材及备品备件、站点运行所需电费、网络费、防雷检测报告由中标人承担及提供。</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1.2交叉检查</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运维服务期内，标项</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和标项</w:t>
      </w: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中标单位在业主的组织下进行至少四次交叉检查，交叉检查工作包括但不限于运维体系检查、数据质量监督检查、异常数据检查和盲样考核等，完成交叉检查记录和报告提交给业主，由业主进行考</w:t>
      </w:r>
      <w:r>
        <w:rPr>
          <w:rFonts w:hint="eastAsia" w:ascii="宋体" w:hAnsi="宋体" w:eastAsia="宋体" w:cs="宋体"/>
          <w:color w:val="000000" w:themeColor="text1"/>
          <w:sz w:val="24"/>
          <w:szCs w:val="24"/>
          <w:highlight w:val="none"/>
          <w:lang w:val="en-US" w:eastAsia="zh-CN"/>
          <w14:textFill>
            <w14:solidFill>
              <w14:schemeClr w14:val="tx1"/>
            </w14:solidFill>
          </w14:textFill>
        </w:rPr>
        <w:t>评</w:t>
      </w:r>
      <w:r>
        <w:rPr>
          <w:rFonts w:hint="eastAsia" w:ascii="宋体" w:hAnsi="宋体" w:eastAsia="宋体" w:cs="宋体"/>
          <w:color w:val="000000" w:themeColor="text1"/>
          <w:sz w:val="24"/>
          <w:szCs w:val="24"/>
          <w:highlight w:val="none"/>
          <w14:textFill>
            <w14:solidFill>
              <w14:schemeClr w14:val="tx1"/>
            </w14:solidFill>
          </w14:textFill>
        </w:rPr>
        <w:t>。</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2、总体要求</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2.1项目实施技术规范和标准</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1、生态环境部发布的相关水质在线监测技术标准</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2、国家标准方法和《水和废水监测分析方法》（第四版）</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3、《地表水自动监测技术规范（试行）》（HJ 915-2017）</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4、《地表水水质自动监测站运行维护技术要求（试行）》</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5、《国家地表水自动监测站运行管理办法》</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6、《浙江省地表水环境自动监测技术规范》</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7、《浙江省地表水水质自动监测系统运行管理细则》</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8、《浙江省地表水环境自动监测站运维质控技术规定（征求意见稿）》</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9、《环境水质监测质量保证手册》</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"http://www.sepa.gov.cn/image20010518/1782.pdf"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地表水和污水监测技术规范》（HJ/T91-2002 ）</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11、《水质 采样技术指导》（HJ 494—2009 ）</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12、《水质 河流采样技术指导》（HJ/T52-1999）</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13、《水质 湖泊和水库采样技术指导》（GBT 14581-93）</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14、《pH水质自动分析仪技术要求》（HJ/T96-2003）</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15、《电导率水质自动分析仪技术要求》（HJ/T97-2003）</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16、《浊度水质自动分析仪技术要求》（HJ/T98-2003）</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17、《溶解氧（DO）水质自动分析仪技术要求》（HJ/T99-2003）</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18、《高锰酸盐指数水质自动分析仪技术要求》（HJ/T100-2003）</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19、《氨氮水质自动分析仪技术要求》（HJ/T101-2003）</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20、《总氮水质自动分析仪技术要求》（HJ/T102-2003）</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21、《总磷水质自动分析仪技术要求》（HJ/T103-2003）</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招标文件中未明确的质控管理要求，按照浙江省已制定的相关规范性文件执行，若出台新的管理办法或技术规范时，按新要求执行。</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2.2对运维单位的要求</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2.2.1投标人必须有较强的系统集成能力，具有地表水、饮用水源地自动监测站运维能力，承担过类似的水质自动监测运维工作，在业界有良好的信誉和口碑，且具备稳定的专业服务团队；</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2.2.2运维单位必须在台州市设立固定服务点及办事机构，为本项目配置专业的运维人员和车辆（标项</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各须至少5名专业</w:t>
      </w:r>
      <w:r>
        <w:rPr>
          <w:rFonts w:hint="eastAsia" w:ascii="宋体" w:hAnsi="宋体" w:eastAsia="宋体" w:cs="宋体"/>
          <w:color w:val="000000" w:themeColor="text1"/>
          <w:sz w:val="24"/>
          <w:szCs w:val="24"/>
          <w:highlight w:val="none"/>
          <w:lang w:val="en-US" w:eastAsia="zh-CN"/>
          <w14:textFill>
            <w14:solidFill>
              <w14:schemeClr w14:val="tx1"/>
            </w14:solidFill>
          </w14:textFill>
        </w:rPr>
        <w:t>运维</w:t>
      </w:r>
      <w:r>
        <w:rPr>
          <w:rFonts w:hint="eastAsia" w:ascii="宋体" w:hAnsi="宋体" w:eastAsia="宋体" w:cs="宋体"/>
          <w:color w:val="000000" w:themeColor="text1"/>
          <w:sz w:val="24"/>
          <w:szCs w:val="24"/>
          <w:highlight w:val="none"/>
          <w14:textFill>
            <w14:solidFill>
              <w14:schemeClr w14:val="tx1"/>
            </w14:solidFill>
          </w14:textFill>
        </w:rPr>
        <w:t>人员，配备专用车辆3辆；标项</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分别各提供一名技术人员常驻浙江省台州生态环境监测中心），驻站人员须熟练掌握浙江省地表水、饮用水源地自动监测数据审核等相关知识，胜任数据审核及报告编制工作。运维人员需有两年以上相关工作经验且具有省级及以上环境监测主管部门或环境协会颁发的水质自动站运维培训合格证，并在有效期内。运维车辆和技术人员必须为本项目专用，不得与其他项目兼用。专业技术人员队伍应保持相对稳定，并在投标时提供聘用合同及职工社会保险缴纳有效材料（原件及复印件）供采购人查验。</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 委托运维期间，要求运维公司提供7×24小时全天候服务，当项目运维清单中设备发生故障时，须向采购人报告，中标人承担所有维修费用，故障须尽快解决，故障超过1天须说明原因并提供维修证明，维修时间最迟不得超过3天，如在3天内无法修复的设备，须提供相当性能、功能的备机，但备机不得连续使用超过一个月。</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运维单位应建立备品备件备机制度，照不低于10比1的比例配备备品备件和备机，备机种类应当覆盖水站所有监测参数，备机的监测原理应当与在用仪器设备一致，性能满足相关标准规范要求，同时配备专用工具耗材（便携式电脑、万用表、远程数据查询系统、各种硬件接口线、接口调试软件及常用零部件等）、药品试剂等；</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2.2.5运维单位不得以任何形式对自动监测站所涉及的资产进行租用、出售、抵押、转移或处置；在委托运营维护及管理期间，运维单位有责任保证上述全部资产的完整、安全并始终处于良好状态。</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2.2.6在地表水、饮用水源地自动监测站运维及管理期间，严格按照相关规范标准和仪器设备说明书对所管理的系统及仪器设备进行规范操作和精心维护及必要维修，保证系统及仪器设备的正常运行，达到业主提出的系统及仪器设备考核指标要求。运行单位须积极协助和配合浙江省台州生态环境监测中心完成上级部门对自动监测站运行检查及考核工作。运维过程中的耗材、备品备件需采用原厂件，如确实采购不到原厂件的，需向采购人报备并采购具有相同技术指标的耗材或配件。</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2.2.7提供完整的地表水、饮用水源地自动监测系统运维实施方案（含应急事故处理方案），提出解决问题的措施，明确维护方法、周期、内容及技术保障（包含本项目所含主要分析设备的日常维护和常见故障诊断方法）。有完善的管理制度及技术人员培训制度，指定项目负责人，并组织专职人员负责日常运营及质量管理。</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2.2.8数据保密，在委托管理期间，受托方应对系统状况和数据严格保密。未经委托方同意，受托方不得利用本项目的任意资料对外开展技术交流、业务联系、数据交换等。</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2.2.9运维单位须按照技术规范和管理细则要求填写仪器运维表格，做好空气站运行管理记录和存档。每次到站房运维后须为每台仪器填写运维表格，包括仪器原始设置、报警、维修、更换、保养、仪器校准、标样使用、采水管清洁等运行维护内容。运维期结束后所有原始记录须整理成册上交给采购人。每次更换下来的耗材、配件须保存好，标注更换日期，经采购人认可后方可处理。每半年提交一次运维报告，年度运维完成后提交总报告。</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2.2.10每月对运维站点出现的异常数据提交异常分析报告，并在报告中详细阐明异常原因和异常时段。</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2.3运维工作要求</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中标单位须按照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14:textFill>
            <w14:solidFill>
              <w14:schemeClr w14:val="tx1"/>
            </w14:solidFill>
          </w14:textFill>
        </w:rPr>
        <w:t>技术和质量控制要求，全面负责水站（站房、采水、所有仪器设备等）的日常运行维护。当国家和省级出台新的运维</w:t>
      </w:r>
      <w:r>
        <w:rPr>
          <w:rFonts w:hint="eastAsia" w:ascii="宋体" w:hAnsi="宋体" w:eastAsia="宋体" w:cs="宋体"/>
          <w:color w:val="000000" w:themeColor="text1"/>
          <w:sz w:val="24"/>
          <w:szCs w:val="24"/>
          <w:highlight w:val="none"/>
          <w:lang w:val="en-US" w:eastAsia="zh-CN"/>
          <w14:textFill>
            <w14:solidFill>
              <w14:schemeClr w14:val="tx1"/>
            </w14:solidFill>
          </w14:textFill>
        </w:rPr>
        <w:t>和质控</w:t>
      </w:r>
      <w:r>
        <w:rPr>
          <w:rFonts w:hint="eastAsia" w:ascii="宋体" w:hAnsi="宋体" w:eastAsia="宋体" w:cs="宋体"/>
          <w:color w:val="000000" w:themeColor="text1"/>
          <w:sz w:val="24"/>
          <w:szCs w:val="24"/>
          <w:highlight w:val="none"/>
          <w14:textFill>
            <w14:solidFill>
              <w14:schemeClr w14:val="tx1"/>
            </w14:solidFill>
          </w14:textFill>
        </w:rPr>
        <w:t>要求时，以新要求为准。</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2.3.1.总体要求</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水站运行维护包括开展水站远程维护、现场维护和应急维护等工作，保证监测数据质量，并对维护过程进行详细记录。</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2.3.2.远程维护要求</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运维人员应每天通过平台查看监测数据，对水站运行状态和数据质量进行相应判断，对站点的运维情况及相关信息进行统计和评价。</w:t>
      </w:r>
    </w:p>
    <w:p>
      <w:pPr>
        <w:shd w:val="clear"/>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（1）远程巡视</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每日对水站运行条件及设备运行状况进行远程查看，具体工作如下:</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a.检查数据采集与传输状况，确认是否获取了水站全部仪器的监测数据和过程日志；</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b.根据仪器质控结果、过程日志判断仪器运行情况及数据的可靠性；</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c.对前一天监测数据有效性进行审核并对异常数据进行标记，形成监测数据审核日志；</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d.远程监视采水设施、水位以及站房内外情况，如发现异常，应及时上报；</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e.远程查看是否存在非法入侵行为；</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f.远程查看是否存在干扰水站运行的施工、工程治理等项目。</w:t>
      </w:r>
    </w:p>
    <w:p>
      <w:pPr>
        <w:shd w:val="clear"/>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（2）远程控制</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a.通过远程控制，可对监测仪器进行校时、复位、水样/标样测试、校准、清洗等工作；</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b.当监测数据出现异常时，运维人员远程发送必要的质控测试指令和留样指令，根据测试结果综合判断数据有效性。一旦确定水质发生重大变化或仪器设备故障，应及时赴现场处理。</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2.3.3现场维护要求</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现场维护包括运维技术人员到水站现场完成的例行巡检、定期养护和现场质控工作。</w:t>
      </w:r>
    </w:p>
    <w:p>
      <w:pPr>
        <w:shd w:val="clear"/>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(1)每周例行巡检</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a.检查采水点水体颜色、嗅味、漂浮物、水位变化及杂物存在情况，并及时进行清理；</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b.检查站房空调及保温措施，保持温度稳定；检查站房内水泵及空压机固定情况，避免仪器振动的影响；检查空压机、不间断电源（UPS）、除藻装置、纯水机等辅助设备运行状态，并及时更换耗材；</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c.检查水站电路系统是否正常，接地线路是否可靠，检查采样和排液管路是否有漏液或堵塞现象，排水排气装置工作是否正常；</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检查采配水单元是否正常，如采水浮筒固定情况，自吸泵、增压泵、空气泵等运行情况、手阀电动阀工作情况等需要时应清洗采配水单元，包括采水头、泵体、沉砂池、过滤头、水样杯、阀门及相关管路等，对于无法清洗干净的须及时更换；</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e.检查控制单元运行状态是否正常，工控机操作系统及软件有无中毒现象；</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f.检查上传至平台数据和现场数据的一致性，检查仪器与系统的通讯线路是否正常；</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g.查看水质监测仪器及辅助设备的运行状态，判断运行是否正常。检查有无漏液，进样管路、试剂管路中是否有气泡存在，如有及时将气泡排出；</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h.检查试剂使用状况，是否需要添加或更换试剂，所用纯水和实际须符合相关规范要求，更换周期不得超过规定的试剂保质期；</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i.应及时清除站房周围的杂草和积水，站房是否有漏水现象，检查防雷设施是否可靠，站房外围的其他设施是否有损坏或被水淹没，在封冻期来临前做好采水管路和站房保温等维护工作；</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j.整理站房及仪器，完成废液收集并按相关规定要求做好处置工作，且留档备查；保持站房及各仪器干净整洁，及时关闭门窗，避免日光直射仪器设备。</w:t>
      </w:r>
    </w:p>
    <w:p>
      <w:pPr>
        <w:shd w:val="clear"/>
        <w:bidi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(2)定期养护</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水站定期养护项目及最低频次不得低于表三要求。</w:t>
      </w:r>
    </w:p>
    <w:p>
      <w:pPr>
        <w:shd w:val="clear"/>
        <w:bidi w:val="0"/>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表三  定期养护内容及频次要求</w:t>
      </w:r>
    </w:p>
    <w:tbl>
      <w:tblPr>
        <w:tblStyle w:val="30"/>
        <w:tblW w:w="9195"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753"/>
        <w:gridCol w:w="744"/>
        <w:gridCol w:w="744"/>
        <w:gridCol w:w="744"/>
        <w:gridCol w:w="744"/>
        <w:gridCol w:w="744"/>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8" w:type="dxa"/>
            <w:gridSpan w:val="2"/>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工作内容</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周</w:t>
            </w:r>
          </w:p>
        </w:tc>
        <w:tc>
          <w:tcPr>
            <w:tcW w:w="744" w:type="dxa"/>
            <w:noWrap/>
            <w:vAlign w:val="center"/>
          </w:tcPr>
          <w:p>
            <w:pPr>
              <w:pStyle w:val="11"/>
              <w:shd w:val="clear"/>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月</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季度</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半年</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w:t>
            </w: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站房</w:t>
            </w: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消防设施更换</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具体根据设施有效期情况执行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防雷检测</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空调及供暖设施维护</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采配水单元</w:t>
            </w: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潜水泵清洗</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采水辅助设施</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五参数检测池清洗</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沉降池清洗</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过滤器清洗</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水样杯清洗</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分析单元</w:t>
            </w: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试剂更换</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具体根据仪器要求执行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发光菌更换</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具体根据仪器运行情况执行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耗材及配件更换</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废液处置</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保养检修</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试剂贮存箱温度检查</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控制单元及数据采集传输单元</w:t>
            </w: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网络通讯设备检查</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工控机检查</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辅助设备</w:t>
            </w: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稳压电源检查</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UPS检查</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空压机检查</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纯水机滤芯维护</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视频设备检查</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自动采样器</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53"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数据备份</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4"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7"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2.3.4站房</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(1)定期对站房进行全面的养护；</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(2)保证站房内空调及供暖设施运行正常；</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(3)定期对站房内灭火装置进行维护；</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(4)每年需通过具有资质的专业机构对防雷设施进行检测、维护或更换，并出具报告。</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2.3.5分析单元</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(1)定期按需对监测仪器进行校准；</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(2)应定期更换易耗品及备品备件，生物毒性仪应根据仪器CF值和发光强度更换发光菌；</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(3)定期清洗和更换仪器管路；</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(4)建立零配件库，根据不同零配件和易耗件的使用情况提前备货；</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(5)应根据试剂的更换周期定期更换试剂，试剂的更换周期原则上不得超过30天；试剂更换后，应按需求进行仪器校准或标液核查，同时更换时应做好记录；</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(6)应根据使用寿命定期更换监测仪器的光源、电极、泵、阀、传感器等关键零部件；定期对监测仪器光路、液路、电路板和各种接头及插座等进行检查和清洁处理。</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2.3.6控制单元及通讯单元</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(1)定期复位工控机查看是否可以自动启动，并运行操作系统、加载现场监控软件，查看串口通讯是否正常；</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(2)定期对网络通讯设备进行重启，查看启动后是否通讯正常；</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(3)每月检查开机过程中硬件自检过程是否有异常数据传输和报警；</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(4)每月对工控机操作系统及软件进行一次杀毒操作，保证软件正常运行。</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2.3.7其他辅助设备</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(1)定期检查稳压电源及UPS的输出是否符合技术要求，异常情况须及时排查处理。</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(2)每月至少检查一次空气压缩机气泵和清水增压泵的工作状况，并对空气过滤器放水。</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(3)定期检查并清洗自动留样器取样头滤网，检查采样泵、采样分配单元、低温冷藏模块、传感器等的工作状况是否正常，采样瓶是否清洁、是否破损；</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(4)定期检查摄像头是否破损，视频设备功能是否正常，包括摄像机、视频存储、云台控制等。</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2.3.8数据备份</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每月对水站监测数据进行一次备份，备份数据单独存储。</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2.3.9数据异常情况处理</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出现以下情况的可确认为数据异常：监测中断的数据；监测数据长时间（连续3组）不变或短时间突变；监测仪器设备状态参数异常、过程日志异常或监测仪器设备故障的监测数据；通过监测项目之间相关性分析、气象条件、水站所在地历史数据分析认为明显违背常理的监测数据。</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生数据异常情况时，根据现场情况应采取标样核查、现场排查、实际水样比对等措施进行排查，查明并分析原因，记录备案并上报。当水质监测数据异常或水质下降至水质类别发生变化时应启动留样，留样后应按照应急维护要求执行。</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（1）确认仪器通讯存在障碍或仪器状态异常、仪器故障的，应尽快前往现场查明原因，进行故障处理；</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（2）远程启动标样核查，核查未通过时应前往现场查明原因，进行故障处理。</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2.3.10水站系统异常处理</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（1）当水站出现故障时运维单位应在规定时间内响应并解决；</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（2）对于在现场能够诊断明确且可通过更换备件解决的问题则在现场进行检修；</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（3）对于其它不易诊断和检修的故障，或48小时内无法排除的仪器故障，应采用备用仪器替代发生故障的仪器，同时对备机开展标样核查。</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2.4站房和采水设施管理规定</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（1）非运维人员确因工作需要进入水站，须由运维人员陪同，并做好登记备案。</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（2）非运维人员进入站内不得有干扰正常监测工作的操作或行为，包括操作仪表、拷贝数据等，如有上述行为运维人员应及时制止并上报。</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（3）运维机构发现有干扰采样的情形的，应及时报告。</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因自然原因（台风、潮汐、暴雨、径流变化等）导致采水口位置发生变化的，运维机构应将采水装置恢复原位；确因客观原因无法恢复至原位的，应及时告知采购人，向采购人申请，审核同意后，将采水装置按照采样相关技术要求进行调整，并以书面形式将调整结果告知采购人。</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（5）运维机构发现水站站房（含配套及辅助设施）、采水设施损坏或未达到相关技术要求的，应以书面形式及时向采购人进行反馈，并配合修复或重建工作。</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2.5运维记录要求</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运维单位可根据实际需求及管理需要自行设计各类记录表，各记录表包含内容至少包含如下内容。</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水站基本情况信息应包含水站所在流域及水体名称、水站名称、水站地址、经纬度、上下游污染源情况、支流汇入情况、水系图、运维单位、水站类型、站房面积、采水方式、取水口与岸边距离、取水口到站房距离、通讯方式、投运时间、监测项目、设备品牌型号及生产商、出厂编号、仪器分析原理、适用性检测报告编号、运维商等信息。</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水站仪器关键参数设置及变更记录表需包含水站名称、仪器名称及型号、测量原理及分析方法、测试周期、仪表关键参数（包括工作曲线斜率和截距、线性相关系数、消解温度及时间、显色温度及时间）、水样进样量、试剂用量等信息。关键参数变更后情况及变更原因说明。</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（3）水站远程巡视记录需包含水站名称、巡视日期、运维单位、巡视人员、各仪器工作状态、监测数据获取状况、24小时零点核查和跨度核查情况、视频监视情况和异常情况处理措施等信息。</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（4）水站巡检维护记录需包含水站名称、维护日期、运维单位、维护人员、巡检内容及处理说明（包含采样单元检查、仪器设备检查、数据采集传输单元检查、辅助单元检查和异常情况处理）等。</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（5）水站试剂及标准样品更换记录需包含水站名称、维护日期、运维单位、维护人员、仪器名称、试剂名称、标液浓度、试剂体积、试剂配置时间、试剂有效期、试剂更换时间等信息。</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（6）监测仪器校准记录需包含水站名称、测试日期、运维单位、测试人员、仪器名称、本次校准及校准后标液核查情况（包含校准试剂、校准是否通过、核查时间、核查是否合格）等信息。</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仪器设备检修记录需包含水站名称、维护日期、运维单位、维护人员、故障仪器或设备型号及编号、故障情况及发生时间、检修情况说明、部件更换说明、修复后质控测试情况说明、正常投入使用时间等信息。</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（8）易耗品和备品备件更换记录需包含水站名称、维护日期、运维单位、维护人员、易耗品或备品备件名称、规格型号、数量、更换日期、更换原因说明等信息。</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（9）废液处置记录表应记录废液处置时间、处置方式、处置量、处置经手人（运维人员）、处置单位等信息。</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2.6质量保证与质量控制要求</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《地表水自动监测技术规范（试行）》（HJ 915-2017）、《地表水水质自动监测站运行维护技术要求（试行）》、《国家地表水自动监测站运行管理办法》、《浙江省地表水环境自动监测技术规范》、《浙江省地表水水质自动监测系统运行管理细则》、《浙江省地表水环境自动监测站运维质控技术规定（征求意见稿）》等相关技术规范里的要求进行质量保证与质</w:t>
      </w:r>
      <w:r>
        <w:rPr>
          <w:rFonts w:hint="eastAsia" w:ascii="宋体" w:hAnsi="宋体" w:eastAsia="宋体" w:cs="宋体"/>
          <w:color w:val="000000" w:themeColor="text1"/>
          <w:sz w:val="24"/>
          <w:szCs w:val="24"/>
          <w:highlight w:val="none"/>
          <w:lang w:val="en-US" w:eastAsia="zh-CN"/>
          <w14:textFill>
            <w14:solidFill>
              <w14:schemeClr w14:val="tx1"/>
            </w14:solidFill>
          </w14:textFill>
        </w:rPr>
        <w:t>量</w:t>
      </w:r>
      <w:r>
        <w:rPr>
          <w:rFonts w:hint="eastAsia" w:ascii="宋体" w:hAnsi="宋体" w:eastAsia="宋体" w:cs="宋体"/>
          <w:color w:val="000000" w:themeColor="text1"/>
          <w:sz w:val="24"/>
          <w:szCs w:val="24"/>
          <w:highlight w:val="none"/>
          <w14:textFill>
            <w14:solidFill>
              <w14:schemeClr w14:val="tx1"/>
            </w14:solidFill>
          </w14:textFill>
        </w:rPr>
        <w:t>控控制。</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2.7交叉检查</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2.7.1交叉检查频次</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运维期内开展至少四次交叉检查，由采购人每季度组织标项一，标项二中标单位进行。</w:t>
      </w:r>
    </w:p>
    <w:p>
      <w:pPr>
        <w:shd w:val="clear"/>
        <w:bidi w:val="0"/>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2.7.2巡</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查</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.2.1对站房及辅助设备、监测系统及运维情况巡查，确保各监测仪器稳定运行，正常联网，符合浙江省相关技术规范和管理细则要求。</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.2.2查看现场各类记录是否齐全，包括水站日常运维记录，质控记录、更换试剂或关键零配件后仪器的校准记录，设备维修记录、耗品耗材更换记录等。</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2.7.3质控考核</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对监测仪器进行现场质控考核，采取盲样考核，盲样由采购人提供，现场质控考核必须符合相关技术要求。</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2.7.4交叉检查报告</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每季度检查完毕后，于下季度首月15日前汇总各站点的检查结果，进行统计与汇总，形成专项报告，并对运维中出现的问题进行总结，提交给采购人。</w:t>
      </w:r>
    </w:p>
    <w:p>
      <w:pPr>
        <w:shd w:val="clear"/>
        <w:bidi w:val="0"/>
        <w:spacing w:line="360" w:lineRule="auto"/>
        <w:rPr>
          <w:rFonts w:hint="eastAsia"/>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标项五自动监测站运维监理服务需求：</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气站运维监理工作包括运维体系检查、异常数据检查、双随机检查和颗粒物比对等，通过对站点运维和数据质量情况进行考核来监理第三方运维单位工作完成情况，采购人依据监理考核评价支付第三方运维单位的服务费。（对运维考核办法及内容见附件1）</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工作开展需符合《环境空气气态污染物（SO2、NO2、O3、CO）连续自动监测系统运行与质控技术规范》（HJ818-2018）、《环境空气颗粒物（PM10和PM2.5)连续自动监测系统运行和质控技术规范》（HJ817-2018）、《国家环境空气监测网环境空气挥发性有机物连续自动监测质量控制技术规定(试行)》、《国家环境空气质量监测网城市站运行管理实施细则》、《浙江省环境空气质量自动监测系统运行管理细则》、《浙江省省控环境空气自动监测站及重点工业园区环境空气自动监测站管理实施细则》（浙环监函[2021]12号）、《浙江省城市环境空气自动监测系统运维检查和质控考核工作方案》（浙环监发[2020]18号）等相关技术规范和管理细则要求。</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（一）人员、车辆、设备配备要求</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 人员车辆配备</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应保证配备经验丰富且稳定的专业技术团队。技术人员应具备本科及以上学历，团队人员分别具备环境工程、电子、自动化或仪器仪表等专业背景，运维检查专用车辆数量不少于2辆。</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 设备配备</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须配备必要的检查设备：不少于2套检查所需的工具、流量计；至少1套标准气体、零气发生器、动态校准仪、臭氧校准仪；站点颗粒物比对所用的监测设备。</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 核查用设备与标准品要求</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1）所使用标准气体需要为</w:t>
      </w:r>
      <w:r>
        <w:rPr>
          <w:rFonts w:hint="eastAsia" w:ascii="宋体" w:hAnsi="宋体" w:eastAsia="宋体" w:cs="宋体"/>
          <w:color w:val="000000" w:themeColor="text1"/>
          <w:sz w:val="24"/>
          <w:szCs w:val="24"/>
          <w:highlight w:val="none"/>
          <w:lang w:eastAsia="zh-Hans"/>
          <w14:textFill>
            <w14:solidFill>
              <w14:schemeClr w14:val="tx1"/>
            </w14:solidFill>
          </w14:textFill>
        </w:rPr>
        <w:t>国家一级</w:t>
      </w:r>
      <w:r>
        <w:rPr>
          <w:rFonts w:hint="eastAsia" w:ascii="宋体" w:hAnsi="宋体" w:eastAsia="宋体" w:cs="宋体"/>
          <w:color w:val="000000" w:themeColor="text1"/>
          <w:sz w:val="24"/>
          <w:szCs w:val="24"/>
          <w:highlight w:val="none"/>
          <w14:textFill>
            <w14:solidFill>
              <w14:schemeClr w14:val="tx1"/>
            </w14:solidFill>
          </w14:textFill>
        </w:rPr>
        <w:t>标准气体；使用的臭氧校准设备需在</w:t>
      </w:r>
      <w:r>
        <w:rPr>
          <w:rFonts w:hint="eastAsia" w:ascii="宋体" w:hAnsi="宋体" w:eastAsia="宋体" w:cs="宋体"/>
          <w:color w:val="000000" w:themeColor="text1"/>
          <w:sz w:val="24"/>
          <w:szCs w:val="24"/>
          <w:highlight w:val="none"/>
          <w:lang w:eastAsia="zh-Hans"/>
          <w14:textFill>
            <w14:solidFill>
              <w14:schemeClr w14:val="tx1"/>
            </w14:solidFill>
          </w14:textFill>
        </w:rPr>
        <w:t>浙江省</w:t>
      </w:r>
      <w:r>
        <w:rPr>
          <w:rFonts w:hint="eastAsia" w:ascii="宋体" w:hAnsi="宋体" w:eastAsia="宋体" w:cs="宋体"/>
          <w:color w:val="000000" w:themeColor="text1"/>
          <w:sz w:val="24"/>
          <w:szCs w:val="24"/>
          <w:highlight w:val="none"/>
          <w14:textFill>
            <w14:solidFill>
              <w14:schemeClr w14:val="tx1"/>
            </w14:solidFill>
          </w14:textFill>
        </w:rPr>
        <w:t>环境监测中心NIST SRP 56#传递的一级标准光度计进行传递后使用。</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2）5ml-30L标准流量计，要求精度≤±2%。</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3）标准大气压力传感器。</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4）所有核查用的设备均由投标人自备，且每台设备均有相关计量部门的计量认证证书，且使用时，应在取得的证书有效期内。</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bookmarkStart w:id="89" w:name="_Toc86134620"/>
      <w:bookmarkStart w:id="90" w:name="_Toc86134570"/>
      <w:r>
        <w:rPr>
          <w:rFonts w:hint="eastAsia" w:ascii="宋体" w:hAnsi="宋体" w:eastAsia="宋体" w:cs="宋体"/>
          <w:b/>
          <w:bCs/>
          <w:color w:val="000000" w:themeColor="text1"/>
          <w:sz w:val="24"/>
          <w:szCs w:val="24"/>
          <w:highlight w:val="none"/>
          <w14:textFill>
            <w14:solidFill>
              <w14:schemeClr w14:val="tx1"/>
            </w14:solidFill>
          </w14:textFill>
        </w:rPr>
        <w:t>（二）工作目标</w:t>
      </w:r>
      <w:bookmarkEnd w:id="89"/>
      <w:bookmarkEnd w:id="90"/>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1．运维体系检查任务完成率100%；</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异常数据检查任务完成处理率100%；</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数据质量监督检查任务完成处理率大于或等于95%；</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双随机检查任务完成处理率100%；</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颗粒物比对工作完成率100%；</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检查报告完成率100%；</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工作执行率100%。</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bookmarkStart w:id="91" w:name="_Toc86134621"/>
      <w:bookmarkStart w:id="92" w:name="_Toc86134571"/>
      <w:r>
        <w:rPr>
          <w:rFonts w:hint="eastAsia" w:ascii="宋体" w:hAnsi="宋体" w:eastAsia="宋体" w:cs="宋体"/>
          <w:b/>
          <w:bCs/>
          <w:color w:val="000000" w:themeColor="text1"/>
          <w:sz w:val="24"/>
          <w:szCs w:val="24"/>
          <w:highlight w:val="none"/>
          <w14:textFill>
            <w14:solidFill>
              <w14:schemeClr w14:val="tx1"/>
            </w14:solidFill>
          </w14:textFill>
        </w:rPr>
        <w:t>（三）工作形式</w:t>
      </w:r>
      <w:bookmarkEnd w:id="91"/>
      <w:bookmarkEnd w:id="92"/>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1．投标单位中标以后需提供详细的</w:t>
      </w:r>
      <w:r>
        <w:rPr>
          <w:rFonts w:hint="eastAsia" w:ascii="宋体" w:hAnsi="宋体" w:eastAsia="宋体" w:cs="宋体"/>
          <w:color w:val="000000" w:themeColor="text1"/>
          <w:sz w:val="24"/>
          <w:szCs w:val="24"/>
          <w:highlight w:val="none"/>
          <w:lang w:eastAsia="zh-Hans"/>
          <w14:textFill>
            <w14:solidFill>
              <w14:schemeClr w14:val="tx1"/>
            </w14:solidFill>
          </w14:textFill>
        </w:rPr>
        <w:t>常规检查</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Hans"/>
          <w14:textFill>
            <w14:solidFill>
              <w14:schemeClr w14:val="tx1"/>
            </w14:solidFill>
          </w14:textFill>
        </w:rPr>
        <w:t>质控检查</w:t>
      </w:r>
      <w:r>
        <w:rPr>
          <w:rFonts w:hint="eastAsia" w:ascii="宋体" w:hAnsi="宋体" w:eastAsia="宋体" w:cs="宋体"/>
          <w:color w:val="000000" w:themeColor="text1"/>
          <w:sz w:val="24"/>
          <w:szCs w:val="24"/>
          <w:highlight w:val="none"/>
          <w14:textFill>
            <w14:solidFill>
              <w14:schemeClr w14:val="tx1"/>
            </w14:solidFill>
          </w14:textFill>
        </w:rPr>
        <w:t>方案，并经业主方认可，双方签字确认；</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2．根据招标要求，对台州市事权上收的12个省控城市环境空气质量自动监测站、10个重点园区环境环境空气质量自动监测站点</w:t>
      </w:r>
      <w:r>
        <w:rPr>
          <w:rFonts w:hint="eastAsia" w:ascii="宋体" w:hAnsi="宋体" w:eastAsia="宋体" w:cs="宋体"/>
          <w:color w:val="000000" w:themeColor="text1"/>
          <w:sz w:val="24"/>
          <w:szCs w:val="24"/>
          <w:highlight w:val="none"/>
          <w:lang w:eastAsia="zh-Hans"/>
          <w14:textFill>
            <w14:solidFill>
              <w14:schemeClr w14:val="tx1"/>
            </w14:solidFill>
          </w14:textFill>
        </w:rPr>
        <w:t>进行常规检查和质控检查工作，</w:t>
      </w:r>
      <w:r>
        <w:rPr>
          <w:rFonts w:hint="eastAsia" w:ascii="宋体" w:hAnsi="宋体" w:eastAsia="宋体" w:cs="宋体"/>
          <w:color w:val="000000" w:themeColor="text1"/>
          <w:sz w:val="24"/>
          <w:szCs w:val="24"/>
          <w:highlight w:val="none"/>
          <w14:textFill>
            <w14:solidFill>
              <w14:schemeClr w14:val="tx1"/>
            </w14:solidFill>
          </w14:textFill>
        </w:rPr>
        <w:t>同时确保检查完成后各站点仪器正常运行；</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3．对检查情况及时记录，并通过工作群汇报；</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4．按时提交站点检查报告（内容包括：站点月、季度及年终检查报告汇总、运维单位工作考核评价等）。</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5．根据浙江省</w:t>
      </w:r>
      <w:r>
        <w:rPr>
          <w:rFonts w:hint="eastAsia" w:ascii="宋体" w:hAnsi="宋体" w:eastAsia="宋体" w:cs="宋体"/>
          <w:color w:val="000000" w:themeColor="text1"/>
          <w:sz w:val="24"/>
          <w:szCs w:val="24"/>
          <w:highlight w:val="none"/>
          <w:lang w:eastAsia="zh-Hans"/>
          <w14:textFill>
            <w14:solidFill>
              <w14:schemeClr w14:val="tx1"/>
            </w14:solidFill>
          </w14:textFill>
        </w:rPr>
        <w:t>台州市生态环境监测中心</w:t>
      </w:r>
      <w:r>
        <w:rPr>
          <w:rFonts w:hint="eastAsia" w:ascii="宋体" w:hAnsi="宋体" w:eastAsia="宋体" w:cs="宋体"/>
          <w:color w:val="000000" w:themeColor="text1"/>
          <w:sz w:val="24"/>
          <w:szCs w:val="24"/>
          <w:highlight w:val="none"/>
          <w14:textFill>
            <w14:solidFill>
              <w14:schemeClr w14:val="tx1"/>
            </w14:solidFill>
          </w14:textFill>
        </w:rPr>
        <w:t>的要求，开展其他空气自动监测质量监督检查相关的工作。</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6．根据监理检查工作发现的问题，及时以书面或口头形式向采购单位提出建设性意见及整改方案。</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eastAsia="zh-Hans"/>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）工作内容</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监理工作包括运维体系检查、数据质量监督检查、异常数据检查和双随机检查等，通过运维检查对环境空气自动监测站运维情况和数据质量情况进行现场考核。监理单位对检查结果和检查质量负全部责任。监理单位应遵守省生态环境厅、</w:t>
      </w:r>
      <w:r>
        <w:rPr>
          <w:rFonts w:hint="eastAsia" w:ascii="宋体" w:hAnsi="宋体" w:eastAsia="宋体" w:cs="宋体"/>
          <w:color w:val="000000" w:themeColor="text1"/>
          <w:sz w:val="24"/>
          <w:szCs w:val="24"/>
          <w:highlight w:val="none"/>
          <w:lang w:eastAsia="zh-Hans"/>
          <w14:textFill>
            <w14:solidFill>
              <w14:schemeClr w14:val="tx1"/>
            </w14:solidFill>
          </w14:textFill>
        </w:rPr>
        <w:t>台州市生态环境监测中心</w:t>
      </w:r>
      <w:r>
        <w:rPr>
          <w:rFonts w:hint="eastAsia" w:ascii="宋体" w:hAnsi="宋体" w:eastAsia="宋体" w:cs="宋体"/>
          <w:color w:val="000000" w:themeColor="text1"/>
          <w:sz w:val="24"/>
          <w:szCs w:val="24"/>
          <w:highlight w:val="none"/>
          <w14:textFill>
            <w14:solidFill>
              <w14:schemeClr w14:val="tx1"/>
            </w14:solidFill>
          </w14:textFill>
        </w:rPr>
        <w:t>关于环境空气自动监测站运行管理的各项规定，如检查期间出台新的环境空气自动监测站运行管理规定，则检查工作按最新规定执行。</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1.运维体系检查</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监理人员对第三方运维公司的运维体系进行检查，检查结果及时报告采购人。检查内容包括但不限于：</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Hans"/>
          <w14:textFill>
            <w14:solidFill>
              <w14:schemeClr w14:val="tx1"/>
            </w14:solidFill>
          </w14:textFill>
        </w:rPr>
        <w:t>1.1</w:t>
      </w:r>
      <w:r>
        <w:rPr>
          <w:rFonts w:hint="eastAsia" w:ascii="宋体" w:hAnsi="宋体" w:eastAsia="宋体" w:cs="宋体"/>
          <w:b/>
          <w:bCs/>
          <w:color w:val="000000" w:themeColor="text1"/>
          <w:sz w:val="24"/>
          <w:szCs w:val="24"/>
          <w:highlight w:val="none"/>
          <w14:textFill>
            <w14:solidFill>
              <w14:schemeClr w14:val="tx1"/>
            </w14:solidFill>
          </w14:textFill>
        </w:rPr>
        <w:t>站点或采样口周边环境</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1）站点用地、电力供应、安全保障工作及周边环境</w:t>
      </w:r>
      <w:r>
        <w:rPr>
          <w:rFonts w:hint="eastAsia" w:ascii="宋体" w:hAnsi="宋体" w:eastAsia="宋体" w:cs="宋体"/>
          <w:color w:val="000000" w:themeColor="text1"/>
          <w:sz w:val="24"/>
          <w:szCs w:val="24"/>
          <w:highlight w:val="none"/>
          <w:lang w:eastAsia="zh-Hans"/>
          <w14:textFill>
            <w14:solidFill>
              <w14:schemeClr w14:val="tx1"/>
            </w14:solidFill>
          </w14:textFill>
        </w:rPr>
        <w:t>是否</w:t>
      </w:r>
      <w:r>
        <w:rPr>
          <w:rFonts w:hint="eastAsia" w:ascii="宋体" w:hAnsi="宋体" w:eastAsia="宋体" w:cs="宋体"/>
          <w:color w:val="000000" w:themeColor="text1"/>
          <w:sz w:val="24"/>
          <w:szCs w:val="24"/>
          <w:highlight w:val="none"/>
          <w14:textFill>
            <w14:solidFill>
              <w14:schemeClr w14:val="tx1"/>
            </w14:solidFill>
          </w14:textFill>
        </w:rPr>
        <w:t>异常；</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2）站点周围树木生长</w:t>
      </w:r>
      <w:r>
        <w:rPr>
          <w:rFonts w:hint="eastAsia" w:ascii="宋体" w:hAnsi="宋体" w:eastAsia="宋体" w:cs="宋体"/>
          <w:color w:val="000000" w:themeColor="text1"/>
          <w:sz w:val="24"/>
          <w:szCs w:val="24"/>
          <w:highlight w:val="none"/>
          <w:lang w:eastAsia="zh-Hans"/>
          <w14:textFill>
            <w14:solidFill>
              <w14:schemeClr w14:val="tx1"/>
            </w14:solidFill>
          </w14:textFill>
        </w:rPr>
        <w:t>是否</w:t>
      </w:r>
      <w:r>
        <w:rPr>
          <w:rFonts w:hint="eastAsia" w:ascii="宋体" w:hAnsi="宋体" w:eastAsia="宋体" w:cs="宋体"/>
          <w:color w:val="000000" w:themeColor="text1"/>
          <w:sz w:val="24"/>
          <w:szCs w:val="24"/>
          <w:highlight w:val="none"/>
          <w14:textFill>
            <w14:solidFill>
              <w14:schemeClr w14:val="tx1"/>
            </w14:solidFill>
          </w14:textFill>
        </w:rPr>
        <w:t>影响自动监测设备的采样工作；</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3）站点四周栅栏、安全警示标志</w:t>
      </w:r>
      <w:r>
        <w:rPr>
          <w:rFonts w:hint="eastAsia" w:ascii="宋体" w:hAnsi="宋体" w:eastAsia="宋体" w:cs="宋体"/>
          <w:color w:val="000000" w:themeColor="text1"/>
          <w:sz w:val="24"/>
          <w:szCs w:val="24"/>
          <w:highlight w:val="none"/>
          <w:lang w:eastAsia="zh-Hans"/>
          <w14:textFill>
            <w14:solidFill>
              <w14:schemeClr w14:val="tx1"/>
            </w14:solidFill>
          </w14:textFill>
        </w:rPr>
        <w:t>是否</w:t>
      </w:r>
      <w:r>
        <w:rPr>
          <w:rFonts w:hint="eastAsia" w:ascii="宋体" w:hAnsi="宋体" w:eastAsia="宋体" w:cs="宋体"/>
          <w:color w:val="000000" w:themeColor="text1"/>
          <w:sz w:val="24"/>
          <w:szCs w:val="24"/>
          <w:highlight w:val="none"/>
          <w14:textFill>
            <w14:solidFill>
              <w14:schemeClr w14:val="tx1"/>
            </w14:solidFill>
          </w14:textFill>
        </w:rPr>
        <w:t>配备齐全；</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4）站点四周目视范围内</w:t>
      </w:r>
      <w:r>
        <w:rPr>
          <w:rFonts w:hint="eastAsia" w:ascii="宋体" w:hAnsi="宋体" w:eastAsia="宋体" w:cs="宋体"/>
          <w:color w:val="000000" w:themeColor="text1"/>
          <w:sz w:val="24"/>
          <w:szCs w:val="24"/>
          <w:highlight w:val="none"/>
          <w:lang w:eastAsia="zh-Hans"/>
          <w14:textFill>
            <w14:solidFill>
              <w14:schemeClr w14:val="tx1"/>
            </w14:solidFill>
          </w14:textFill>
        </w:rPr>
        <w:t>是否</w:t>
      </w:r>
      <w:r>
        <w:rPr>
          <w:rFonts w:hint="eastAsia" w:ascii="宋体" w:hAnsi="宋体" w:eastAsia="宋体" w:cs="宋体"/>
          <w:color w:val="000000" w:themeColor="text1"/>
          <w:sz w:val="24"/>
          <w:szCs w:val="24"/>
          <w:highlight w:val="none"/>
          <w14:textFill>
            <w14:solidFill>
              <w14:schemeClr w14:val="tx1"/>
            </w14:solidFill>
          </w14:textFill>
        </w:rPr>
        <w:t>存在影响监测数据的局地污染源：如烟囱、餐饮油烟等；</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5）有</w:t>
      </w:r>
      <w:r>
        <w:rPr>
          <w:rFonts w:hint="eastAsia" w:ascii="宋体" w:hAnsi="宋体" w:eastAsia="宋体" w:cs="宋体"/>
          <w:color w:val="000000" w:themeColor="text1"/>
          <w:sz w:val="24"/>
          <w:szCs w:val="24"/>
          <w:highlight w:val="none"/>
          <w:lang w:eastAsia="zh-Hans"/>
          <w14:textFill>
            <w14:solidFill>
              <w14:schemeClr w14:val="tx1"/>
            </w14:solidFill>
          </w14:textFill>
        </w:rPr>
        <w:t>无</w:t>
      </w:r>
      <w:r>
        <w:rPr>
          <w:rFonts w:hint="eastAsia" w:ascii="宋体" w:hAnsi="宋体" w:eastAsia="宋体" w:cs="宋体"/>
          <w:color w:val="000000" w:themeColor="text1"/>
          <w:sz w:val="24"/>
          <w:szCs w:val="24"/>
          <w:highlight w:val="none"/>
          <w14:textFill>
            <w14:solidFill>
              <w14:schemeClr w14:val="tx1"/>
            </w14:solidFill>
          </w14:textFill>
        </w:rPr>
        <w:t>非运维人员在未获得许可的情况下进入站房、站房顶、站点栅栏内及采样口20米范围内；</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6）站点或采样口周边50米范围内，有雾炮喷淋等改变环境空气质量的装置；</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7）存在其他影响站点周边环境代表性的情况。</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Hans"/>
          <w14:textFill>
            <w14:solidFill>
              <w14:schemeClr w14:val="tx1"/>
            </w14:solidFill>
          </w14:textFill>
        </w:rPr>
        <w:t>1.2</w:t>
      </w:r>
      <w:r>
        <w:rPr>
          <w:rFonts w:hint="eastAsia" w:ascii="宋体" w:hAnsi="宋体" w:eastAsia="宋体" w:cs="宋体"/>
          <w:b/>
          <w:bCs/>
          <w:color w:val="000000" w:themeColor="text1"/>
          <w:sz w:val="24"/>
          <w:szCs w:val="24"/>
          <w:highlight w:val="none"/>
          <w14:textFill>
            <w14:solidFill>
              <w14:schemeClr w14:val="tx1"/>
            </w14:solidFill>
          </w14:textFill>
        </w:rPr>
        <w:t>站房环境情况</w:t>
      </w:r>
      <w:r>
        <w:rPr>
          <w:rFonts w:hint="eastAsia" w:ascii="宋体" w:hAnsi="宋体" w:eastAsia="宋体" w:cs="宋体"/>
          <w:b/>
          <w:bCs/>
          <w:color w:val="000000" w:themeColor="text1"/>
          <w:sz w:val="24"/>
          <w:szCs w:val="24"/>
          <w:highlight w:val="none"/>
          <w14:textFill>
            <w14:solidFill>
              <w14:schemeClr w14:val="tx1"/>
            </w14:solidFill>
          </w14:textFill>
        </w:rPr>
        <w:tab/>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1）站房周边及站房顶有杂草、积水，地面卫生</w:t>
      </w:r>
      <w:r>
        <w:rPr>
          <w:rFonts w:hint="eastAsia" w:ascii="宋体" w:hAnsi="宋体" w:eastAsia="宋体" w:cs="宋体"/>
          <w:color w:val="000000" w:themeColor="text1"/>
          <w:sz w:val="24"/>
          <w:szCs w:val="24"/>
          <w:highlight w:val="none"/>
          <w:lang w:eastAsia="zh-Hans"/>
          <w14:textFill>
            <w14:solidFill>
              <w14:schemeClr w14:val="tx1"/>
            </w14:solidFill>
          </w14:textFill>
        </w:rPr>
        <w:t>是否</w:t>
      </w:r>
      <w:r>
        <w:rPr>
          <w:rFonts w:hint="eastAsia" w:ascii="宋体" w:hAnsi="宋体" w:eastAsia="宋体" w:cs="宋体"/>
          <w:color w:val="000000" w:themeColor="text1"/>
          <w:sz w:val="24"/>
          <w:szCs w:val="24"/>
          <w:highlight w:val="none"/>
          <w14:textFill>
            <w14:solidFill>
              <w14:schemeClr w14:val="tx1"/>
            </w14:solidFill>
          </w14:textFill>
        </w:rPr>
        <w:t>保持清洁；</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2）站房内环境脏</w:t>
      </w:r>
      <w:r>
        <w:rPr>
          <w:rFonts w:hint="eastAsia" w:ascii="宋体" w:hAnsi="宋体" w:eastAsia="宋体" w:cs="宋体"/>
          <w:color w:val="000000" w:themeColor="text1"/>
          <w:sz w:val="24"/>
          <w:szCs w:val="24"/>
          <w:highlight w:val="none"/>
          <w:lang w:eastAsia="zh-Hans"/>
          <w14:textFill>
            <w14:solidFill>
              <w14:schemeClr w14:val="tx1"/>
            </w14:solidFill>
          </w14:textFill>
        </w:rPr>
        <w:t>有无</w:t>
      </w:r>
      <w:r>
        <w:rPr>
          <w:rFonts w:hint="eastAsia" w:ascii="宋体" w:hAnsi="宋体" w:eastAsia="宋体" w:cs="宋体"/>
          <w:color w:val="000000" w:themeColor="text1"/>
          <w:sz w:val="24"/>
          <w:szCs w:val="24"/>
          <w:highlight w:val="none"/>
          <w14:textFill>
            <w14:solidFill>
              <w14:schemeClr w14:val="tx1"/>
            </w14:solidFill>
          </w14:textFill>
        </w:rPr>
        <w:t>明显灰尘、蛛网等；</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3）站房内是否有明显的异味；</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4）站房内物品是否摆放整齐，标气瓶是否固定；</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5）站房内电源线路、网络线路、气体/采样管路等</w:t>
      </w:r>
      <w:r>
        <w:rPr>
          <w:rFonts w:hint="eastAsia" w:ascii="宋体" w:hAnsi="宋体" w:eastAsia="宋体" w:cs="宋体"/>
          <w:color w:val="000000" w:themeColor="text1"/>
          <w:sz w:val="24"/>
          <w:szCs w:val="24"/>
          <w:highlight w:val="none"/>
          <w:lang w:eastAsia="zh-Hans"/>
          <w14:textFill>
            <w14:solidFill>
              <w14:schemeClr w14:val="tx1"/>
            </w14:solidFill>
          </w14:textFill>
        </w:rPr>
        <w:t>是否</w:t>
      </w:r>
      <w:r>
        <w:rPr>
          <w:rFonts w:hint="eastAsia" w:ascii="宋体" w:hAnsi="宋体" w:eastAsia="宋体" w:cs="宋体"/>
          <w:color w:val="000000" w:themeColor="text1"/>
          <w:sz w:val="24"/>
          <w:szCs w:val="24"/>
          <w:highlight w:val="none"/>
          <w14:textFill>
            <w14:solidFill>
              <w14:schemeClr w14:val="tx1"/>
            </w14:solidFill>
          </w14:textFill>
        </w:rPr>
        <w:t>规整；</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6）站点有跟本监测站无关的设备及杂物(地方资产和运维有关工具设备除外)。</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7）站房未配置温湿度计，温湿度计检定</w:t>
      </w:r>
      <w:r>
        <w:rPr>
          <w:rFonts w:hint="eastAsia" w:ascii="宋体" w:hAnsi="宋体" w:eastAsia="宋体" w:cs="宋体"/>
          <w:color w:val="000000" w:themeColor="text1"/>
          <w:sz w:val="24"/>
          <w:szCs w:val="24"/>
          <w:highlight w:val="none"/>
          <w:lang w:eastAsia="zh-Hans"/>
          <w14:textFill>
            <w14:solidFill>
              <w14:schemeClr w14:val="tx1"/>
            </w14:solidFill>
          </w14:textFill>
        </w:rPr>
        <w:t>是否</w:t>
      </w:r>
      <w:r>
        <w:rPr>
          <w:rFonts w:hint="eastAsia" w:ascii="宋体" w:hAnsi="宋体" w:eastAsia="宋体" w:cs="宋体"/>
          <w:color w:val="000000" w:themeColor="text1"/>
          <w:sz w:val="24"/>
          <w:szCs w:val="24"/>
          <w:highlight w:val="none"/>
          <w14:textFill>
            <w14:solidFill>
              <w14:schemeClr w14:val="tx1"/>
            </w14:solidFill>
          </w14:textFill>
        </w:rPr>
        <w:t>过期；</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8）站房温湿度是否在允许范围内(温度超25±5℃范围，相对湿度超80%)。</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9）站房内排气扇是否正常；</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10）站房内是否有漏水；</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11）检查防雷设施是否异常，应有防雷检测报告(报告有效期应符合要求)；</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12）供电是否异常，网络传输是否异常，稳压器、UPS等是否正常工作；</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13）灭火器等消防设施是否符合要求；</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14）无视频监控，视频监控未正常运行或无法正常监视采样口、仪器间、站点出入口情况，视频无法回放，录像保存时长应满足最少30天；</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15）空调是否正常运行、空调应具备来电自启功能；</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16）空调</w:t>
      </w:r>
      <w:r>
        <w:rPr>
          <w:rFonts w:hint="eastAsia" w:ascii="宋体" w:hAnsi="宋体" w:eastAsia="宋体" w:cs="宋体"/>
          <w:color w:val="000000" w:themeColor="text1"/>
          <w:sz w:val="24"/>
          <w:szCs w:val="24"/>
          <w:highlight w:val="none"/>
          <w:lang w:eastAsia="zh-Hans"/>
          <w14:textFill>
            <w14:solidFill>
              <w14:schemeClr w14:val="tx1"/>
            </w14:solidFill>
          </w14:textFill>
        </w:rPr>
        <w:t>是否</w:t>
      </w:r>
      <w:r>
        <w:rPr>
          <w:rFonts w:hint="eastAsia" w:ascii="宋体" w:hAnsi="宋体" w:eastAsia="宋体" w:cs="宋体"/>
          <w:color w:val="000000" w:themeColor="text1"/>
          <w:sz w:val="24"/>
          <w:szCs w:val="24"/>
          <w:highlight w:val="none"/>
          <w14:textFill>
            <w14:solidFill>
              <w14:schemeClr w14:val="tx1"/>
            </w14:solidFill>
          </w14:textFill>
        </w:rPr>
        <w:t>直吹采样管。</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Hans"/>
          <w14:textFill>
            <w14:solidFill>
              <w14:schemeClr w14:val="tx1"/>
            </w14:solidFill>
          </w14:textFill>
        </w:rPr>
        <w:t>1.3运维</w:t>
      </w:r>
      <w:r>
        <w:rPr>
          <w:rFonts w:hint="eastAsia" w:ascii="宋体" w:hAnsi="宋体" w:eastAsia="宋体" w:cs="宋体"/>
          <w:b/>
          <w:bCs/>
          <w:color w:val="000000" w:themeColor="text1"/>
          <w:sz w:val="24"/>
          <w:szCs w:val="24"/>
          <w:highlight w:val="none"/>
          <w14:textFill>
            <w14:solidFill>
              <w14:schemeClr w14:val="tx1"/>
            </w14:solidFill>
          </w14:textFill>
        </w:rPr>
        <w:t>人员</w:t>
      </w:r>
      <w:r>
        <w:rPr>
          <w:rFonts w:hint="eastAsia" w:ascii="宋体" w:hAnsi="宋体" w:eastAsia="宋体" w:cs="宋体"/>
          <w:b/>
          <w:bCs/>
          <w:color w:val="000000" w:themeColor="text1"/>
          <w:sz w:val="24"/>
          <w:szCs w:val="24"/>
          <w:highlight w:val="none"/>
          <w:lang w:eastAsia="zh-Hans"/>
          <w14:textFill>
            <w14:solidFill>
              <w14:schemeClr w14:val="tx1"/>
            </w14:solidFill>
          </w14:textFill>
        </w:rPr>
        <w:t>情况</w:t>
      </w:r>
      <w:r>
        <w:rPr>
          <w:rFonts w:hint="eastAsia" w:ascii="宋体" w:hAnsi="宋体" w:eastAsia="宋体" w:cs="宋体"/>
          <w:b/>
          <w:bCs/>
          <w:color w:val="000000" w:themeColor="text1"/>
          <w:sz w:val="24"/>
          <w:szCs w:val="24"/>
          <w:highlight w:val="none"/>
          <w14:textFill>
            <w14:solidFill>
              <w14:schemeClr w14:val="tx1"/>
            </w14:solidFill>
          </w14:textFill>
        </w:rPr>
        <w:t>、数据传输</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运维人员是否持有省级以上环保部门或环境协会颁发的气站培训合格证书；证书过期或人证不符（未持证运维人员在取得上岗证前，需在持证人员指导下开展运维工作，并在开展运维工作的六个月内取得上岗证）；</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2）分析仪数据、数采软件数据、中心站原始数据库三者数据</w:t>
      </w:r>
      <w:r>
        <w:rPr>
          <w:rFonts w:hint="eastAsia" w:ascii="宋体" w:hAnsi="宋体" w:eastAsia="宋体" w:cs="宋体"/>
          <w:color w:val="000000" w:themeColor="text1"/>
          <w:sz w:val="24"/>
          <w:szCs w:val="24"/>
          <w:highlight w:val="none"/>
          <w:lang w:eastAsia="zh-Hans"/>
          <w14:textFill>
            <w14:solidFill>
              <w14:schemeClr w14:val="tx1"/>
            </w14:solidFill>
          </w14:textFill>
        </w:rPr>
        <w:t>是否</w:t>
      </w:r>
      <w:r>
        <w:rPr>
          <w:rFonts w:hint="eastAsia" w:ascii="宋体" w:hAnsi="宋体" w:eastAsia="宋体" w:cs="宋体"/>
          <w:color w:val="000000" w:themeColor="text1"/>
          <w:sz w:val="24"/>
          <w:szCs w:val="24"/>
          <w:highlight w:val="none"/>
          <w14:textFill>
            <w14:solidFill>
              <w14:schemeClr w14:val="tx1"/>
            </w14:solidFill>
          </w14:textFill>
        </w:rPr>
        <w:t>保持一致；</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3）工控机、设备时间与北京时间误差超±5min，且工控机时间与设备时间误差超±5min。</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Hans"/>
          <w14:textFill>
            <w14:solidFill>
              <w14:schemeClr w14:val="tx1"/>
            </w14:solidFill>
          </w14:textFill>
        </w:rPr>
        <w:t>1.4</w:t>
      </w:r>
      <w:r>
        <w:rPr>
          <w:rFonts w:hint="eastAsia" w:ascii="宋体" w:hAnsi="宋体" w:eastAsia="宋体" w:cs="宋体"/>
          <w:b/>
          <w:bCs/>
          <w:color w:val="000000" w:themeColor="text1"/>
          <w:sz w:val="24"/>
          <w:szCs w:val="24"/>
          <w:highlight w:val="none"/>
          <w14:textFill>
            <w14:solidFill>
              <w14:schemeClr w14:val="tx1"/>
            </w14:solidFill>
          </w14:textFill>
        </w:rPr>
        <w:t>采样系统</w:t>
      </w:r>
      <w:r>
        <w:rPr>
          <w:rFonts w:hint="eastAsia" w:ascii="宋体" w:hAnsi="宋体" w:eastAsia="宋体" w:cs="宋体"/>
          <w:b/>
          <w:bCs/>
          <w:color w:val="000000" w:themeColor="text1"/>
          <w:sz w:val="24"/>
          <w:szCs w:val="24"/>
          <w:highlight w:val="none"/>
          <w14:textFill>
            <w14:solidFill>
              <w14:schemeClr w14:val="tx1"/>
            </w14:solidFill>
          </w14:textFill>
        </w:rPr>
        <w:tab/>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1）采样总管抽、排气风扇是否运转正常；</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2）采样总管应竖直安装；</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3）采样口到站点顶垂直距离＜1m；</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4）采样总管内径超1.5cm～15cm范围，各支管接头间隔＜8cm。采样支管长度应</w:t>
      </w:r>
      <w:r>
        <w:rPr>
          <w:rFonts w:hint="eastAsia" w:ascii="宋体" w:hAnsi="宋体" w:eastAsia="宋体" w:cs="宋体"/>
          <w:color w:val="000000" w:themeColor="text1"/>
          <w:sz w:val="24"/>
          <w:szCs w:val="24"/>
          <w:highlight w:val="none"/>
          <w:lang w:eastAsia="zh-Hans"/>
          <w14:textFill>
            <w14:solidFill>
              <w14:schemeClr w14:val="tx1"/>
            </w14:solidFill>
          </w14:textFill>
        </w:rPr>
        <w:t>不</w:t>
      </w:r>
      <w:r>
        <w:rPr>
          <w:rFonts w:hint="eastAsia" w:ascii="宋体" w:hAnsi="宋体" w:eastAsia="宋体" w:cs="宋体"/>
          <w:color w:val="000000" w:themeColor="text1"/>
          <w:sz w:val="24"/>
          <w:szCs w:val="24"/>
          <w:highlight w:val="none"/>
          <w14:textFill>
            <w14:solidFill>
              <w14:schemeClr w14:val="tx1"/>
            </w14:solidFill>
          </w14:textFill>
        </w:rPr>
        <w:t>大于3m。</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5）采样总管应配备加热系统；温度应控制在30～50℃范围内。</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6）仪器废气、采样总管尾气</w:t>
      </w:r>
      <w:r>
        <w:rPr>
          <w:rFonts w:hint="eastAsia" w:ascii="宋体" w:hAnsi="宋体" w:eastAsia="宋体" w:cs="宋体"/>
          <w:color w:val="000000" w:themeColor="text1"/>
          <w:sz w:val="24"/>
          <w:szCs w:val="24"/>
          <w:highlight w:val="none"/>
          <w:lang w:eastAsia="zh-Hans"/>
          <w14:textFill>
            <w14:solidFill>
              <w14:schemeClr w14:val="tx1"/>
            </w14:solidFill>
          </w14:textFill>
        </w:rPr>
        <w:t>是否排放室外</w:t>
      </w:r>
      <w:r>
        <w:rPr>
          <w:rFonts w:hint="eastAsia" w:ascii="宋体" w:hAnsi="宋体" w:eastAsia="宋体" w:cs="宋体"/>
          <w:color w:val="000000" w:themeColor="text1"/>
          <w:sz w:val="24"/>
          <w:szCs w:val="24"/>
          <w:highlight w:val="none"/>
          <w14:textFill>
            <w14:solidFill>
              <w14:schemeClr w14:val="tx1"/>
            </w14:solidFill>
          </w14:textFill>
        </w:rPr>
        <w:t>；</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7）采样管路连接是否规范(如：无固定或在连接处应用胶布缠绕)。</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8）颗粒物采样头滤网应保持完好；</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9）颗粒物加热装置工作状态，参数设置应符合要求(动态加热湿度应设置为35％)。</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Hans"/>
          <w14:textFill>
            <w14:solidFill>
              <w14:schemeClr w14:val="tx1"/>
            </w14:solidFill>
          </w14:textFill>
        </w:rPr>
        <w:t>1.5</w:t>
      </w:r>
      <w:r>
        <w:rPr>
          <w:rFonts w:hint="eastAsia" w:ascii="宋体" w:hAnsi="宋体" w:eastAsia="宋体" w:cs="宋体"/>
          <w:b/>
          <w:bCs/>
          <w:color w:val="000000" w:themeColor="text1"/>
          <w:sz w:val="24"/>
          <w:szCs w:val="24"/>
          <w:highlight w:val="none"/>
          <w14:textFill>
            <w14:solidFill>
              <w14:schemeClr w14:val="tx1"/>
            </w14:solidFill>
          </w14:textFill>
        </w:rPr>
        <w:t>日常维护及</w:t>
      </w:r>
      <w:r>
        <w:rPr>
          <w:rFonts w:hint="eastAsia" w:ascii="宋体" w:hAnsi="宋体" w:eastAsia="宋体" w:cs="宋体"/>
          <w:b/>
          <w:bCs/>
          <w:color w:val="000000" w:themeColor="text1"/>
          <w:sz w:val="24"/>
          <w:szCs w:val="24"/>
          <w:highlight w:val="none"/>
          <w:lang w:eastAsia="zh-Hans"/>
          <w14:textFill>
            <w14:solidFill>
              <w14:schemeClr w14:val="tx1"/>
            </w14:solidFill>
          </w14:textFill>
        </w:rPr>
        <w:t>溯源工作</w:t>
      </w:r>
      <w:r>
        <w:rPr>
          <w:rFonts w:hint="eastAsia" w:ascii="宋体" w:hAnsi="宋体" w:eastAsia="宋体" w:cs="宋体"/>
          <w:b/>
          <w:bCs/>
          <w:color w:val="000000" w:themeColor="text1"/>
          <w:sz w:val="24"/>
          <w:szCs w:val="24"/>
          <w:highlight w:val="none"/>
          <w14:textFill>
            <w14:solidFill>
              <w14:schemeClr w14:val="tx1"/>
            </w14:solidFill>
          </w14:textFill>
        </w:rPr>
        <w:tab/>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1）空调</w:t>
      </w:r>
      <w:r>
        <w:rPr>
          <w:rFonts w:hint="eastAsia" w:ascii="宋体" w:hAnsi="宋体" w:eastAsia="宋体" w:cs="宋体"/>
          <w:color w:val="000000" w:themeColor="text1"/>
          <w:sz w:val="24"/>
          <w:szCs w:val="24"/>
          <w:highlight w:val="none"/>
          <w:lang w:eastAsia="zh-Hans"/>
          <w14:textFill>
            <w14:solidFill>
              <w14:schemeClr w14:val="tx1"/>
            </w14:solidFill>
          </w14:textFill>
        </w:rPr>
        <w:t>滤网是否</w:t>
      </w:r>
      <w:r>
        <w:rPr>
          <w:rFonts w:hint="eastAsia" w:ascii="宋体" w:hAnsi="宋体" w:eastAsia="宋体" w:cs="宋体"/>
          <w:color w:val="000000" w:themeColor="text1"/>
          <w:sz w:val="24"/>
          <w:szCs w:val="24"/>
          <w:highlight w:val="none"/>
          <w14:textFill>
            <w14:solidFill>
              <w14:schemeClr w14:val="tx1"/>
            </w14:solidFill>
          </w14:textFill>
        </w:rPr>
        <w:t>清洁；</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2）仪器、工控机等散热风扇是否正常，过滤网是否缺失，过滤网是否清洁；</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3）各采样管路应保持清洁，无冷凝水、积灰等；</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4）颗粒物采样头、切割器</w:t>
      </w:r>
      <w:r>
        <w:rPr>
          <w:rFonts w:hint="eastAsia" w:ascii="宋体" w:hAnsi="宋体" w:eastAsia="宋体" w:cs="宋体"/>
          <w:color w:val="000000" w:themeColor="text1"/>
          <w:sz w:val="24"/>
          <w:szCs w:val="24"/>
          <w:highlight w:val="none"/>
          <w:lang w:eastAsia="zh-Hans"/>
          <w14:textFill>
            <w14:solidFill>
              <w14:schemeClr w14:val="tx1"/>
            </w14:solidFill>
          </w14:textFill>
        </w:rPr>
        <w:t>是否</w:t>
      </w:r>
      <w:r>
        <w:rPr>
          <w:rFonts w:hint="eastAsia" w:ascii="宋体" w:hAnsi="宋体" w:eastAsia="宋体" w:cs="宋体"/>
          <w:color w:val="000000" w:themeColor="text1"/>
          <w:sz w:val="24"/>
          <w:szCs w:val="24"/>
          <w:highlight w:val="none"/>
          <w14:textFill>
            <w14:solidFill>
              <w14:schemeClr w14:val="tx1"/>
            </w14:solidFill>
          </w14:textFill>
        </w:rPr>
        <w:t>清洁；</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5）干燥剂、氧化剂、活性炭耗材和分子筛应及时更换；</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6）采样泵相关耗材未及时更换，空压机未及时维护；</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7）气态污染物分析仪滤膜脏污，未及时更换；</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8）检查</w:t>
      </w:r>
      <w:r>
        <w:rPr>
          <w:rFonts w:hint="eastAsia" w:ascii="宋体" w:hAnsi="宋体" w:eastAsia="宋体" w:cs="宋体"/>
          <w:color w:val="000000" w:themeColor="text1"/>
          <w:sz w:val="24"/>
          <w:szCs w:val="24"/>
          <w:highlight w:val="none"/>
          <w:lang w:val="zh-CN"/>
          <w14:textFill>
            <w14:solidFill>
              <w14:schemeClr w14:val="tx1"/>
            </w14:solidFill>
          </w14:textFill>
        </w:rPr>
        <w:t>记录表格</w:t>
      </w:r>
      <w:r>
        <w:rPr>
          <w:rFonts w:hint="eastAsia" w:ascii="宋体" w:hAnsi="宋体" w:eastAsia="宋体" w:cs="宋体"/>
          <w:color w:val="000000" w:themeColor="text1"/>
          <w:sz w:val="24"/>
          <w:szCs w:val="24"/>
          <w:highlight w:val="none"/>
          <w14:textFill>
            <w14:solidFill>
              <w14:schemeClr w14:val="tx1"/>
            </w14:solidFill>
          </w14:textFill>
        </w:rPr>
        <w:t>的填写是否完整规范，</w:t>
      </w:r>
      <w:r>
        <w:rPr>
          <w:rFonts w:hint="eastAsia" w:ascii="宋体" w:hAnsi="宋体" w:eastAsia="宋体" w:cs="宋体"/>
          <w:color w:val="000000" w:themeColor="text1"/>
          <w:sz w:val="24"/>
          <w:szCs w:val="24"/>
          <w:highlight w:val="none"/>
          <w:lang w:val="zh-CN"/>
          <w14:textFill>
            <w14:solidFill>
              <w14:schemeClr w14:val="tx1"/>
            </w14:solidFill>
          </w14:textFill>
        </w:rPr>
        <w:t>应包括各项运维工作、质控工作、维修工作等，并放置于点位现场备查</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9）设备维修记录、耗品耗材更换记录，</w:t>
      </w:r>
      <w:r>
        <w:rPr>
          <w:rFonts w:hint="eastAsia" w:ascii="宋体" w:hAnsi="宋体" w:eastAsia="宋体" w:cs="宋体"/>
          <w:color w:val="000000" w:themeColor="text1"/>
          <w:sz w:val="24"/>
          <w:szCs w:val="24"/>
          <w:highlight w:val="none"/>
          <w:lang w:eastAsia="zh-Hans"/>
          <w14:textFill>
            <w14:solidFill>
              <w14:schemeClr w14:val="tx1"/>
            </w14:solidFill>
          </w14:textFill>
        </w:rPr>
        <w:t>是否</w:t>
      </w:r>
      <w:r>
        <w:rPr>
          <w:rFonts w:hint="eastAsia" w:ascii="宋体" w:hAnsi="宋体" w:eastAsia="宋体" w:cs="宋体"/>
          <w:color w:val="000000" w:themeColor="text1"/>
          <w:sz w:val="24"/>
          <w:szCs w:val="24"/>
          <w:highlight w:val="none"/>
          <w14:textFill>
            <w14:solidFill>
              <w14:schemeClr w14:val="tx1"/>
            </w14:solidFill>
          </w14:textFill>
        </w:rPr>
        <w:t>完整，填写内容是否准确；</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10）数据缺失情况说明、异常数据情况记录，记录填写</w:t>
      </w:r>
      <w:r>
        <w:rPr>
          <w:rFonts w:hint="eastAsia" w:ascii="宋体" w:hAnsi="宋体" w:eastAsia="宋体" w:cs="宋体"/>
          <w:color w:val="000000" w:themeColor="text1"/>
          <w:sz w:val="24"/>
          <w:szCs w:val="24"/>
          <w:highlight w:val="none"/>
          <w:lang w:eastAsia="zh-Hans"/>
          <w14:textFill>
            <w14:solidFill>
              <w14:schemeClr w14:val="tx1"/>
            </w14:solidFill>
          </w14:textFill>
        </w:rPr>
        <w:t>是否</w:t>
      </w:r>
      <w:r>
        <w:rPr>
          <w:rFonts w:hint="eastAsia" w:ascii="宋体" w:hAnsi="宋体" w:eastAsia="宋体" w:cs="宋体"/>
          <w:color w:val="000000" w:themeColor="text1"/>
          <w:sz w:val="24"/>
          <w:szCs w:val="24"/>
          <w:highlight w:val="none"/>
          <w14:textFill>
            <w14:solidFill>
              <w14:schemeClr w14:val="tx1"/>
            </w14:solidFill>
          </w14:textFill>
        </w:rPr>
        <w:t>完整，填写内容是否准确；</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zh-CN"/>
          <w14:textFill>
            <w14:solidFill>
              <w14:schemeClr w14:val="tx1"/>
            </w14:solidFill>
          </w14:textFill>
        </w:rPr>
        <w:t>量值溯源</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用于测试流量的流量计、温度计、压力计是否通过计量检定</w:t>
      </w:r>
      <w:r>
        <w:rPr>
          <w:rFonts w:hint="eastAsia" w:ascii="宋体" w:hAnsi="宋体" w:eastAsia="宋体" w:cs="宋体"/>
          <w:color w:val="000000" w:themeColor="text1"/>
          <w:sz w:val="24"/>
          <w:szCs w:val="24"/>
          <w:highlight w:val="none"/>
          <w14:textFill>
            <w14:solidFill>
              <w14:schemeClr w14:val="tx1"/>
            </w14:solidFill>
          </w14:textFill>
        </w:rPr>
        <w:t>；</w:t>
      </w:r>
    </w:p>
    <w:p>
      <w:pPr>
        <w:shd w:val="clear"/>
        <w:bidi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sz w:val="24"/>
          <w:szCs w:val="24"/>
          <w:highlight w:val="none"/>
          <w:lang w:val="zh-CN"/>
          <w14:textFill>
            <w14:solidFill>
              <w14:schemeClr w14:val="tx1"/>
            </w14:solidFill>
          </w14:textFill>
        </w:rPr>
        <w:t>标气</w:t>
      </w:r>
      <w:r>
        <w:rPr>
          <w:rFonts w:hint="eastAsia" w:ascii="宋体" w:hAnsi="宋体" w:eastAsia="宋体" w:cs="宋体"/>
          <w:color w:val="000000" w:themeColor="text1"/>
          <w:sz w:val="24"/>
          <w:szCs w:val="24"/>
          <w:highlight w:val="none"/>
          <w14:textFill>
            <w14:solidFill>
              <w14:schemeClr w14:val="tx1"/>
            </w14:solidFill>
          </w14:textFill>
        </w:rPr>
        <w:t>和气体发生器情况。检查标气</w:t>
      </w:r>
      <w:r>
        <w:rPr>
          <w:rFonts w:hint="eastAsia" w:ascii="宋体" w:hAnsi="宋体" w:eastAsia="宋体" w:cs="宋体"/>
          <w:color w:val="000000" w:themeColor="text1"/>
          <w:sz w:val="24"/>
          <w:szCs w:val="24"/>
          <w:highlight w:val="none"/>
          <w:lang w:val="zh-CN"/>
          <w14:textFill>
            <w14:solidFill>
              <w14:schemeClr w14:val="tx1"/>
            </w14:solidFill>
          </w14:textFill>
        </w:rPr>
        <w:t>和辅助气</w:t>
      </w:r>
      <w:r>
        <w:rPr>
          <w:rFonts w:hint="eastAsia" w:ascii="宋体" w:hAnsi="宋体" w:eastAsia="宋体" w:cs="宋体"/>
          <w:color w:val="000000" w:themeColor="text1"/>
          <w:sz w:val="24"/>
          <w:szCs w:val="24"/>
          <w:highlight w:val="none"/>
          <w14:textFill>
            <w14:solidFill>
              <w14:schemeClr w14:val="tx1"/>
            </w14:solidFill>
          </w14:textFill>
        </w:rPr>
        <w:t>是否在</w:t>
      </w:r>
      <w:r>
        <w:rPr>
          <w:rFonts w:hint="eastAsia" w:ascii="宋体" w:hAnsi="宋体" w:eastAsia="宋体" w:cs="宋体"/>
          <w:color w:val="000000" w:themeColor="text1"/>
          <w:sz w:val="24"/>
          <w:szCs w:val="24"/>
          <w:highlight w:val="none"/>
          <w:lang w:val="zh-CN"/>
          <w14:textFill>
            <w14:solidFill>
              <w14:schemeClr w14:val="tx1"/>
            </w14:solidFill>
          </w14:textFill>
        </w:rPr>
        <w:t>有效期</w:t>
      </w:r>
      <w:r>
        <w:rPr>
          <w:rFonts w:hint="eastAsia" w:ascii="宋体" w:hAnsi="宋体" w:eastAsia="宋体" w:cs="宋体"/>
          <w:color w:val="000000" w:themeColor="text1"/>
          <w:sz w:val="24"/>
          <w:szCs w:val="24"/>
          <w:highlight w:val="none"/>
          <w14:textFill>
            <w14:solidFill>
              <w14:schemeClr w14:val="tx1"/>
            </w14:solidFill>
          </w14:textFill>
        </w:rPr>
        <w:t>内，</w:t>
      </w:r>
      <w:r>
        <w:rPr>
          <w:rFonts w:hint="eastAsia" w:ascii="宋体" w:hAnsi="宋体" w:eastAsia="宋体" w:cs="宋体"/>
          <w:color w:val="000000" w:themeColor="text1"/>
          <w:sz w:val="24"/>
          <w:szCs w:val="24"/>
          <w:highlight w:val="none"/>
          <w:lang w:val="zh-CN"/>
          <w14:textFill>
            <w14:solidFill>
              <w14:schemeClr w14:val="tx1"/>
            </w14:solidFill>
          </w14:textFill>
        </w:rPr>
        <w:t>压力</w:t>
      </w:r>
      <w:r>
        <w:rPr>
          <w:rFonts w:hint="eastAsia" w:ascii="宋体" w:hAnsi="宋体" w:eastAsia="宋体" w:cs="宋体"/>
          <w:color w:val="000000" w:themeColor="text1"/>
          <w:sz w:val="24"/>
          <w:szCs w:val="24"/>
          <w:highlight w:val="none"/>
          <w14:textFill>
            <w14:solidFill>
              <w14:schemeClr w14:val="tx1"/>
            </w14:solidFill>
          </w14:textFill>
        </w:rPr>
        <w:t>是否满足工作要求</w:t>
      </w:r>
      <w:r>
        <w:rPr>
          <w:rFonts w:hint="eastAsia" w:ascii="宋体" w:hAnsi="宋体" w:eastAsia="宋体" w:cs="宋体"/>
          <w:color w:val="000000" w:themeColor="text1"/>
          <w:sz w:val="24"/>
          <w:szCs w:val="24"/>
          <w:highlight w:val="none"/>
          <w:lang w:val="zh-CN"/>
          <w14:textFill>
            <w14:solidFill>
              <w14:schemeClr w14:val="tx1"/>
            </w14:solidFill>
          </w14:textFill>
        </w:rPr>
        <w:t>；气体发生器硅胶、活性碳和无水氯化钙</w:t>
      </w:r>
      <w:r>
        <w:rPr>
          <w:rFonts w:hint="eastAsia" w:ascii="宋体" w:hAnsi="宋体" w:eastAsia="宋体" w:cs="宋体"/>
          <w:color w:val="000000" w:themeColor="text1"/>
          <w:sz w:val="24"/>
          <w:szCs w:val="24"/>
          <w:highlight w:val="none"/>
          <w14:textFill>
            <w14:solidFill>
              <w14:schemeClr w14:val="tx1"/>
            </w14:solidFill>
          </w14:textFill>
        </w:rPr>
        <w:t>是否更换及时等</w:t>
      </w:r>
      <w:r>
        <w:rPr>
          <w:rFonts w:hint="eastAsia" w:ascii="宋体" w:hAnsi="宋体" w:eastAsia="宋体" w:cs="宋体"/>
          <w:color w:val="000000" w:themeColor="text1"/>
          <w:sz w:val="24"/>
          <w:szCs w:val="24"/>
          <w:highlight w:val="none"/>
          <w:lang w:val="zh-CN"/>
          <w14:textFill>
            <w14:solidFill>
              <w14:schemeClr w14:val="tx1"/>
            </w14:solidFill>
          </w14:textFill>
        </w:rPr>
        <w:t>。</w:t>
      </w:r>
    </w:p>
    <w:p>
      <w:pPr>
        <w:shd w:val="clear"/>
        <w:bidi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r>
        <w:rPr>
          <w:rFonts w:hint="eastAsia" w:ascii="宋体" w:hAnsi="宋体" w:eastAsia="宋体" w:cs="宋体"/>
          <w:color w:val="000000" w:themeColor="text1"/>
          <w:sz w:val="24"/>
          <w:szCs w:val="24"/>
          <w:highlight w:val="none"/>
          <w:lang w:val="zh-CN"/>
          <w14:textFill>
            <w14:solidFill>
              <w14:schemeClr w14:val="tx1"/>
            </w14:solidFill>
          </w14:textFill>
        </w:rPr>
        <w:t>检查数据采集、传输与网络通讯是否正常，采集数据与仪器内部数据是否一致性。</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r>
        <w:rPr>
          <w:rFonts w:hint="eastAsia" w:ascii="宋体" w:hAnsi="宋体" w:eastAsia="宋体" w:cs="宋体"/>
          <w:color w:val="000000" w:themeColor="text1"/>
          <w:sz w:val="24"/>
          <w:szCs w:val="24"/>
          <w:highlight w:val="none"/>
          <w:lang w:val="zh-CN"/>
          <w14:textFill>
            <w14:solidFill>
              <w14:schemeClr w14:val="tx1"/>
            </w14:solidFill>
          </w14:textFill>
        </w:rPr>
        <w:t>备件耗材管理。包括每次更换下来的耗材、配件是否保存好，更换耗材备件是否标注更换日期，需经采购人认可后方可处理。</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Hans"/>
          <w14:textFill>
            <w14:solidFill>
              <w14:schemeClr w14:val="tx1"/>
            </w14:solidFill>
          </w14:textFill>
        </w:rPr>
        <w:t>1.6</w:t>
      </w:r>
      <w:r>
        <w:rPr>
          <w:rFonts w:hint="eastAsia" w:ascii="宋体" w:hAnsi="宋体" w:eastAsia="宋体" w:cs="宋体"/>
          <w:b/>
          <w:bCs/>
          <w:color w:val="000000" w:themeColor="text1"/>
          <w:sz w:val="24"/>
          <w:szCs w:val="24"/>
          <w:highlight w:val="none"/>
          <w14:textFill>
            <w14:solidFill>
              <w14:schemeClr w14:val="tx1"/>
            </w14:solidFill>
          </w14:textFill>
        </w:rPr>
        <w:t>故障维修</w:t>
      </w:r>
      <w:r>
        <w:rPr>
          <w:rFonts w:hint="eastAsia" w:ascii="宋体" w:hAnsi="宋体" w:eastAsia="宋体" w:cs="宋体"/>
          <w:b/>
          <w:bCs/>
          <w:color w:val="000000" w:themeColor="text1"/>
          <w:sz w:val="24"/>
          <w:szCs w:val="24"/>
          <w:highlight w:val="none"/>
          <w14:textFill>
            <w14:solidFill>
              <w14:schemeClr w14:val="tx1"/>
            </w14:solidFill>
          </w14:textFill>
        </w:rPr>
        <w:tab/>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1）主要因子分析设备(SO2、NOx、O3、CO、PM10、PM2.5、VOCs等)发生故障导致数据异常未8小时响应，故障无法在2小时内排除又未启用备机,更换备机后或更换的备机是否向浙江省台州生态环境监测中心备案。</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2）非主要因子分析设备故障应及时修复，故障持续时间不能超48小时。</w:t>
      </w:r>
    </w:p>
    <w:p>
      <w:pPr>
        <w:shd w:val="clear"/>
        <w:bidi w:val="0"/>
        <w:spacing w:line="360" w:lineRule="auto"/>
        <w:rPr>
          <w:rFonts w:hint="eastAsia" w:ascii="宋体" w:hAnsi="宋体" w:eastAsia="宋体" w:cs="宋体"/>
          <w:b/>
          <w:bCs/>
          <w:color w:val="000000" w:themeColor="text1"/>
          <w:sz w:val="24"/>
          <w:szCs w:val="24"/>
          <w:highlight w:val="none"/>
          <w:lang w:eastAsia="zh-Hans"/>
          <w14:textFill>
            <w14:solidFill>
              <w14:schemeClr w14:val="tx1"/>
            </w14:solidFill>
          </w14:textFill>
        </w:rPr>
      </w:pPr>
      <w:r>
        <w:rPr>
          <w:rFonts w:hint="eastAsia" w:ascii="宋体" w:hAnsi="宋体" w:eastAsia="宋体" w:cs="宋体"/>
          <w:b/>
          <w:bCs/>
          <w:color w:val="000000" w:themeColor="text1"/>
          <w:sz w:val="24"/>
          <w:szCs w:val="24"/>
          <w:highlight w:val="none"/>
          <w:lang w:eastAsia="zh-Hans"/>
          <w14:textFill>
            <w14:solidFill>
              <w14:schemeClr w14:val="tx1"/>
            </w14:solidFill>
          </w14:textFill>
        </w:rPr>
        <w:t>1.7设备运行情况检查</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1）检查各分析仪内部运行参数，了解仪器工作状态是否正常，</w:t>
      </w:r>
      <w:r>
        <w:rPr>
          <w:rFonts w:hint="eastAsia" w:ascii="宋体" w:hAnsi="宋体" w:eastAsia="宋体" w:cs="宋体"/>
          <w:color w:val="000000" w:themeColor="text1"/>
          <w:sz w:val="24"/>
          <w:szCs w:val="24"/>
          <w:highlight w:val="none"/>
          <w:lang w:eastAsia="zh-Hans"/>
          <w14:textFill>
            <w14:solidFill>
              <w14:schemeClr w14:val="tx1"/>
            </w14:solidFill>
          </w14:textFill>
        </w:rPr>
        <w:t>同时记录各设备运行参数</w:t>
      </w:r>
      <w:r>
        <w:rPr>
          <w:rFonts w:hint="eastAsia" w:ascii="宋体" w:hAnsi="宋体" w:eastAsia="宋体" w:cs="宋体"/>
          <w:color w:val="000000" w:themeColor="text1"/>
          <w:sz w:val="24"/>
          <w:szCs w:val="24"/>
          <w:highlight w:val="none"/>
          <w14:textFill>
            <w14:solidFill>
              <w14:schemeClr w14:val="tx1"/>
            </w14:solidFill>
          </w14:textFill>
        </w:rPr>
        <w:t>。</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2）检查气象参数、站房内温湿度传感器工作状态。</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2．数据质量监督检查</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监理单位日常协助业主开展数据审核，统计有效数据获取率。根据数据审核等工作中发现的异常监测数据，开展异常数据检查，并于3天内提交初步数据异常原因，15天内提交数据异常分析报告，并在报告中详细阐明异常原因和异常时段。异常数据检查内容包括但不限于：</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1）运维记录检查（调取平台运维记录，检查其是否符合要求）；</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2）重要仪器参数变化情况检查（调取参数记录，检查其是否符合要求）；</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3）站房周边环境检查，核查是否存在人为干扰自动在线监测的情况并填写核查记录（现场检查，拍照）；</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4）现场质控检查，根据异常项目，携带相关质控设备开展现场检查（质控设备性能需确认合格，并详细记录检查结果）；</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3．双随机检查</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季度运维监理工作之外，根据数据及运维情况再开展双随机检查。双随机检查计划上报采购人（或根据采购人指定的时间）开展，检查过程中，及时向采购人报告检查发现的问题，检查完成后3日内（或根据采购人指定的时间）提交双随机检查报告。双随机检查包括但不限于：</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1）发现或怀疑数据异常的点位；</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2）重点站点等运维检查单位怀疑可能存在人为干扰监测数据的点位；</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3）飞行检查；</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4）使用备机超过30天时；</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5）设备因故停机超过3天时；</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6）设备更新后；</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7）站房迁移后；</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8）进行可能影响校准结果的维修或维护后；</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9）站房周边环境调整后；</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10）设县（市、区）生态环境局提出异议；</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11）根据国家、省、市要求而组织的专项检查；</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12）其他临时性检查。</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4．质控检查</w:t>
      </w:r>
    </w:p>
    <w:p>
      <w:pPr>
        <w:shd w:val="clear"/>
        <w:bidi w:val="0"/>
        <w:spacing w:line="360" w:lineRule="auto"/>
        <w:rPr>
          <w:rFonts w:hint="eastAsia" w:ascii="宋体" w:hAnsi="宋体" w:eastAsia="宋体" w:cs="宋体"/>
          <w:b/>
          <w:bCs/>
          <w:color w:val="000000" w:themeColor="text1"/>
          <w:sz w:val="24"/>
          <w:szCs w:val="24"/>
          <w:highlight w:val="none"/>
          <w:lang w:eastAsia="zh-Hans"/>
          <w14:textFill>
            <w14:solidFill>
              <w14:schemeClr w14:val="tx1"/>
            </w14:solidFill>
          </w14:textFill>
        </w:rPr>
      </w:pPr>
      <w:r>
        <w:rPr>
          <w:rFonts w:hint="eastAsia" w:ascii="宋体" w:hAnsi="宋体" w:eastAsia="宋体" w:cs="宋体"/>
          <w:b/>
          <w:bCs/>
          <w:color w:val="000000" w:themeColor="text1"/>
          <w:sz w:val="24"/>
          <w:szCs w:val="24"/>
          <w:highlight w:val="none"/>
          <w:lang w:eastAsia="zh-Hans"/>
          <w14:textFill>
            <w14:solidFill>
              <w14:schemeClr w14:val="tx1"/>
            </w14:solidFill>
          </w14:textFill>
        </w:rPr>
        <w:t>4.1常规监测因子</w:t>
      </w:r>
    </w:p>
    <w:p>
      <w:pPr>
        <w:shd w:val="clear"/>
        <w:bidi w:val="0"/>
        <w:spacing w:line="360" w:lineRule="auto"/>
        <w:ind w:firstLine="480" w:firstLineChars="200"/>
        <w:rPr>
          <w:rFonts w:hint="eastAsia" w:ascii="宋体" w:hAnsi="宋体" w:eastAsia="宋体" w:cs="宋体"/>
          <w:b w:val="0"/>
          <w:bCs w:val="0"/>
          <w:color w:val="000000" w:themeColor="text1"/>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1）对点式设备SO2、CO、NO2及VOCs仪器等监测仪器进行现场</w:t>
      </w:r>
      <w:r>
        <w:rPr>
          <w:rFonts w:hint="eastAsia" w:ascii="宋体" w:hAnsi="宋体" w:eastAsia="宋体" w:cs="宋体"/>
          <w:color w:val="000000" w:themeColor="text1"/>
          <w:sz w:val="24"/>
          <w:szCs w:val="24"/>
          <w:highlight w:val="none"/>
          <w:lang w:eastAsia="zh-Hans"/>
          <w14:textFill>
            <w14:solidFill>
              <w14:schemeClr w14:val="tx1"/>
            </w14:solidFill>
          </w14:textFill>
        </w:rPr>
        <w:t>质控</w:t>
      </w:r>
      <w:r>
        <w:rPr>
          <w:rFonts w:hint="eastAsia" w:ascii="宋体" w:hAnsi="宋体" w:eastAsia="宋体" w:cs="宋体"/>
          <w:color w:val="000000" w:themeColor="text1"/>
          <w:sz w:val="24"/>
          <w:szCs w:val="24"/>
          <w:highlight w:val="none"/>
          <w14:textFill>
            <w14:solidFill>
              <w14:schemeClr w14:val="tx1"/>
            </w14:solidFill>
          </w14:textFill>
        </w:rPr>
        <w:t>考核，</w:t>
      </w:r>
      <w:r>
        <w:rPr>
          <w:rFonts w:hint="eastAsia" w:ascii="宋体" w:hAnsi="宋体" w:eastAsia="宋体" w:cs="宋体"/>
          <w:color w:val="000000" w:themeColor="text1"/>
          <w:sz w:val="24"/>
          <w:szCs w:val="24"/>
          <w:highlight w:val="none"/>
          <w:lang w:eastAsia="zh-Hans"/>
          <w14:textFill>
            <w14:solidFill>
              <w14:schemeClr w14:val="tx1"/>
            </w14:solidFill>
          </w14:textFill>
        </w:rPr>
        <w:t>质控样</w:t>
      </w:r>
      <w:r>
        <w:rPr>
          <w:rFonts w:hint="eastAsia" w:ascii="宋体" w:hAnsi="宋体" w:eastAsia="宋体" w:cs="宋体"/>
          <w:color w:val="000000" w:themeColor="text1"/>
          <w:sz w:val="24"/>
          <w:szCs w:val="24"/>
          <w:highlight w:val="none"/>
          <w14:textFill>
            <w14:solidFill>
              <w14:schemeClr w14:val="tx1"/>
            </w14:solidFill>
          </w14:textFill>
        </w:rPr>
        <w:t>由监理单位提供，现场质控考核必须符合相关技术要求。</w:t>
      </w:r>
    </w:p>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表4  质控考核目标汇总表</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6"/>
        <w:gridCol w:w="2895"/>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6"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类别</w:t>
            </w:r>
          </w:p>
        </w:tc>
        <w:tc>
          <w:tcPr>
            <w:tcW w:w="2895"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检查项目</w:t>
            </w:r>
          </w:p>
        </w:tc>
        <w:tc>
          <w:tcPr>
            <w:tcW w:w="2431"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质控考核目标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6" w:type="dxa"/>
            <w:vMerge w:val="restart"/>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气态污染物分析仪零点、跨度测试结果/盲样考核</w:t>
            </w:r>
          </w:p>
        </w:tc>
        <w:tc>
          <w:tcPr>
            <w:tcW w:w="2895"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SO2</w:t>
            </w:r>
          </w:p>
        </w:tc>
        <w:tc>
          <w:tcPr>
            <w:tcW w:w="2431"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≤5ppb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6" w:type="dxa"/>
            <w:vMerge w:val="continue"/>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895"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CO</w:t>
            </w:r>
          </w:p>
        </w:tc>
        <w:tc>
          <w:tcPr>
            <w:tcW w:w="2431"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≤5ppb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6" w:type="dxa"/>
            <w:vMerge w:val="continue"/>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895"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NO</w:t>
            </w:r>
          </w:p>
        </w:tc>
        <w:tc>
          <w:tcPr>
            <w:tcW w:w="2431"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≤5ppb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6" w:type="dxa"/>
            <w:vMerge w:val="continue"/>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895"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O3</w:t>
            </w:r>
          </w:p>
        </w:tc>
        <w:tc>
          <w:tcPr>
            <w:tcW w:w="2431"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≤5ppb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6" w:type="dxa"/>
            <w:vMerge w:val="restart"/>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气态污染物分析仪采样流量测试</w:t>
            </w:r>
          </w:p>
        </w:tc>
        <w:tc>
          <w:tcPr>
            <w:tcW w:w="2895"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SO2</w:t>
            </w:r>
          </w:p>
        </w:tc>
        <w:tc>
          <w:tcPr>
            <w:tcW w:w="2431"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6" w:type="dxa"/>
            <w:vMerge w:val="continue"/>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895"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CO</w:t>
            </w:r>
          </w:p>
        </w:tc>
        <w:tc>
          <w:tcPr>
            <w:tcW w:w="2431"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6" w:type="dxa"/>
            <w:vMerge w:val="continue"/>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895"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NO</w:t>
            </w:r>
          </w:p>
        </w:tc>
        <w:tc>
          <w:tcPr>
            <w:tcW w:w="2431"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6" w:type="dxa"/>
            <w:vMerge w:val="continue"/>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895"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O3</w:t>
            </w:r>
          </w:p>
        </w:tc>
        <w:tc>
          <w:tcPr>
            <w:tcW w:w="2431"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6" w:type="dxa"/>
            <w:vMerge w:val="restart"/>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颗粒物分析仪测试检查</w:t>
            </w:r>
          </w:p>
        </w:tc>
        <w:tc>
          <w:tcPr>
            <w:tcW w:w="2895"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验漏结果（L/min）</w:t>
            </w:r>
          </w:p>
        </w:tc>
        <w:tc>
          <w:tcPr>
            <w:tcW w:w="2431"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6" w:type="dxa"/>
            <w:vMerge w:val="continue"/>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895"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采样流量偏差（%）</w:t>
            </w:r>
          </w:p>
        </w:tc>
        <w:tc>
          <w:tcPr>
            <w:tcW w:w="2431"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6" w:type="dxa"/>
            <w:vMerge w:val="continue"/>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895"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标准膜测试</w:t>
            </w:r>
          </w:p>
        </w:tc>
        <w:tc>
          <w:tcPr>
            <w:tcW w:w="2431"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6"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动态校准仪</w:t>
            </w:r>
          </w:p>
        </w:tc>
        <w:tc>
          <w:tcPr>
            <w:tcW w:w="2895"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标气MFC流量</w:t>
            </w:r>
          </w:p>
        </w:tc>
        <w:tc>
          <w:tcPr>
            <w:tcW w:w="2431"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r>
    </w:tbl>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2）核验第三方运维单位使用的流量计、臭氧光度计、校准仪等是否送有资质的相关单位检定或与省中心相关标准进行过比对追溯校验，并查验相关佐证材料。</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3）现场需使用比对追溯校验后的标准品（如更高等级的标准气体、追溯过的臭氧光度计），对气态分析仪进行多点校验，测试各测量因子与标准品之间的偏差、斜率、截距、相关系数。</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4）现场需对氮氧化物分析仪钼转化炉进行性能多点测试，并在同时对二氧化氮测值亦进行多点校准，测量其偏差、斜率、截距、相关系数。</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5）SO2、CO、O3、NO2及VOCs等气态仪器精密度检查和多点检查。</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6）现场需使用比对追溯校验后的流量计，对颗粒物分析仪的流量进行校验，记录分析仪内部的温度压力测值，对相关的偏差进行计算并记录。</w:t>
      </w:r>
    </w:p>
    <w:p>
      <w:pPr>
        <w:shd w:val="clear"/>
        <w:bidi w:val="0"/>
        <w:spacing w:line="360" w:lineRule="auto"/>
        <w:rPr>
          <w:rFonts w:hint="eastAsia" w:ascii="宋体" w:hAnsi="宋体" w:eastAsia="宋体" w:cs="宋体"/>
          <w:b/>
          <w:bCs/>
          <w:color w:val="000000" w:themeColor="text1"/>
          <w:sz w:val="24"/>
          <w:szCs w:val="24"/>
          <w:highlight w:val="none"/>
          <w:lang w:eastAsia="zh-Hans"/>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w:t>
      </w:r>
      <w:r>
        <w:rPr>
          <w:rFonts w:hint="eastAsia" w:ascii="宋体" w:hAnsi="宋体" w:eastAsia="宋体" w:cs="宋体"/>
          <w:b/>
          <w:bCs/>
          <w:color w:val="000000" w:themeColor="text1"/>
          <w:sz w:val="24"/>
          <w:szCs w:val="24"/>
          <w:highlight w:val="none"/>
          <w:lang w:eastAsia="zh-Hans"/>
          <w14:textFill>
            <w14:solidFill>
              <w14:schemeClr w14:val="tx1"/>
            </w14:solidFill>
          </w14:textFill>
        </w:rPr>
        <w:t>.2 VOC监测质控</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 《浙江省城市环境空气自动监测系统运维检查和质控考核工作方案》（浙环监发[2020]18号）文件对VOCS仪器规定的质控内容进行检查。</w:t>
      </w:r>
    </w:p>
    <w:p>
      <w:pPr>
        <w:shd w:val="clear"/>
        <w:bidi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1）气密性。检查仪器气密性。</w:t>
      </w:r>
    </w:p>
    <w:p>
      <w:pPr>
        <w:shd w:val="clear"/>
        <w:bidi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2）采样流量。采样流量偏差小于5%。</w:t>
      </w:r>
    </w:p>
    <w:p>
      <w:pPr>
        <w:shd w:val="clear"/>
        <w:bidi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3）多点校准。进行6个点的校准；所有物质线性系数满足R≥0.99（决定系数R2≥0.98）。</w:t>
      </w:r>
    </w:p>
    <w:p>
      <w:pPr>
        <w:shd w:val="clear"/>
        <w:bidi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4）系统空白。每种物质系统空白低于0.1ppb。</w:t>
      </w:r>
    </w:p>
    <w:p>
      <w:pPr>
        <w:shd w:val="clear"/>
        <w:bidi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5）分离度。环戊烷和异戊烷的分离度、2，3-二甲基戊烷和2甲基己烷的分离度、邻二甲苯和苯乙烯的分离度均应＞1。</w:t>
      </w:r>
    </w:p>
    <w:p>
      <w:pPr>
        <w:shd w:val="clear"/>
        <w:bidi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6）准确度。2ppb重复7次测试，FID≤±10%，MS≤±15%。</w:t>
      </w:r>
    </w:p>
    <w:p>
      <w:pPr>
        <w:shd w:val="clear"/>
        <w:bidi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7）精密度。2ppb重复7次测试， FID≤±10%，MS≤±15%。</w:t>
      </w:r>
    </w:p>
    <w:p>
      <w:pPr>
        <w:shd w:val="clear"/>
        <w:bidi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8）保留时间偏移。保留时间漂移检查，应小于0.1min。</w:t>
      </w:r>
    </w:p>
    <w:p>
      <w:pPr>
        <w:shd w:val="clear"/>
        <w:bidi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9）内标稳定性。一个月内内标响应变化小于50%。</w:t>
      </w:r>
    </w:p>
    <w:p>
      <w:pPr>
        <w:shd w:val="clear"/>
        <w:bidi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10）检出限。连续通入7次不高于标准曲线最低点浓度，90%的组分（至少包括乙烷和乙烯）的方法检出限应≤0.1nmol/mol。</w:t>
      </w:r>
    </w:p>
    <w:p>
      <w:pPr>
        <w:shd w:val="clear"/>
        <w:bidi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11）残留。通入标准曲线最高浓度点结果后连续2次通入高纯氮气或零气测试系统，90%的组分系统残留浓度≤0.1nmol/mol。</w:t>
      </w:r>
    </w:p>
    <w:p>
      <w:pPr>
        <w:shd w:val="clear"/>
        <w:bidi w:val="0"/>
        <w:spacing w:line="360" w:lineRule="auto"/>
        <w:ind w:firstLine="480" w:firstLineChars="200"/>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12）日校准数据。超差率＜30%。</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5．颗粒物比对</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运维监理服务期内从22个气站中抽取30%的颗粒物在线监测设备，按照规范要求进行</w:t>
      </w:r>
      <w:r>
        <w:rPr>
          <w:rFonts w:hint="eastAsia" w:ascii="宋体" w:hAnsi="宋体" w:eastAsia="宋体" w:cs="宋体"/>
          <w:color w:val="000000" w:themeColor="text1"/>
          <w:sz w:val="24"/>
          <w:szCs w:val="24"/>
          <w:highlight w:val="none"/>
          <w:lang w:eastAsia="zh-Hans"/>
          <w14:textFill>
            <w14:solidFill>
              <w14:schemeClr w14:val="tx1"/>
            </w14:solidFill>
          </w14:textFill>
        </w:rPr>
        <w:t>便携式</w:t>
      </w:r>
      <w:r>
        <w:rPr>
          <w:rFonts w:hint="eastAsia" w:ascii="宋体" w:hAnsi="宋体" w:eastAsia="宋体" w:cs="宋体"/>
          <w:color w:val="000000" w:themeColor="text1"/>
          <w:sz w:val="24"/>
          <w:szCs w:val="24"/>
          <w:highlight w:val="none"/>
          <w14:textFill>
            <w14:solidFill>
              <w14:schemeClr w14:val="tx1"/>
            </w14:solidFill>
          </w14:textFill>
        </w:rPr>
        <w:t>比对一次，单个站点至少有7天的有效比对数据，并根据数据出具比对报告。</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（五）检查频次</w:t>
      </w:r>
    </w:p>
    <w:p>
      <w:pPr>
        <w:shd w:val="clear"/>
        <w:bidi w:val="0"/>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1.每日：</w:t>
      </w:r>
      <w:r>
        <w:rPr>
          <w:rFonts w:hint="eastAsia" w:ascii="宋体" w:hAnsi="宋体" w:eastAsia="宋体" w:cs="宋体"/>
          <w:color w:val="000000" w:themeColor="text1"/>
          <w:sz w:val="24"/>
          <w:szCs w:val="24"/>
          <w:highlight w:val="none"/>
          <w14:textFill>
            <w14:solidFill>
              <w14:schemeClr w14:val="tx1"/>
            </w14:solidFill>
          </w14:textFill>
        </w:rPr>
        <w:t>数据巡查每天线上进行两次，配合浙江省台州生态环境监测中心完成相关工作，成立工作群，每日对检查情况及时沟通汇报。</w:t>
      </w:r>
    </w:p>
    <w:p>
      <w:pPr>
        <w:shd w:val="clear"/>
        <w:bidi w:val="0"/>
        <w:spacing w:line="360" w:lineRule="auto"/>
        <w:ind w:firstLine="482" w:firstLineChars="200"/>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2.每月：</w:t>
      </w:r>
      <w:r>
        <w:rPr>
          <w:rFonts w:hint="eastAsia" w:ascii="宋体" w:hAnsi="宋体" w:eastAsia="宋体" w:cs="宋体"/>
          <w:color w:val="000000" w:themeColor="text1"/>
          <w:sz w:val="24"/>
          <w:szCs w:val="24"/>
          <w:highlight w:val="none"/>
          <w14:textFill>
            <w14:solidFill>
              <w14:schemeClr w14:val="tx1"/>
            </w14:solidFill>
          </w14:textFill>
        </w:rPr>
        <w:t>对台州市12个省控城市环境空气质量自动监测站、10个重点园区环境空气质量自动监测站采用抽查方式，每月抽取服务范围内不少于35%的点位开展运维规范性检查，</w:t>
      </w:r>
      <w:r>
        <w:rPr>
          <w:rFonts w:hint="eastAsia" w:ascii="宋体" w:hAnsi="宋体" w:eastAsia="宋体" w:cs="宋体"/>
          <w:color w:val="000000" w:themeColor="text1"/>
          <w:sz w:val="24"/>
          <w:szCs w:val="24"/>
          <w:highlight w:val="none"/>
          <w:lang w:eastAsia="zh-Hans"/>
          <w14:textFill>
            <w14:solidFill>
              <w14:schemeClr w14:val="tx1"/>
            </w14:solidFill>
          </w14:textFill>
        </w:rPr>
        <w:t>最高抽取40%点位。</w:t>
      </w:r>
    </w:p>
    <w:p>
      <w:pPr>
        <w:shd w:val="clear"/>
        <w:bidi w:val="0"/>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3.每季度：</w:t>
      </w:r>
      <w:r>
        <w:rPr>
          <w:rFonts w:hint="eastAsia" w:ascii="宋体" w:hAnsi="宋体" w:eastAsia="宋体" w:cs="宋体"/>
          <w:color w:val="000000" w:themeColor="text1"/>
          <w:sz w:val="24"/>
          <w:szCs w:val="24"/>
          <w:highlight w:val="none"/>
          <w14:textFill>
            <w14:solidFill>
              <w14:schemeClr w14:val="tx1"/>
            </w14:solidFill>
          </w14:textFill>
        </w:rPr>
        <w:t>质控考核频次为每季度全覆盖一次，期间根据各站点运维和数据情况开展双随机检查。</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（六）检查报告</w:t>
      </w:r>
    </w:p>
    <w:p>
      <w:pPr>
        <w:shd w:val="clear"/>
        <w:bidi w:val="0"/>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1．年度检查报告</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年度检查完毕后一个月内，运维监理单位根据站点年内多次检查的结果，进行站点检查报告的汇总，指出空气自动监测运维质量、运维管理工作存在的问题提出改善建议，并对本期监理工作进行总结。</w:t>
      </w:r>
    </w:p>
    <w:p>
      <w:pPr>
        <w:shd w:val="clear"/>
        <w:bidi w:val="0"/>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2．季度检查报告</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每季度检查完毕后，于下季度首月15日前汇总各站点的检查结果，根据相关考核办法对运维单位的监测数据质量、数据有效率、运维质量、是否存在原则性问题等内容进行打分，生成付款依据，对运维中出现的问题进行总结，提出意见和建议。</w:t>
      </w:r>
    </w:p>
    <w:p>
      <w:pPr>
        <w:shd w:val="clear"/>
        <w:bidi w:val="0"/>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3.月度检查报告</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每个月抽查结束完成后5个工作日内提交月度检查报告，报告需实事求是反映第三方运维工作开展情况。</w:t>
      </w:r>
    </w:p>
    <w:p>
      <w:pPr>
        <w:shd w:val="clear"/>
        <w:bidi w:val="0"/>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4．双随机检查报告</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双随机检查结束后，对运维中出现的问题进行总结，编写检查通报，</w:t>
      </w:r>
      <w:bookmarkStart w:id="93" w:name="_Hlk117155659"/>
      <w:r>
        <w:rPr>
          <w:rFonts w:hint="eastAsia" w:ascii="宋体" w:hAnsi="宋体" w:eastAsia="宋体" w:cs="宋体"/>
          <w:color w:val="000000" w:themeColor="text1"/>
          <w:sz w:val="24"/>
          <w:szCs w:val="24"/>
          <w:highlight w:val="none"/>
          <w14:textFill>
            <w14:solidFill>
              <w14:schemeClr w14:val="tx1"/>
            </w14:solidFill>
          </w14:textFill>
        </w:rPr>
        <w:t>检查完成后5个工作日内提交</w:t>
      </w:r>
      <w:bookmarkEnd w:id="93"/>
      <w:r>
        <w:rPr>
          <w:rFonts w:hint="eastAsia" w:ascii="宋体" w:hAnsi="宋体" w:eastAsia="宋体" w:cs="宋体"/>
          <w:color w:val="000000" w:themeColor="text1"/>
          <w:sz w:val="24"/>
          <w:szCs w:val="24"/>
          <w:highlight w:val="none"/>
          <w14:textFill>
            <w14:solidFill>
              <w14:schemeClr w14:val="tx1"/>
            </w14:solidFill>
          </w14:textFill>
        </w:rPr>
        <w:t>。</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（七）监理单位考核办法</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1.考核办法</w:t>
      </w:r>
    </w:p>
    <w:p>
      <w:pPr>
        <w:shd w:val="clear"/>
        <w:spacing w:line="360" w:lineRule="auto"/>
        <w:ind w:firstLine="480" w:firstLineChars="20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考核由采购人按季度实施的方式，检查中标人各项工作是否按相关程序及监测技术规范执行。考核采取百分制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shd w:val="clear"/>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考核表</w:t>
      </w:r>
    </w:p>
    <w:tbl>
      <w:tblPr>
        <w:tblStyle w:val="30"/>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3"/>
        <w:gridCol w:w="1905"/>
        <w:gridCol w:w="1971"/>
        <w:gridCol w:w="2079"/>
        <w:gridCol w:w="540"/>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493" w:type="dxa"/>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05" w:type="dxa"/>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考评项目</w:t>
            </w:r>
          </w:p>
        </w:tc>
        <w:tc>
          <w:tcPr>
            <w:tcW w:w="4050" w:type="dxa"/>
            <w:gridSpan w:val="2"/>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考评要求及细则</w:t>
            </w:r>
          </w:p>
        </w:tc>
        <w:tc>
          <w:tcPr>
            <w:tcW w:w="5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扣分</w:t>
            </w:r>
          </w:p>
        </w:tc>
        <w:tc>
          <w:tcPr>
            <w:tcW w:w="1751" w:type="dxa"/>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扣分描述（事例）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93"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p>
        </w:tc>
        <w:tc>
          <w:tcPr>
            <w:tcW w:w="8246" w:type="dxa"/>
            <w:gridSpan w:val="5"/>
            <w:tcMar>
              <w:top w:w="15" w:type="dxa"/>
              <w:left w:w="15" w:type="dxa"/>
              <w:bottom w:w="0" w:type="dxa"/>
              <w:right w:w="15" w:type="dxa"/>
            </w:tcMar>
            <w:vAlign w:val="center"/>
          </w:tcPr>
          <w:p>
            <w:pPr>
              <w:shd w:val="clear"/>
              <w:bidi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组织管理（20分）得分：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 w:hRule="atLeast"/>
          <w:jc w:val="center"/>
        </w:trPr>
        <w:tc>
          <w:tcPr>
            <w:tcW w:w="493"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905" w:type="dxa"/>
            <w:vMerge w:val="restart"/>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项目组织管理</w:t>
            </w:r>
          </w:p>
        </w:tc>
        <w:tc>
          <w:tcPr>
            <w:tcW w:w="4050" w:type="dxa"/>
            <w:gridSpan w:val="2"/>
            <w:noWrap/>
            <w:tcMar>
              <w:top w:w="15" w:type="dxa"/>
              <w:left w:w="15" w:type="dxa"/>
              <w:bottom w:w="0" w:type="dxa"/>
              <w:right w:w="15" w:type="dxa"/>
            </w:tcMar>
            <w:vAlign w:val="center"/>
          </w:tcPr>
          <w:p>
            <w:pPr>
              <w:shd w:val="clear"/>
              <w:bidi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按照要求，提交的监理实施方案（项目部架构、人员职责及安排、监理大纲、工具设备保障），缺少一项，扣1分</w:t>
            </w:r>
          </w:p>
        </w:tc>
        <w:tc>
          <w:tcPr>
            <w:tcW w:w="5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51"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493"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905" w:type="dxa"/>
            <w:vMerge w:val="continue"/>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050" w:type="dxa"/>
            <w:gridSpan w:val="2"/>
            <w:noWrap/>
            <w:tcMar>
              <w:top w:w="15" w:type="dxa"/>
              <w:left w:w="15" w:type="dxa"/>
              <w:bottom w:w="0" w:type="dxa"/>
              <w:right w:w="15" w:type="dxa"/>
            </w:tcMar>
            <w:vAlign w:val="center"/>
          </w:tcPr>
          <w:p>
            <w:pPr>
              <w:shd w:val="clear"/>
              <w:bidi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人员变更：未得到</w:t>
            </w:r>
            <w:r>
              <w:rPr>
                <w:rFonts w:hint="eastAsia" w:ascii="宋体" w:hAnsi="宋体" w:eastAsia="宋体" w:cs="宋体"/>
                <w:color w:val="000000" w:themeColor="text1"/>
                <w:sz w:val="24"/>
                <w:szCs w:val="24"/>
                <w:highlight w:val="none"/>
                <w:lang w:eastAsia="zh-Hans"/>
                <w14:textFill>
                  <w14:solidFill>
                    <w14:schemeClr w14:val="tx1"/>
                  </w14:solidFill>
                </w14:textFill>
              </w:rPr>
              <w:t>业主</w:t>
            </w:r>
            <w:r>
              <w:rPr>
                <w:rFonts w:hint="eastAsia" w:ascii="宋体" w:hAnsi="宋体" w:eastAsia="宋体" w:cs="宋体"/>
                <w:color w:val="000000" w:themeColor="text1"/>
                <w:sz w:val="24"/>
                <w:szCs w:val="24"/>
                <w:highlight w:val="none"/>
                <w14:textFill>
                  <w14:solidFill>
                    <w14:schemeClr w14:val="tx1"/>
                  </w14:solidFill>
                </w14:textFill>
              </w:rPr>
              <w:t>认可，随意更换监理人员，每次扣1分</w:t>
            </w:r>
          </w:p>
        </w:tc>
        <w:tc>
          <w:tcPr>
            <w:tcW w:w="5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51"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493"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905" w:type="dxa"/>
            <w:vMerge w:val="continue"/>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050" w:type="dxa"/>
            <w:gridSpan w:val="2"/>
            <w:noWrap/>
            <w:tcMar>
              <w:top w:w="15" w:type="dxa"/>
              <w:left w:w="15" w:type="dxa"/>
              <w:bottom w:w="0" w:type="dxa"/>
              <w:right w:w="15" w:type="dxa"/>
            </w:tcMar>
            <w:vAlign w:val="center"/>
          </w:tcPr>
          <w:p>
            <w:pPr>
              <w:shd w:val="clear"/>
              <w:bidi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人员资质管理：监理人员无资质或没有到位，每人次扣1分</w:t>
            </w:r>
          </w:p>
        </w:tc>
        <w:tc>
          <w:tcPr>
            <w:tcW w:w="5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51"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493"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905" w:type="dxa"/>
            <w:vMerge w:val="continue"/>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050" w:type="dxa"/>
            <w:gridSpan w:val="2"/>
            <w:noWrap/>
            <w:tcMar>
              <w:top w:w="15" w:type="dxa"/>
              <w:left w:w="15" w:type="dxa"/>
              <w:bottom w:w="0" w:type="dxa"/>
              <w:right w:w="15" w:type="dxa"/>
            </w:tcMar>
            <w:vAlign w:val="center"/>
          </w:tcPr>
          <w:p>
            <w:pPr>
              <w:shd w:val="clear"/>
              <w:bidi w:val="0"/>
              <w:spacing w:line="360" w:lineRule="auto"/>
              <w:jc w:val="left"/>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车辆、设备配备</w:t>
            </w:r>
            <w:r>
              <w:rPr>
                <w:rFonts w:hint="eastAsia" w:ascii="宋体" w:hAnsi="宋体" w:eastAsia="宋体" w:cs="宋体"/>
                <w:color w:val="000000" w:themeColor="text1"/>
                <w:sz w:val="24"/>
                <w:szCs w:val="24"/>
                <w:highlight w:val="none"/>
                <w:lang w:eastAsia="zh-Hans"/>
                <w14:textFill>
                  <w14:solidFill>
                    <w14:schemeClr w14:val="tx1"/>
                  </w14:solidFill>
                </w14:textFill>
              </w:rPr>
              <w:t>是否满足要求，一项不满足扣5分</w:t>
            </w:r>
          </w:p>
        </w:tc>
        <w:tc>
          <w:tcPr>
            <w:tcW w:w="5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51"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493"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246" w:type="dxa"/>
            <w:gridSpan w:val="5"/>
            <w:tcMar>
              <w:top w:w="15" w:type="dxa"/>
              <w:left w:w="15" w:type="dxa"/>
              <w:bottom w:w="0" w:type="dxa"/>
              <w:right w:w="15" w:type="dxa"/>
            </w:tcMar>
            <w:vAlign w:val="center"/>
          </w:tcPr>
          <w:p>
            <w:pPr>
              <w:shd w:val="clear"/>
              <w:bidi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Hans"/>
                <w14:textFill>
                  <w14:solidFill>
                    <w14:schemeClr w14:val="tx1"/>
                  </w14:solidFill>
                </w14:textFill>
              </w:rPr>
              <w:t>项目运行管理</w:t>
            </w:r>
            <w:r>
              <w:rPr>
                <w:rFonts w:hint="eastAsia" w:ascii="宋体" w:hAnsi="宋体" w:eastAsia="宋体" w:cs="宋体"/>
                <w:color w:val="000000" w:themeColor="text1"/>
                <w:sz w:val="24"/>
                <w:szCs w:val="24"/>
                <w:highlight w:val="none"/>
                <w14:textFill>
                  <w14:solidFill>
                    <w14:schemeClr w14:val="tx1"/>
                  </w14:solidFill>
                </w14:textFill>
              </w:rPr>
              <w:t>（50分）得分：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 w:hRule="atLeast"/>
          <w:jc w:val="center"/>
        </w:trPr>
        <w:tc>
          <w:tcPr>
            <w:tcW w:w="493"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905" w:type="dxa"/>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数据质量监督检查</w:t>
            </w:r>
          </w:p>
        </w:tc>
        <w:tc>
          <w:tcPr>
            <w:tcW w:w="4050" w:type="dxa"/>
            <w:gridSpan w:val="2"/>
            <w:noWrap/>
            <w:tcMar>
              <w:top w:w="15" w:type="dxa"/>
              <w:left w:w="15" w:type="dxa"/>
              <w:bottom w:w="0" w:type="dxa"/>
              <w:right w:w="15" w:type="dxa"/>
            </w:tcMar>
            <w:vAlign w:val="center"/>
          </w:tcPr>
          <w:p>
            <w:pPr>
              <w:shd w:val="clear"/>
              <w:bidi w:val="0"/>
              <w:spacing w:line="360" w:lineRule="auto"/>
              <w:jc w:val="left"/>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对数据质量监督检查结果进行审核，及时发现异常检查结果，并告知监测中心，</w:t>
            </w:r>
            <w:r>
              <w:rPr>
                <w:rFonts w:hint="eastAsia" w:ascii="宋体" w:hAnsi="宋体" w:eastAsia="宋体" w:cs="宋体"/>
                <w:color w:val="000000" w:themeColor="text1"/>
                <w:sz w:val="24"/>
                <w:szCs w:val="24"/>
                <w:highlight w:val="none"/>
                <w:lang w:eastAsia="zh-Hans"/>
                <w14:textFill>
                  <w14:solidFill>
                    <w14:schemeClr w14:val="tx1"/>
                  </w14:solidFill>
                </w14:textFill>
              </w:rPr>
              <w:t>一项不符合要求扣2分</w:t>
            </w:r>
          </w:p>
        </w:tc>
        <w:tc>
          <w:tcPr>
            <w:tcW w:w="5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51"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 w:hRule="atLeast"/>
          <w:jc w:val="center"/>
        </w:trPr>
        <w:tc>
          <w:tcPr>
            <w:tcW w:w="493"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905" w:type="dxa"/>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Hans"/>
                <w14:textFill>
                  <w14:solidFill>
                    <w14:schemeClr w14:val="tx1"/>
                  </w14:solidFill>
                </w14:textFill>
              </w:rPr>
              <w:t>常规检</w:t>
            </w:r>
            <w:r>
              <w:rPr>
                <w:rFonts w:hint="eastAsia" w:ascii="宋体" w:hAnsi="宋体" w:eastAsia="宋体" w:cs="宋体"/>
                <w:color w:val="000000" w:themeColor="text1"/>
                <w:sz w:val="24"/>
                <w:szCs w:val="24"/>
                <w:highlight w:val="none"/>
                <w14:textFill>
                  <w14:solidFill>
                    <w14:schemeClr w14:val="tx1"/>
                  </w14:solidFill>
                </w14:textFill>
              </w:rPr>
              <w:t>查</w:t>
            </w:r>
          </w:p>
        </w:tc>
        <w:tc>
          <w:tcPr>
            <w:tcW w:w="4050" w:type="dxa"/>
            <w:gridSpan w:val="2"/>
            <w:noWrap/>
            <w:tcMar>
              <w:top w:w="15" w:type="dxa"/>
              <w:left w:w="15" w:type="dxa"/>
              <w:bottom w:w="0" w:type="dxa"/>
              <w:right w:w="15" w:type="dxa"/>
            </w:tcMar>
            <w:vAlign w:val="center"/>
          </w:tcPr>
          <w:p>
            <w:pPr>
              <w:shd w:val="clear"/>
              <w:bidi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w:t>
            </w:r>
            <w:r>
              <w:rPr>
                <w:rFonts w:hint="eastAsia" w:ascii="宋体" w:hAnsi="宋体" w:eastAsia="宋体" w:cs="宋体"/>
                <w:color w:val="000000" w:themeColor="text1"/>
                <w:sz w:val="24"/>
                <w:szCs w:val="24"/>
                <w:highlight w:val="none"/>
                <w:lang w:eastAsia="zh-Hans"/>
                <w14:textFill>
                  <w14:solidFill>
                    <w14:schemeClr w14:val="tx1"/>
                  </w14:solidFill>
                </w14:textFill>
              </w:rPr>
              <w:t>市</w:t>
            </w:r>
            <w:r>
              <w:rPr>
                <w:rFonts w:hint="eastAsia" w:ascii="宋体" w:hAnsi="宋体" w:eastAsia="宋体" w:cs="宋体"/>
                <w:color w:val="000000" w:themeColor="text1"/>
                <w:sz w:val="24"/>
                <w:szCs w:val="24"/>
                <w:highlight w:val="none"/>
                <w14:textFill>
                  <w14:solidFill>
                    <w14:schemeClr w14:val="tx1"/>
                  </w14:solidFill>
                </w14:textFill>
              </w:rPr>
              <w:t>中心要求完成各站点</w:t>
            </w:r>
            <w:r>
              <w:rPr>
                <w:rFonts w:hint="eastAsia" w:ascii="宋体" w:hAnsi="宋体" w:eastAsia="宋体" w:cs="宋体"/>
                <w:color w:val="000000" w:themeColor="text1"/>
                <w:sz w:val="24"/>
                <w:szCs w:val="24"/>
                <w:highlight w:val="none"/>
                <w:lang w:eastAsia="zh-Hans"/>
                <w14:textFill>
                  <w14:solidFill>
                    <w14:schemeClr w14:val="tx1"/>
                  </w14:solidFill>
                </w14:textFill>
              </w:rPr>
              <w:t>环境</w:t>
            </w:r>
            <w:r>
              <w:rPr>
                <w:rFonts w:hint="eastAsia" w:ascii="宋体" w:hAnsi="宋体" w:eastAsia="宋体" w:cs="宋体"/>
                <w:color w:val="000000" w:themeColor="text1"/>
                <w:sz w:val="24"/>
                <w:szCs w:val="24"/>
                <w:highlight w:val="none"/>
                <w14:textFill>
                  <w14:solidFill>
                    <w14:schemeClr w14:val="tx1"/>
                  </w14:solidFill>
                </w14:textFill>
              </w:rPr>
              <w:t>、模块、分析仪各参数性能</w:t>
            </w:r>
            <w:r>
              <w:rPr>
                <w:rFonts w:hint="eastAsia" w:ascii="宋体" w:hAnsi="宋体" w:eastAsia="宋体" w:cs="宋体"/>
                <w:color w:val="000000" w:themeColor="text1"/>
                <w:sz w:val="24"/>
                <w:szCs w:val="24"/>
                <w:highlight w:val="none"/>
                <w:lang w:eastAsia="zh-Hans"/>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检查，</w:t>
            </w:r>
            <w:r>
              <w:rPr>
                <w:rFonts w:hint="eastAsia" w:ascii="宋体" w:hAnsi="宋体" w:eastAsia="宋体" w:cs="宋体"/>
                <w:color w:val="000000" w:themeColor="text1"/>
                <w:sz w:val="24"/>
                <w:szCs w:val="24"/>
                <w:highlight w:val="none"/>
                <w:lang w:eastAsia="zh-Hans"/>
                <w14:textFill>
                  <w14:solidFill>
                    <w14:schemeClr w14:val="tx1"/>
                  </w14:solidFill>
                </w14:textFill>
              </w:rPr>
              <w:t>一项不符合要求扣2分</w:t>
            </w:r>
          </w:p>
        </w:tc>
        <w:tc>
          <w:tcPr>
            <w:tcW w:w="5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51"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 w:hRule="atLeast"/>
          <w:jc w:val="center"/>
        </w:trPr>
        <w:tc>
          <w:tcPr>
            <w:tcW w:w="493"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905" w:type="dxa"/>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lang w:eastAsia="zh-Hans"/>
                <w14:textFill>
                  <w14:solidFill>
                    <w14:schemeClr w14:val="tx1"/>
                  </w14:solidFill>
                </w14:textFill>
              </w:rPr>
              <w:t>质控</w:t>
            </w:r>
            <w:r>
              <w:rPr>
                <w:rFonts w:hint="eastAsia" w:ascii="宋体" w:hAnsi="宋体" w:eastAsia="宋体" w:cs="宋体"/>
                <w:color w:val="000000" w:themeColor="text1"/>
                <w:sz w:val="24"/>
                <w:szCs w:val="24"/>
                <w:highlight w:val="none"/>
                <w14:textFill>
                  <w14:solidFill>
                    <w14:schemeClr w14:val="tx1"/>
                  </w14:solidFill>
                </w14:textFill>
              </w:rPr>
              <w:t>核查、</w:t>
            </w:r>
            <w:r>
              <w:rPr>
                <w:rFonts w:hint="eastAsia" w:ascii="宋体" w:hAnsi="宋体" w:eastAsia="宋体" w:cs="宋体"/>
                <w:color w:val="000000" w:themeColor="text1"/>
                <w:sz w:val="24"/>
                <w:szCs w:val="24"/>
                <w:highlight w:val="none"/>
                <w:lang w:eastAsia="zh-Hans"/>
                <w14:textFill>
                  <w14:solidFill>
                    <w14:schemeClr w14:val="tx1"/>
                  </w14:solidFill>
                </w14:textFill>
              </w:rPr>
              <w:t>双随机检查以及颗粒物比对工作</w:t>
            </w:r>
          </w:p>
        </w:tc>
        <w:tc>
          <w:tcPr>
            <w:tcW w:w="4050" w:type="dxa"/>
            <w:gridSpan w:val="2"/>
            <w:noWrap/>
            <w:tcMar>
              <w:top w:w="15" w:type="dxa"/>
              <w:left w:w="15" w:type="dxa"/>
              <w:bottom w:w="0" w:type="dxa"/>
              <w:right w:w="15" w:type="dxa"/>
            </w:tcMar>
            <w:vAlign w:val="center"/>
          </w:tcPr>
          <w:p>
            <w:pPr>
              <w:shd w:val="clear"/>
              <w:bidi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携带质控设备和标准品前往各站点核查数据准确性，</w:t>
            </w:r>
            <w:r>
              <w:rPr>
                <w:rFonts w:hint="eastAsia" w:ascii="宋体" w:hAnsi="宋体" w:eastAsia="宋体" w:cs="宋体"/>
                <w:color w:val="000000" w:themeColor="text1"/>
                <w:sz w:val="24"/>
                <w:szCs w:val="24"/>
                <w:highlight w:val="none"/>
                <w:lang w:eastAsia="zh-Hans"/>
                <w14:textFill>
                  <w14:solidFill>
                    <w14:schemeClr w14:val="tx1"/>
                  </w14:solidFill>
                </w14:textFill>
              </w:rPr>
              <w:t>一项不符合要求扣2分</w:t>
            </w:r>
          </w:p>
        </w:tc>
        <w:tc>
          <w:tcPr>
            <w:tcW w:w="5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51"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493"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905" w:type="dxa"/>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月度报告编写</w:t>
            </w:r>
          </w:p>
        </w:tc>
        <w:tc>
          <w:tcPr>
            <w:tcW w:w="4050" w:type="dxa"/>
            <w:gridSpan w:val="2"/>
            <w:noWrap/>
            <w:tcMar>
              <w:top w:w="15" w:type="dxa"/>
              <w:left w:w="15" w:type="dxa"/>
              <w:bottom w:w="0" w:type="dxa"/>
              <w:right w:w="15" w:type="dxa"/>
            </w:tcMar>
            <w:vAlign w:val="center"/>
          </w:tcPr>
          <w:p>
            <w:pPr>
              <w:shd w:val="clear"/>
              <w:bidi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每月检查完毕后，完成检查子站的检查结果，进行统计与汇总，并对运维中出现的问题进行总结，</w:t>
            </w:r>
            <w:r>
              <w:rPr>
                <w:rFonts w:hint="eastAsia" w:ascii="宋体" w:hAnsi="宋体" w:eastAsia="宋体" w:cs="宋体"/>
                <w:color w:val="000000" w:themeColor="text1"/>
                <w:sz w:val="24"/>
                <w:szCs w:val="24"/>
                <w:highlight w:val="none"/>
                <w:lang w:eastAsia="zh-Hans"/>
                <w14:textFill>
                  <w14:solidFill>
                    <w14:schemeClr w14:val="tx1"/>
                  </w14:solidFill>
                </w14:textFill>
              </w:rPr>
              <w:t>一项不符合要求扣2分</w:t>
            </w:r>
          </w:p>
        </w:tc>
        <w:tc>
          <w:tcPr>
            <w:tcW w:w="5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51"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493"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905" w:type="dxa"/>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季度报告编写</w:t>
            </w:r>
          </w:p>
        </w:tc>
        <w:tc>
          <w:tcPr>
            <w:tcW w:w="4050" w:type="dxa"/>
            <w:gridSpan w:val="2"/>
            <w:noWrap/>
            <w:tcMar>
              <w:top w:w="15" w:type="dxa"/>
              <w:left w:w="15" w:type="dxa"/>
              <w:bottom w:w="0" w:type="dxa"/>
              <w:right w:w="15" w:type="dxa"/>
            </w:tcMar>
            <w:vAlign w:val="center"/>
          </w:tcPr>
          <w:p>
            <w:pPr>
              <w:shd w:val="clear"/>
              <w:bidi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每季度检查完毕后汇总各站点检查结果，进行统计与汇总，形成专项报告，</w:t>
            </w:r>
            <w:r>
              <w:rPr>
                <w:rFonts w:hint="eastAsia" w:ascii="宋体" w:hAnsi="宋体" w:eastAsia="宋体" w:cs="宋体"/>
                <w:color w:val="000000" w:themeColor="text1"/>
                <w:sz w:val="24"/>
                <w:szCs w:val="24"/>
                <w:highlight w:val="none"/>
                <w:lang w:eastAsia="zh-Hans"/>
                <w14:textFill>
                  <w14:solidFill>
                    <w14:schemeClr w14:val="tx1"/>
                  </w14:solidFill>
                </w14:textFill>
              </w:rPr>
              <w:t>一项不符合要求扣2分</w:t>
            </w:r>
          </w:p>
        </w:tc>
        <w:tc>
          <w:tcPr>
            <w:tcW w:w="5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51"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493"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905" w:type="dxa"/>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项目质量监督</w:t>
            </w:r>
          </w:p>
        </w:tc>
        <w:tc>
          <w:tcPr>
            <w:tcW w:w="4050" w:type="dxa"/>
            <w:gridSpan w:val="2"/>
            <w:noWrap/>
            <w:tcMar>
              <w:top w:w="15" w:type="dxa"/>
              <w:left w:w="15" w:type="dxa"/>
              <w:bottom w:w="0" w:type="dxa"/>
              <w:right w:w="15" w:type="dxa"/>
            </w:tcMar>
            <w:vAlign w:val="center"/>
          </w:tcPr>
          <w:p>
            <w:pPr>
              <w:shd w:val="clear"/>
              <w:bidi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根据项目执行情况实行全过程质量监督，</w:t>
            </w:r>
            <w:r>
              <w:rPr>
                <w:rFonts w:hint="eastAsia" w:ascii="宋体" w:hAnsi="宋体" w:eastAsia="宋体" w:cs="宋体"/>
                <w:color w:val="000000" w:themeColor="text1"/>
                <w:sz w:val="24"/>
                <w:szCs w:val="24"/>
                <w:highlight w:val="none"/>
                <w:lang w:eastAsia="zh-Hans"/>
                <w14:textFill>
                  <w14:solidFill>
                    <w14:schemeClr w14:val="tx1"/>
                  </w14:solidFill>
                </w14:textFill>
              </w:rPr>
              <w:t>一项不符合要求扣2分</w:t>
            </w:r>
          </w:p>
        </w:tc>
        <w:tc>
          <w:tcPr>
            <w:tcW w:w="5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51"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493"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w:t>
            </w:r>
          </w:p>
        </w:tc>
        <w:tc>
          <w:tcPr>
            <w:tcW w:w="8246" w:type="dxa"/>
            <w:gridSpan w:val="5"/>
            <w:tcMar>
              <w:top w:w="15" w:type="dxa"/>
              <w:left w:w="15" w:type="dxa"/>
              <w:bottom w:w="0" w:type="dxa"/>
              <w:right w:w="15" w:type="dxa"/>
            </w:tcMar>
            <w:vAlign w:val="center"/>
          </w:tcPr>
          <w:p>
            <w:pPr>
              <w:shd w:val="clear"/>
              <w:bidi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Hans"/>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进度</w:t>
            </w:r>
            <w:r>
              <w:rPr>
                <w:rFonts w:hint="eastAsia" w:ascii="宋体" w:hAnsi="宋体" w:eastAsia="宋体" w:cs="宋体"/>
                <w:color w:val="000000" w:themeColor="text1"/>
                <w:sz w:val="24"/>
                <w:szCs w:val="24"/>
                <w:highlight w:val="none"/>
                <w:lang w:eastAsia="zh-Hans"/>
                <w14:textFill>
                  <w14:solidFill>
                    <w14:schemeClr w14:val="tx1"/>
                  </w14:solidFill>
                </w14:textFill>
              </w:rPr>
              <w:t>管理</w:t>
            </w:r>
            <w:r>
              <w:rPr>
                <w:rFonts w:hint="eastAsia" w:ascii="宋体" w:hAnsi="宋体" w:eastAsia="宋体" w:cs="宋体"/>
                <w:color w:val="000000" w:themeColor="text1"/>
                <w:sz w:val="24"/>
                <w:szCs w:val="24"/>
                <w:highlight w:val="none"/>
                <w14:textFill>
                  <w14:solidFill>
                    <w14:schemeClr w14:val="tx1"/>
                  </w14:solidFill>
                </w14:textFill>
              </w:rPr>
              <w:t>（10分）得分：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493"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905" w:type="dxa"/>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Hans"/>
                <w14:textFill>
                  <w14:solidFill>
                    <w14:schemeClr w14:val="tx1"/>
                  </w14:solidFill>
                </w14:textFill>
              </w:rPr>
              <w:t>监理计划</w:t>
            </w:r>
          </w:p>
        </w:tc>
        <w:tc>
          <w:tcPr>
            <w:tcW w:w="4050" w:type="dxa"/>
            <w:gridSpan w:val="2"/>
            <w:noWrap/>
            <w:tcMar>
              <w:top w:w="15" w:type="dxa"/>
              <w:left w:w="15" w:type="dxa"/>
              <w:bottom w:w="0" w:type="dxa"/>
              <w:right w:w="15" w:type="dxa"/>
            </w:tcMar>
            <w:vAlign w:val="center"/>
          </w:tcPr>
          <w:p>
            <w:pPr>
              <w:shd w:val="clear"/>
              <w:bidi w:val="0"/>
              <w:spacing w:line="360" w:lineRule="auto"/>
              <w:jc w:val="left"/>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lang w:eastAsia="zh-Hans"/>
                <w14:textFill>
                  <w14:solidFill>
                    <w14:schemeClr w14:val="tx1"/>
                  </w14:solidFill>
                </w14:textFill>
              </w:rPr>
              <w:t>按时提交每月检查计划，未按时提交扣2分</w:t>
            </w:r>
          </w:p>
        </w:tc>
        <w:tc>
          <w:tcPr>
            <w:tcW w:w="5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51"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493"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905" w:type="dxa"/>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lang w:eastAsia="zh-Hans"/>
                <w14:textFill>
                  <w14:solidFill>
                    <w14:schemeClr w14:val="tx1"/>
                  </w14:solidFill>
                </w14:textFill>
              </w:rPr>
              <w:t>检查情况反馈</w:t>
            </w:r>
          </w:p>
        </w:tc>
        <w:tc>
          <w:tcPr>
            <w:tcW w:w="4050" w:type="dxa"/>
            <w:gridSpan w:val="2"/>
            <w:noWrap/>
            <w:tcMar>
              <w:top w:w="15" w:type="dxa"/>
              <w:left w:w="15" w:type="dxa"/>
              <w:bottom w:w="0" w:type="dxa"/>
              <w:right w:w="15" w:type="dxa"/>
            </w:tcMar>
            <w:vAlign w:val="center"/>
          </w:tcPr>
          <w:p>
            <w:pPr>
              <w:shd w:val="clear"/>
              <w:bidi w:val="0"/>
              <w:spacing w:line="360" w:lineRule="auto"/>
              <w:jc w:val="left"/>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lang w:eastAsia="zh-Hans"/>
                <w14:textFill>
                  <w14:solidFill>
                    <w14:schemeClr w14:val="tx1"/>
                  </w14:solidFill>
                </w14:textFill>
              </w:rPr>
              <w:t>现场检查好后需第一时间反馈监测中心，问题反馈不及时，每发现一次扣2分</w:t>
            </w:r>
          </w:p>
        </w:tc>
        <w:tc>
          <w:tcPr>
            <w:tcW w:w="5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51"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493"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905" w:type="dxa"/>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Hans"/>
                <w14:textFill>
                  <w14:solidFill>
                    <w14:schemeClr w14:val="tx1"/>
                  </w14:solidFill>
                </w14:textFill>
              </w:rPr>
              <w:t>进度</w:t>
            </w:r>
            <w:r>
              <w:rPr>
                <w:rFonts w:hint="eastAsia" w:ascii="宋体" w:hAnsi="宋体" w:eastAsia="宋体" w:cs="宋体"/>
                <w:color w:val="000000" w:themeColor="text1"/>
                <w:sz w:val="24"/>
                <w:szCs w:val="24"/>
                <w:highlight w:val="none"/>
                <w14:textFill>
                  <w14:solidFill>
                    <w14:schemeClr w14:val="tx1"/>
                  </w14:solidFill>
                </w14:textFill>
              </w:rPr>
              <w:t>管理</w:t>
            </w:r>
          </w:p>
        </w:tc>
        <w:tc>
          <w:tcPr>
            <w:tcW w:w="4050" w:type="dxa"/>
            <w:gridSpan w:val="2"/>
            <w:noWrap/>
            <w:tcMar>
              <w:top w:w="15" w:type="dxa"/>
              <w:left w:w="15" w:type="dxa"/>
              <w:bottom w:w="0" w:type="dxa"/>
              <w:right w:w="15" w:type="dxa"/>
            </w:tcMar>
            <w:vAlign w:val="center"/>
          </w:tcPr>
          <w:p>
            <w:pPr>
              <w:shd w:val="clear"/>
              <w:bidi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未按时完成</w:t>
            </w:r>
            <w:r>
              <w:rPr>
                <w:rFonts w:hint="eastAsia" w:ascii="宋体" w:hAnsi="宋体" w:eastAsia="宋体" w:cs="宋体"/>
                <w:color w:val="000000" w:themeColor="text1"/>
                <w:sz w:val="24"/>
                <w:szCs w:val="24"/>
                <w:highlight w:val="none"/>
                <w:lang w:eastAsia="zh-Hans"/>
                <w14:textFill>
                  <w14:solidFill>
                    <w14:schemeClr w14:val="tx1"/>
                  </w14:solidFill>
                </w14:textFill>
              </w:rPr>
              <w:t>检查任务</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Hans"/>
                <w14:textFill>
                  <w14:solidFill>
                    <w14:schemeClr w14:val="tx1"/>
                  </w14:solidFill>
                </w14:textFill>
              </w:rPr>
              <w:t>每次扣2分</w:t>
            </w:r>
          </w:p>
        </w:tc>
        <w:tc>
          <w:tcPr>
            <w:tcW w:w="5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51"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 w:hRule="atLeast"/>
          <w:jc w:val="center"/>
        </w:trPr>
        <w:tc>
          <w:tcPr>
            <w:tcW w:w="493"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w:t>
            </w:r>
          </w:p>
        </w:tc>
        <w:tc>
          <w:tcPr>
            <w:tcW w:w="8246" w:type="dxa"/>
            <w:gridSpan w:val="5"/>
            <w:tcMar>
              <w:top w:w="15" w:type="dxa"/>
              <w:left w:w="15" w:type="dxa"/>
              <w:bottom w:w="0" w:type="dxa"/>
              <w:right w:w="15" w:type="dxa"/>
            </w:tcMar>
            <w:vAlign w:val="center"/>
          </w:tcPr>
          <w:p>
            <w:pPr>
              <w:shd w:val="clear"/>
              <w:bidi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Hans"/>
                <w14:textFill>
                  <w14:solidFill>
                    <w14:schemeClr w14:val="tx1"/>
                  </w14:solidFill>
                </w14:textFill>
              </w:rPr>
              <w:t>资料管理</w:t>
            </w:r>
            <w:r>
              <w:rPr>
                <w:rFonts w:hint="eastAsia" w:ascii="宋体" w:hAnsi="宋体" w:eastAsia="宋体" w:cs="宋体"/>
                <w:color w:val="000000" w:themeColor="text1"/>
                <w:sz w:val="24"/>
                <w:szCs w:val="24"/>
                <w:highlight w:val="none"/>
                <w14:textFill>
                  <w14:solidFill>
                    <w14:schemeClr w14:val="tx1"/>
                  </w14:solidFill>
                </w14:textFill>
              </w:rPr>
              <w:t>（10分）得分：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 w:hRule="atLeast"/>
          <w:jc w:val="center"/>
        </w:trPr>
        <w:tc>
          <w:tcPr>
            <w:tcW w:w="493"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905" w:type="dxa"/>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lang w:eastAsia="zh-Hans"/>
                <w14:textFill>
                  <w14:solidFill>
                    <w14:schemeClr w14:val="tx1"/>
                  </w14:solidFill>
                </w14:textFill>
              </w:rPr>
              <w:t>现场检查资料管理</w:t>
            </w:r>
          </w:p>
        </w:tc>
        <w:tc>
          <w:tcPr>
            <w:tcW w:w="4050" w:type="dxa"/>
            <w:gridSpan w:val="2"/>
            <w:noWrap/>
            <w:tcMar>
              <w:top w:w="15" w:type="dxa"/>
              <w:left w:w="15" w:type="dxa"/>
              <w:bottom w:w="0" w:type="dxa"/>
              <w:right w:w="15" w:type="dxa"/>
            </w:tcMar>
            <w:vAlign w:val="center"/>
          </w:tcPr>
          <w:p>
            <w:pPr>
              <w:shd w:val="clear"/>
              <w:bidi w:val="0"/>
              <w:spacing w:line="360" w:lineRule="auto"/>
              <w:jc w:val="left"/>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lang w:eastAsia="zh-Hans"/>
                <w14:textFill>
                  <w14:solidFill>
                    <w14:schemeClr w14:val="tx1"/>
                  </w14:solidFill>
                </w14:textFill>
              </w:rPr>
              <w:t>每轮次检查都现场记录表以及打分表都要统一整理，并交给监测中心，未按要求进行扣2分。</w:t>
            </w:r>
          </w:p>
        </w:tc>
        <w:tc>
          <w:tcPr>
            <w:tcW w:w="5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51"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 w:hRule="atLeast"/>
          <w:jc w:val="center"/>
        </w:trPr>
        <w:tc>
          <w:tcPr>
            <w:tcW w:w="493"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905" w:type="dxa"/>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lang w:eastAsia="zh-Hans"/>
                <w14:textFill>
                  <w14:solidFill>
                    <w14:schemeClr w14:val="tx1"/>
                  </w14:solidFill>
                </w14:textFill>
              </w:rPr>
              <w:t>溯源资料管理</w:t>
            </w:r>
          </w:p>
        </w:tc>
        <w:tc>
          <w:tcPr>
            <w:tcW w:w="4050" w:type="dxa"/>
            <w:gridSpan w:val="2"/>
            <w:noWrap/>
            <w:tcMar>
              <w:top w:w="15" w:type="dxa"/>
              <w:left w:w="15" w:type="dxa"/>
              <w:bottom w:w="0" w:type="dxa"/>
              <w:right w:w="15" w:type="dxa"/>
            </w:tcMar>
            <w:vAlign w:val="center"/>
          </w:tcPr>
          <w:p>
            <w:pPr>
              <w:shd w:val="clear"/>
              <w:bidi w:val="0"/>
              <w:spacing w:line="360" w:lineRule="auto"/>
              <w:jc w:val="left"/>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lang w:eastAsia="zh-Hans"/>
                <w14:textFill>
                  <w14:solidFill>
                    <w14:schemeClr w14:val="tx1"/>
                  </w14:solidFill>
                </w14:textFill>
              </w:rPr>
              <w:t>设备校准报告、检定报告、标气溯源报告、臭氧溯源报告等，一项不符合要求扣2分。</w:t>
            </w:r>
          </w:p>
        </w:tc>
        <w:tc>
          <w:tcPr>
            <w:tcW w:w="5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51"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 w:hRule="atLeast"/>
          <w:jc w:val="center"/>
        </w:trPr>
        <w:tc>
          <w:tcPr>
            <w:tcW w:w="493"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905" w:type="dxa"/>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lang w:eastAsia="zh-Hans"/>
                <w14:textFill>
                  <w14:solidFill>
                    <w14:schemeClr w14:val="tx1"/>
                  </w14:solidFill>
                </w14:textFill>
              </w:rPr>
              <w:t>报告资料管理</w:t>
            </w:r>
          </w:p>
        </w:tc>
        <w:tc>
          <w:tcPr>
            <w:tcW w:w="4050" w:type="dxa"/>
            <w:gridSpan w:val="2"/>
            <w:noWrap/>
            <w:tcMar>
              <w:top w:w="15" w:type="dxa"/>
              <w:left w:w="15" w:type="dxa"/>
              <w:bottom w:w="0" w:type="dxa"/>
              <w:right w:w="15" w:type="dxa"/>
            </w:tcMar>
            <w:vAlign w:val="center"/>
          </w:tcPr>
          <w:p>
            <w:pPr>
              <w:shd w:val="clear"/>
              <w:bidi w:val="0"/>
              <w:spacing w:line="360" w:lineRule="auto"/>
              <w:jc w:val="left"/>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lang w:eastAsia="zh-Hans"/>
                <w14:textFill>
                  <w14:solidFill>
                    <w14:schemeClr w14:val="tx1"/>
                  </w14:solidFill>
                </w14:textFill>
              </w:rPr>
              <w:t>每轮次检查完成后等月度、季度报告是否都备份保存，并及时交给监测中心，未按要求整理提交每次扣2分</w:t>
            </w:r>
          </w:p>
        </w:tc>
        <w:tc>
          <w:tcPr>
            <w:tcW w:w="540" w:type="dxa"/>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51" w:type="dxa"/>
            <w:noWrap/>
            <w:tcMar>
              <w:top w:w="15" w:type="dxa"/>
              <w:left w:w="15" w:type="dxa"/>
              <w:bottom w:w="0" w:type="dxa"/>
              <w:right w:w="15" w:type="dxa"/>
            </w:tcMar>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4369" w:type="dxa"/>
            <w:gridSpan w:val="3"/>
            <w:tcMar>
              <w:top w:w="15" w:type="dxa"/>
              <w:left w:w="15" w:type="dxa"/>
              <w:bottom w:w="0" w:type="dxa"/>
              <w:right w:w="15" w:type="dxa"/>
            </w:tcMar>
            <w:vAlign w:val="center"/>
          </w:tcPr>
          <w:p>
            <w:pPr>
              <w:shd w:val="clear"/>
              <w:bidi w:val="0"/>
              <w:spacing w:line="36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考评时间：</w:t>
            </w:r>
          </w:p>
        </w:tc>
        <w:tc>
          <w:tcPr>
            <w:tcW w:w="4370" w:type="dxa"/>
            <w:gridSpan w:val="3"/>
            <w:noWrap/>
            <w:tcMar>
              <w:top w:w="15" w:type="dxa"/>
              <w:left w:w="15" w:type="dxa"/>
              <w:bottom w:w="0" w:type="dxa"/>
              <w:right w:w="15" w:type="dxa"/>
            </w:tcMar>
            <w:vAlign w:val="center"/>
          </w:tcPr>
          <w:p>
            <w:pPr>
              <w:shd w:val="clear"/>
              <w:bidi w:val="0"/>
              <w:spacing w:line="36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考评单位：</w:t>
            </w:r>
          </w:p>
        </w:tc>
      </w:tr>
    </w:tbl>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2．运维检查费用核算办法</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1）考核总分在90分（含）以上，全额支付当期运维检查费；</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2）考核总分在80（含）-90分（不含）之间，扣除当期运维检查费10%；</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3）考核结果在70（含）-80分（不含）之间，扣除当期运维检查费30%；</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4）考核结果在70分（不含）以下，扣除当期全额运维检查费。</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（八）数据归属及保密</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本项目所形成的所有检查形成的数据及报告的所有权均归采购人所有。未经采购人授权，中标人无权使用任何检查结果或将检查结果发送给任何第三方。报告发送和保管人员应遵守相关保密规定，为采购人保密。</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（九）人员纪律</w:t>
      </w:r>
    </w:p>
    <w:p>
      <w:pPr>
        <w:shd w:val="clear"/>
        <w:bidi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检查人员需严格要求自己，公平公正对待检查工作，提交的检查报告需真实有效，对检查结果负责。检查人员不得以任何形式收受运维单位贿赂或在运维检查过程中与运维单位串通、弄虚作假。一经发现并查实，立即终止合同，由此产生的一切责任全部由中标人承担，并将其列入黑名单，情节严重的移交司法部门。</w:t>
      </w:r>
    </w:p>
    <w:p>
      <w:pPr>
        <w:shd w:val="clear"/>
        <w:bidi w:val="0"/>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shd w:val="clear"/>
        <w:bidi w:val="0"/>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shd w:val="clear"/>
        <w:bidi w:val="0"/>
        <w:rPr>
          <w:rFonts w:hint="eastAsia"/>
          <w:color w:val="000000" w:themeColor="text1"/>
          <w:highlight w:val="none"/>
          <w:lang w:eastAsia="zh-Hans"/>
          <w14:textFill>
            <w14:solidFill>
              <w14:schemeClr w14:val="tx1"/>
            </w14:solidFill>
          </w14:textFill>
        </w:rPr>
      </w:pPr>
      <w:r>
        <w:rPr>
          <w:rFonts w:hint="eastAsia"/>
          <w:color w:val="000000" w:themeColor="text1"/>
          <w:highlight w:val="none"/>
          <w:lang w:eastAsia="zh-Hans"/>
          <w14:textFill>
            <w14:solidFill>
              <w14:schemeClr w14:val="tx1"/>
            </w14:solidFill>
          </w14:textFill>
        </w:rPr>
        <w:t>附件</w:t>
      </w:r>
      <w:r>
        <w:rPr>
          <w:rFonts w:hint="eastAsia"/>
          <w:color w:val="000000" w:themeColor="text1"/>
          <w:highlight w:val="none"/>
          <w:lang w:eastAsia="zh-CN"/>
          <w14:textFill>
            <w14:solidFill>
              <w14:schemeClr w14:val="tx1"/>
            </w14:solidFill>
          </w14:textFill>
        </w:rPr>
        <w:t>①</w:t>
      </w:r>
      <w:r>
        <w:rPr>
          <w:rFonts w:hint="eastAsia"/>
          <w:color w:val="000000" w:themeColor="text1"/>
          <w:highlight w:val="none"/>
          <w:lang w:eastAsia="zh-Hans"/>
          <w14:textFill>
            <w14:solidFill>
              <w14:schemeClr w14:val="tx1"/>
            </w14:solidFill>
          </w14:textFill>
        </w:rPr>
        <w:t>：运维考核表</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Hans"/>
          <w14:textFill>
            <w14:solidFill>
              <w14:schemeClr w14:val="tx1"/>
            </w14:solidFill>
          </w14:textFill>
        </w:rPr>
        <w:t>台州</w:t>
      </w:r>
      <w:r>
        <w:rPr>
          <w:rFonts w:hint="eastAsia"/>
          <w:color w:val="000000" w:themeColor="text1"/>
          <w:highlight w:val="none"/>
          <w14:textFill>
            <w14:solidFill>
              <w14:schemeClr w14:val="tx1"/>
            </w14:solidFill>
          </w14:textFill>
        </w:rPr>
        <w:t>市省控空气自动监测站运维体系检查评分表</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 xml:space="preserve">县/市区                   站 类型：城市站□ 园区站□ 检查日期：          年      月     日 检查时间：                    </w:t>
      </w:r>
    </w:p>
    <w:p>
      <w:pPr>
        <w:shd w:val="clear"/>
        <w:bidi w:val="0"/>
        <w:rPr>
          <w:rFonts w:hint="eastAsia"/>
          <w:color w:val="000000" w:themeColor="text1"/>
          <w:highlight w:val="none"/>
          <w14:textFill>
            <w14:solidFill>
              <w14:schemeClr w14:val="tx1"/>
            </w14:solidFill>
          </w14:textFill>
        </w:rPr>
      </w:pPr>
    </w:p>
    <w:tbl>
      <w:tblPr>
        <w:tblStyle w:val="97"/>
        <w:tblW w:w="155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9"/>
        <w:gridCol w:w="1761"/>
        <w:gridCol w:w="3306"/>
        <w:gridCol w:w="5519"/>
        <w:gridCol w:w="2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30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检查项目</w:t>
            </w:r>
          </w:p>
        </w:tc>
        <w:tc>
          <w:tcPr>
            <w:tcW w:w="10586"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重要记录问题说明</w:t>
            </w:r>
          </w:p>
        </w:tc>
        <w:tc>
          <w:tcPr>
            <w:tcW w:w="263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3" w:hRule="atLeast"/>
        </w:trPr>
        <w:tc>
          <w:tcPr>
            <w:tcW w:w="2309" w:type="dxa"/>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站点或采样口周边环境 是否满足要求</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注：记录项，不计分。</w:t>
            </w:r>
          </w:p>
        </w:tc>
        <w:tc>
          <w:tcPr>
            <w:tcW w:w="10586"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□站点用地、 电力供应、安全保障工作及周边环境异常；</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□站点周围树木生长已影响自动监测设备的采样工作；</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□站点四周栅栏、安全警示标志未配备齐全；</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□站点四周目视范围内存在影响监测数据的局地污染源：如烟囱、餐饮油烟等；</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□有非运维人员在未获得许可的情况下进入站房、站房顶、站点栅栏内及采样 口 20 米范围内；</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□站点周边有施工、工程治理等项目，且对自动监测工作产生影响；</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□站点或采样口周边 50 米范围内，有雾炮喷淋等改变环境空气质量的装置；</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□存在其他影响站点周边环境代表性的情况。</w:t>
            </w:r>
          </w:p>
        </w:tc>
        <w:tc>
          <w:tcPr>
            <w:tcW w:w="2636" w:type="dxa"/>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230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检查工作配合</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注：记录项，不计分。</w:t>
            </w:r>
          </w:p>
        </w:tc>
        <w:tc>
          <w:tcPr>
            <w:tcW w:w="10586"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□运维方不配合检查工作，或干涉检查结果；</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□运维方接到检查通知后随意进入站房，未一事一报备。</w:t>
            </w:r>
          </w:p>
        </w:tc>
        <w:tc>
          <w:tcPr>
            <w:tcW w:w="2636" w:type="dxa"/>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309"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主要设备信息</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注：记录项，不计分。</w:t>
            </w:r>
          </w:p>
        </w:tc>
        <w:tc>
          <w:tcPr>
            <w:tcW w:w="1761"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分析仪</w:t>
            </w:r>
          </w:p>
        </w:tc>
        <w:tc>
          <w:tcPr>
            <w:tcW w:w="33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品牌/型号</w:t>
            </w:r>
          </w:p>
        </w:tc>
        <w:tc>
          <w:tcPr>
            <w:tcW w:w="551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出厂编号</w:t>
            </w:r>
          </w:p>
        </w:tc>
        <w:tc>
          <w:tcPr>
            <w:tcW w:w="2636" w:type="dxa"/>
            <w:vMerge w:val="restart"/>
            <w:tcBorders>
              <w:bottom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309"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761"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SO2</w:t>
            </w:r>
          </w:p>
        </w:tc>
        <w:tc>
          <w:tcPr>
            <w:tcW w:w="3306" w:type="dxa"/>
          </w:tcPr>
          <w:p>
            <w:pPr>
              <w:shd w:val="clear"/>
              <w:bidi w:val="0"/>
              <w:rPr>
                <w:rFonts w:hint="eastAsia"/>
                <w:color w:val="000000" w:themeColor="text1"/>
                <w:highlight w:val="none"/>
                <w14:textFill>
                  <w14:solidFill>
                    <w14:schemeClr w14:val="tx1"/>
                  </w14:solidFill>
                </w14:textFill>
              </w:rPr>
            </w:pPr>
          </w:p>
        </w:tc>
        <w:tc>
          <w:tcPr>
            <w:tcW w:w="5519" w:type="dxa"/>
          </w:tcPr>
          <w:p>
            <w:pPr>
              <w:shd w:val="clear"/>
              <w:bidi w:val="0"/>
              <w:rPr>
                <w:rFonts w:hint="eastAsia"/>
                <w:color w:val="000000" w:themeColor="text1"/>
                <w:highlight w:val="none"/>
                <w14:textFill>
                  <w14:solidFill>
                    <w14:schemeClr w14:val="tx1"/>
                  </w14:solidFill>
                </w14:textFill>
              </w:rPr>
            </w:pPr>
          </w:p>
        </w:tc>
        <w:tc>
          <w:tcPr>
            <w:tcW w:w="2636"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309"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761"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NOx</w:t>
            </w:r>
          </w:p>
        </w:tc>
        <w:tc>
          <w:tcPr>
            <w:tcW w:w="3306" w:type="dxa"/>
          </w:tcPr>
          <w:p>
            <w:pPr>
              <w:shd w:val="clear"/>
              <w:bidi w:val="0"/>
              <w:rPr>
                <w:rFonts w:hint="eastAsia"/>
                <w:color w:val="000000" w:themeColor="text1"/>
                <w:highlight w:val="none"/>
                <w14:textFill>
                  <w14:solidFill>
                    <w14:schemeClr w14:val="tx1"/>
                  </w14:solidFill>
                </w14:textFill>
              </w:rPr>
            </w:pPr>
          </w:p>
        </w:tc>
        <w:tc>
          <w:tcPr>
            <w:tcW w:w="5519" w:type="dxa"/>
          </w:tcPr>
          <w:p>
            <w:pPr>
              <w:shd w:val="clear"/>
              <w:bidi w:val="0"/>
              <w:rPr>
                <w:rFonts w:hint="eastAsia"/>
                <w:color w:val="000000" w:themeColor="text1"/>
                <w:highlight w:val="none"/>
                <w14:textFill>
                  <w14:solidFill>
                    <w14:schemeClr w14:val="tx1"/>
                  </w14:solidFill>
                </w14:textFill>
              </w:rPr>
            </w:pPr>
          </w:p>
        </w:tc>
        <w:tc>
          <w:tcPr>
            <w:tcW w:w="2636"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309"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761"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CO</w:t>
            </w:r>
          </w:p>
        </w:tc>
        <w:tc>
          <w:tcPr>
            <w:tcW w:w="3306" w:type="dxa"/>
          </w:tcPr>
          <w:p>
            <w:pPr>
              <w:shd w:val="clear"/>
              <w:bidi w:val="0"/>
              <w:rPr>
                <w:rFonts w:hint="eastAsia"/>
                <w:color w:val="000000" w:themeColor="text1"/>
                <w:highlight w:val="none"/>
                <w14:textFill>
                  <w14:solidFill>
                    <w14:schemeClr w14:val="tx1"/>
                  </w14:solidFill>
                </w14:textFill>
              </w:rPr>
            </w:pPr>
          </w:p>
        </w:tc>
        <w:tc>
          <w:tcPr>
            <w:tcW w:w="5519" w:type="dxa"/>
          </w:tcPr>
          <w:p>
            <w:pPr>
              <w:shd w:val="clear"/>
              <w:bidi w:val="0"/>
              <w:rPr>
                <w:rFonts w:hint="eastAsia"/>
                <w:color w:val="000000" w:themeColor="text1"/>
                <w:highlight w:val="none"/>
                <w14:textFill>
                  <w14:solidFill>
                    <w14:schemeClr w14:val="tx1"/>
                  </w14:solidFill>
                </w14:textFill>
              </w:rPr>
            </w:pPr>
          </w:p>
        </w:tc>
        <w:tc>
          <w:tcPr>
            <w:tcW w:w="2636"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309"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761"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rightMargin">
                        <wp:posOffset>-617855</wp:posOffset>
                      </wp:positionH>
                      <wp:positionV relativeFrom="topMargin">
                        <wp:posOffset>80645</wp:posOffset>
                      </wp:positionV>
                      <wp:extent cx="85090" cy="1473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5090" cy="147320"/>
                              </a:xfrm>
                              <a:prstGeom prst="rect">
                                <a:avLst/>
                              </a:prstGeom>
                              <a:noFill/>
                              <a:ln>
                                <a:noFill/>
                              </a:ln>
                            </wps:spPr>
                            <wps:txbx>
                              <w:txbxContent>
                                <w:p>
                                  <w:pPr>
                                    <w:spacing w:before="20" w:line="186" w:lineRule="auto"/>
                                    <w:ind w:left="20"/>
                                    <w:rPr>
                                      <w:rFonts w:ascii="仿宋" w:hAnsi="仿宋" w:eastAsia="仿宋" w:cs="仿宋"/>
                                      <w:sz w:val="19"/>
                                      <w:szCs w:val="19"/>
                                    </w:rPr>
                                  </w:pPr>
                                  <w:r>
                                    <w:rPr>
                                      <w:rFonts w:ascii="仿宋" w:hAnsi="仿宋" w:eastAsia="仿宋" w:cs="仿宋"/>
                                      <w:sz w:val="19"/>
                                      <w:szCs w:val="19"/>
                                    </w:rPr>
                                    <w:t>O</w:t>
                                  </w:r>
                                </w:p>
                              </w:txbxContent>
                            </wps:txbx>
                            <wps:bodyPr lIns="0" tIns="0" rIns="0" bIns="0" upright="1"/>
                          </wps:wsp>
                        </a:graphicData>
                      </a:graphic>
                    </wp:anchor>
                  </w:drawing>
                </mc:Choice>
                <mc:Fallback>
                  <w:pict>
                    <v:shape id="_x0000_s1026" o:spid="_x0000_s1026" o:spt="202" type="#_x0000_t202" style="position:absolute;left:0pt;margin-left:39.3pt;margin-top:6.6pt;height:11.6pt;width:6.7pt;mso-position-horizontal-relative:page;mso-position-vertical-relative:page;z-index:251660288;mso-width-relative:page;mso-height-relative:page;" filled="f" stroked="f" coordsize="21600,21600" o:gfxdata="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DxYAO2QAAAAkBAAAPAAAAAAAAAAEAIAAAACIAAABkcnMvZG93bnJldi54bWxQSwEC&#10;FAAUAAAACACHTuJAOfCLE7oBAABwAwAADgAAAAAAAAABACAAAAAoAQAAZHJzL2Uyb0RvYy54bWxQ&#10;SwUGAAAAAAYABgBZAQAAVAUAAAAA&#10;">
                      <v:fill on="f" focussize="0,0"/>
                      <v:stroke on="f"/>
                      <v:imagedata o:title=""/>
                      <o:lock v:ext="edit" aspectratio="f"/>
                      <v:textbox inset="0mm,0mm,0mm,0mm">
                        <w:txbxContent>
                          <w:p>
                            <w:pPr>
                              <w:spacing w:before="20" w:line="186" w:lineRule="auto"/>
                              <w:ind w:left="20"/>
                              <w:rPr>
                                <w:rFonts w:ascii="仿宋" w:hAnsi="仿宋" w:eastAsia="仿宋" w:cs="仿宋"/>
                                <w:sz w:val="19"/>
                                <w:szCs w:val="19"/>
                              </w:rPr>
                            </w:pPr>
                            <w:r>
                              <w:rPr>
                                <w:rFonts w:ascii="仿宋" w:hAnsi="仿宋" w:eastAsia="仿宋" w:cs="仿宋"/>
                                <w:sz w:val="19"/>
                                <w:szCs w:val="19"/>
                              </w:rPr>
                              <w:t>O</w:t>
                            </w:r>
                          </w:p>
                        </w:txbxContent>
                      </v:textbox>
                    </v:shape>
                  </w:pict>
                </mc:Fallback>
              </mc:AlternateContent>
            </w:r>
            <w:r>
              <w:rPr>
                <w:rFonts w:hint="eastAsia"/>
                <w:color w:val="000000" w:themeColor="text1"/>
                <w:highlight w:val="none"/>
                <w14:textFill>
                  <w14:solidFill>
                    <w14:schemeClr w14:val="tx1"/>
                  </w14:solidFill>
                </w14:textFill>
              </w:rPr>
              <w:t>3</w:t>
            </w:r>
          </w:p>
        </w:tc>
        <w:tc>
          <w:tcPr>
            <w:tcW w:w="3306" w:type="dxa"/>
          </w:tcPr>
          <w:p>
            <w:pPr>
              <w:shd w:val="clear"/>
              <w:bidi w:val="0"/>
              <w:rPr>
                <w:rFonts w:hint="eastAsia"/>
                <w:color w:val="000000" w:themeColor="text1"/>
                <w:highlight w:val="none"/>
                <w14:textFill>
                  <w14:solidFill>
                    <w14:schemeClr w14:val="tx1"/>
                  </w14:solidFill>
                </w14:textFill>
              </w:rPr>
            </w:pPr>
          </w:p>
        </w:tc>
        <w:tc>
          <w:tcPr>
            <w:tcW w:w="5519" w:type="dxa"/>
          </w:tcPr>
          <w:p>
            <w:pPr>
              <w:shd w:val="clear"/>
              <w:bidi w:val="0"/>
              <w:rPr>
                <w:rFonts w:hint="eastAsia"/>
                <w:color w:val="000000" w:themeColor="text1"/>
                <w:highlight w:val="none"/>
                <w14:textFill>
                  <w14:solidFill>
                    <w14:schemeClr w14:val="tx1"/>
                  </w14:solidFill>
                </w14:textFill>
              </w:rPr>
            </w:pPr>
          </w:p>
        </w:tc>
        <w:tc>
          <w:tcPr>
            <w:tcW w:w="2636"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309"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761"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PM10</w:t>
            </w:r>
          </w:p>
        </w:tc>
        <w:tc>
          <w:tcPr>
            <w:tcW w:w="3306" w:type="dxa"/>
          </w:tcPr>
          <w:p>
            <w:pPr>
              <w:shd w:val="clear"/>
              <w:bidi w:val="0"/>
              <w:rPr>
                <w:rFonts w:hint="eastAsia"/>
                <w:color w:val="000000" w:themeColor="text1"/>
                <w:highlight w:val="none"/>
                <w14:textFill>
                  <w14:solidFill>
                    <w14:schemeClr w14:val="tx1"/>
                  </w14:solidFill>
                </w14:textFill>
              </w:rPr>
            </w:pPr>
          </w:p>
        </w:tc>
        <w:tc>
          <w:tcPr>
            <w:tcW w:w="5519" w:type="dxa"/>
          </w:tcPr>
          <w:p>
            <w:pPr>
              <w:shd w:val="clear"/>
              <w:bidi w:val="0"/>
              <w:rPr>
                <w:rFonts w:hint="eastAsia"/>
                <w:color w:val="000000" w:themeColor="text1"/>
                <w:highlight w:val="none"/>
                <w14:textFill>
                  <w14:solidFill>
                    <w14:schemeClr w14:val="tx1"/>
                  </w14:solidFill>
                </w14:textFill>
              </w:rPr>
            </w:pPr>
          </w:p>
        </w:tc>
        <w:tc>
          <w:tcPr>
            <w:tcW w:w="2636"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309"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761"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PM2.5</w:t>
            </w:r>
          </w:p>
        </w:tc>
        <w:tc>
          <w:tcPr>
            <w:tcW w:w="3306" w:type="dxa"/>
          </w:tcPr>
          <w:p>
            <w:pPr>
              <w:shd w:val="clear"/>
              <w:bidi w:val="0"/>
              <w:rPr>
                <w:rFonts w:hint="eastAsia"/>
                <w:color w:val="000000" w:themeColor="text1"/>
                <w:highlight w:val="none"/>
                <w14:textFill>
                  <w14:solidFill>
                    <w14:schemeClr w14:val="tx1"/>
                  </w14:solidFill>
                </w14:textFill>
              </w:rPr>
            </w:pPr>
          </w:p>
        </w:tc>
        <w:tc>
          <w:tcPr>
            <w:tcW w:w="5519" w:type="dxa"/>
          </w:tcPr>
          <w:p>
            <w:pPr>
              <w:shd w:val="clear"/>
              <w:bidi w:val="0"/>
              <w:rPr>
                <w:rFonts w:hint="eastAsia"/>
                <w:color w:val="000000" w:themeColor="text1"/>
                <w:highlight w:val="none"/>
                <w14:textFill>
                  <w14:solidFill>
                    <w14:schemeClr w14:val="tx1"/>
                  </w14:solidFill>
                </w14:textFill>
              </w:rPr>
            </w:pPr>
          </w:p>
        </w:tc>
        <w:tc>
          <w:tcPr>
            <w:tcW w:w="2636"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309"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761"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动态校准仪</w:t>
            </w:r>
          </w:p>
        </w:tc>
        <w:tc>
          <w:tcPr>
            <w:tcW w:w="3306" w:type="dxa"/>
          </w:tcPr>
          <w:p>
            <w:pPr>
              <w:shd w:val="clear"/>
              <w:bidi w:val="0"/>
              <w:rPr>
                <w:rFonts w:hint="eastAsia"/>
                <w:color w:val="000000" w:themeColor="text1"/>
                <w:highlight w:val="none"/>
                <w14:textFill>
                  <w14:solidFill>
                    <w14:schemeClr w14:val="tx1"/>
                  </w14:solidFill>
                </w14:textFill>
              </w:rPr>
            </w:pPr>
          </w:p>
        </w:tc>
        <w:tc>
          <w:tcPr>
            <w:tcW w:w="5519" w:type="dxa"/>
          </w:tcPr>
          <w:p>
            <w:pPr>
              <w:shd w:val="clear"/>
              <w:bidi w:val="0"/>
              <w:rPr>
                <w:rFonts w:hint="eastAsia"/>
                <w:color w:val="000000" w:themeColor="text1"/>
                <w:highlight w:val="none"/>
                <w14:textFill>
                  <w14:solidFill>
                    <w14:schemeClr w14:val="tx1"/>
                  </w14:solidFill>
                </w14:textFill>
              </w:rPr>
            </w:pPr>
          </w:p>
        </w:tc>
        <w:tc>
          <w:tcPr>
            <w:tcW w:w="2636"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309"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761"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零气发生器</w:t>
            </w:r>
          </w:p>
        </w:tc>
        <w:tc>
          <w:tcPr>
            <w:tcW w:w="3306" w:type="dxa"/>
          </w:tcPr>
          <w:p>
            <w:pPr>
              <w:shd w:val="clear"/>
              <w:bidi w:val="0"/>
              <w:rPr>
                <w:rFonts w:hint="eastAsia"/>
                <w:color w:val="000000" w:themeColor="text1"/>
                <w:highlight w:val="none"/>
                <w14:textFill>
                  <w14:solidFill>
                    <w14:schemeClr w14:val="tx1"/>
                  </w14:solidFill>
                </w14:textFill>
              </w:rPr>
            </w:pPr>
          </w:p>
        </w:tc>
        <w:tc>
          <w:tcPr>
            <w:tcW w:w="5519" w:type="dxa"/>
          </w:tcPr>
          <w:p>
            <w:pPr>
              <w:shd w:val="clear"/>
              <w:bidi w:val="0"/>
              <w:rPr>
                <w:rFonts w:hint="eastAsia"/>
                <w:color w:val="000000" w:themeColor="text1"/>
                <w:highlight w:val="none"/>
                <w14:textFill>
                  <w14:solidFill>
                    <w14:schemeClr w14:val="tx1"/>
                  </w14:solidFill>
                </w14:textFill>
              </w:rPr>
            </w:pPr>
          </w:p>
        </w:tc>
        <w:tc>
          <w:tcPr>
            <w:tcW w:w="2636"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309"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761"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O3 校准仪</w:t>
            </w:r>
          </w:p>
        </w:tc>
        <w:tc>
          <w:tcPr>
            <w:tcW w:w="3306" w:type="dxa"/>
          </w:tcPr>
          <w:p>
            <w:pPr>
              <w:shd w:val="clear"/>
              <w:bidi w:val="0"/>
              <w:rPr>
                <w:rFonts w:hint="eastAsia"/>
                <w:color w:val="000000" w:themeColor="text1"/>
                <w:highlight w:val="none"/>
                <w14:textFill>
                  <w14:solidFill>
                    <w14:schemeClr w14:val="tx1"/>
                  </w14:solidFill>
                </w14:textFill>
              </w:rPr>
            </w:pPr>
          </w:p>
        </w:tc>
        <w:tc>
          <w:tcPr>
            <w:tcW w:w="5519" w:type="dxa"/>
          </w:tcPr>
          <w:p>
            <w:pPr>
              <w:shd w:val="clear"/>
              <w:bidi w:val="0"/>
              <w:rPr>
                <w:rFonts w:hint="eastAsia"/>
                <w:color w:val="000000" w:themeColor="text1"/>
                <w:highlight w:val="none"/>
                <w14:textFill>
                  <w14:solidFill>
                    <w14:schemeClr w14:val="tx1"/>
                  </w14:solidFill>
                </w14:textFill>
              </w:rPr>
            </w:pPr>
          </w:p>
        </w:tc>
        <w:tc>
          <w:tcPr>
            <w:tcW w:w="2636"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309"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761"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甲烷非甲烷</w:t>
            </w:r>
          </w:p>
        </w:tc>
        <w:tc>
          <w:tcPr>
            <w:tcW w:w="3306" w:type="dxa"/>
          </w:tcPr>
          <w:p>
            <w:pPr>
              <w:shd w:val="clear"/>
              <w:bidi w:val="0"/>
              <w:rPr>
                <w:rFonts w:hint="eastAsia"/>
                <w:color w:val="000000" w:themeColor="text1"/>
                <w:highlight w:val="none"/>
                <w14:textFill>
                  <w14:solidFill>
                    <w14:schemeClr w14:val="tx1"/>
                  </w14:solidFill>
                </w14:textFill>
              </w:rPr>
            </w:pPr>
          </w:p>
        </w:tc>
        <w:tc>
          <w:tcPr>
            <w:tcW w:w="5519" w:type="dxa"/>
          </w:tcPr>
          <w:p>
            <w:pPr>
              <w:shd w:val="clear"/>
              <w:bidi w:val="0"/>
              <w:rPr>
                <w:rFonts w:hint="eastAsia"/>
                <w:color w:val="000000" w:themeColor="text1"/>
                <w:highlight w:val="none"/>
                <w14:textFill>
                  <w14:solidFill>
                    <w14:schemeClr w14:val="tx1"/>
                  </w14:solidFill>
                </w14:textFill>
              </w:rPr>
            </w:pPr>
          </w:p>
        </w:tc>
        <w:tc>
          <w:tcPr>
            <w:tcW w:w="2636"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309"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1761"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VOCs</w:t>
            </w:r>
          </w:p>
        </w:tc>
        <w:tc>
          <w:tcPr>
            <w:tcW w:w="3306" w:type="dxa"/>
          </w:tcPr>
          <w:p>
            <w:pPr>
              <w:shd w:val="clear"/>
              <w:bidi w:val="0"/>
              <w:rPr>
                <w:rFonts w:hint="eastAsia"/>
                <w:color w:val="000000" w:themeColor="text1"/>
                <w:highlight w:val="none"/>
                <w14:textFill>
                  <w14:solidFill>
                    <w14:schemeClr w14:val="tx1"/>
                  </w14:solidFill>
                </w14:textFill>
              </w:rPr>
            </w:pPr>
          </w:p>
        </w:tc>
        <w:tc>
          <w:tcPr>
            <w:tcW w:w="5519" w:type="dxa"/>
          </w:tcPr>
          <w:p>
            <w:pPr>
              <w:shd w:val="clear"/>
              <w:bidi w:val="0"/>
              <w:rPr>
                <w:rFonts w:hint="eastAsia"/>
                <w:color w:val="000000" w:themeColor="text1"/>
                <w:highlight w:val="none"/>
                <w14:textFill>
                  <w14:solidFill>
                    <w14:schemeClr w14:val="tx1"/>
                  </w14:solidFill>
                </w14:textFill>
              </w:rPr>
            </w:pPr>
          </w:p>
        </w:tc>
        <w:tc>
          <w:tcPr>
            <w:tcW w:w="2636"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r>
    </w:tbl>
    <w:p>
      <w:pPr>
        <w:shd w:val="clear"/>
        <w:bidi w:val="0"/>
        <w:rPr>
          <w:rFonts w:hint="eastAsia"/>
          <w:color w:val="000000" w:themeColor="text1"/>
          <w:highlight w:val="none"/>
          <w14:textFill>
            <w14:solidFill>
              <w14:schemeClr w14:val="tx1"/>
            </w14:solidFill>
          </w14:textFill>
        </w:rPr>
        <w:sectPr>
          <w:pgSz w:w="16839" w:h="11906"/>
          <w:pgMar w:top="594" w:right="564" w:bottom="0" w:left="737" w:header="0" w:footer="0" w:gutter="0"/>
          <w:pgNumType w:fmt="decimal"/>
          <w:cols w:space="720" w:num="1"/>
        </w:sectPr>
      </w:pPr>
    </w:p>
    <w:p>
      <w:pPr>
        <w:shd w:val="clear"/>
        <w:bidi w:val="0"/>
        <w:rPr>
          <w:rFonts w:hint="eastAsia"/>
          <w:color w:val="000000" w:themeColor="text1"/>
          <w:highlight w:val="none"/>
          <w14:textFill>
            <w14:solidFill>
              <w14:schemeClr w14:val="tx1"/>
            </w14:solidFill>
          </w14:textFill>
        </w:rPr>
      </w:pPr>
    </w:p>
    <w:tbl>
      <w:tblPr>
        <w:tblStyle w:val="97"/>
        <w:tblW w:w="155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2"/>
        <w:gridCol w:w="1694"/>
        <w:gridCol w:w="869"/>
        <w:gridCol w:w="9904"/>
        <w:gridCol w:w="15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562"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检查项目</w:t>
            </w:r>
          </w:p>
        </w:tc>
        <w:tc>
          <w:tcPr>
            <w:tcW w:w="1694"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检查要点</w:t>
            </w:r>
          </w:p>
        </w:tc>
        <w:tc>
          <w:tcPr>
            <w:tcW w:w="86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c>
          <w:tcPr>
            <w:tcW w:w="9904"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评分说明</w:t>
            </w:r>
          </w:p>
        </w:tc>
        <w:tc>
          <w:tcPr>
            <w:tcW w:w="1513"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5" w:hRule="atLeast"/>
        </w:trPr>
        <w:tc>
          <w:tcPr>
            <w:tcW w:w="1562"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站房环境情况</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注：其中一项不</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合格扣 2 分，扣</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分上限为该项</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总分。</w:t>
            </w:r>
          </w:p>
        </w:tc>
        <w:tc>
          <w:tcPr>
            <w:tcW w:w="1694" w:type="dxa"/>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站房环境  是否符合要求</w:t>
            </w:r>
          </w:p>
        </w:tc>
        <w:tc>
          <w:tcPr>
            <w:tcW w:w="869" w:type="dxa"/>
            <w:vMerge w:val="restart"/>
            <w:tcBorders>
              <w:bottom w:val="nil"/>
            </w:tcBorders>
          </w:tcPr>
          <w:p>
            <w:pPr>
              <w:shd w:val="clear"/>
              <w:bidi w:val="0"/>
              <w:rPr>
                <w:rFonts w:hint="eastAsia"/>
                <w:color w:val="000000" w:themeColor="text1"/>
                <w:highlight w:val="none"/>
                <w14:textFill>
                  <w14:solidFill>
                    <w14:schemeClr w14:val="tx1"/>
                  </w14:solidFill>
                </w14:textFill>
              </w:rPr>
            </w:pPr>
          </w:p>
        </w:tc>
        <w:tc>
          <w:tcPr>
            <w:tcW w:w="9904"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□站房周边及站房顶有杂草、积水，地面卫生未保持清洁；</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□站房内环境脏有明显灰尘、蛛网等；</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□站房内有明显的异味；</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□站房内物品摆放不整齐，标气瓶未固定；</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□站房内电源线路、 网络线路、气体/采样管路等不规整；</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□站点有跟本监测站无关的设备及杂物(地方资产和运维有关工具设备除外)。</w:t>
            </w:r>
          </w:p>
        </w:tc>
        <w:tc>
          <w:tcPr>
            <w:tcW w:w="1513" w:type="dxa"/>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56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694"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站房温度  是否符合要求</w:t>
            </w:r>
          </w:p>
        </w:tc>
        <w:tc>
          <w:tcPr>
            <w:tcW w:w="869"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9904"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□站房内未配备温湿度计，温湿度计未经过检定或检定已过期；</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□站房内温度超 25±5℃范围、相对湿度超 80％ ，站房内温度：        ℃ 、湿度      ％。</w:t>
            </w:r>
          </w:p>
        </w:tc>
        <w:tc>
          <w:tcPr>
            <w:tcW w:w="1513" w:type="dxa"/>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7" w:hRule="atLeast"/>
        </w:trPr>
        <w:tc>
          <w:tcPr>
            <w:tcW w:w="1562"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1694" w:type="dxa"/>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防雷等其他基</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础设施是否满</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足要求</w:t>
            </w:r>
          </w:p>
        </w:tc>
        <w:tc>
          <w:tcPr>
            <w:tcW w:w="869"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9904"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□站房内排气扇故障；</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□站房有漏水；</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□防雷设施异常，无防雷检测报告或报告已过期；</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□供电异常， 网络传输异常，稳压器、UPS 工作异常或未配置；</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□灭火器等消防设施不符合要求；</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□无视频监控，视频监控未正常运行或无法正常监视采样 口、仪器间、站点出入口情况，视频无 法回放，录像保存时长不足 30 天；</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□空调未正常运行，空调不具备来电自启功能；</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□空调直吹采样管，不可改变的未采取措施。</w:t>
            </w:r>
          </w:p>
        </w:tc>
        <w:tc>
          <w:tcPr>
            <w:tcW w:w="1513" w:type="dxa"/>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1562"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人员、文件制</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定、数据传输</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 分)</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注：其中一项不</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合格扣 2 分，扣</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分上限为该项</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总分。</w:t>
            </w:r>
          </w:p>
        </w:tc>
        <w:tc>
          <w:tcPr>
            <w:tcW w:w="1694"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人员持证及人</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员配置是否满</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足要求</w:t>
            </w:r>
          </w:p>
        </w:tc>
        <w:tc>
          <w:tcPr>
            <w:tcW w:w="869" w:type="dxa"/>
            <w:vMerge w:val="restart"/>
            <w:tcBorders>
              <w:bottom w:val="nil"/>
            </w:tcBorders>
          </w:tcPr>
          <w:p>
            <w:pPr>
              <w:shd w:val="clear"/>
              <w:bidi w:val="0"/>
              <w:rPr>
                <w:rFonts w:hint="eastAsia"/>
                <w:color w:val="000000" w:themeColor="text1"/>
                <w:highlight w:val="none"/>
                <w14:textFill>
                  <w14:solidFill>
                    <w14:schemeClr w14:val="tx1"/>
                  </w14:solidFill>
                </w14:textFill>
              </w:rPr>
            </w:pPr>
          </w:p>
        </w:tc>
        <w:tc>
          <w:tcPr>
            <w:tcW w:w="9904"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□运维人员未持有省级以上环保部门或环境协会颁发的气站培训合格证书、证书过期或人证不符， 尚未持证的运维人员未在持证人员指导下开展运维工作或未在开展运维工作后的六个月内取得上 岗证；</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□同一名运维人员负责运维的站点数超过 3 个。</w:t>
            </w:r>
          </w:p>
        </w:tc>
        <w:tc>
          <w:tcPr>
            <w:tcW w:w="1513" w:type="dxa"/>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56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694"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运维手册和运 维制度检查</w:t>
            </w:r>
          </w:p>
        </w:tc>
        <w:tc>
          <w:tcPr>
            <w:tcW w:w="869"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9904"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□未编制运维手册(根据相关规范要求并结合站点实际情况，建立的标准操作规程(SOP),不能仅为 仪器操作说明书)；</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□未编制运维制度，运维制度未明确责任归属。</w:t>
            </w:r>
          </w:p>
        </w:tc>
        <w:tc>
          <w:tcPr>
            <w:tcW w:w="1513" w:type="dxa"/>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562"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1694" w:type="dxa"/>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数据传输情况</w:t>
            </w:r>
          </w:p>
        </w:tc>
        <w:tc>
          <w:tcPr>
            <w:tcW w:w="869"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9904"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站点未定时或实时向数据平台传输数据；</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分析仪数据、数采软件数据、数据平台数据三者未保持一致；</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工控机、分析仪与北京时间误差超±5min，工控机与设备之间时间误差超±5min。</w:t>
            </w:r>
          </w:p>
        </w:tc>
        <w:tc>
          <w:tcPr>
            <w:tcW w:w="1513" w:type="dxa"/>
          </w:tcPr>
          <w:p>
            <w:pPr>
              <w:shd w:val="clear"/>
              <w:bidi w:val="0"/>
              <w:rPr>
                <w:rFonts w:hint="eastAsia"/>
                <w:color w:val="000000" w:themeColor="text1"/>
                <w:highlight w:val="none"/>
                <w14:textFill>
                  <w14:solidFill>
                    <w14:schemeClr w14:val="tx1"/>
                  </w14:solidFill>
                </w14:textFill>
              </w:rPr>
            </w:pPr>
          </w:p>
        </w:tc>
      </w:tr>
    </w:tbl>
    <w:p>
      <w:pPr>
        <w:shd w:val="clear"/>
        <w:bidi w:val="0"/>
        <w:rPr>
          <w:rFonts w:hint="eastAsia"/>
          <w:color w:val="000000" w:themeColor="text1"/>
          <w:highlight w:val="none"/>
          <w14:textFill>
            <w14:solidFill>
              <w14:schemeClr w14:val="tx1"/>
            </w14:solidFill>
          </w14:textFill>
        </w:rPr>
        <w:sectPr>
          <w:footerReference r:id="rId5" w:type="default"/>
          <w:pgSz w:w="16839" w:h="11906"/>
          <w:pgMar w:top="1012" w:right="553" w:bottom="1031" w:left="737" w:header="0" w:footer="819" w:gutter="0"/>
          <w:pgNumType w:fmt="decimal"/>
          <w:cols w:space="720" w:num="1"/>
        </w:sectPr>
      </w:pPr>
    </w:p>
    <w:p>
      <w:pPr>
        <w:shd w:val="clear"/>
        <w:bidi w:val="0"/>
        <w:rPr>
          <w:rFonts w:hint="eastAsia"/>
          <w:color w:val="000000" w:themeColor="text1"/>
          <w:highlight w:val="none"/>
          <w14:textFill>
            <w14:solidFill>
              <w14:schemeClr w14:val="tx1"/>
            </w14:solidFill>
          </w14:textFill>
        </w:rPr>
      </w:pPr>
    </w:p>
    <w:tbl>
      <w:tblPr>
        <w:tblStyle w:val="97"/>
        <w:tblW w:w="155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2"/>
        <w:gridCol w:w="1557"/>
        <w:gridCol w:w="1006"/>
        <w:gridCol w:w="9904"/>
        <w:gridCol w:w="15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562"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检查项目</w:t>
            </w:r>
          </w:p>
        </w:tc>
        <w:tc>
          <w:tcPr>
            <w:tcW w:w="1557"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检查要点</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c>
          <w:tcPr>
            <w:tcW w:w="9904"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评分说明</w:t>
            </w:r>
          </w:p>
        </w:tc>
        <w:tc>
          <w:tcPr>
            <w:tcW w:w="1513"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1" w:hRule="atLeast"/>
        </w:trPr>
        <w:tc>
          <w:tcPr>
            <w:tcW w:w="1562" w:type="dxa"/>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运维规范</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 分)</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注：其中一项不</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合格扣 3 分，扣</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分上限为该项</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总分。</w:t>
            </w:r>
          </w:p>
        </w:tc>
        <w:tc>
          <w:tcPr>
            <w:tcW w:w="1557" w:type="dxa"/>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运维不规范 行为检查</w:t>
            </w:r>
          </w:p>
        </w:tc>
        <w:tc>
          <w:tcPr>
            <w:tcW w:w="1006" w:type="dxa"/>
          </w:tcPr>
          <w:p>
            <w:pPr>
              <w:shd w:val="clear"/>
              <w:bidi w:val="0"/>
              <w:rPr>
                <w:rFonts w:hint="eastAsia"/>
                <w:color w:val="000000" w:themeColor="text1"/>
                <w:highlight w:val="none"/>
                <w14:textFill>
                  <w14:solidFill>
                    <w14:schemeClr w14:val="tx1"/>
                  </w14:solidFill>
                </w14:textFill>
              </w:rPr>
            </w:pPr>
          </w:p>
        </w:tc>
        <w:tc>
          <w:tcPr>
            <w:tcW w:w="9904"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□擅自更改仪器关键参数；</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□直接或间接影响设备采样，导致设备采集的样品不具备代表性，干扰监测数据质量；</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□擅自改动监测数据，或采用计算机技术等向数据存储元件添加数据；</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□标气过期，气压＜1.5MPa，标气浓度与仪器或平台设置值不一致；</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□人为关闭视频监控或人为转动采样区域和站点内的视频监控摄像头朝向；</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□正常情况下人为销毁视频监控记录；</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□在仪器设备和工控机上擅自安装不允许的插件和远程控制软件(特殊情况需要使用的，报备同意 后方可安装使用，使用结束后立即卸载)；</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□虚假填写运维记录；</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□更换下来的滤膜、纸带、仪器配件等随意丢弃、未做标记、未妥善存放备查。</w:t>
            </w:r>
          </w:p>
        </w:tc>
        <w:tc>
          <w:tcPr>
            <w:tcW w:w="1513" w:type="dxa"/>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1562"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采样系统</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 分)</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注：其中一项不</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合格扣 2 分，扣</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分上限为该项</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总分。</w:t>
            </w:r>
          </w:p>
        </w:tc>
        <w:tc>
          <w:tcPr>
            <w:tcW w:w="1557" w:type="dxa"/>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采样总管安装 是否符合要求</w:t>
            </w:r>
          </w:p>
        </w:tc>
        <w:tc>
          <w:tcPr>
            <w:tcW w:w="1006" w:type="dxa"/>
            <w:vMerge w:val="restart"/>
            <w:tcBorders>
              <w:bottom w:val="nil"/>
            </w:tcBorders>
          </w:tcPr>
          <w:p>
            <w:pPr>
              <w:shd w:val="clear"/>
              <w:bidi w:val="0"/>
              <w:rPr>
                <w:rFonts w:hint="eastAsia"/>
                <w:color w:val="000000" w:themeColor="text1"/>
                <w:highlight w:val="none"/>
                <w14:textFill>
                  <w14:solidFill>
                    <w14:schemeClr w14:val="tx1"/>
                  </w14:solidFill>
                </w14:textFill>
              </w:rPr>
            </w:pPr>
          </w:p>
        </w:tc>
        <w:tc>
          <w:tcPr>
            <w:tcW w:w="9904"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□采样总管抽、排气风扇运转不正常；</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□采样总管未竖直安装；</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□采样口到站点顶垂直距离＜1m；</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□采样总管内径超 1.5cm~15cm 范围，各支管接头间隔＜8cm。</w:t>
            </w:r>
          </w:p>
        </w:tc>
        <w:tc>
          <w:tcPr>
            <w:tcW w:w="1513" w:type="dxa"/>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56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557"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采样总管</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加热装置</w:t>
            </w:r>
          </w:p>
        </w:tc>
        <w:tc>
          <w:tcPr>
            <w:tcW w:w="1006"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9904"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□采样总管无加热系统或加热系统故障；</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□温度未控制在 30~50℃范围内，设定温度        ℃ 、实时温度        ℃。</w:t>
            </w:r>
          </w:p>
        </w:tc>
        <w:tc>
          <w:tcPr>
            <w:tcW w:w="1513" w:type="dxa"/>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5" w:hRule="atLeast"/>
        </w:trPr>
        <w:tc>
          <w:tcPr>
            <w:tcW w:w="156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557" w:type="dxa"/>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气态污染物</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采样支管</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是否符合要求</w:t>
            </w:r>
          </w:p>
        </w:tc>
        <w:tc>
          <w:tcPr>
            <w:tcW w:w="1006"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9904" w:type="dxa"/>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□仪器废气、采样总管尾气排在室内；</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□采样管路连接不规范(如：无固定或在连接处用胶布缠绕)。</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□采样支管未插入采样总管中心；</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□各仪器采样支管长度大于 3m。</w:t>
            </w:r>
          </w:p>
        </w:tc>
        <w:tc>
          <w:tcPr>
            <w:tcW w:w="1513" w:type="dxa"/>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562"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1557"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颗粒物</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采样系统</w:t>
            </w:r>
          </w:p>
        </w:tc>
        <w:tc>
          <w:tcPr>
            <w:tcW w:w="1006"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9904"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□颗粒物采样头滤网未保持完好；</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□颗粒物加热装置未正常工作，或参数设置不符合要求(动态加热湿度应设置为 35％)。</w:t>
            </w:r>
          </w:p>
        </w:tc>
        <w:tc>
          <w:tcPr>
            <w:tcW w:w="1513" w:type="dxa"/>
          </w:tcPr>
          <w:p>
            <w:pPr>
              <w:shd w:val="clear"/>
              <w:bidi w:val="0"/>
              <w:rPr>
                <w:rFonts w:hint="eastAsia"/>
                <w:color w:val="000000" w:themeColor="text1"/>
                <w:highlight w:val="none"/>
                <w14:textFill>
                  <w14:solidFill>
                    <w14:schemeClr w14:val="tx1"/>
                  </w14:solidFill>
                </w14:textFill>
              </w:rPr>
            </w:pPr>
          </w:p>
        </w:tc>
      </w:tr>
    </w:tbl>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sectPr>
          <w:footerReference r:id="rId6" w:type="default"/>
          <w:pgSz w:w="16839" w:h="11906"/>
          <w:pgMar w:top="1012" w:right="553" w:bottom="400" w:left="737" w:header="0" w:footer="0" w:gutter="0"/>
          <w:pgNumType w:fmt="decimal"/>
          <w:cols w:space="720" w:num="1"/>
        </w:sectPr>
      </w:pPr>
    </w:p>
    <w:p>
      <w:pPr>
        <w:shd w:val="clear"/>
        <w:bidi w:val="0"/>
        <w:rPr>
          <w:rFonts w:hint="eastAsia"/>
          <w:color w:val="000000" w:themeColor="text1"/>
          <w:highlight w:val="none"/>
          <w14:textFill>
            <w14:solidFill>
              <w14:schemeClr w14:val="tx1"/>
            </w14:solidFill>
          </w14:textFill>
        </w:rPr>
      </w:pPr>
    </w:p>
    <w:tbl>
      <w:tblPr>
        <w:tblStyle w:val="97"/>
        <w:tblW w:w="155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2"/>
        <w:gridCol w:w="1557"/>
        <w:gridCol w:w="1006"/>
        <w:gridCol w:w="8709"/>
        <w:gridCol w:w="27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3" w:hRule="atLeast"/>
        </w:trPr>
        <w:tc>
          <w:tcPr>
            <w:tcW w:w="1562"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检查项目</w:t>
            </w:r>
          </w:p>
        </w:tc>
        <w:tc>
          <w:tcPr>
            <w:tcW w:w="1557"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检查要点</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c>
          <w:tcPr>
            <w:tcW w:w="870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评分说明</w:t>
            </w:r>
          </w:p>
        </w:tc>
        <w:tc>
          <w:tcPr>
            <w:tcW w:w="2708"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29" w:hRule="atLeast"/>
        </w:trPr>
        <w:tc>
          <w:tcPr>
            <w:tcW w:w="1562"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日常维护</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及运维记录</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 分)</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注：其中一项不</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合格扣 3 分，扣</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分上限为该项</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总分。</w:t>
            </w:r>
          </w:p>
        </w:tc>
        <w:tc>
          <w:tcPr>
            <w:tcW w:w="1557" w:type="dxa"/>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日常维护工作完成情况</w:t>
            </w:r>
          </w:p>
        </w:tc>
        <w:tc>
          <w:tcPr>
            <w:tcW w:w="1006" w:type="dxa"/>
            <w:vMerge w:val="restart"/>
            <w:tcBorders>
              <w:bottom w:val="nil"/>
            </w:tcBorders>
          </w:tcPr>
          <w:p>
            <w:pPr>
              <w:shd w:val="clear"/>
              <w:bidi w:val="0"/>
              <w:rPr>
                <w:rFonts w:hint="eastAsia"/>
                <w:color w:val="000000" w:themeColor="text1"/>
                <w:highlight w:val="none"/>
                <w14:textFill>
                  <w14:solidFill>
                    <w14:schemeClr w14:val="tx1"/>
                  </w14:solidFill>
                </w14:textFill>
              </w:rPr>
            </w:pPr>
          </w:p>
        </w:tc>
        <w:tc>
          <w:tcPr>
            <w:tcW w:w="8709" w:type="dxa"/>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□空调滤芯未清洁；</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□仪器、工控机等散热风扇异常，过滤网缺失，过滤网未清洁；</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□各采样管路未清洁，有冷凝水、积灰等；</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□颗粒物采样头、切割器未清洁；</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□干燥剂、氧化剂、活性炭耗材和分子筛未及时更换(若无则不检查)；</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□采样泵相关耗材未及时更换，空压机未及时维护；</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□气态污染物分析仪滤膜脏污，未及时更换；</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□颗粒物纸带未及时更换，采样斑点分布不均匀、不圆滑、不完整、拖尾、穿孔或纸带装反。</w:t>
            </w:r>
          </w:p>
        </w:tc>
        <w:tc>
          <w:tcPr>
            <w:tcW w:w="2708" w:type="dxa"/>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9" w:hRule="atLeast"/>
        </w:trPr>
        <w:tc>
          <w:tcPr>
            <w:tcW w:w="1562"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1557" w:type="dxa"/>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运维工作是否</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按时开展、相关</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记录是否正常</w:t>
            </w:r>
          </w:p>
        </w:tc>
        <w:tc>
          <w:tcPr>
            <w:tcW w:w="1006"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870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□运维周期超过 7 天；</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□运维记录未填写，填写不完整，填写内容有误；</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□气态污染物校准、质控(包括零点、跨度、精密度、多点线性检查)工作未按要求开展；相关记 录未填写，填写不完整，填写内容有误；</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□颗粒物质控、校准(包括流量、质量传感器、标准膜、浊度、温压校准)工作未按要求开展；相 关记录未填写，填写不完整，填写内容有误；</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□动态校准仪 MFC 多点检查校准未按要求开展；相关记录未填写，填写不完整，填写内容有误；</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□无采样总管、颗粒物采样管、切割头等清洗记录，记录填写不完整，填写内容有误；</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□无设备维修记录、耗品耗材更换记录，记录填写不完整，填写内容有误；</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□无数据缺失情况说明、异常数据情况记录，记录填写不完整，填写内容有误；</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□记录有涂改，或单页超过三处杠改。</w:t>
            </w:r>
          </w:p>
        </w:tc>
        <w:tc>
          <w:tcPr>
            <w:tcW w:w="2708" w:type="dxa"/>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1562"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故障维修</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 分)</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注：其中一项不 合格扣 3 分。</w:t>
            </w:r>
          </w:p>
        </w:tc>
        <w:tc>
          <w:tcPr>
            <w:tcW w:w="1557" w:type="dxa"/>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故障处理</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时效性</w:t>
            </w:r>
          </w:p>
        </w:tc>
        <w:tc>
          <w:tcPr>
            <w:tcW w:w="1006" w:type="dxa"/>
          </w:tcPr>
          <w:p>
            <w:pPr>
              <w:shd w:val="clear"/>
              <w:bidi w:val="0"/>
              <w:rPr>
                <w:rFonts w:hint="eastAsia"/>
                <w:color w:val="000000" w:themeColor="text1"/>
                <w:highlight w:val="none"/>
                <w14:textFill>
                  <w14:solidFill>
                    <w14:schemeClr w14:val="tx1"/>
                  </w14:solidFill>
                </w14:textFill>
              </w:rPr>
            </w:pPr>
          </w:p>
        </w:tc>
        <w:tc>
          <w:tcPr>
            <w:tcW w:w="8709" w:type="dxa"/>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□主要因子分析设备(SO2 、NO2 、O3 、CO、PM10 、PM2.5 、NMHC、VOCs 等)发生故障导致数据异常未 8 小时响应，故障无法在 2 小时内排除又未启用备机,更换备机后未报备或更换的备机未在省中心备 案。</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□非主要因子分析设备故障未及时修复，故障持续时间超 48 小时。</w:t>
            </w:r>
          </w:p>
        </w:tc>
        <w:tc>
          <w:tcPr>
            <w:tcW w:w="2708" w:type="dxa"/>
          </w:tcPr>
          <w:p>
            <w:pPr>
              <w:shd w:val="clear"/>
              <w:bidi w:val="0"/>
              <w:rPr>
                <w:rFonts w:hint="eastAsia"/>
                <w:color w:val="000000" w:themeColor="text1"/>
                <w:highlight w:val="none"/>
                <w14:textFill>
                  <w14:solidFill>
                    <w14:schemeClr w14:val="tx1"/>
                  </w14:solidFill>
                </w14:textFill>
              </w:rPr>
            </w:pPr>
          </w:p>
        </w:tc>
      </w:tr>
    </w:tbl>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sectPr>
          <w:footerReference r:id="rId7" w:type="default"/>
          <w:pgSz w:w="16839" w:h="11906"/>
          <w:pgMar w:top="1012" w:right="553" w:bottom="1031" w:left="737" w:header="0" w:footer="819" w:gutter="0"/>
          <w:pgNumType w:fmt="decimal"/>
          <w:cols w:space="720" w:num="1"/>
        </w:sectPr>
      </w:pPr>
    </w:p>
    <w:p>
      <w:pPr>
        <w:shd w:val="clear"/>
        <w:bidi w:val="0"/>
        <w:rPr>
          <w:rFonts w:hint="eastAsia"/>
          <w:color w:val="000000" w:themeColor="text1"/>
          <w:highlight w:val="none"/>
          <w14:textFill>
            <w14:solidFill>
              <w14:schemeClr w14:val="tx1"/>
            </w14:solidFill>
          </w14:textFill>
        </w:rPr>
      </w:pPr>
    </w:p>
    <w:tbl>
      <w:tblPr>
        <w:tblStyle w:val="97"/>
        <w:tblW w:w="155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2"/>
        <w:gridCol w:w="2686"/>
        <w:gridCol w:w="602"/>
        <w:gridCol w:w="1282"/>
        <w:gridCol w:w="1591"/>
        <w:gridCol w:w="69"/>
        <w:gridCol w:w="256"/>
        <w:gridCol w:w="1019"/>
        <w:gridCol w:w="460"/>
        <w:gridCol w:w="146"/>
        <w:gridCol w:w="954"/>
        <w:gridCol w:w="598"/>
        <w:gridCol w:w="73"/>
        <w:gridCol w:w="746"/>
        <w:gridCol w:w="1559"/>
        <w:gridCol w:w="19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562"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检查项目</w:t>
            </w:r>
          </w:p>
        </w:tc>
        <w:tc>
          <w:tcPr>
            <w:tcW w:w="268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检查要点</w:t>
            </w:r>
          </w:p>
        </w:tc>
        <w:tc>
          <w:tcPr>
            <w:tcW w:w="602"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c>
          <w:tcPr>
            <w:tcW w:w="8753" w:type="dxa"/>
            <w:gridSpan w:val="1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检查情况</w:t>
            </w:r>
          </w:p>
        </w:tc>
        <w:tc>
          <w:tcPr>
            <w:tcW w:w="193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562"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流量检查</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 分)</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注：其中一项不</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合格扣 2 分，扣</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分上限为该项</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总分。</w:t>
            </w:r>
          </w:p>
        </w:tc>
        <w:tc>
          <w:tcPr>
            <w:tcW w:w="2686"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动态校准仪</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MFC 流量检查   (相对误差≤±2％)</w:t>
            </w:r>
          </w:p>
        </w:tc>
        <w:tc>
          <w:tcPr>
            <w:tcW w:w="602" w:type="dxa"/>
            <w:vMerge w:val="restart"/>
            <w:tcBorders>
              <w:bottom w:val="nil"/>
            </w:tcBorders>
          </w:tcPr>
          <w:p>
            <w:pPr>
              <w:shd w:val="clear"/>
              <w:bidi w:val="0"/>
              <w:rPr>
                <w:rFonts w:hint="eastAsia"/>
                <w:color w:val="000000" w:themeColor="text1"/>
                <w:highlight w:val="none"/>
                <w14:textFill>
                  <w14:solidFill>
                    <w14:schemeClr w14:val="tx1"/>
                  </w14:solidFill>
                </w14:textFill>
              </w:rPr>
            </w:pPr>
          </w:p>
        </w:tc>
        <w:tc>
          <w:tcPr>
            <w:tcW w:w="1282"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1660"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仪器输出</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标况流量</w:t>
            </w:r>
          </w:p>
        </w:tc>
        <w:tc>
          <w:tcPr>
            <w:tcW w:w="1735"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流量计测量</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标况流量</w:t>
            </w:r>
          </w:p>
        </w:tc>
        <w:tc>
          <w:tcPr>
            <w:tcW w:w="1698"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误差</w:t>
            </w:r>
          </w:p>
        </w:tc>
        <w:tc>
          <w:tcPr>
            <w:tcW w:w="2378"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是否合格</w:t>
            </w:r>
          </w:p>
        </w:tc>
        <w:tc>
          <w:tcPr>
            <w:tcW w:w="1939" w:type="dxa"/>
            <w:vMerge w:val="restart"/>
            <w:tcBorders>
              <w:bottom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56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686"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60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282"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大流量</w:t>
            </w:r>
          </w:p>
        </w:tc>
        <w:tc>
          <w:tcPr>
            <w:tcW w:w="1660"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SLPM</w:t>
            </w:r>
          </w:p>
        </w:tc>
        <w:tc>
          <w:tcPr>
            <w:tcW w:w="1735"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SLPM</w:t>
            </w:r>
          </w:p>
        </w:tc>
        <w:tc>
          <w:tcPr>
            <w:tcW w:w="1698"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378"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 否□</w:t>
            </w:r>
          </w:p>
        </w:tc>
        <w:tc>
          <w:tcPr>
            <w:tcW w:w="1939"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6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686"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60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282"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小流量</w:t>
            </w:r>
          </w:p>
        </w:tc>
        <w:tc>
          <w:tcPr>
            <w:tcW w:w="1660"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sccm</w:t>
            </w:r>
          </w:p>
        </w:tc>
        <w:tc>
          <w:tcPr>
            <w:tcW w:w="1735"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sccm</w:t>
            </w:r>
          </w:p>
        </w:tc>
        <w:tc>
          <w:tcPr>
            <w:tcW w:w="1698"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378"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 否□</w:t>
            </w:r>
          </w:p>
        </w:tc>
        <w:tc>
          <w:tcPr>
            <w:tcW w:w="1939"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56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686"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颗粒物流量检查 (相对误差≤±5%)</w:t>
            </w:r>
          </w:p>
        </w:tc>
        <w:tc>
          <w:tcPr>
            <w:tcW w:w="60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282"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分析仪</w:t>
            </w:r>
          </w:p>
        </w:tc>
        <w:tc>
          <w:tcPr>
            <w:tcW w:w="1591"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流量允许范围</w:t>
            </w:r>
          </w:p>
        </w:tc>
        <w:tc>
          <w:tcPr>
            <w:tcW w:w="1344"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仪器显示 工况流量</w:t>
            </w:r>
          </w:p>
        </w:tc>
        <w:tc>
          <w:tcPr>
            <w:tcW w:w="1560"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流量计测量 工况流量</w:t>
            </w:r>
          </w:p>
        </w:tc>
        <w:tc>
          <w:tcPr>
            <w:tcW w:w="1417"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误差</w:t>
            </w:r>
          </w:p>
        </w:tc>
        <w:tc>
          <w:tcPr>
            <w:tcW w:w="155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是否合格</w:t>
            </w:r>
          </w:p>
        </w:tc>
        <w:tc>
          <w:tcPr>
            <w:tcW w:w="1939" w:type="dxa"/>
            <w:vMerge w:val="restart"/>
            <w:tcBorders>
              <w:bottom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56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686"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60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282"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PM10</w:t>
            </w:r>
          </w:p>
        </w:tc>
        <w:tc>
          <w:tcPr>
            <w:tcW w:w="1591"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16.7±5％LPM</w:t>
            </w:r>
          </w:p>
        </w:tc>
        <w:tc>
          <w:tcPr>
            <w:tcW w:w="1344"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LPM</w:t>
            </w:r>
          </w:p>
        </w:tc>
        <w:tc>
          <w:tcPr>
            <w:tcW w:w="1560"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LPM</w:t>
            </w:r>
          </w:p>
        </w:tc>
        <w:tc>
          <w:tcPr>
            <w:tcW w:w="1417"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55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 否□</w:t>
            </w:r>
          </w:p>
        </w:tc>
        <w:tc>
          <w:tcPr>
            <w:tcW w:w="1939"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56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686"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60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282"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PM2.5</w:t>
            </w:r>
          </w:p>
        </w:tc>
        <w:tc>
          <w:tcPr>
            <w:tcW w:w="1591"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16.7±5％LPM</w:t>
            </w:r>
          </w:p>
        </w:tc>
        <w:tc>
          <w:tcPr>
            <w:tcW w:w="1344"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LPM</w:t>
            </w:r>
          </w:p>
        </w:tc>
        <w:tc>
          <w:tcPr>
            <w:tcW w:w="1560"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LPM</w:t>
            </w:r>
          </w:p>
        </w:tc>
        <w:tc>
          <w:tcPr>
            <w:tcW w:w="1417"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55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 否□</w:t>
            </w:r>
          </w:p>
        </w:tc>
        <w:tc>
          <w:tcPr>
            <w:tcW w:w="1939"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56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686"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气态污染物分析仪</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采样流量检查</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(相对误差≤±10％)</w:t>
            </w:r>
          </w:p>
        </w:tc>
        <w:tc>
          <w:tcPr>
            <w:tcW w:w="60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282"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分析仪</w:t>
            </w:r>
          </w:p>
        </w:tc>
        <w:tc>
          <w:tcPr>
            <w:tcW w:w="1591"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流量允许范围</w:t>
            </w:r>
          </w:p>
        </w:tc>
        <w:tc>
          <w:tcPr>
            <w:tcW w:w="1344"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仪器显示 工况流量</w:t>
            </w:r>
          </w:p>
        </w:tc>
        <w:tc>
          <w:tcPr>
            <w:tcW w:w="1560"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流量计测量 工况流量</w:t>
            </w:r>
          </w:p>
        </w:tc>
        <w:tc>
          <w:tcPr>
            <w:tcW w:w="1417"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误差</w:t>
            </w:r>
          </w:p>
        </w:tc>
        <w:tc>
          <w:tcPr>
            <w:tcW w:w="155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是否合格</w:t>
            </w:r>
          </w:p>
        </w:tc>
        <w:tc>
          <w:tcPr>
            <w:tcW w:w="1939" w:type="dxa"/>
            <w:vMerge w:val="restart"/>
            <w:tcBorders>
              <w:bottom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56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686"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60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282"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SO2</w:t>
            </w:r>
          </w:p>
        </w:tc>
        <w:tc>
          <w:tcPr>
            <w:tcW w:w="1591"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0.35~0.75LPM</w:t>
            </w:r>
          </w:p>
        </w:tc>
        <w:tc>
          <w:tcPr>
            <w:tcW w:w="1344"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LPM</w:t>
            </w:r>
          </w:p>
        </w:tc>
        <w:tc>
          <w:tcPr>
            <w:tcW w:w="1560"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LPM</w:t>
            </w:r>
          </w:p>
        </w:tc>
        <w:tc>
          <w:tcPr>
            <w:tcW w:w="1417"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55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 否□</w:t>
            </w:r>
          </w:p>
        </w:tc>
        <w:tc>
          <w:tcPr>
            <w:tcW w:w="1939"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6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686"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60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282"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NOx</w:t>
            </w:r>
          </w:p>
        </w:tc>
        <w:tc>
          <w:tcPr>
            <w:tcW w:w="1591"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0.35~0.9LPM</w:t>
            </w:r>
          </w:p>
        </w:tc>
        <w:tc>
          <w:tcPr>
            <w:tcW w:w="1344"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LPM</w:t>
            </w:r>
          </w:p>
        </w:tc>
        <w:tc>
          <w:tcPr>
            <w:tcW w:w="1560"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LPM</w:t>
            </w:r>
          </w:p>
        </w:tc>
        <w:tc>
          <w:tcPr>
            <w:tcW w:w="1417"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55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 否□</w:t>
            </w:r>
          </w:p>
        </w:tc>
        <w:tc>
          <w:tcPr>
            <w:tcW w:w="1939"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56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686"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60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282"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CO</w:t>
            </w:r>
          </w:p>
        </w:tc>
        <w:tc>
          <w:tcPr>
            <w:tcW w:w="1591"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0.4~1.4LPM</w:t>
            </w:r>
          </w:p>
        </w:tc>
        <w:tc>
          <w:tcPr>
            <w:tcW w:w="1344"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LPM</w:t>
            </w:r>
          </w:p>
        </w:tc>
        <w:tc>
          <w:tcPr>
            <w:tcW w:w="1560"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LPM</w:t>
            </w:r>
          </w:p>
        </w:tc>
        <w:tc>
          <w:tcPr>
            <w:tcW w:w="1417"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55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 否□</w:t>
            </w:r>
          </w:p>
        </w:tc>
        <w:tc>
          <w:tcPr>
            <w:tcW w:w="1939"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6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686"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60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282"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rightMargin">
                        <wp:posOffset>-466090</wp:posOffset>
                      </wp:positionH>
                      <wp:positionV relativeFrom="topMargin">
                        <wp:posOffset>153670</wp:posOffset>
                      </wp:positionV>
                      <wp:extent cx="85090" cy="1473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85090" cy="147320"/>
                              </a:xfrm>
                              <a:prstGeom prst="rect">
                                <a:avLst/>
                              </a:prstGeom>
                              <a:noFill/>
                              <a:ln>
                                <a:noFill/>
                              </a:ln>
                            </wps:spPr>
                            <wps:txbx>
                              <w:txbxContent>
                                <w:p>
                                  <w:pPr>
                                    <w:spacing w:before="20" w:line="186" w:lineRule="auto"/>
                                    <w:ind w:left="20"/>
                                    <w:rPr>
                                      <w:rFonts w:ascii="仿宋" w:hAnsi="仿宋" w:eastAsia="仿宋" w:cs="仿宋"/>
                                      <w:sz w:val="19"/>
                                      <w:szCs w:val="19"/>
                                    </w:rPr>
                                  </w:pPr>
                                  <w:r>
                                    <w:rPr>
                                      <w:rFonts w:ascii="仿宋" w:hAnsi="仿宋" w:eastAsia="仿宋" w:cs="仿宋"/>
                                      <w:sz w:val="19"/>
                                      <w:szCs w:val="19"/>
                                    </w:rPr>
                                    <w:t>O</w:t>
                                  </w:r>
                                </w:p>
                              </w:txbxContent>
                            </wps:txbx>
                            <wps:bodyPr lIns="0" tIns="0" rIns="0" bIns="0" upright="1"/>
                          </wps:wsp>
                        </a:graphicData>
                      </a:graphic>
                    </wp:anchor>
                  </w:drawing>
                </mc:Choice>
                <mc:Fallback>
                  <w:pict>
                    <v:shape id="_x0000_s1026" o:spid="_x0000_s1026" o:spt="202" type="#_x0000_t202" style="position:absolute;left:0pt;margin-left:27.3pt;margin-top:12.35pt;height:11.6pt;width:6.7pt;mso-position-horizontal-relative:page;mso-position-vertical-relative:page;z-index:251661312;mso-width-relative:page;mso-height-relative:page;" filled="f" stroked="f" coordsize="21600,21600" o:gfxdata="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YFnPnZAAAACQEAAA8AAAAAAAAAAQAgAAAAIgAAAGRycy9kb3ducmV2LnhtbFBLAQIU&#10;ABQAAAAIAIdO4kDedeh2uQEAAHADAAAOAAAAAAAAAAEAIAAAACgBAABkcnMvZTJvRG9jLnhtbFBL&#10;BQYAAAAABgAGAFkBAABTBQAAAAA=&#10;">
                      <v:fill on="f" focussize="0,0"/>
                      <v:stroke on="f"/>
                      <v:imagedata o:title=""/>
                      <o:lock v:ext="edit" aspectratio="f"/>
                      <v:textbox inset="0mm,0mm,0mm,0mm">
                        <w:txbxContent>
                          <w:p>
                            <w:pPr>
                              <w:spacing w:before="20" w:line="186" w:lineRule="auto"/>
                              <w:ind w:left="20"/>
                              <w:rPr>
                                <w:rFonts w:ascii="仿宋" w:hAnsi="仿宋" w:eastAsia="仿宋" w:cs="仿宋"/>
                                <w:sz w:val="19"/>
                                <w:szCs w:val="19"/>
                              </w:rPr>
                            </w:pPr>
                            <w:r>
                              <w:rPr>
                                <w:rFonts w:ascii="仿宋" w:hAnsi="仿宋" w:eastAsia="仿宋" w:cs="仿宋"/>
                                <w:sz w:val="19"/>
                                <w:szCs w:val="19"/>
                              </w:rPr>
                              <w:t>O</w:t>
                            </w:r>
                          </w:p>
                        </w:txbxContent>
                      </v:textbox>
                    </v:shape>
                  </w:pict>
                </mc:Fallback>
              </mc:AlternateConten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1591"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0.75~1.5LPM</w:t>
            </w:r>
          </w:p>
        </w:tc>
        <w:tc>
          <w:tcPr>
            <w:tcW w:w="1344"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LPM</w:t>
            </w:r>
          </w:p>
        </w:tc>
        <w:tc>
          <w:tcPr>
            <w:tcW w:w="1560"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LPM</w:t>
            </w:r>
          </w:p>
        </w:tc>
        <w:tc>
          <w:tcPr>
            <w:tcW w:w="1417"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55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 否□</w:t>
            </w:r>
          </w:p>
        </w:tc>
        <w:tc>
          <w:tcPr>
            <w:tcW w:w="1939"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56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686"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特殊因子</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采样流量检查   (相对误差≤±5％)</w:t>
            </w:r>
          </w:p>
        </w:tc>
        <w:tc>
          <w:tcPr>
            <w:tcW w:w="60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282"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分析仪</w:t>
            </w:r>
          </w:p>
        </w:tc>
        <w:tc>
          <w:tcPr>
            <w:tcW w:w="1916"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仪器显示流量</w:t>
            </w:r>
          </w:p>
        </w:tc>
        <w:tc>
          <w:tcPr>
            <w:tcW w:w="1625"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流量计测量流量</w:t>
            </w:r>
          </w:p>
        </w:tc>
        <w:tc>
          <w:tcPr>
            <w:tcW w:w="1625"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误差</w:t>
            </w:r>
          </w:p>
        </w:tc>
        <w:tc>
          <w:tcPr>
            <w:tcW w:w="2305"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是否合格</w:t>
            </w:r>
          </w:p>
        </w:tc>
        <w:tc>
          <w:tcPr>
            <w:tcW w:w="1939" w:type="dxa"/>
            <w:vMerge w:val="restart"/>
            <w:tcBorders>
              <w:bottom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6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686"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602"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1282"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NMHC</w:t>
            </w:r>
          </w:p>
        </w:tc>
        <w:tc>
          <w:tcPr>
            <w:tcW w:w="1916" w:type="dxa"/>
            <w:gridSpan w:val="3"/>
          </w:tcPr>
          <w:p>
            <w:pPr>
              <w:shd w:val="clear"/>
              <w:bidi w:val="0"/>
              <w:rPr>
                <w:rFonts w:hint="eastAsia"/>
                <w:color w:val="000000" w:themeColor="text1"/>
                <w:highlight w:val="none"/>
                <w14:textFill>
                  <w14:solidFill>
                    <w14:schemeClr w14:val="tx1"/>
                  </w14:solidFill>
                </w14:textFill>
              </w:rPr>
            </w:pPr>
          </w:p>
        </w:tc>
        <w:tc>
          <w:tcPr>
            <w:tcW w:w="1625" w:type="dxa"/>
            <w:gridSpan w:val="3"/>
          </w:tcPr>
          <w:p>
            <w:pPr>
              <w:shd w:val="clear"/>
              <w:bidi w:val="0"/>
              <w:rPr>
                <w:rFonts w:hint="eastAsia"/>
                <w:color w:val="000000" w:themeColor="text1"/>
                <w:highlight w:val="none"/>
                <w14:textFill>
                  <w14:solidFill>
                    <w14:schemeClr w14:val="tx1"/>
                  </w14:solidFill>
                </w14:textFill>
              </w:rPr>
            </w:pPr>
          </w:p>
        </w:tc>
        <w:tc>
          <w:tcPr>
            <w:tcW w:w="1625"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305"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 否□</w:t>
            </w:r>
          </w:p>
        </w:tc>
        <w:tc>
          <w:tcPr>
            <w:tcW w:w="1939"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562"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2686"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602"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1282"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VOCs</w:t>
            </w:r>
          </w:p>
        </w:tc>
        <w:tc>
          <w:tcPr>
            <w:tcW w:w="1916" w:type="dxa"/>
            <w:gridSpan w:val="3"/>
          </w:tcPr>
          <w:p>
            <w:pPr>
              <w:shd w:val="clear"/>
              <w:bidi w:val="0"/>
              <w:rPr>
                <w:rFonts w:hint="eastAsia"/>
                <w:color w:val="000000" w:themeColor="text1"/>
                <w:highlight w:val="none"/>
                <w14:textFill>
                  <w14:solidFill>
                    <w14:schemeClr w14:val="tx1"/>
                  </w14:solidFill>
                </w14:textFill>
              </w:rPr>
            </w:pPr>
          </w:p>
        </w:tc>
        <w:tc>
          <w:tcPr>
            <w:tcW w:w="1625" w:type="dxa"/>
            <w:gridSpan w:val="3"/>
          </w:tcPr>
          <w:p>
            <w:pPr>
              <w:shd w:val="clear"/>
              <w:bidi w:val="0"/>
              <w:rPr>
                <w:rFonts w:hint="eastAsia"/>
                <w:color w:val="000000" w:themeColor="text1"/>
                <w:highlight w:val="none"/>
                <w14:textFill>
                  <w14:solidFill>
                    <w14:schemeClr w14:val="tx1"/>
                  </w14:solidFill>
                </w14:textFill>
              </w:rPr>
            </w:pPr>
          </w:p>
        </w:tc>
        <w:tc>
          <w:tcPr>
            <w:tcW w:w="1625"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305"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 否□</w:t>
            </w:r>
          </w:p>
        </w:tc>
        <w:tc>
          <w:tcPr>
            <w:tcW w:w="1939"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r>
    </w:tbl>
    <w:p>
      <w:pPr>
        <w:shd w:val="clear"/>
        <w:bidi w:val="0"/>
        <w:rPr>
          <w:rFonts w:hint="eastAsia"/>
          <w:color w:val="000000" w:themeColor="text1"/>
          <w:highlight w:val="none"/>
          <w14:textFill>
            <w14:solidFill>
              <w14:schemeClr w14:val="tx1"/>
            </w14:solidFill>
          </w14:textFill>
        </w:rPr>
        <w:sectPr>
          <w:footerReference r:id="rId8" w:type="default"/>
          <w:pgSz w:w="16839" w:h="11906"/>
          <w:pgMar w:top="1012" w:right="553" w:bottom="1031" w:left="737" w:header="0" w:footer="819" w:gutter="0"/>
          <w:pgNumType w:fmt="decimal"/>
          <w:cols w:space="720" w:num="1"/>
        </w:sectPr>
      </w:pPr>
    </w:p>
    <w:tbl>
      <w:tblPr>
        <w:tblStyle w:val="97"/>
        <w:tblW w:w="155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7"/>
        <w:gridCol w:w="840"/>
        <w:gridCol w:w="593"/>
        <w:gridCol w:w="2258"/>
        <w:gridCol w:w="276"/>
        <w:gridCol w:w="1006"/>
        <w:gridCol w:w="1409"/>
        <w:gridCol w:w="1006"/>
        <w:gridCol w:w="628"/>
        <w:gridCol w:w="2205"/>
        <w:gridCol w:w="226"/>
        <w:gridCol w:w="870"/>
        <w:gridCol w:w="179"/>
        <w:gridCol w:w="1442"/>
        <w:gridCol w:w="10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587"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mc:AlternateContent>
                <mc:Choice Requires="wps">
                  <w:drawing>
                    <wp:anchor distT="0" distB="0" distL="114300" distR="114300" simplePos="0" relativeHeight="251662336" behindDoc="0" locked="0" layoutInCell="0" allowOverlap="1">
                      <wp:simplePos x="0" y="0"/>
                      <wp:positionH relativeFrom="page">
                        <wp:posOffset>2012315</wp:posOffset>
                      </wp:positionH>
                      <wp:positionV relativeFrom="page">
                        <wp:posOffset>5109845</wp:posOffset>
                      </wp:positionV>
                      <wp:extent cx="8315325" cy="6350"/>
                      <wp:effectExtent l="0" t="0" r="0" b="0"/>
                      <wp:wrapNone/>
                      <wp:docPr id="7" name="矩形 7"/>
                      <wp:cNvGraphicFramePr/>
                      <a:graphic xmlns:a="http://schemas.openxmlformats.org/drawingml/2006/main">
                        <a:graphicData uri="http://schemas.microsoft.com/office/word/2010/wordprocessingShape">
                          <wps:wsp>
                            <wps:cNvSpPr/>
                            <wps:spPr>
                              <a:xfrm>
                                <a:off x="0" y="0"/>
                                <a:ext cx="831532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58.45pt;margin-top:402.35pt;height:0.5pt;width:654.75pt;mso-position-horizontal-relative:page;mso-position-vertical-relative:page;z-index:251662336;mso-width-relative:page;mso-height-relative:page;" fillcolor="#000000" filled="t" stroked="f" coordsize="21600,21600" o:allowincell="f" o:gfxdata="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RXYKXbAAAADAEAAA8AAAAAAAAAAQAgAAAAIgAAAGRycy9kb3ducmV2LnhtbFBLAQIUABQAAAAI&#10;AIdO4kBRasMtsQEAAF0DAAAOAAAAAAAAAAEAIAAAACoBAABkcnMvZTJvRG9jLnhtbFBLBQYAAAAA&#10;BgAGAFkBAABNBQAAAAA=&#10;">
                      <v:fill on="t" focussize="0,0"/>
                      <v:stroke on="f"/>
                      <v:imagedata o:title=""/>
                      <o:lock v:ext="edit" aspectratio="f"/>
                    </v:rect>
                  </w:pict>
                </mc:Fallback>
              </mc:AlternateContent>
            </w:r>
            <w:r>
              <w:rPr>
                <w:rFonts w:hint="eastAsia"/>
                <w:color w:val="000000" w:themeColor="text1"/>
                <w:highlight w:val="none"/>
                <w14:textFill>
                  <w14:solidFill>
                    <w14:schemeClr w14:val="tx1"/>
                  </w14:solidFill>
                </w14:textFill>
              </w:rPr>
              <w:t>检查项目</w:t>
            </w:r>
          </w:p>
        </w:tc>
        <w:tc>
          <w:tcPr>
            <w:tcW w:w="840"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c>
          <w:tcPr>
            <w:tcW w:w="593"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因子</w:t>
            </w:r>
          </w:p>
        </w:tc>
        <w:tc>
          <w:tcPr>
            <w:tcW w:w="2534"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检查参数</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仪器值</w:t>
            </w:r>
          </w:p>
        </w:tc>
        <w:tc>
          <w:tcPr>
            <w:tcW w:w="140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参考限值</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是否合格</w:t>
            </w:r>
          </w:p>
        </w:tc>
        <w:tc>
          <w:tcPr>
            <w:tcW w:w="628"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因子</w:t>
            </w:r>
          </w:p>
        </w:tc>
        <w:tc>
          <w:tcPr>
            <w:tcW w:w="243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检查参数</w:t>
            </w:r>
          </w:p>
        </w:tc>
        <w:tc>
          <w:tcPr>
            <w:tcW w:w="870"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仪器值</w:t>
            </w:r>
          </w:p>
        </w:tc>
        <w:tc>
          <w:tcPr>
            <w:tcW w:w="162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参考限值</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587"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仪器参数检查</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 分)</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注：其中一项不</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合格扣 2 分，扣</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分上限为该项</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总分。</w:t>
            </w:r>
          </w:p>
        </w:tc>
        <w:tc>
          <w:tcPr>
            <w:tcW w:w="840" w:type="dxa"/>
            <w:vMerge w:val="restart"/>
            <w:tcBorders>
              <w:bottom w:val="nil"/>
            </w:tcBorders>
          </w:tcPr>
          <w:p>
            <w:pPr>
              <w:shd w:val="clear"/>
              <w:bidi w:val="0"/>
              <w:rPr>
                <w:rFonts w:hint="eastAsia"/>
                <w:color w:val="000000" w:themeColor="text1"/>
                <w:highlight w:val="none"/>
                <w14:textFill>
                  <w14:solidFill>
                    <w14:schemeClr w14:val="tx1"/>
                  </w14:solidFill>
                </w14:textFill>
              </w:rPr>
            </w:pPr>
          </w:p>
        </w:tc>
        <w:tc>
          <w:tcPr>
            <w:tcW w:w="593"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SO2</w:t>
            </w:r>
          </w:p>
        </w:tc>
        <w:tc>
          <w:tcPr>
            <w:tcW w:w="2534"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内部温度/INTERNAL TEMP</w:t>
            </w:r>
          </w:p>
        </w:tc>
        <w:tc>
          <w:tcPr>
            <w:tcW w:w="1006" w:type="dxa"/>
          </w:tcPr>
          <w:p>
            <w:pPr>
              <w:shd w:val="clear"/>
              <w:bidi w:val="0"/>
              <w:rPr>
                <w:rFonts w:hint="eastAsia"/>
                <w:color w:val="000000" w:themeColor="text1"/>
                <w:highlight w:val="none"/>
                <w14:textFill>
                  <w14:solidFill>
                    <w14:schemeClr w14:val="tx1"/>
                  </w14:solidFill>
                </w14:textFill>
              </w:rPr>
            </w:pPr>
          </w:p>
        </w:tc>
        <w:tc>
          <w:tcPr>
            <w:tcW w:w="140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8~47℃</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c>
          <w:tcPr>
            <w:tcW w:w="628" w:type="dxa"/>
            <w:vMerge w:val="restart"/>
            <w:tcBorders>
              <w:bottom w:val="nil"/>
            </w:tcBorders>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rightMargin">
                        <wp:posOffset>-257810</wp:posOffset>
                      </wp:positionH>
                      <wp:positionV relativeFrom="topMargin">
                        <wp:posOffset>795020</wp:posOffset>
                      </wp:positionV>
                      <wp:extent cx="85090" cy="1473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5090" cy="147320"/>
                              </a:xfrm>
                              <a:prstGeom prst="rect">
                                <a:avLst/>
                              </a:prstGeom>
                              <a:noFill/>
                              <a:ln>
                                <a:noFill/>
                              </a:ln>
                            </wps:spPr>
                            <wps:txbx>
                              <w:txbxContent>
                                <w:p>
                                  <w:pPr>
                                    <w:spacing w:before="20" w:line="186" w:lineRule="auto"/>
                                    <w:ind w:left="20"/>
                                    <w:rPr>
                                      <w:rFonts w:ascii="仿宋" w:hAnsi="仿宋" w:eastAsia="仿宋" w:cs="仿宋"/>
                                      <w:sz w:val="19"/>
                                      <w:szCs w:val="19"/>
                                    </w:rPr>
                                  </w:pPr>
                                  <w:r>
                                    <w:rPr>
                                      <w:rFonts w:ascii="仿宋" w:hAnsi="仿宋" w:eastAsia="仿宋" w:cs="仿宋"/>
                                      <w:sz w:val="19"/>
                                      <w:szCs w:val="19"/>
                                    </w:rPr>
                                    <w:t>O</w:t>
                                  </w:r>
                                </w:p>
                              </w:txbxContent>
                            </wps:txbx>
                            <wps:bodyPr lIns="0" tIns="0" rIns="0" bIns="0" upright="1"/>
                          </wps:wsp>
                        </a:graphicData>
                      </a:graphic>
                    </wp:anchor>
                  </w:drawing>
                </mc:Choice>
                <mc:Fallback>
                  <w:pict>
                    <v:shape id="_x0000_s1026" o:spid="_x0000_s1026" o:spt="202" type="#_x0000_t202" style="position:absolute;left:0pt;margin-left:11pt;margin-top:62.85pt;height:11.6pt;width:6.7pt;mso-position-horizontal-relative:page;mso-position-vertical-relative:page;z-index:251663360;mso-width-relative:page;mso-height-relative:page;" filled="f" stroked="f" coordsize="21600,21600" o:gfxdata="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lSutNoAAAALAQAADwAAAAAAAAABACAAAAAiAAAAZHJzL2Rvd25yZXYueG1sUEsB&#10;AhQAFAAAAAgAh07iQIZghci6AQAAcAMAAA4AAAAAAAAAAQAgAAAAKQEAAGRycy9lMm9Eb2MueG1s&#10;UEsFBgAAAAAGAAYAWQEAAFUFAAAAAA==&#10;">
                      <v:fill on="f" focussize="0,0"/>
                      <v:stroke on="f"/>
                      <v:imagedata o:title=""/>
                      <o:lock v:ext="edit" aspectratio="f"/>
                      <v:textbox inset="0mm,0mm,0mm,0mm">
                        <w:txbxContent>
                          <w:p>
                            <w:pPr>
                              <w:spacing w:before="20" w:line="186" w:lineRule="auto"/>
                              <w:ind w:left="20"/>
                              <w:rPr>
                                <w:rFonts w:ascii="仿宋" w:hAnsi="仿宋" w:eastAsia="仿宋" w:cs="仿宋"/>
                                <w:sz w:val="19"/>
                                <w:szCs w:val="19"/>
                              </w:rPr>
                            </w:pPr>
                            <w:r>
                              <w:rPr>
                                <w:rFonts w:ascii="仿宋" w:hAnsi="仿宋" w:eastAsia="仿宋" w:cs="仿宋"/>
                                <w:sz w:val="19"/>
                                <w:szCs w:val="19"/>
                              </w:rPr>
                              <w:t>O</w:t>
                            </w:r>
                          </w:p>
                        </w:txbxContent>
                      </v:textbox>
                    </v:shape>
                  </w:pict>
                </mc:Fallback>
              </mc:AlternateContent>
            </w: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243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紫外灯温度/LAMP TEMP</w:t>
            </w:r>
          </w:p>
        </w:tc>
        <w:tc>
          <w:tcPr>
            <w:tcW w:w="870" w:type="dxa"/>
          </w:tcPr>
          <w:p>
            <w:pPr>
              <w:shd w:val="clear"/>
              <w:bidi w:val="0"/>
              <w:rPr>
                <w:rFonts w:hint="eastAsia"/>
                <w:color w:val="000000" w:themeColor="text1"/>
                <w:highlight w:val="none"/>
                <w14:textFill>
                  <w14:solidFill>
                    <w14:schemeClr w14:val="tx1"/>
                  </w14:solidFill>
                </w14:textFill>
              </w:rPr>
            </w:pPr>
          </w:p>
        </w:tc>
        <w:tc>
          <w:tcPr>
            <w:tcW w:w="162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50~60℃</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587"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840"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593"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534"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反应室温度/CHAMBER TEMP</w:t>
            </w:r>
          </w:p>
        </w:tc>
        <w:tc>
          <w:tcPr>
            <w:tcW w:w="1006" w:type="dxa"/>
          </w:tcPr>
          <w:p>
            <w:pPr>
              <w:shd w:val="clear"/>
              <w:bidi w:val="0"/>
              <w:rPr>
                <w:rFonts w:hint="eastAsia"/>
                <w:color w:val="000000" w:themeColor="text1"/>
                <w:highlight w:val="none"/>
                <w14:textFill>
                  <w14:solidFill>
                    <w14:schemeClr w14:val="tx1"/>
                  </w14:solidFill>
                </w14:textFill>
              </w:rPr>
            </w:pPr>
          </w:p>
        </w:tc>
        <w:tc>
          <w:tcPr>
            <w:tcW w:w="140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43~47℃</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c>
          <w:tcPr>
            <w:tcW w:w="628"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43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反应室基座温度/BENCH TEMP</w:t>
            </w:r>
          </w:p>
        </w:tc>
        <w:tc>
          <w:tcPr>
            <w:tcW w:w="870" w:type="dxa"/>
          </w:tcPr>
          <w:p>
            <w:pPr>
              <w:shd w:val="clear"/>
              <w:bidi w:val="0"/>
              <w:rPr>
                <w:rFonts w:hint="eastAsia"/>
                <w:color w:val="000000" w:themeColor="text1"/>
                <w:highlight w:val="none"/>
                <w14:textFill>
                  <w14:solidFill>
                    <w14:schemeClr w14:val="tx1"/>
                  </w14:solidFill>
                </w14:textFill>
              </w:rPr>
            </w:pPr>
          </w:p>
        </w:tc>
        <w:tc>
          <w:tcPr>
            <w:tcW w:w="162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15~50℃</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587"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840"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593"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534"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反应室压力/PRESSURE</w:t>
            </w:r>
          </w:p>
        </w:tc>
        <w:tc>
          <w:tcPr>
            <w:tcW w:w="1006" w:type="dxa"/>
          </w:tcPr>
          <w:p>
            <w:pPr>
              <w:shd w:val="clear"/>
              <w:bidi w:val="0"/>
              <w:rPr>
                <w:rFonts w:hint="eastAsia"/>
                <w:color w:val="000000" w:themeColor="text1"/>
                <w:highlight w:val="none"/>
                <w14:textFill>
                  <w14:solidFill>
                    <w14:schemeClr w14:val="tx1"/>
                  </w14:solidFill>
                </w14:textFill>
              </w:rPr>
            </w:pPr>
          </w:p>
        </w:tc>
        <w:tc>
          <w:tcPr>
            <w:tcW w:w="140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400~1000mmHg</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c>
          <w:tcPr>
            <w:tcW w:w="628"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43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反应室压力/PRESSURE</w:t>
            </w:r>
          </w:p>
        </w:tc>
        <w:tc>
          <w:tcPr>
            <w:tcW w:w="870" w:type="dxa"/>
          </w:tcPr>
          <w:p>
            <w:pPr>
              <w:shd w:val="clear"/>
              <w:bidi w:val="0"/>
              <w:rPr>
                <w:rFonts w:hint="eastAsia"/>
                <w:color w:val="000000" w:themeColor="text1"/>
                <w:highlight w:val="none"/>
                <w14:textFill>
                  <w14:solidFill>
                    <w14:schemeClr w14:val="tx1"/>
                  </w14:solidFill>
                </w14:textFill>
              </w:rPr>
            </w:pPr>
          </w:p>
        </w:tc>
        <w:tc>
          <w:tcPr>
            <w:tcW w:w="162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200~1000mmhg</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587"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840"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593"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534"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紫外灯光强/LAMP INTENSITY</w:t>
            </w:r>
          </w:p>
        </w:tc>
        <w:tc>
          <w:tcPr>
            <w:tcW w:w="1006" w:type="dxa"/>
          </w:tcPr>
          <w:p>
            <w:pPr>
              <w:shd w:val="clear"/>
              <w:bidi w:val="0"/>
              <w:rPr>
                <w:rFonts w:hint="eastAsia"/>
                <w:color w:val="000000" w:themeColor="text1"/>
                <w:highlight w:val="none"/>
                <w14:textFill>
                  <w14:solidFill>
                    <w14:schemeClr w14:val="tx1"/>
                  </w14:solidFill>
                </w14:textFill>
              </w:rPr>
            </w:pPr>
          </w:p>
        </w:tc>
        <w:tc>
          <w:tcPr>
            <w:tcW w:w="140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40~100%</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c>
          <w:tcPr>
            <w:tcW w:w="628"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43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测量信号/INTENSITY A</w:t>
            </w:r>
          </w:p>
        </w:tc>
        <w:tc>
          <w:tcPr>
            <w:tcW w:w="870" w:type="dxa"/>
          </w:tcPr>
          <w:p>
            <w:pPr>
              <w:shd w:val="clear"/>
              <w:bidi w:val="0"/>
              <w:rPr>
                <w:rFonts w:hint="eastAsia"/>
                <w:color w:val="000000" w:themeColor="text1"/>
                <w:highlight w:val="none"/>
                <w14:textFill>
                  <w14:solidFill>
                    <w14:schemeClr w14:val="tx1"/>
                  </w14:solidFill>
                </w14:textFill>
              </w:rPr>
            </w:pPr>
          </w:p>
        </w:tc>
        <w:tc>
          <w:tcPr>
            <w:tcW w:w="162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45000~150000Hz</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587"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840"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593"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534"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紫外灯电压/LAMP VOLTAGE</w:t>
            </w:r>
          </w:p>
        </w:tc>
        <w:tc>
          <w:tcPr>
            <w:tcW w:w="1006" w:type="dxa"/>
          </w:tcPr>
          <w:p>
            <w:pPr>
              <w:shd w:val="clear"/>
              <w:bidi w:val="0"/>
              <w:rPr>
                <w:rFonts w:hint="eastAsia"/>
                <w:color w:val="000000" w:themeColor="text1"/>
                <w:highlight w:val="none"/>
                <w14:textFill>
                  <w14:solidFill>
                    <w14:schemeClr w14:val="tx1"/>
                  </w14:solidFill>
                </w14:textFill>
              </w:rPr>
            </w:pPr>
          </w:p>
        </w:tc>
        <w:tc>
          <w:tcPr>
            <w:tcW w:w="140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750~1200V</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c>
          <w:tcPr>
            <w:tcW w:w="628"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43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参比信号/INTENSITY B</w:t>
            </w:r>
          </w:p>
        </w:tc>
        <w:tc>
          <w:tcPr>
            <w:tcW w:w="870" w:type="dxa"/>
          </w:tcPr>
          <w:p>
            <w:pPr>
              <w:shd w:val="clear"/>
              <w:bidi w:val="0"/>
              <w:rPr>
                <w:rFonts w:hint="eastAsia"/>
                <w:color w:val="000000" w:themeColor="text1"/>
                <w:highlight w:val="none"/>
                <w14:textFill>
                  <w14:solidFill>
                    <w14:schemeClr w14:val="tx1"/>
                  </w14:solidFill>
                </w14:textFill>
              </w:rPr>
            </w:pPr>
          </w:p>
        </w:tc>
        <w:tc>
          <w:tcPr>
            <w:tcW w:w="162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45000~150000Hz</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587"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840"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593"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2534"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斜率/COEF</w:t>
            </w:r>
          </w:p>
        </w:tc>
        <w:tc>
          <w:tcPr>
            <w:tcW w:w="1006" w:type="dxa"/>
          </w:tcPr>
          <w:p>
            <w:pPr>
              <w:shd w:val="clear"/>
              <w:bidi w:val="0"/>
              <w:rPr>
                <w:rFonts w:hint="eastAsia"/>
                <w:color w:val="000000" w:themeColor="text1"/>
                <w:highlight w:val="none"/>
                <w14:textFill>
                  <w14:solidFill>
                    <w14:schemeClr w14:val="tx1"/>
                  </w14:solidFill>
                </w14:textFill>
              </w:rPr>
            </w:pPr>
          </w:p>
        </w:tc>
        <w:tc>
          <w:tcPr>
            <w:tcW w:w="140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1.0±0.3</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c>
          <w:tcPr>
            <w:tcW w:w="628"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243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斜率/COEF</w:t>
            </w:r>
          </w:p>
        </w:tc>
        <w:tc>
          <w:tcPr>
            <w:tcW w:w="870" w:type="dxa"/>
          </w:tcPr>
          <w:p>
            <w:pPr>
              <w:shd w:val="clear"/>
              <w:bidi w:val="0"/>
              <w:rPr>
                <w:rFonts w:hint="eastAsia"/>
                <w:color w:val="000000" w:themeColor="text1"/>
                <w:highlight w:val="none"/>
                <w14:textFill>
                  <w14:solidFill>
                    <w14:schemeClr w14:val="tx1"/>
                  </w14:solidFill>
                </w14:textFill>
              </w:rPr>
            </w:pPr>
          </w:p>
        </w:tc>
        <w:tc>
          <w:tcPr>
            <w:tcW w:w="162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1.0±0.3</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587"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840"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593"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NOx</w:t>
            </w:r>
          </w:p>
        </w:tc>
        <w:tc>
          <w:tcPr>
            <w:tcW w:w="2534"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内部温度/INTERNAL TEMP</w:t>
            </w:r>
          </w:p>
        </w:tc>
        <w:tc>
          <w:tcPr>
            <w:tcW w:w="1006" w:type="dxa"/>
          </w:tcPr>
          <w:p>
            <w:pPr>
              <w:shd w:val="clear"/>
              <w:bidi w:val="0"/>
              <w:rPr>
                <w:rFonts w:hint="eastAsia"/>
                <w:color w:val="000000" w:themeColor="text1"/>
                <w:highlight w:val="none"/>
                <w14:textFill>
                  <w14:solidFill>
                    <w14:schemeClr w14:val="tx1"/>
                  </w14:solidFill>
                </w14:textFill>
              </w:rPr>
            </w:pPr>
          </w:p>
        </w:tc>
        <w:tc>
          <w:tcPr>
            <w:tcW w:w="140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8~47℃</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c>
          <w:tcPr>
            <w:tcW w:w="628"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CO</w:t>
            </w:r>
          </w:p>
        </w:tc>
        <w:tc>
          <w:tcPr>
            <w:tcW w:w="243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内部温度/TNTERNAL TEMP</w:t>
            </w:r>
          </w:p>
        </w:tc>
        <w:tc>
          <w:tcPr>
            <w:tcW w:w="870" w:type="dxa"/>
          </w:tcPr>
          <w:p>
            <w:pPr>
              <w:shd w:val="clear"/>
              <w:bidi w:val="0"/>
              <w:rPr>
                <w:rFonts w:hint="eastAsia"/>
                <w:color w:val="000000" w:themeColor="text1"/>
                <w:highlight w:val="none"/>
                <w14:textFill>
                  <w14:solidFill>
                    <w14:schemeClr w14:val="tx1"/>
                  </w14:solidFill>
                </w14:textFill>
              </w:rPr>
            </w:pPr>
          </w:p>
        </w:tc>
        <w:tc>
          <w:tcPr>
            <w:tcW w:w="162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8~47℃</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587"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840"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593"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534"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反应室温度/CHAMBER TEMP</w:t>
            </w:r>
          </w:p>
        </w:tc>
        <w:tc>
          <w:tcPr>
            <w:tcW w:w="1006" w:type="dxa"/>
          </w:tcPr>
          <w:p>
            <w:pPr>
              <w:shd w:val="clear"/>
              <w:bidi w:val="0"/>
              <w:rPr>
                <w:rFonts w:hint="eastAsia"/>
                <w:color w:val="000000" w:themeColor="text1"/>
                <w:highlight w:val="none"/>
                <w14:textFill>
                  <w14:solidFill>
                    <w14:schemeClr w14:val="tx1"/>
                  </w14:solidFill>
                </w14:textFill>
              </w:rPr>
            </w:pPr>
          </w:p>
        </w:tc>
        <w:tc>
          <w:tcPr>
            <w:tcW w:w="140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47~51℃</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c>
          <w:tcPr>
            <w:tcW w:w="628"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43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反应室基座温度/BENCH TEMP</w:t>
            </w:r>
          </w:p>
        </w:tc>
        <w:tc>
          <w:tcPr>
            <w:tcW w:w="870" w:type="dxa"/>
          </w:tcPr>
          <w:p>
            <w:pPr>
              <w:shd w:val="clear"/>
              <w:bidi w:val="0"/>
              <w:rPr>
                <w:rFonts w:hint="eastAsia"/>
                <w:color w:val="000000" w:themeColor="text1"/>
                <w:highlight w:val="none"/>
                <w14:textFill>
                  <w14:solidFill>
                    <w14:schemeClr w14:val="tx1"/>
                  </w14:solidFill>
                </w14:textFill>
              </w:rPr>
            </w:pPr>
          </w:p>
        </w:tc>
        <w:tc>
          <w:tcPr>
            <w:tcW w:w="162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40~59℃</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587"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840"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593"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534"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制冷器温度/COOLER TEMP</w:t>
            </w:r>
          </w:p>
        </w:tc>
        <w:tc>
          <w:tcPr>
            <w:tcW w:w="1006" w:type="dxa"/>
          </w:tcPr>
          <w:p>
            <w:pPr>
              <w:shd w:val="clear"/>
              <w:bidi w:val="0"/>
              <w:rPr>
                <w:rFonts w:hint="eastAsia"/>
                <w:color w:val="000000" w:themeColor="text1"/>
                <w:highlight w:val="none"/>
                <w14:textFill>
                  <w14:solidFill>
                    <w14:schemeClr w14:val="tx1"/>
                  </w14:solidFill>
                </w14:textFill>
              </w:rPr>
            </w:pPr>
          </w:p>
        </w:tc>
        <w:tc>
          <w:tcPr>
            <w:tcW w:w="140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-20~-1℃</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c>
          <w:tcPr>
            <w:tcW w:w="628"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43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反应室压力/PRESSURE</w:t>
            </w:r>
          </w:p>
        </w:tc>
        <w:tc>
          <w:tcPr>
            <w:tcW w:w="870" w:type="dxa"/>
          </w:tcPr>
          <w:p>
            <w:pPr>
              <w:shd w:val="clear"/>
              <w:bidi w:val="0"/>
              <w:rPr>
                <w:rFonts w:hint="eastAsia"/>
                <w:color w:val="000000" w:themeColor="text1"/>
                <w:highlight w:val="none"/>
                <w14:textFill>
                  <w14:solidFill>
                    <w14:schemeClr w14:val="tx1"/>
                  </w14:solidFill>
                </w14:textFill>
              </w:rPr>
            </w:pPr>
          </w:p>
        </w:tc>
        <w:tc>
          <w:tcPr>
            <w:tcW w:w="162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250~1000mmhg</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587"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840"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593"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534"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转化炉温度/CONV TEMP</w:t>
            </w:r>
          </w:p>
        </w:tc>
        <w:tc>
          <w:tcPr>
            <w:tcW w:w="1006" w:type="dxa"/>
          </w:tcPr>
          <w:p>
            <w:pPr>
              <w:shd w:val="clear"/>
              <w:bidi w:val="0"/>
              <w:rPr>
                <w:rFonts w:hint="eastAsia"/>
                <w:color w:val="000000" w:themeColor="text1"/>
                <w:highlight w:val="none"/>
                <w14:textFill>
                  <w14:solidFill>
                    <w14:schemeClr w14:val="tx1"/>
                  </w14:solidFill>
                </w14:textFill>
              </w:rPr>
            </w:pPr>
          </w:p>
        </w:tc>
        <w:tc>
          <w:tcPr>
            <w:tcW w:w="140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300~350℃</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c>
          <w:tcPr>
            <w:tcW w:w="628"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43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偏置电压/BIAS VOLTAGE</w:t>
            </w:r>
          </w:p>
        </w:tc>
        <w:tc>
          <w:tcPr>
            <w:tcW w:w="870" w:type="dxa"/>
          </w:tcPr>
          <w:p>
            <w:pPr>
              <w:shd w:val="clear"/>
              <w:bidi w:val="0"/>
              <w:rPr>
                <w:rFonts w:hint="eastAsia"/>
                <w:color w:val="000000" w:themeColor="text1"/>
                <w:highlight w:val="none"/>
                <w14:textFill>
                  <w14:solidFill>
                    <w14:schemeClr w14:val="tx1"/>
                  </w14:solidFill>
                </w14:textFill>
              </w:rPr>
            </w:pPr>
          </w:p>
        </w:tc>
        <w:tc>
          <w:tcPr>
            <w:tcW w:w="162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-130~-100V</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587"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840"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593"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534"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反应室压力/PRESSURE</w:t>
            </w:r>
          </w:p>
        </w:tc>
        <w:tc>
          <w:tcPr>
            <w:tcW w:w="1006" w:type="dxa"/>
          </w:tcPr>
          <w:p>
            <w:pPr>
              <w:shd w:val="clear"/>
              <w:bidi w:val="0"/>
              <w:rPr>
                <w:rFonts w:hint="eastAsia"/>
                <w:color w:val="000000" w:themeColor="text1"/>
                <w:highlight w:val="none"/>
                <w14:textFill>
                  <w14:solidFill>
                    <w14:schemeClr w14:val="tx1"/>
                  </w14:solidFill>
                </w14:textFill>
              </w:rPr>
            </w:pPr>
          </w:p>
        </w:tc>
        <w:tc>
          <w:tcPr>
            <w:tcW w:w="140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50~300mmHg</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c>
          <w:tcPr>
            <w:tcW w:w="628"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43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增益控制/AGC INTENSITY</w:t>
            </w:r>
          </w:p>
        </w:tc>
        <w:tc>
          <w:tcPr>
            <w:tcW w:w="870" w:type="dxa"/>
          </w:tcPr>
          <w:p>
            <w:pPr>
              <w:shd w:val="clear"/>
              <w:bidi w:val="0"/>
              <w:rPr>
                <w:rFonts w:hint="eastAsia"/>
                <w:color w:val="000000" w:themeColor="text1"/>
                <w:highlight w:val="none"/>
                <w14:textFill>
                  <w14:solidFill>
                    <w14:schemeClr w14:val="tx1"/>
                  </w14:solidFill>
                </w14:textFill>
              </w:rPr>
            </w:pPr>
          </w:p>
        </w:tc>
        <w:tc>
          <w:tcPr>
            <w:tcW w:w="162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150000~300000Hz</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587"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840"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593"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534"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NO 斜率/COEF</w:t>
            </w:r>
          </w:p>
        </w:tc>
        <w:tc>
          <w:tcPr>
            <w:tcW w:w="1006" w:type="dxa"/>
          </w:tcPr>
          <w:p>
            <w:pPr>
              <w:shd w:val="clear"/>
              <w:bidi w:val="0"/>
              <w:rPr>
                <w:rFonts w:hint="eastAsia"/>
                <w:color w:val="000000" w:themeColor="text1"/>
                <w:highlight w:val="none"/>
                <w14:textFill>
                  <w14:solidFill>
                    <w14:schemeClr w14:val="tx1"/>
                  </w14:solidFill>
                </w14:textFill>
              </w:rPr>
            </w:pPr>
          </w:p>
        </w:tc>
        <w:tc>
          <w:tcPr>
            <w:tcW w:w="140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1.0±0.3</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c>
          <w:tcPr>
            <w:tcW w:w="628"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43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马达转速/MOTOR SPEED</w:t>
            </w:r>
          </w:p>
        </w:tc>
        <w:tc>
          <w:tcPr>
            <w:tcW w:w="870" w:type="dxa"/>
          </w:tcPr>
          <w:p>
            <w:pPr>
              <w:shd w:val="clear"/>
              <w:bidi w:val="0"/>
              <w:rPr>
                <w:rFonts w:hint="eastAsia"/>
                <w:color w:val="000000" w:themeColor="text1"/>
                <w:highlight w:val="none"/>
                <w14:textFill>
                  <w14:solidFill>
                    <w14:schemeClr w14:val="tx1"/>
                  </w14:solidFill>
                </w14:textFill>
              </w:rPr>
            </w:pPr>
          </w:p>
        </w:tc>
        <w:tc>
          <w:tcPr>
            <w:tcW w:w="162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100％</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587"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840"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593"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2534"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NOx 斜率/COEF</w:t>
            </w:r>
          </w:p>
        </w:tc>
        <w:tc>
          <w:tcPr>
            <w:tcW w:w="1006" w:type="dxa"/>
          </w:tcPr>
          <w:p>
            <w:pPr>
              <w:shd w:val="clear"/>
              <w:bidi w:val="0"/>
              <w:rPr>
                <w:rFonts w:hint="eastAsia"/>
                <w:color w:val="000000" w:themeColor="text1"/>
                <w:highlight w:val="none"/>
                <w14:textFill>
                  <w14:solidFill>
                    <w14:schemeClr w14:val="tx1"/>
                  </w14:solidFill>
                </w14:textFill>
              </w:rPr>
            </w:pPr>
          </w:p>
        </w:tc>
        <w:tc>
          <w:tcPr>
            <w:tcW w:w="140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1.0±0.3</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c>
          <w:tcPr>
            <w:tcW w:w="628"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243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斜率/COEF</w:t>
            </w:r>
          </w:p>
        </w:tc>
        <w:tc>
          <w:tcPr>
            <w:tcW w:w="870" w:type="dxa"/>
          </w:tcPr>
          <w:p>
            <w:pPr>
              <w:shd w:val="clear"/>
              <w:bidi w:val="0"/>
              <w:rPr>
                <w:rFonts w:hint="eastAsia"/>
                <w:color w:val="000000" w:themeColor="text1"/>
                <w:highlight w:val="none"/>
                <w14:textFill>
                  <w14:solidFill>
                    <w14:schemeClr w14:val="tx1"/>
                  </w14:solidFill>
                </w14:textFill>
              </w:rPr>
            </w:pPr>
          </w:p>
        </w:tc>
        <w:tc>
          <w:tcPr>
            <w:tcW w:w="162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1.0±0.3</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587"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840"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593"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NMHC</w:t>
            </w:r>
          </w:p>
        </w:tc>
        <w:tc>
          <w:tcPr>
            <w:tcW w:w="2534" w:type="dxa"/>
            <w:gridSpan w:val="2"/>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标准曲线</w:t>
            </w:r>
          </w:p>
        </w:tc>
        <w:tc>
          <w:tcPr>
            <w:tcW w:w="1006" w:type="dxa"/>
          </w:tcPr>
          <w:p>
            <w:pPr>
              <w:shd w:val="clear"/>
              <w:bidi w:val="0"/>
              <w:rPr>
                <w:rFonts w:hint="eastAsia"/>
                <w:color w:val="000000" w:themeColor="text1"/>
                <w:highlight w:val="none"/>
                <w14:textFill>
                  <w14:solidFill>
                    <w14:schemeClr w14:val="tx1"/>
                  </w14:solidFill>
                </w14:textFill>
              </w:rPr>
            </w:pPr>
          </w:p>
        </w:tc>
        <w:tc>
          <w:tcPr>
            <w:tcW w:w="140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R≥0.99</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c>
          <w:tcPr>
            <w:tcW w:w="628"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VOCs</w:t>
            </w:r>
          </w:p>
        </w:tc>
        <w:tc>
          <w:tcPr>
            <w:tcW w:w="2431" w:type="dxa"/>
            <w:gridSpan w:val="2"/>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标准曲线</w:t>
            </w:r>
          </w:p>
        </w:tc>
        <w:tc>
          <w:tcPr>
            <w:tcW w:w="870" w:type="dxa"/>
          </w:tcPr>
          <w:p>
            <w:pPr>
              <w:shd w:val="clear"/>
              <w:bidi w:val="0"/>
              <w:rPr>
                <w:rFonts w:hint="eastAsia"/>
                <w:color w:val="000000" w:themeColor="text1"/>
                <w:highlight w:val="none"/>
                <w14:textFill>
                  <w14:solidFill>
                    <w14:schemeClr w14:val="tx1"/>
                  </w14:solidFill>
                </w14:textFill>
              </w:rPr>
            </w:pPr>
          </w:p>
        </w:tc>
        <w:tc>
          <w:tcPr>
            <w:tcW w:w="162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R≥0.99</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587"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840"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593"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2534" w:type="dxa"/>
            <w:gridSpan w:val="2"/>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1006" w:type="dxa"/>
          </w:tcPr>
          <w:p>
            <w:pPr>
              <w:shd w:val="clear"/>
              <w:bidi w:val="0"/>
              <w:rPr>
                <w:rFonts w:hint="eastAsia"/>
                <w:color w:val="000000" w:themeColor="text1"/>
                <w:highlight w:val="none"/>
                <w14:textFill>
                  <w14:solidFill>
                    <w14:schemeClr w14:val="tx1"/>
                  </w14:solidFill>
                </w14:textFill>
              </w:rPr>
            </w:pPr>
          </w:p>
        </w:tc>
        <w:tc>
          <w:tcPr>
            <w:tcW w:w="140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R2 ≥0.98</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c>
          <w:tcPr>
            <w:tcW w:w="628"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2431" w:type="dxa"/>
            <w:gridSpan w:val="2"/>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870" w:type="dxa"/>
          </w:tcPr>
          <w:p>
            <w:pPr>
              <w:shd w:val="clear"/>
              <w:bidi w:val="0"/>
              <w:rPr>
                <w:rFonts w:hint="eastAsia"/>
                <w:color w:val="000000" w:themeColor="text1"/>
                <w:highlight w:val="none"/>
                <w14:textFill>
                  <w14:solidFill>
                    <w14:schemeClr w14:val="tx1"/>
                  </w14:solidFill>
                </w14:textFill>
              </w:rPr>
            </w:pPr>
          </w:p>
        </w:tc>
        <w:tc>
          <w:tcPr>
            <w:tcW w:w="1621"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R2 ≥0.98</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587"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840"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593"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PM10</w:t>
            </w:r>
          </w:p>
        </w:tc>
        <w:tc>
          <w:tcPr>
            <w:tcW w:w="2258"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检查参数</w:t>
            </w:r>
          </w:p>
        </w:tc>
        <w:tc>
          <w:tcPr>
            <w:tcW w:w="1282"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传感器值与 气象值误差</w:t>
            </w:r>
          </w:p>
        </w:tc>
        <w:tc>
          <w:tcPr>
            <w:tcW w:w="1409"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参考限值</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是否合格</w:t>
            </w:r>
          </w:p>
        </w:tc>
        <w:tc>
          <w:tcPr>
            <w:tcW w:w="628"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PM2.5</w:t>
            </w:r>
          </w:p>
        </w:tc>
        <w:tc>
          <w:tcPr>
            <w:tcW w:w="2205"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检查参数</w:t>
            </w:r>
          </w:p>
        </w:tc>
        <w:tc>
          <w:tcPr>
            <w:tcW w:w="1275" w:type="dxa"/>
            <w:gridSpan w:val="3"/>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传感器值与 气象值误差</w:t>
            </w:r>
          </w:p>
        </w:tc>
        <w:tc>
          <w:tcPr>
            <w:tcW w:w="1442"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参考限值</w:t>
            </w:r>
          </w:p>
        </w:tc>
        <w:tc>
          <w:tcPr>
            <w:tcW w:w="1006"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587"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840"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593"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258"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温度传感器值：        ℃</w:t>
            </w:r>
          </w:p>
        </w:tc>
        <w:tc>
          <w:tcPr>
            <w:tcW w:w="1282" w:type="dxa"/>
            <w:gridSpan w:val="2"/>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409"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误差＜±2℃</w:t>
            </w:r>
          </w:p>
        </w:tc>
        <w:tc>
          <w:tcPr>
            <w:tcW w:w="1006"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c>
          <w:tcPr>
            <w:tcW w:w="628"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205"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温度传感器值：        ℃</w:t>
            </w:r>
          </w:p>
        </w:tc>
        <w:tc>
          <w:tcPr>
            <w:tcW w:w="1275" w:type="dxa"/>
            <w:gridSpan w:val="3"/>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442"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误差＜±2℃</w:t>
            </w:r>
          </w:p>
        </w:tc>
        <w:tc>
          <w:tcPr>
            <w:tcW w:w="1006"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587"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840"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593"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258"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气象温度值：          ℃</w:t>
            </w:r>
          </w:p>
        </w:tc>
        <w:tc>
          <w:tcPr>
            <w:tcW w:w="1282" w:type="dxa"/>
            <w:gridSpan w:val="2"/>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1409"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1006"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628"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205"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气象温度值：          ℃</w:t>
            </w:r>
          </w:p>
        </w:tc>
        <w:tc>
          <w:tcPr>
            <w:tcW w:w="1275" w:type="dxa"/>
            <w:gridSpan w:val="3"/>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1442"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1006"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587"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840"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593"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258"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压力传感器值：       hpa</w:t>
            </w:r>
          </w:p>
        </w:tc>
        <w:tc>
          <w:tcPr>
            <w:tcW w:w="1282" w:type="dxa"/>
            <w:gridSpan w:val="2"/>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hpa</w:t>
            </w:r>
          </w:p>
        </w:tc>
        <w:tc>
          <w:tcPr>
            <w:tcW w:w="1409"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误差＜±10hPa</w:t>
            </w:r>
          </w:p>
        </w:tc>
        <w:tc>
          <w:tcPr>
            <w:tcW w:w="1006"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c>
          <w:tcPr>
            <w:tcW w:w="628" w:type="dxa"/>
            <w:vMerge w:val="continue"/>
            <w:tcBorders>
              <w:top w:val="nil"/>
              <w:bottom w:val="nil"/>
            </w:tcBorders>
          </w:tcPr>
          <w:p>
            <w:pPr>
              <w:shd w:val="clear"/>
              <w:bidi w:val="0"/>
              <w:rPr>
                <w:rFonts w:hint="eastAsia"/>
                <w:color w:val="000000" w:themeColor="text1"/>
                <w:highlight w:val="none"/>
                <w14:textFill>
                  <w14:solidFill>
                    <w14:schemeClr w14:val="tx1"/>
                  </w14:solidFill>
                </w14:textFill>
              </w:rPr>
            </w:pPr>
          </w:p>
        </w:tc>
        <w:tc>
          <w:tcPr>
            <w:tcW w:w="2205"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压力传感器值：      hpa</w:t>
            </w:r>
          </w:p>
        </w:tc>
        <w:tc>
          <w:tcPr>
            <w:tcW w:w="1275" w:type="dxa"/>
            <w:gridSpan w:val="3"/>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hpa</w:t>
            </w:r>
          </w:p>
        </w:tc>
        <w:tc>
          <w:tcPr>
            <w:tcW w:w="1442"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误差＜±10hPa</w:t>
            </w:r>
          </w:p>
        </w:tc>
        <w:tc>
          <w:tcPr>
            <w:tcW w:w="1006" w:type="dxa"/>
            <w:vMerge w:val="restart"/>
            <w:tcBorders>
              <w:bottom w:val="nil"/>
            </w:tcBorders>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587"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840"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593"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2258"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气象压力值：         hpa</w:t>
            </w:r>
          </w:p>
        </w:tc>
        <w:tc>
          <w:tcPr>
            <w:tcW w:w="1282" w:type="dxa"/>
            <w:gridSpan w:val="2"/>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1409"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1006"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628"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2205" w:type="dxa"/>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气象压力值：         hpa</w:t>
            </w:r>
          </w:p>
        </w:tc>
        <w:tc>
          <w:tcPr>
            <w:tcW w:w="1275" w:type="dxa"/>
            <w:gridSpan w:val="3"/>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1442"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c>
          <w:tcPr>
            <w:tcW w:w="1006" w:type="dxa"/>
            <w:vMerge w:val="continue"/>
            <w:tcBorders>
              <w:top w:val="nil"/>
            </w:tcBorders>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278" w:type="dxa"/>
            <w:gridSpan w:val="4"/>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 (满分 100 分)</w:t>
            </w:r>
          </w:p>
        </w:tc>
        <w:tc>
          <w:tcPr>
            <w:tcW w:w="10253" w:type="dxa"/>
            <w:gridSpan w:val="11"/>
          </w:tcPr>
          <w:p>
            <w:pPr>
              <w:shd w:val="clear"/>
              <w:bidi w:val="0"/>
              <w:rPr>
                <w:rFonts w:hint="eastAsia"/>
                <w:color w:val="000000" w:themeColor="text1"/>
                <w:highlight w:val="none"/>
                <w14:textFill>
                  <w14:solidFill>
                    <w14:schemeClr w14:val="tx1"/>
                  </w14:solidFill>
                </w14:textFill>
              </w:rPr>
            </w:pPr>
          </w:p>
        </w:tc>
      </w:tr>
    </w:tbl>
    <w:p>
      <w:pPr>
        <w:shd w:val="clear"/>
        <w:bidi w:val="0"/>
        <w:rPr>
          <w:rFonts w:hint="eastAsia"/>
          <w:color w:val="000000" w:themeColor="text1"/>
          <w:highlight w:val="none"/>
          <w14:textFill>
            <w14:solidFill>
              <w14:schemeClr w14:val="tx1"/>
            </w14:solidFill>
          </w14:textFill>
        </w:rPr>
        <w:sectPr>
          <w:footerReference r:id="rId9" w:type="default"/>
          <w:pgSz w:w="16839" w:h="11906"/>
          <w:pgMar w:top="850" w:right="564" w:bottom="400" w:left="737" w:header="0" w:footer="0" w:gutter="0"/>
          <w:pgNumType w:fmt="decimal"/>
          <w:cols w:space="720" w:num="1"/>
        </w:sectPr>
      </w:pPr>
    </w:p>
    <w:tbl>
      <w:tblPr>
        <w:tblStyle w:val="97"/>
        <w:tblW w:w="15593" w:type="dxa"/>
        <w:tblInd w:w="-7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6"/>
        <w:gridCol w:w="133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593" w:type="dxa"/>
            <w:gridSpan w:val="2"/>
          </w:tcPr>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其他需要记录的内容及备注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9" w:hRule="atLeast"/>
        </w:trPr>
        <w:tc>
          <w:tcPr>
            <w:tcW w:w="2256" w:type="dxa"/>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检查中发现的其他需要记录的问题</w:t>
            </w:r>
          </w:p>
        </w:tc>
        <w:tc>
          <w:tcPr>
            <w:tcW w:w="13337" w:type="dxa"/>
          </w:tcPr>
          <w:p>
            <w:pPr>
              <w:shd w:val="clear"/>
              <w:bidi w:val="0"/>
              <w:rPr>
                <w:rFonts w:hint="eastAsia"/>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trPr>
        <w:tc>
          <w:tcPr>
            <w:tcW w:w="2256" w:type="dxa"/>
          </w:tcPr>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运维单位意见、建议</w:t>
            </w: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及备注</w:t>
            </w:r>
          </w:p>
        </w:tc>
        <w:tc>
          <w:tcPr>
            <w:tcW w:w="13337" w:type="dxa"/>
          </w:tcPr>
          <w:p>
            <w:pPr>
              <w:shd w:val="clear"/>
              <w:bidi w:val="0"/>
              <w:rPr>
                <w:rFonts w:hint="eastAsia"/>
                <w:color w:val="000000" w:themeColor="text1"/>
                <w:highlight w:val="none"/>
                <w14:textFill>
                  <w14:solidFill>
                    <w14:schemeClr w14:val="tx1"/>
                  </w14:solidFill>
                </w14:textFill>
              </w:rPr>
            </w:pPr>
          </w:p>
        </w:tc>
      </w:tr>
    </w:tbl>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检查单位：</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检查人员：</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时间：</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pPr>
        <w:shd w:val="clear"/>
        <w:bidi w:val="0"/>
        <w:rPr>
          <w:rFonts w:hint="eastAsia"/>
          <w:color w:val="000000" w:themeColor="text1"/>
          <w:highlight w:val="none"/>
          <w14:textFill>
            <w14:solidFill>
              <w14:schemeClr w14:val="tx1"/>
            </w14:solidFill>
          </w14:textFill>
        </w:rPr>
      </w:pPr>
    </w:p>
    <w:p>
      <w:pPr>
        <w:shd w:val="clea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运维单位：</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运维人员：</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时间：</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pPr>
        <w:pStyle w:val="11"/>
        <w:shd w:val="clear"/>
        <w:rPr>
          <w:rFonts w:hint="eastAsia" w:ascii="宋体" w:hAnsi="宋体" w:eastAsia="宋体" w:cs="宋体"/>
          <w:b w:val="0"/>
          <w:bCs w:val="0"/>
          <w:color w:val="000000" w:themeColor="text1"/>
          <w:spacing w:val="-4"/>
          <w:sz w:val="22"/>
          <w:highlight w:val="none"/>
          <w14:textOutline w14:w="4013" w14:cap="sq" w14:cmpd="sng" w14:algn="ctr">
            <w14:solidFill>
              <w14:srgbClr w14:val="000000"/>
            </w14:solidFill>
            <w14:prstDash w14:val="solid"/>
            <w14:bevel/>
          </w14:textOutline>
          <w14:textFill>
            <w14:solidFill>
              <w14:schemeClr w14:val="tx1"/>
            </w14:solidFill>
          </w14:textFill>
        </w:rPr>
      </w:pPr>
    </w:p>
    <w:p>
      <w:pPr>
        <w:shd w:val="clear"/>
        <w:adjustRightInd w:val="0"/>
        <w:snapToGrid w:val="0"/>
        <w:spacing w:line="560" w:lineRule="exact"/>
        <w:ind w:left="-3" w:leftChars="-270" w:hanging="564" w:hangingChars="203"/>
        <w:jc w:val="left"/>
        <w:rPr>
          <w:rFonts w:hint="eastAsia" w:ascii="宋体" w:hAnsi="宋体" w:eastAsia="宋体" w:cs="宋体"/>
          <w:b w:val="0"/>
          <w:bCs w:val="0"/>
          <w:color w:val="000000" w:themeColor="text1"/>
          <w:spacing w:val="-1"/>
          <w:sz w:val="28"/>
          <w:szCs w:val="28"/>
          <w:highlight w:val="none"/>
          <w:lang w:eastAsia="zh-Hans"/>
          <w14:textOutline w14:w="7277" w14:cap="sq" w14:cmpd="sng" w14:algn="ctr">
            <w14:solidFill>
              <w14:srgbClr w14:val="000000"/>
            </w14:solidFill>
            <w14:prstDash w14:val="solid"/>
            <w14:bevel/>
          </w14:textOutline>
          <w14:textFill>
            <w14:solidFill>
              <w14:schemeClr w14:val="tx1"/>
            </w14:solidFill>
          </w14:textFill>
        </w:rPr>
      </w:pPr>
    </w:p>
    <w:p>
      <w:pPr>
        <w:shd w:val="clear"/>
        <w:spacing w:before="60" w:after="120" w:line="320" w:lineRule="exact"/>
        <w:outlineLvl w:val="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eastAsia="zh-Hans"/>
          <w14:textFill>
            <w14:solidFill>
              <w14:schemeClr w14:val="tx1"/>
            </w14:solidFill>
          </w14:textFill>
        </w:rPr>
        <w:t>附件</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②</w:t>
      </w:r>
      <w:r>
        <w:rPr>
          <w:rFonts w:hint="eastAsia" w:ascii="宋体" w:hAnsi="宋体" w:eastAsia="宋体" w:cs="宋体"/>
          <w:b w:val="0"/>
          <w:bCs w:val="0"/>
          <w:color w:val="000000" w:themeColor="text1"/>
          <w:kern w:val="0"/>
          <w:sz w:val="24"/>
          <w:szCs w:val="24"/>
          <w:highlight w:val="none"/>
          <w:lang w:eastAsia="zh-Hans"/>
          <w14:textFill>
            <w14:solidFill>
              <w14:schemeClr w14:val="tx1"/>
            </w14:solidFill>
          </w14:textFill>
        </w:rPr>
        <w:t>：防人为干扰检查记录表</w:t>
      </w:r>
    </w:p>
    <w:p>
      <w:pPr>
        <w:shd w:val="clear"/>
        <w:adjustRightInd w:val="0"/>
        <w:snapToGrid w:val="0"/>
        <w:spacing w:line="560" w:lineRule="exact"/>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县（市、区）</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站（气站）        检查时间：</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p>
    <w:tbl>
      <w:tblPr>
        <w:tblStyle w:val="30"/>
        <w:tblW w:w="15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1064"/>
        <w:gridCol w:w="157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12" w:type="dxa"/>
          </w:tcPr>
          <w:p>
            <w:pPr>
              <w:shd w:val="clear"/>
              <w:spacing w:before="60" w:after="120" w:line="320" w:lineRule="exact"/>
              <w:jc w:val="center"/>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序号</w:t>
            </w:r>
          </w:p>
        </w:tc>
        <w:tc>
          <w:tcPr>
            <w:tcW w:w="11064" w:type="dxa"/>
          </w:tcPr>
          <w:p>
            <w:pPr>
              <w:shd w:val="clear"/>
              <w:spacing w:before="60" w:after="120" w:line="320" w:lineRule="exact"/>
              <w:jc w:val="center"/>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巡查内容</w:t>
            </w:r>
          </w:p>
        </w:tc>
        <w:tc>
          <w:tcPr>
            <w:tcW w:w="1574" w:type="dxa"/>
          </w:tcPr>
          <w:p>
            <w:pPr>
              <w:shd w:val="clear"/>
              <w:spacing w:before="60" w:after="120" w:line="320" w:lineRule="exact"/>
              <w:jc w:val="center"/>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结果</w:t>
            </w:r>
          </w:p>
        </w:tc>
        <w:tc>
          <w:tcPr>
            <w:tcW w:w="1241" w:type="dxa"/>
          </w:tcPr>
          <w:p>
            <w:pPr>
              <w:shd w:val="clear"/>
              <w:spacing w:before="60" w:after="120" w:line="320" w:lineRule="exact"/>
              <w:jc w:val="center"/>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512" w:type="dxa"/>
            <w:vAlign w:val="center"/>
          </w:tcPr>
          <w:p>
            <w:pPr>
              <w:shd w:val="clear"/>
              <w:spacing w:before="60" w:after="120" w:line="320" w:lineRule="exact"/>
              <w:jc w:val="center"/>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1</w:t>
            </w:r>
          </w:p>
        </w:tc>
        <w:tc>
          <w:tcPr>
            <w:tcW w:w="11064" w:type="dxa"/>
            <w:vAlign w:val="center"/>
          </w:tcPr>
          <w:p>
            <w:pPr>
              <w:shd w:val="clear"/>
              <w:spacing w:before="60" w:after="120" w:line="320" w:lineRule="exact"/>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站点基础保障工作是否到位：（1）站房用地、电力供应、安全保障工作和周边环境是否正常；（2）站房周边是否有杂草、积水，地面卫生是否清洁。（3）站房周围树木生长是否会影响自动监测设备的采样工作。</w:t>
            </w:r>
          </w:p>
        </w:tc>
        <w:tc>
          <w:tcPr>
            <w:tcW w:w="1574" w:type="dxa"/>
            <w:vAlign w:val="center"/>
          </w:tcPr>
          <w:p>
            <w:pPr>
              <w:shd w:val="clear"/>
              <w:spacing w:before="60" w:after="120" w:line="320" w:lineRule="exact"/>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p>
        </w:tc>
        <w:tc>
          <w:tcPr>
            <w:tcW w:w="1241" w:type="dxa"/>
            <w:vAlign w:val="center"/>
          </w:tcPr>
          <w:p>
            <w:pPr>
              <w:shd w:val="clear"/>
              <w:spacing w:before="60" w:after="120" w:line="320" w:lineRule="exact"/>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12" w:type="dxa"/>
            <w:vAlign w:val="center"/>
          </w:tcPr>
          <w:p>
            <w:pPr>
              <w:shd w:val="clear"/>
              <w:spacing w:before="60" w:after="120" w:line="320" w:lineRule="exact"/>
              <w:jc w:val="center"/>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2</w:t>
            </w:r>
          </w:p>
        </w:tc>
        <w:tc>
          <w:tcPr>
            <w:tcW w:w="11064" w:type="dxa"/>
            <w:vAlign w:val="center"/>
          </w:tcPr>
          <w:p>
            <w:pPr>
              <w:shd w:val="clear"/>
              <w:spacing w:before="60" w:after="120" w:line="320" w:lineRule="exact"/>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安全防护设施，以及站点四周栅栏、安全警示标志是否配备齐全。</w:t>
            </w:r>
          </w:p>
        </w:tc>
        <w:tc>
          <w:tcPr>
            <w:tcW w:w="1574" w:type="dxa"/>
            <w:vAlign w:val="center"/>
          </w:tcPr>
          <w:p>
            <w:pPr>
              <w:shd w:val="clear"/>
              <w:spacing w:before="60" w:after="120" w:line="320" w:lineRule="exact"/>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p>
        </w:tc>
        <w:tc>
          <w:tcPr>
            <w:tcW w:w="1241" w:type="dxa"/>
            <w:vAlign w:val="center"/>
          </w:tcPr>
          <w:p>
            <w:pPr>
              <w:shd w:val="clear"/>
              <w:spacing w:before="60" w:after="120" w:line="320" w:lineRule="exact"/>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512" w:type="dxa"/>
            <w:vAlign w:val="center"/>
          </w:tcPr>
          <w:p>
            <w:pPr>
              <w:shd w:val="clear"/>
              <w:spacing w:before="60" w:after="120" w:line="320" w:lineRule="exact"/>
              <w:jc w:val="center"/>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3</w:t>
            </w:r>
          </w:p>
        </w:tc>
        <w:tc>
          <w:tcPr>
            <w:tcW w:w="11064" w:type="dxa"/>
            <w:vAlign w:val="center"/>
          </w:tcPr>
          <w:p>
            <w:pPr>
              <w:shd w:val="clear"/>
              <w:spacing w:before="60" w:after="120" w:line="320" w:lineRule="exact"/>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站点目视范围内是否存在影响监测数据的局地污染源：如烟囱、餐饮油烟等。</w:t>
            </w:r>
          </w:p>
        </w:tc>
        <w:tc>
          <w:tcPr>
            <w:tcW w:w="1574" w:type="dxa"/>
            <w:vAlign w:val="center"/>
          </w:tcPr>
          <w:p>
            <w:pPr>
              <w:shd w:val="clear"/>
              <w:spacing w:before="60" w:after="120" w:line="320" w:lineRule="exact"/>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p>
        </w:tc>
        <w:tc>
          <w:tcPr>
            <w:tcW w:w="1241" w:type="dxa"/>
            <w:vAlign w:val="center"/>
          </w:tcPr>
          <w:p>
            <w:pPr>
              <w:shd w:val="clear"/>
              <w:spacing w:before="60" w:after="120" w:line="320" w:lineRule="exact"/>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512" w:type="dxa"/>
            <w:vAlign w:val="center"/>
          </w:tcPr>
          <w:p>
            <w:pPr>
              <w:shd w:val="clear"/>
              <w:spacing w:before="60" w:after="120" w:line="320" w:lineRule="exact"/>
              <w:jc w:val="center"/>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4</w:t>
            </w:r>
          </w:p>
        </w:tc>
        <w:tc>
          <w:tcPr>
            <w:tcW w:w="11064" w:type="dxa"/>
            <w:vAlign w:val="center"/>
          </w:tcPr>
          <w:p>
            <w:pPr>
              <w:shd w:val="clear"/>
              <w:spacing w:before="60" w:after="120" w:line="320" w:lineRule="exact"/>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是否有干扰自动监测设施、破坏环境质量自动监测系统的行为：（1）是否有非运维人员在未获得许可的情况下进入空气站房、站房房顶、站房栅栏及采样器20米范围内；（2）空气站周边是否有施工、工程治理等项目，如有是否会对自动监测工作产生影响。</w:t>
            </w:r>
          </w:p>
        </w:tc>
        <w:tc>
          <w:tcPr>
            <w:tcW w:w="1574" w:type="dxa"/>
            <w:vAlign w:val="center"/>
          </w:tcPr>
          <w:p>
            <w:pPr>
              <w:shd w:val="clear"/>
              <w:spacing w:before="60" w:after="120" w:line="320" w:lineRule="exact"/>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p>
        </w:tc>
        <w:tc>
          <w:tcPr>
            <w:tcW w:w="1241" w:type="dxa"/>
            <w:vAlign w:val="center"/>
          </w:tcPr>
          <w:p>
            <w:pPr>
              <w:shd w:val="clear"/>
              <w:spacing w:before="60" w:after="120" w:line="320" w:lineRule="exact"/>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512" w:type="dxa"/>
            <w:vAlign w:val="center"/>
          </w:tcPr>
          <w:p>
            <w:pPr>
              <w:shd w:val="clear"/>
              <w:spacing w:before="60" w:after="120" w:line="320" w:lineRule="exact"/>
              <w:jc w:val="center"/>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5</w:t>
            </w:r>
          </w:p>
        </w:tc>
        <w:tc>
          <w:tcPr>
            <w:tcW w:w="11064" w:type="dxa"/>
            <w:vAlign w:val="center"/>
          </w:tcPr>
          <w:p>
            <w:pPr>
              <w:shd w:val="clear"/>
              <w:spacing w:before="60" w:after="120" w:line="320" w:lineRule="exact"/>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站点及采样口周边是否存在以下喷淋行为：（1）站点周边50米范围内是否有安装喷淋装置；（2）是否有雾炮车、洒水等装置直接喷淋气站站房、站房房顶及采样区域的行为。</w:t>
            </w:r>
          </w:p>
        </w:tc>
        <w:tc>
          <w:tcPr>
            <w:tcW w:w="1574" w:type="dxa"/>
            <w:vAlign w:val="center"/>
          </w:tcPr>
          <w:p>
            <w:pPr>
              <w:shd w:val="clear"/>
              <w:spacing w:before="60" w:after="120" w:line="320" w:lineRule="exact"/>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p>
        </w:tc>
        <w:tc>
          <w:tcPr>
            <w:tcW w:w="1241" w:type="dxa"/>
            <w:vAlign w:val="center"/>
          </w:tcPr>
          <w:p>
            <w:pPr>
              <w:shd w:val="clear"/>
              <w:spacing w:before="60" w:after="120" w:line="320" w:lineRule="exact"/>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pPr>
          </w:p>
        </w:tc>
      </w:tr>
    </w:tbl>
    <w:p>
      <w:pPr>
        <w:shd w:val="clear"/>
        <w:spacing w:before="60" w:after="120" w:line="320" w:lineRule="exact"/>
        <w:outlineLvl w:val="0"/>
        <w:rPr>
          <w:rFonts w:hint="eastAsia" w:ascii="宋体" w:hAnsi="宋体" w:eastAsia="宋体" w:cs="宋体"/>
          <w:b w:val="0"/>
          <w:bCs w:val="0"/>
          <w:color w:val="000000" w:themeColor="text1"/>
          <w:kern w:val="0"/>
          <w:sz w:val="24"/>
          <w:szCs w:val="24"/>
          <w:highlight w:val="none"/>
          <w14:textFill>
            <w14:solidFill>
              <w14:schemeClr w14:val="tx1"/>
            </w14:solidFill>
          </w14:textFill>
        </w:rPr>
        <w:sectPr>
          <w:pgSz w:w="16838" w:h="11906" w:orient="landscape"/>
          <w:pgMar w:top="1800" w:right="1440" w:bottom="1800" w:left="1440" w:header="851" w:footer="992" w:gutter="0"/>
          <w:pgNumType w:fmt="decimal"/>
          <w:cols w:space="425" w:num="1"/>
          <w:docGrid w:type="lines" w:linePitch="312" w:charSpace="0"/>
        </w:sect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检查单位：</w:t>
      </w:r>
      <w:r>
        <w:rPr>
          <w:rFonts w:hint="eastAsia" w:ascii="宋体" w:hAnsi="宋体" w:eastAsia="宋体" w:cs="宋体"/>
          <w:b w:val="0"/>
          <w:bCs w:val="0"/>
          <w:color w:val="000000" w:themeColor="text1"/>
          <w:spacing w:val="-4"/>
          <w:sz w:val="22"/>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检查人员：</w:t>
      </w:r>
      <w:r>
        <w:rPr>
          <w:rFonts w:hint="eastAsia" w:ascii="宋体" w:hAnsi="宋体" w:eastAsia="宋体" w:cs="宋体"/>
          <w:b w:val="0"/>
          <w:bCs w:val="0"/>
          <w:color w:val="000000" w:themeColor="text1"/>
          <w:spacing w:val="-4"/>
          <w:sz w:val="22"/>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highlight w:val="none"/>
          <w14:textFill>
            <w14:solidFill>
              <w14:schemeClr w14:val="tx1"/>
            </w14:solidFill>
          </w14:textFill>
        </w:rPr>
        <w:t xml:space="preserve">             </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bCs/>
          <w:color w:val="000000" w:themeColor="text1"/>
          <w:sz w:val="24"/>
          <w:szCs w:val="24"/>
          <w:highlight w:val="none"/>
          <w14:textFill>
            <w14:solidFill>
              <w14:schemeClr w14:val="tx1"/>
            </w14:solidFill>
          </w14:textFill>
        </w:rPr>
        <w:t>运营服务成果要求</w:t>
      </w:r>
    </w:p>
    <w:p>
      <w:pPr>
        <w:keepNext w:val="0"/>
        <w:keepLines w:val="0"/>
        <w:pageBreakBefore w:val="0"/>
        <w:shd w:val="clear"/>
        <w:kinsoku/>
        <w:wordWrap/>
        <w:overflowPunct/>
        <w:topLinePunct w:val="0"/>
        <w:autoSpaceDE/>
        <w:autoSpaceDN/>
        <w:bidi w:val="0"/>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标项一、标项二：</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(1)认真、及时做好各类记录，以周计划、月总结的形式报浙江省台州生态环境监测中心，书面报告作为运行维护考核依据之一，包括：</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a.每日远程监控记录表</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b.每周工作计划表</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c.每周巡视结果记录表</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b.仪器设备维护记录表</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d.备件耗材更换记录表</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f.故障处理申报表</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g.质控检查结果记录表</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h.月度自动监测数据统计表</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(2)每季维护结束后10日内提交季度维护报告。（含各子站整体运行状况、故障处理与原因分析、故障预防措施、异常监测数据分析等内容）。</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(3)每年维护结束后10日内提交年度维护报告。（含各子站整体运行状况、故障处理与原因分析、故障预防措施、异常监测数据分析等内容）。</w:t>
      </w:r>
    </w:p>
    <w:p>
      <w:pPr>
        <w:keepNext w:val="0"/>
        <w:keepLines w:val="0"/>
        <w:pageBreakBefore w:val="0"/>
        <w:shd w:val="clear"/>
        <w:kinsoku/>
        <w:wordWrap/>
        <w:overflowPunct/>
        <w:topLinePunct w:val="0"/>
        <w:autoSpaceDE/>
        <w:autoSpaceDN/>
        <w:bidi w:val="0"/>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标项三、标项四：</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运维单位必须建立完善的运行维护工作规范与质量管理体系，确保提供及时、准确、有效的监测数据，站点的运行质量应达到以下指标：</w:t>
      </w:r>
    </w:p>
    <w:tbl>
      <w:tblPr>
        <w:tblStyle w:val="30"/>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目标值</w:t>
            </w:r>
          </w:p>
        </w:tc>
        <w:tc>
          <w:tcPr>
            <w:tcW w:w="6568"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数据有效率计算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有效数据获取率≥95％，以每站统计</w:t>
            </w:r>
          </w:p>
        </w:tc>
        <w:tc>
          <w:tcPr>
            <w:tcW w:w="6568" w:type="dxa"/>
            <w:vMerge w:val="restart"/>
            <w:noWrap/>
            <w:vAlign w:val="center"/>
          </w:tcPr>
          <w:p>
            <w:pPr>
              <w:shd w:val="clear"/>
              <w:bidi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（1）数据有效率计算如下：（应获取数据-无效数据）/应获取数据*100%；</w:t>
            </w:r>
          </w:p>
          <w:p>
            <w:pPr>
              <w:shd w:val="clear"/>
              <w:bidi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（2）因停电、停水（自来水）或采水设施损坏等原因导致的停站的缺失数据不纳入应获取数据；</w:t>
            </w:r>
          </w:p>
          <w:p>
            <w:pPr>
              <w:shd w:val="clear"/>
              <w:bidi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（3）因断流或水位过低、地震、封航、暴雨、台风等不可抗力因素停站或无法维护导致的无效数据不纳入应获取数据。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质控样核查合格率≥90％，以每站统计</w:t>
            </w:r>
          </w:p>
        </w:tc>
        <w:tc>
          <w:tcPr>
            <w:tcW w:w="6568" w:type="dxa"/>
            <w:vMerge w:val="continue"/>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实验室比对合格率≥90％，以每站统计</w:t>
            </w:r>
          </w:p>
        </w:tc>
        <w:tc>
          <w:tcPr>
            <w:tcW w:w="6568" w:type="dxa"/>
            <w:vMerge w:val="continue"/>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keepNext w:val="0"/>
        <w:keepLines w:val="0"/>
        <w:pageBreakBefore w:val="0"/>
        <w:shd w:val="clear"/>
        <w:kinsoku/>
        <w:wordWrap/>
        <w:overflowPunct/>
        <w:topLinePunct w:val="0"/>
        <w:autoSpaceDE/>
        <w:autoSpaceDN/>
        <w:bidi w:val="0"/>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九、惩罚措施</w:t>
      </w:r>
    </w:p>
    <w:p>
      <w:pPr>
        <w:keepNext w:val="0"/>
        <w:keepLines w:val="0"/>
        <w:pageBreakBefore w:val="0"/>
        <w:shd w:val="clear"/>
        <w:kinsoku/>
        <w:wordWrap/>
        <w:overflowPunct/>
        <w:topLinePunct w:val="0"/>
        <w:autoSpaceDE/>
        <w:autoSpaceDN/>
        <w:bidi w:val="0"/>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标项一、标项二：</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（1）当出现《环境监测数据弄虚作假行为判定及处理办法》中规定的篡改、伪造或者指使篡改、伪造监测数据等行为时，采购人将中止运维合同，依照国家法律法规和有关规定予以处理。</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（2）拖延、阻碍、拒绝质量检查的，不支付当季度运行维护费用。</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）未按要求开展运行维护，导致</w:t>
      </w:r>
      <w:r>
        <w:rPr>
          <w:rFonts w:hint="eastAsia" w:ascii="宋体" w:hAnsi="宋体" w:eastAsia="宋体" w:cs="宋体"/>
          <w:color w:val="000000" w:themeColor="text1"/>
          <w:sz w:val="24"/>
          <w:szCs w:val="24"/>
          <w:highlight w:val="none"/>
          <w:lang w:eastAsia="zh-CN"/>
          <w14:textFill>
            <w14:solidFill>
              <w14:schemeClr w14:val="tx1"/>
            </w14:solidFill>
          </w14:textFill>
        </w:rPr>
        <w:t>站点</w:t>
      </w:r>
      <w:r>
        <w:rPr>
          <w:rFonts w:hint="eastAsia" w:ascii="宋体" w:hAnsi="宋体" w:eastAsia="宋体" w:cs="宋体"/>
          <w:color w:val="000000" w:themeColor="text1"/>
          <w:sz w:val="24"/>
          <w:szCs w:val="24"/>
          <w:highlight w:val="none"/>
          <w14:textFill>
            <w14:solidFill>
              <w14:schemeClr w14:val="tx1"/>
            </w14:solidFill>
          </w14:textFill>
        </w:rPr>
        <w:t>非正常运行的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不支付当季度运行维护费用。</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）因运维不当导致仪器损毁的，中标单位应依运维合同的约定，承担相应责任。</w:t>
      </w:r>
    </w:p>
    <w:p>
      <w:pPr>
        <w:keepNext w:val="0"/>
        <w:keepLines w:val="0"/>
        <w:pageBreakBefore w:val="0"/>
        <w:shd w:val="clear"/>
        <w:kinsoku/>
        <w:wordWrap/>
        <w:overflowPunct/>
        <w:topLinePunct w:val="0"/>
        <w:autoSpaceDE/>
        <w:autoSpaceDN/>
        <w:bidi w:val="0"/>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标项三、标项四：</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（1）当出现《环境监测数据弄虚作假行为判定及处理办法》中规定的篡改、伪造或者指使篡改、伪造监测数据等行为时，采购人将中止运维合同，依照国家法律法规和有关规定予以处理。</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（2）拖延、阻碍、拒绝质量检查的，不支付当季度运行维护费用。</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）未按要求开展运行维护，导致水站非正常运行的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不支付当季度运行维护费用。</w:t>
      </w:r>
    </w:p>
    <w:p>
      <w:pPr>
        <w:shd w:val="clear"/>
        <w:bidi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）因运维不当导致仪器损毁的，中标单位应依运维合同的约定，承担相应责任。</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十</w:t>
      </w:r>
      <w:r>
        <w:rPr>
          <w:rFonts w:hint="eastAsia" w:ascii="宋体" w:hAnsi="宋体" w:eastAsia="宋体" w:cs="宋体"/>
          <w:b/>
          <w:bCs/>
          <w:color w:val="000000" w:themeColor="text1"/>
          <w:sz w:val="24"/>
          <w:szCs w:val="24"/>
          <w:highlight w:val="none"/>
          <w14:textFill>
            <w14:solidFill>
              <w14:schemeClr w14:val="tx1"/>
            </w14:solidFill>
          </w14:textFill>
        </w:rPr>
        <w:t>、运维期限：</w:t>
      </w:r>
      <w:r>
        <w:rPr>
          <w:rFonts w:hint="eastAsia" w:ascii="宋体" w:hAnsi="宋体" w:eastAsia="宋体" w:cs="宋体"/>
          <w:color w:val="000000" w:themeColor="text1"/>
          <w:sz w:val="24"/>
          <w:szCs w:val="24"/>
          <w:highlight w:val="none"/>
          <w14:textFill>
            <w14:solidFill>
              <w14:schemeClr w14:val="tx1"/>
            </w14:solidFill>
          </w14:textFill>
        </w:rPr>
        <w:t>合同签订生效之日至202</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年11月30日。</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szCs w:val="24"/>
          <w:highlight w:val="none"/>
          <w14:textFill>
            <w14:solidFill>
              <w14:schemeClr w14:val="tx1"/>
            </w14:solidFill>
          </w14:textFill>
        </w:rPr>
        <w:t>、其他要求</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在中标后一个月之内按投标文件承诺及招标文件的有关要求把设备、人员安排到位并按合同约定投入正常运行，若未能按时按要求配置设备及人员的，逾期五天的，采购人有权扣罚其30%履约保证金，由此引起的一切后果由供应商自行承担。</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2、投标供应商中标后人员必须保证在一个月内到位。中标供应商在入场进行服务时必须确保人员、设备等按要求同时进场。</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3、数据归属及保密</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所形成的所有检查形成的数据及报告的所有权均归采购方所有。未经采购方授权，中标供应商无权使用任何检查结果或将检查结果发送给任何第三方。报告发送和保管人员应遵守相关保密规定，为采购方保密。</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、履约保证金</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中标供应商在签订作业合同时向采购人提交合同总额</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的合同履约保证金；在承包期满后10天内退还（不计息）。如承包期内，中标供应商没按照要求履行合同则保证金不予归还。在承包期内如因中标供应商原因造成采购人财产损失的，采购人有权酌情在履约保证金中扣除。</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、付款方式：</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sectPr>
          <w:pgSz w:w="11906" w:h="16838"/>
          <w:pgMar w:top="1440" w:right="1803" w:bottom="1440" w:left="1803" w:header="851" w:footer="992" w:gutter="0"/>
          <w:pgNumType w:fmt="decimal"/>
          <w:cols w:space="0" w:num="1"/>
          <w:rtlGutter w:val="0"/>
          <w:docGrid w:type="lines" w:linePitch="317" w:charSpace="0"/>
        </w:sect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结合第四方监理对</w:t>
      </w:r>
      <w:r>
        <w:rPr>
          <w:rFonts w:hint="eastAsia" w:ascii="宋体" w:hAnsi="宋体" w:eastAsia="宋体" w:cs="宋体"/>
          <w:color w:val="000000" w:themeColor="text1"/>
          <w:sz w:val="24"/>
          <w:szCs w:val="24"/>
          <w:highlight w:val="none"/>
          <w14:textFill>
            <w14:solidFill>
              <w14:schemeClr w14:val="tx1"/>
            </w14:solidFill>
          </w14:textFill>
        </w:rPr>
        <w:t>有效</w:t>
      </w:r>
      <w:r>
        <w:rPr>
          <w:rFonts w:hint="eastAsia" w:ascii="宋体" w:hAnsi="宋体" w:eastAsia="宋体" w:cs="宋体"/>
          <w:color w:val="000000" w:themeColor="text1"/>
          <w:sz w:val="24"/>
          <w:szCs w:val="24"/>
          <w:highlight w:val="none"/>
          <w:lang w:val="en-US" w:eastAsia="zh-CN"/>
          <w14:textFill>
            <w14:solidFill>
              <w14:schemeClr w14:val="tx1"/>
            </w14:solidFill>
          </w14:textFill>
        </w:rPr>
        <w:t>数据获取</w:t>
      </w:r>
      <w:r>
        <w:rPr>
          <w:rFonts w:hint="eastAsia" w:ascii="宋体" w:hAnsi="宋体" w:eastAsia="宋体" w:cs="宋体"/>
          <w:color w:val="000000" w:themeColor="text1"/>
          <w:sz w:val="24"/>
          <w:szCs w:val="24"/>
          <w:highlight w:val="none"/>
          <w14:textFill>
            <w14:solidFill>
              <w14:schemeClr w14:val="tx1"/>
            </w14:solidFill>
          </w14:textFill>
        </w:rPr>
        <w:t>率、日常运维、服务保障</w:t>
      </w:r>
      <w:r>
        <w:rPr>
          <w:rFonts w:hint="eastAsia" w:ascii="宋体" w:hAnsi="宋体" w:eastAsia="宋体" w:cs="宋体"/>
          <w:color w:val="000000" w:themeColor="text1"/>
          <w:sz w:val="24"/>
          <w:szCs w:val="24"/>
          <w:highlight w:val="none"/>
          <w:lang w:val="en-US" w:eastAsia="zh-CN"/>
          <w14:textFill>
            <w14:solidFill>
              <w14:schemeClr w14:val="tx1"/>
            </w14:solidFill>
          </w14:textFill>
        </w:rPr>
        <w:t>等相关工作情况的</w:t>
      </w:r>
      <w:r>
        <w:rPr>
          <w:rFonts w:hint="eastAsia" w:ascii="宋体" w:hAnsi="宋体" w:eastAsia="宋体" w:cs="宋体"/>
          <w:color w:val="000000" w:themeColor="text1"/>
          <w:sz w:val="24"/>
          <w:szCs w:val="24"/>
          <w:highlight w:val="none"/>
          <w14:textFill>
            <w14:solidFill>
              <w14:schemeClr w14:val="tx1"/>
            </w14:solidFill>
          </w14:textFill>
        </w:rPr>
        <w:t>考</w:t>
      </w:r>
      <w:r>
        <w:rPr>
          <w:rFonts w:hint="eastAsia" w:ascii="宋体" w:hAnsi="宋体" w:eastAsia="宋体" w:cs="宋体"/>
          <w:color w:val="000000" w:themeColor="text1"/>
          <w:sz w:val="24"/>
          <w:szCs w:val="24"/>
          <w:highlight w:val="none"/>
          <w:lang w:val="en-US" w:eastAsia="zh-CN"/>
          <w14:textFill>
            <w14:solidFill>
              <w14:schemeClr w14:val="tx1"/>
            </w14:solidFill>
          </w14:textFill>
        </w:rPr>
        <w:t>评情况支付运维费</w:t>
      </w:r>
      <w:r>
        <w:rPr>
          <w:rFonts w:hint="eastAsia" w:ascii="宋体" w:hAnsi="宋体" w:eastAsia="宋体" w:cs="宋体"/>
          <w:color w:val="000000" w:themeColor="text1"/>
          <w:sz w:val="24"/>
          <w:szCs w:val="24"/>
          <w:highlight w:val="none"/>
          <w14:textFill>
            <w14:solidFill>
              <w14:schemeClr w14:val="tx1"/>
            </w14:solidFill>
          </w14:textFill>
        </w:rPr>
        <w:t>。第一、第二和第三季度根据季度考评结果，下一季度30个工作日内支付运维费用总金额的20%，第四季度根据季度考评和年考评结果，第四季度结束后30个工作日内支付运维费用总金额的40%。</w:t>
      </w:r>
    </w:p>
    <w:p>
      <w:pPr>
        <w:shd w:val="clear"/>
        <w:spacing w:line="360" w:lineRule="auto"/>
        <w:ind w:firstLine="723" w:firstLineChars="200"/>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第五章 合同主要条款</w:t>
      </w:r>
    </w:p>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（此稿为合同样本，最终定稿待双方协商后定）</w:t>
      </w:r>
    </w:p>
    <w:p>
      <w:pPr>
        <w:shd w:val="clear"/>
        <w:bidi w:val="0"/>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lang w:eastAsia="zh-CN"/>
          <w14:textFill>
            <w14:solidFill>
              <w14:schemeClr w14:val="tx1"/>
            </w14:solidFill>
          </w14:textFill>
        </w:rPr>
        <w:t>2022-2023年台州市省控环境质量自动监测站运维服务及运维监理服务采购项目</w:t>
      </w:r>
    </w:p>
    <w:p>
      <w:pPr>
        <w:shd w:val="clear"/>
        <w:bidi w:val="0"/>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项目编号：</w:t>
      </w:r>
      <w:r>
        <w:rPr>
          <w:rFonts w:hint="eastAsia" w:ascii="宋体" w:hAnsi="宋体" w:eastAsia="宋体" w:cs="宋体"/>
          <w:color w:val="000000" w:themeColor="text1"/>
          <w:sz w:val="24"/>
          <w:szCs w:val="24"/>
          <w:highlight w:val="none"/>
          <w:lang w:eastAsia="zh-CN"/>
          <w14:textFill>
            <w14:solidFill>
              <w14:schemeClr w14:val="tx1"/>
            </w14:solidFill>
          </w14:textFill>
        </w:rPr>
        <w:t>ZJWS2022-JJ287</w:t>
      </w:r>
    </w:p>
    <w:p>
      <w:pPr>
        <w:shd w:val="clear"/>
        <w:bidi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甲方（采购人）：</w:t>
      </w:r>
      <w:r>
        <w:rPr>
          <w:rFonts w:hint="eastAsia" w:ascii="宋体" w:hAnsi="宋体" w:eastAsia="宋体" w:cs="宋体"/>
          <w:color w:val="000000" w:themeColor="text1"/>
          <w:sz w:val="24"/>
          <w:szCs w:val="24"/>
          <w:highlight w:val="none"/>
          <w14:textFill>
            <w14:solidFill>
              <w14:schemeClr w14:val="tx1"/>
            </w14:solidFill>
          </w14:textFill>
        </w:rPr>
        <w:t xml:space="preserve">浙江省台州生态环境监测中心  </w:t>
      </w:r>
    </w:p>
    <w:p>
      <w:pPr>
        <w:shd w:val="clear"/>
        <w:bidi w:val="0"/>
        <w:spacing w:line="360" w:lineRule="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 xml:space="preserve">乙方（供应商）： </w:t>
      </w:r>
    </w:p>
    <w:p>
      <w:pPr>
        <w:shd w:val="clear"/>
        <w:bidi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甲、乙双方根据浙江五石中正工程咨询有限公司关于</w:t>
      </w:r>
      <w:r>
        <w:rPr>
          <w:rFonts w:hint="eastAsia" w:ascii="宋体" w:hAnsi="宋体" w:cs="宋体"/>
          <w:color w:val="000000" w:themeColor="text1"/>
          <w:sz w:val="24"/>
          <w:szCs w:val="24"/>
          <w:highlight w:val="none"/>
          <w:lang w:val="zh-CN"/>
          <w14:textFill>
            <w14:solidFill>
              <w14:schemeClr w14:val="tx1"/>
            </w14:solidFill>
          </w14:textFill>
        </w:rPr>
        <w:t>2022-2023年台州市省控环境质量自动监测站运维服务及运维监理服务采购项目</w:t>
      </w:r>
      <w:r>
        <w:rPr>
          <w:rFonts w:hint="eastAsia" w:ascii="宋体" w:hAnsi="宋体" w:eastAsia="宋体" w:cs="宋体"/>
          <w:color w:val="000000" w:themeColor="text1"/>
          <w:sz w:val="24"/>
          <w:szCs w:val="24"/>
          <w:highlight w:val="none"/>
          <w:lang w:val="zh-CN"/>
          <w14:textFill>
            <w14:solidFill>
              <w14:schemeClr w14:val="tx1"/>
            </w14:solidFill>
          </w14:textFill>
        </w:rPr>
        <w:t>（编号为ZJWS2022-JJ287）公开招标的结果，签署本合同。</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一、项目内容</w:t>
      </w:r>
    </w:p>
    <w:p>
      <w:pPr>
        <w:shd w:val="clear"/>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合同金额</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本合同金额为（大写）：________________元（￥___________元）人民币。</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三、技术资料</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1.乙方应按招标文件规定的时间向甲方提供有关技术资料。</w:t>
      </w:r>
    </w:p>
    <w:p>
      <w:pPr>
        <w:shd w:val="clear"/>
        <w:bidi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hd w:val="clear"/>
        <w:bidi w:val="0"/>
        <w:spacing w:line="360" w:lineRule="auto"/>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四、知识产权</w:t>
      </w:r>
    </w:p>
    <w:p>
      <w:pPr>
        <w:shd w:val="clear"/>
        <w:bidi w:val="0"/>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乙方应保证提供服务过程中不会侵犯任何第三方的知识产权。</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五、履约保证金</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在签订作业合同时向采购人提交合同总额</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%的合同履约保证金；在承包期满后10天内退还（不计息）。如承包期内，</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没按照要求履行合同则保证金不予归还。在承包期内如因</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原因造成</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财产损失的，</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有权酌情在履约保证金中扣除。</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六、转包或分包</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1.本合同范围的服务，应由乙方直接供应，不得转让他人供应；</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2.除非得到甲方的书面同意，乙方不得将本合同范围的服务全部或部分分包给他人供应；</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3.如有转让和未经甲方同意的分包行为，甲方有权解除合同，没收履约保证金并追究乙方的违约责任。</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七、服务质量保证期和服务质量保证金</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1.服务质量保证期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年。（自验收合格之日起计）</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八、双方的权利和义务 </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1、甲方职责和义务</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1.1甲方应当主要负责项目所有外部关系的联系与协调，为乙方工作提供良好的外部条件。</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1.2甲方应当按采购文件双方约定的内容和时间，向乙方提供与项目有关的资料。</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1.3甲方应当按采购文件约定的时间就乙方书面提交并要求做出决定的一切事宜做出书面决定。   </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1.4甲方应授权一名熟悉本项目情况、能迅速做出决定的项目代表，负责与乙方联系。更换代表，要提前通知乙方。</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2、乙方职责和义务</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2.1根据投标响应文件的承诺向甲方委派项目负责人、检测结果主要分析人员和检测技术人员。</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2.2在履行本合同义务的期间，应运用合理的技能，认真、勤奋的工作。</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2.3在本合同期内或合同终止后，未征得有关方同意，不得泄漏与本项目、本合同有关的技术、资料等。</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b/>
          <w:bCs/>
          <w:color w:val="000000" w:themeColor="text1"/>
          <w:sz w:val="24"/>
          <w:szCs w:val="24"/>
          <w:highlight w:val="none"/>
          <w14:textFill>
            <w14:solidFill>
              <w14:schemeClr w14:val="tx1"/>
            </w14:solidFill>
          </w14:textFill>
        </w:rPr>
        <w:t>合同履行时间、履行方式及履行地点</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1.履行时间：</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2.履行方式：</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3.履行地点：</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十</w:t>
      </w:r>
      <w:r>
        <w:rPr>
          <w:rFonts w:hint="eastAsia" w:ascii="宋体" w:hAnsi="宋体" w:eastAsia="宋体" w:cs="宋体"/>
          <w:b/>
          <w:bCs/>
          <w:color w:val="000000" w:themeColor="text1"/>
          <w:sz w:val="24"/>
          <w:szCs w:val="24"/>
          <w:highlight w:val="none"/>
          <w14:textFill>
            <w14:solidFill>
              <w14:schemeClr w14:val="tx1"/>
            </w14:solidFill>
          </w14:textFill>
        </w:rPr>
        <w:t>、款项支付</w:t>
      </w:r>
    </w:p>
    <w:p>
      <w:pPr>
        <w:shd w:val="clear"/>
        <w:snapToGrid w:val="0"/>
        <w:spacing w:beforeLines="50" w:afterLines="5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结合第四方监理对</w:t>
      </w:r>
      <w:r>
        <w:rPr>
          <w:rFonts w:hint="eastAsia" w:ascii="宋体" w:hAnsi="宋体" w:eastAsia="宋体" w:cs="宋体"/>
          <w:color w:val="000000" w:themeColor="text1"/>
          <w:sz w:val="24"/>
          <w:szCs w:val="24"/>
          <w:highlight w:val="none"/>
          <w14:textFill>
            <w14:solidFill>
              <w14:schemeClr w14:val="tx1"/>
            </w14:solidFill>
          </w14:textFill>
        </w:rPr>
        <w:t>有效</w:t>
      </w:r>
      <w:r>
        <w:rPr>
          <w:rFonts w:hint="eastAsia" w:ascii="宋体" w:hAnsi="宋体" w:eastAsia="宋体" w:cs="宋体"/>
          <w:color w:val="000000" w:themeColor="text1"/>
          <w:sz w:val="24"/>
          <w:szCs w:val="24"/>
          <w:highlight w:val="none"/>
          <w:lang w:val="en-US" w:eastAsia="zh-CN"/>
          <w14:textFill>
            <w14:solidFill>
              <w14:schemeClr w14:val="tx1"/>
            </w14:solidFill>
          </w14:textFill>
        </w:rPr>
        <w:t>数据获取</w:t>
      </w:r>
      <w:r>
        <w:rPr>
          <w:rFonts w:hint="eastAsia" w:ascii="宋体" w:hAnsi="宋体" w:eastAsia="宋体" w:cs="宋体"/>
          <w:color w:val="000000" w:themeColor="text1"/>
          <w:sz w:val="24"/>
          <w:szCs w:val="24"/>
          <w:highlight w:val="none"/>
          <w14:textFill>
            <w14:solidFill>
              <w14:schemeClr w14:val="tx1"/>
            </w14:solidFill>
          </w14:textFill>
        </w:rPr>
        <w:t>率、日常运维、服务保障</w:t>
      </w:r>
      <w:r>
        <w:rPr>
          <w:rFonts w:hint="eastAsia" w:ascii="宋体" w:hAnsi="宋体" w:eastAsia="宋体" w:cs="宋体"/>
          <w:color w:val="000000" w:themeColor="text1"/>
          <w:sz w:val="24"/>
          <w:szCs w:val="24"/>
          <w:highlight w:val="none"/>
          <w:lang w:val="en-US" w:eastAsia="zh-CN"/>
          <w14:textFill>
            <w14:solidFill>
              <w14:schemeClr w14:val="tx1"/>
            </w14:solidFill>
          </w14:textFill>
        </w:rPr>
        <w:t>等相关工作情况的</w:t>
      </w:r>
      <w:r>
        <w:rPr>
          <w:rFonts w:hint="eastAsia" w:ascii="宋体" w:hAnsi="宋体" w:eastAsia="宋体" w:cs="宋体"/>
          <w:color w:val="000000" w:themeColor="text1"/>
          <w:sz w:val="24"/>
          <w:szCs w:val="24"/>
          <w:highlight w:val="none"/>
          <w14:textFill>
            <w14:solidFill>
              <w14:schemeClr w14:val="tx1"/>
            </w14:solidFill>
          </w14:textFill>
        </w:rPr>
        <w:t>考</w:t>
      </w:r>
      <w:r>
        <w:rPr>
          <w:rFonts w:hint="eastAsia" w:ascii="宋体" w:hAnsi="宋体" w:eastAsia="宋体" w:cs="宋体"/>
          <w:color w:val="000000" w:themeColor="text1"/>
          <w:sz w:val="24"/>
          <w:szCs w:val="24"/>
          <w:highlight w:val="none"/>
          <w:lang w:val="en-US" w:eastAsia="zh-CN"/>
          <w14:textFill>
            <w14:solidFill>
              <w14:schemeClr w14:val="tx1"/>
            </w14:solidFill>
          </w14:textFill>
        </w:rPr>
        <w:t>评情况支付运维费</w:t>
      </w:r>
      <w:r>
        <w:rPr>
          <w:rFonts w:hint="eastAsia" w:ascii="宋体" w:hAnsi="宋体" w:eastAsia="宋体" w:cs="宋体"/>
          <w:color w:val="000000" w:themeColor="text1"/>
          <w:sz w:val="24"/>
          <w:szCs w:val="24"/>
          <w:highlight w:val="none"/>
          <w14:textFill>
            <w14:solidFill>
              <w14:schemeClr w14:val="tx1"/>
            </w14:solidFill>
          </w14:textFill>
        </w:rPr>
        <w:t>。第一、第二和第三季度根据季度考评结果，下一季度30个工作日内支付运维费用总金额的20%，第四季度根据季度考评和年考评结果，第四季度结束后30个工作日内支付运维费用总金额的40%。</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szCs w:val="24"/>
          <w:highlight w:val="none"/>
          <w14:textFill>
            <w14:solidFill>
              <w14:schemeClr w14:val="tx1"/>
            </w14:solidFill>
          </w14:textFill>
        </w:rPr>
        <w:t>、税费</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本合同执行中相关的一切税费均由乙方负担。</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、质量保证及后续服务</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1.乙方应按招标文件规定向甲方提供服务。</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乙方提供的服务成果在服务质量保证期内发生故障，乙方应负责免费提供后续服务。对达不到要求者，根据实际情况，经双方协商，可按以下办法处理：</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⑴重做：由乙方承担所发生的全部费用。</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⑵贬值处理：由甲乙双方合议定价。</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⑶解除合同。</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如在使用过程中发生问题，乙方在接到甲方通知后在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小时内到达甲方现场。</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在服务质量保证期内，乙方应对出现的质量及安全问题负责处理解决并承担一切费用。</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、违约责任</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1.甲方无正当理由拒收接受服务的，甲方向乙方偿付合同款项百分之五作为违约金。</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2.甲方无故逾期验收和办理款项支付手续的,甲方应按逾期付款总额每日万分之五向乙方支付违约金。</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乙方未能如期提供服务的，每日向甲方支付合同款项的千分之六作为违约金。乙方超过约定日期10个工作日仍不能提供服务的，甲方可解除本合同，扣除履约保证金。乙方因未能如期提供服务或因其他违约行为导致甲方解除合同的，乙方应向甲方支付合同总值5%的违约金，如造成甲方损失超过违约金的，超出部分由乙方继续承担赔偿责任。 </w:t>
      </w:r>
    </w:p>
    <w:p>
      <w:pPr>
        <w:shd w:val="clea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、不可抗力事件处理</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在合同有效期内，任何一方因不可抗力事件导致不能履行合同，则合同履行期可延长，其延长期与不可抗力影响期相同。</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不可抗力事件发生后，应立即通知对方，并寄送有关权威机构出具的证明。</w:t>
      </w:r>
    </w:p>
    <w:p>
      <w:pPr>
        <w:shd w:val="clear"/>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不可抗力事件延续120天以上，双方应通过友好协商，确定是否继续履行合同。</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十</w:t>
      </w:r>
      <w:r>
        <w:rPr>
          <w:rFonts w:hint="eastAsia" w:ascii="宋体" w:hAnsi="宋体" w:eastAsia="宋体" w:cs="宋体"/>
          <w:b/>
          <w:color w:val="000000" w:themeColor="text1"/>
          <w:sz w:val="24"/>
          <w:highlight w:val="none"/>
          <w:lang w:val="en-US" w:eastAsia="zh-CN"/>
          <w14:textFill>
            <w14:solidFill>
              <w14:schemeClr w14:val="tx1"/>
            </w14:solidFill>
          </w14:textFill>
        </w:rPr>
        <w:t>五</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szCs w:val="32"/>
          <w:highlight w:val="none"/>
          <w14:textFill>
            <w14:solidFill>
              <w14:schemeClr w14:val="tx1"/>
            </w14:solidFill>
          </w14:textFill>
        </w:rPr>
        <w:t>仲裁</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1.仲裁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1）凡有关本合同或执行本合同中发生的争端，应通过友好协商，妥善解决。如通过协商仍不能解决时，可台州仲裁委员会申请调解或仲裁；</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2）仲裁费用除台州仲裁委员会另有裁决外，由败诉方承担；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3）在仲裁期间，除正在进行仲裁的部分外，本合同其它部分应继续执行。</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2.适用法律</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本合同按照中华人民共和国的法律进行解释。</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3.组成本合同文件及优先解释顺序如下：</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1）本合同协议书；</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2）中标通知书；</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3）招标文件以及更正通知；</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4）投标文件及评标过程中有关澄清文件；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5）国家有关标准、规范及有关技术文件；</w:t>
      </w:r>
    </w:p>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十</w:t>
      </w:r>
      <w:r>
        <w:rPr>
          <w:rFonts w:hint="eastAsia" w:ascii="宋体" w:hAnsi="宋体" w:eastAsia="宋体" w:cs="宋体"/>
          <w:b/>
          <w:color w:val="000000" w:themeColor="text1"/>
          <w:sz w:val="24"/>
          <w:highlight w:val="none"/>
          <w:lang w:val="en-US" w:eastAsia="zh-CN"/>
          <w14:textFill>
            <w14:solidFill>
              <w14:schemeClr w14:val="tx1"/>
            </w14:solidFill>
          </w14:textFill>
        </w:rPr>
        <w:t>六</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szCs w:val="32"/>
          <w:highlight w:val="none"/>
          <w:lang w:val="zh-CN"/>
          <w14:textFill>
            <w14:solidFill>
              <w14:schemeClr w14:val="tx1"/>
            </w14:solidFill>
          </w14:textFill>
        </w:rPr>
        <w:t>合同生效及其它</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1.合同经甲、乙二方签字并加盖单位公章后生效。</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2.合同执行中涉及采购资金和采购内容修改或补充的，须经甲方认同并签书面补充协议，经报政府采购监督管理部门备案后，方可作为主合同不可分割的一部分。</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3.招标文件、投标文件与本合同具有同等法律效力。</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4.本合同未尽事宜，遵照《</w:t>
      </w:r>
      <w:r>
        <w:rPr>
          <w:rFonts w:hint="eastAsia" w:ascii="宋体" w:hAnsi="宋体" w:eastAsia="宋体" w:cs="宋体"/>
          <w:color w:val="000000" w:themeColor="text1"/>
          <w:sz w:val="24"/>
          <w:szCs w:val="32"/>
          <w:highlight w:val="none"/>
          <w14:textFill>
            <w14:solidFill>
              <w14:schemeClr w14:val="tx1"/>
            </w14:solidFill>
          </w14:textFill>
        </w:rPr>
        <w:t>中华人民共和国民法典</w:t>
      </w:r>
      <w:r>
        <w:rPr>
          <w:rFonts w:hint="eastAsia" w:ascii="宋体" w:hAnsi="宋体" w:eastAsia="宋体" w:cs="宋体"/>
          <w:color w:val="000000" w:themeColor="text1"/>
          <w:sz w:val="24"/>
          <w:szCs w:val="32"/>
          <w:highlight w:val="none"/>
          <w:lang w:val="zh-CN"/>
          <w14:textFill>
            <w14:solidFill>
              <w14:schemeClr w14:val="tx1"/>
            </w14:solidFill>
          </w14:textFill>
        </w:rPr>
        <w:t>》有关条文执行。</w:t>
      </w:r>
    </w:p>
    <w:p>
      <w:pPr>
        <w:shd w:val="clear"/>
        <w:spacing w:line="360" w:lineRule="auto"/>
        <w:ind w:firstLine="480" w:firstLineChars="200"/>
        <w:jc w:val="left"/>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5.本合同一式六份，具有同等法律效力，甲、乙方各执二份，采购组织机构及同级人民政府财政部门各执一份。</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甲方（公章）：                          乙方（公章）：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法定代表人或委托代理人（签字）：        法定代表人或委托代理人（签字）：</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联系电话：                              联系电话：</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开户银行（必填）：                      开户银行（必填）：</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账号（必填）：                          账号（必填）：</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签订时间：    年   月    日</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合同鉴证方（鉴证章）：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鉴证日期：</w:t>
      </w: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pStyle w:val="4"/>
        <w:shd w:val="clear"/>
        <w:rPr>
          <w:rFonts w:hint="eastAsia" w:ascii="宋体" w:hAnsi="宋体" w:eastAsia="宋体" w:cs="宋体"/>
          <w:color w:val="000000" w:themeColor="text1"/>
          <w:sz w:val="36"/>
          <w:highlight w:val="none"/>
          <w14:textFill>
            <w14:solidFill>
              <w14:schemeClr w14:val="tx1"/>
            </w14:solidFill>
          </w14:textFill>
        </w:rPr>
      </w:pPr>
    </w:p>
    <w:p>
      <w:pPr>
        <w:shd w:val="clear"/>
        <w:rPr>
          <w:rFonts w:hint="eastAsia" w:ascii="宋体" w:hAnsi="宋体" w:eastAsia="宋体" w:cs="宋体"/>
          <w:b/>
          <w:bCs/>
          <w:color w:val="000000" w:themeColor="text1"/>
          <w:sz w:val="36"/>
          <w:szCs w:val="44"/>
          <w:highlight w:val="none"/>
          <w14:textFill>
            <w14:solidFill>
              <w14:schemeClr w14:val="tx1"/>
            </w14:solidFill>
          </w14:textFill>
        </w:rPr>
      </w:pPr>
    </w:p>
    <w:p>
      <w:pPr>
        <w:pStyle w:val="4"/>
        <w:shd w:val="clear"/>
        <w:rPr>
          <w:rFonts w:hint="eastAsia" w:ascii="宋体" w:hAnsi="宋体" w:eastAsia="宋体" w:cs="宋体"/>
          <w:color w:val="000000" w:themeColor="text1"/>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pStyle w:val="11"/>
        <w:shd w:val="clear"/>
        <w:rPr>
          <w:rFonts w:hint="eastAsia" w:ascii="宋体" w:hAnsi="宋体" w:eastAsia="宋体" w:cs="宋体"/>
          <w:color w:val="000000" w:themeColor="text1"/>
          <w:highlight w:val="none"/>
          <w14:textFill>
            <w14:solidFill>
              <w14:schemeClr w14:val="tx1"/>
            </w14:solidFill>
          </w14:textFill>
        </w:rPr>
      </w:pPr>
    </w:p>
    <w:p>
      <w:pPr>
        <w:pStyle w:val="12"/>
        <w:shd w:val="clear"/>
        <w:rPr>
          <w:rFonts w:hint="eastAsia" w:ascii="宋体" w:hAnsi="宋体" w:eastAsia="宋体" w:cs="宋体"/>
          <w:color w:val="000000" w:themeColor="text1"/>
          <w:highlight w:val="none"/>
          <w14:textFill>
            <w14:solidFill>
              <w14:schemeClr w14:val="tx1"/>
            </w14:solidFill>
          </w14:textFill>
        </w:rPr>
      </w:pPr>
    </w:p>
    <w:p>
      <w:pPr>
        <w:shd w:val="clear"/>
        <w:rPr>
          <w:rFonts w:hint="eastAsia" w:ascii="宋体" w:hAnsi="宋体" w:eastAsia="宋体" w:cs="宋体"/>
          <w:color w:val="000000" w:themeColor="text1"/>
          <w:highlight w:val="none"/>
          <w14:textFill>
            <w14:solidFill>
              <w14:schemeClr w14:val="tx1"/>
            </w14:solidFill>
          </w14:textFill>
        </w:rPr>
      </w:pPr>
    </w:p>
    <w:p>
      <w:pPr>
        <w:pStyle w:val="11"/>
        <w:shd w:val="clear"/>
        <w:rPr>
          <w:rFonts w:hint="eastAsia" w:ascii="宋体" w:hAnsi="宋体" w:eastAsia="宋体" w:cs="宋体"/>
          <w:color w:val="000000" w:themeColor="text1"/>
          <w:highlight w:val="none"/>
          <w14:textFill>
            <w14:solidFill>
              <w14:schemeClr w14:val="tx1"/>
            </w14:solidFill>
          </w14:textFill>
        </w:rPr>
      </w:pPr>
    </w:p>
    <w:p>
      <w:pPr>
        <w:pStyle w:val="12"/>
        <w:shd w:val="clear"/>
        <w:rPr>
          <w:rFonts w:hint="eastAsia"/>
          <w:color w:val="000000" w:themeColor="text1"/>
          <w:highlight w:val="none"/>
          <w14:textFill>
            <w14:solidFill>
              <w14:schemeClr w14:val="tx1"/>
            </w14:solidFill>
          </w14:textFill>
        </w:rPr>
      </w:pPr>
    </w:p>
    <w:p>
      <w:pPr>
        <w:pStyle w:val="12"/>
        <w:shd w:val="clear"/>
        <w:rPr>
          <w:rFonts w:hint="eastAsia" w:ascii="宋体" w:hAnsi="宋体" w:eastAsia="宋体" w:cs="宋体"/>
          <w:color w:val="000000" w:themeColor="text1"/>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第六章 投标文件格式附件</w:t>
      </w:r>
    </w:p>
    <w:p>
      <w:pPr>
        <w:shd w:val="clea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附件1　</w:t>
      </w:r>
      <w:r>
        <w:rPr>
          <w:rFonts w:hint="eastAsia" w:ascii="宋体" w:hAnsi="宋体" w:eastAsia="宋体" w:cs="宋体"/>
          <w:color w:val="000000" w:themeColor="text1"/>
          <w:sz w:val="30"/>
          <w:szCs w:val="30"/>
          <w:highlight w:val="non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本</w:t>
      </w:r>
    </w:p>
    <w:p>
      <w:pPr>
        <w:shd w:val="clear"/>
        <w:spacing w:line="360" w:lineRule="auto"/>
        <w:rPr>
          <w:rFonts w:hint="eastAsia" w:ascii="宋体" w:hAnsi="宋体" w:eastAsia="宋体" w:cs="宋体"/>
          <w:b/>
          <w:color w:val="000000" w:themeColor="text1"/>
          <w:sz w:val="30"/>
          <w:szCs w:val="30"/>
          <w:highlight w:val="none"/>
          <w14:textFill>
            <w14:solidFill>
              <w14:schemeClr w14:val="tx1"/>
            </w14:solidFill>
          </w14:textFill>
        </w:rPr>
      </w:pPr>
    </w:p>
    <w:p>
      <w:pPr>
        <w:shd w:val="clear"/>
        <w:spacing w:line="360" w:lineRule="auto"/>
        <w:jc w:val="center"/>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pPr>
        <w:shd w:val="clear"/>
        <w:spacing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项目编号：（标段）</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投</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标</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文</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件</w:t>
      </w:r>
    </w:p>
    <w:p>
      <w:pPr>
        <w:shd w:val="clear"/>
        <w:autoSpaceDE w:val="0"/>
        <w:autoSpaceDN w:val="0"/>
        <w:adjustRightInd w:val="0"/>
        <w:spacing w:line="360" w:lineRule="auto"/>
        <w:jc w:val="center"/>
        <w:rPr>
          <w:rFonts w:hint="eastAsia" w:ascii="宋体" w:hAnsi="宋体" w:eastAsia="宋体" w:cs="宋体"/>
          <w:b/>
          <w:color w:val="000000" w:themeColor="text1"/>
          <w:spacing w:val="4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zh-CN"/>
          <w14:textFill>
            <w14:solidFill>
              <w14:schemeClr w14:val="tx1"/>
            </w14:solidFill>
          </w14:textFill>
        </w:rPr>
        <w:t>（</w:t>
      </w:r>
      <w:r>
        <w:rPr>
          <w:rFonts w:hint="eastAsia" w:ascii="宋体" w:hAnsi="宋体" w:eastAsia="宋体" w:cs="宋体"/>
          <w:b/>
          <w:color w:val="000000" w:themeColor="text1"/>
          <w:spacing w:val="40"/>
          <w:sz w:val="28"/>
          <w:szCs w:val="28"/>
          <w:highlight w:val="none"/>
          <w14:textFill>
            <w14:solidFill>
              <w14:schemeClr w14:val="tx1"/>
            </w14:solidFill>
          </w14:textFill>
        </w:rPr>
        <w:t>资格证明文件）</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投标人全称（公章）：</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地址：</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时间：</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资格证明文件目录</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（1）投标声明书（附件</w:t>
      </w:r>
      <w:r>
        <w:rPr>
          <w:rFonts w:hint="eastAsia" w:ascii="宋体" w:hAnsi="宋体" w:cs="宋体"/>
          <w:color w:val="000000" w:themeColor="text1"/>
          <w:sz w:val="28"/>
          <w:szCs w:val="36"/>
          <w:highlight w:val="none"/>
          <w:lang w:val="en-US" w:eastAsia="zh-CN"/>
          <w14:textFill>
            <w14:solidFill>
              <w14:schemeClr w14:val="tx1"/>
            </w14:solidFill>
          </w14:textFill>
        </w:rPr>
        <w:t>2</w:t>
      </w:r>
      <w:r>
        <w:rPr>
          <w:rFonts w:hint="eastAsia" w:ascii="宋体" w:hAnsi="宋体" w:eastAsia="宋体" w:cs="宋体"/>
          <w:color w:val="000000" w:themeColor="text1"/>
          <w:sz w:val="28"/>
          <w:szCs w:val="36"/>
          <w:highlight w:val="none"/>
          <w14:textFill>
            <w14:solidFill>
              <w14:schemeClr w14:val="tx1"/>
            </w14:solidFill>
          </w14:textFill>
        </w:rPr>
        <w:t>）；</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w:t>
      </w:r>
      <w:r>
        <w:rPr>
          <w:rFonts w:hint="eastAsia" w:ascii="宋体" w:hAnsi="宋体" w:cs="宋体"/>
          <w:color w:val="000000" w:themeColor="text1"/>
          <w:sz w:val="28"/>
          <w:szCs w:val="36"/>
          <w:highlight w:val="none"/>
          <w:lang w:val="en-US" w:eastAsia="zh-CN"/>
          <w14:textFill>
            <w14:solidFill>
              <w14:schemeClr w14:val="tx1"/>
            </w14:solidFill>
          </w14:textFill>
        </w:rPr>
        <w:t>2</w:t>
      </w:r>
      <w:r>
        <w:rPr>
          <w:rFonts w:hint="eastAsia" w:ascii="宋体" w:hAnsi="宋体" w:eastAsia="宋体" w:cs="宋体"/>
          <w:color w:val="000000" w:themeColor="text1"/>
          <w:sz w:val="28"/>
          <w:szCs w:val="36"/>
          <w:highlight w:val="none"/>
          <w14:textFill>
            <w14:solidFill>
              <w14:schemeClr w14:val="tx1"/>
            </w14:solidFill>
          </w14:textFill>
        </w:rPr>
        <w:t>）授权委托书（附件</w:t>
      </w:r>
      <w:r>
        <w:rPr>
          <w:rFonts w:hint="eastAsia" w:ascii="宋体" w:hAnsi="宋体" w:cs="宋体"/>
          <w:color w:val="000000" w:themeColor="text1"/>
          <w:sz w:val="28"/>
          <w:szCs w:val="36"/>
          <w:highlight w:val="none"/>
          <w:lang w:val="en-US" w:eastAsia="zh-CN"/>
          <w14:textFill>
            <w14:solidFill>
              <w14:schemeClr w14:val="tx1"/>
            </w14:solidFill>
          </w14:textFill>
        </w:rPr>
        <w:t>3</w:t>
      </w:r>
      <w:r>
        <w:rPr>
          <w:rFonts w:hint="eastAsia" w:ascii="宋体" w:hAnsi="宋体" w:eastAsia="宋体" w:cs="宋体"/>
          <w:color w:val="000000" w:themeColor="text1"/>
          <w:sz w:val="28"/>
          <w:szCs w:val="36"/>
          <w:highlight w:val="none"/>
          <w14:textFill>
            <w14:solidFill>
              <w14:schemeClr w14:val="tx1"/>
            </w14:solidFill>
          </w14:textFill>
        </w:rPr>
        <w:t>）；</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w:t>
      </w:r>
      <w:r>
        <w:rPr>
          <w:rFonts w:hint="eastAsia" w:ascii="宋体" w:hAnsi="宋体" w:cs="宋体"/>
          <w:color w:val="000000" w:themeColor="text1"/>
          <w:sz w:val="28"/>
          <w:szCs w:val="36"/>
          <w:highlight w:val="none"/>
          <w:lang w:val="en-US" w:eastAsia="zh-CN"/>
          <w14:textFill>
            <w14:solidFill>
              <w14:schemeClr w14:val="tx1"/>
            </w14:solidFill>
          </w14:textFill>
        </w:rPr>
        <w:t>3</w:t>
      </w:r>
      <w:r>
        <w:rPr>
          <w:rFonts w:hint="eastAsia" w:ascii="宋体" w:hAnsi="宋体" w:eastAsia="宋体" w:cs="宋体"/>
          <w:color w:val="000000" w:themeColor="text1"/>
          <w:sz w:val="28"/>
          <w:szCs w:val="36"/>
          <w:highlight w:val="none"/>
          <w14:textFill>
            <w14:solidFill>
              <w14:schemeClr w14:val="tx1"/>
            </w14:solidFill>
          </w14:textFill>
        </w:rPr>
        <w:t>）法人或者其他组织的营业执照等证明文件，自然人的身份证明（附件</w:t>
      </w:r>
      <w:r>
        <w:rPr>
          <w:rFonts w:hint="eastAsia" w:ascii="宋体" w:hAnsi="宋体" w:cs="宋体"/>
          <w:color w:val="000000" w:themeColor="text1"/>
          <w:sz w:val="28"/>
          <w:szCs w:val="36"/>
          <w:highlight w:val="none"/>
          <w:lang w:val="en-US" w:eastAsia="zh-CN"/>
          <w14:textFill>
            <w14:solidFill>
              <w14:schemeClr w14:val="tx1"/>
            </w14:solidFill>
          </w14:textFill>
        </w:rPr>
        <w:t>4</w:t>
      </w:r>
      <w:r>
        <w:rPr>
          <w:rFonts w:hint="eastAsia" w:ascii="宋体" w:hAnsi="宋体" w:eastAsia="宋体" w:cs="宋体"/>
          <w:color w:val="000000" w:themeColor="text1"/>
          <w:sz w:val="28"/>
          <w:szCs w:val="36"/>
          <w:highlight w:val="none"/>
          <w14:textFill>
            <w14:solidFill>
              <w14:schemeClr w14:val="tx1"/>
            </w14:solidFill>
          </w14:textFill>
        </w:rPr>
        <w:t>）；</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w:t>
      </w:r>
      <w:r>
        <w:rPr>
          <w:rFonts w:hint="eastAsia" w:ascii="宋体" w:hAnsi="宋体" w:cs="宋体"/>
          <w:color w:val="000000" w:themeColor="text1"/>
          <w:sz w:val="28"/>
          <w:szCs w:val="36"/>
          <w:highlight w:val="none"/>
          <w:lang w:val="en-US" w:eastAsia="zh-CN"/>
          <w14:textFill>
            <w14:solidFill>
              <w14:schemeClr w14:val="tx1"/>
            </w14:solidFill>
          </w14:textFill>
        </w:rPr>
        <w:t>4</w:t>
      </w:r>
      <w:r>
        <w:rPr>
          <w:rFonts w:hint="eastAsia" w:ascii="宋体" w:hAnsi="宋体" w:eastAsia="宋体" w:cs="宋体"/>
          <w:color w:val="000000" w:themeColor="text1"/>
          <w:sz w:val="28"/>
          <w:szCs w:val="36"/>
          <w:highlight w:val="none"/>
          <w14:textFill>
            <w14:solidFill>
              <w14:schemeClr w14:val="tx1"/>
            </w14:solidFill>
          </w14:textFill>
        </w:rPr>
        <w:t>）具有良好的商业信誉和健全的财务会计制度的承诺（附件</w:t>
      </w:r>
      <w:r>
        <w:rPr>
          <w:rFonts w:hint="eastAsia" w:ascii="宋体" w:hAnsi="宋体" w:cs="宋体"/>
          <w:color w:val="000000" w:themeColor="text1"/>
          <w:sz w:val="28"/>
          <w:szCs w:val="36"/>
          <w:highlight w:val="none"/>
          <w:lang w:val="en-US" w:eastAsia="zh-CN"/>
          <w14:textFill>
            <w14:solidFill>
              <w14:schemeClr w14:val="tx1"/>
            </w14:solidFill>
          </w14:textFill>
        </w:rPr>
        <w:t>5</w:t>
      </w:r>
      <w:r>
        <w:rPr>
          <w:rFonts w:hint="eastAsia" w:ascii="宋体" w:hAnsi="宋体" w:eastAsia="宋体" w:cs="宋体"/>
          <w:color w:val="000000" w:themeColor="text1"/>
          <w:sz w:val="28"/>
          <w:szCs w:val="36"/>
          <w:highlight w:val="none"/>
          <w14:textFill>
            <w14:solidFill>
              <w14:schemeClr w14:val="tx1"/>
            </w14:solidFill>
          </w14:textFill>
        </w:rPr>
        <w:t>）；</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w:t>
      </w:r>
      <w:r>
        <w:rPr>
          <w:rFonts w:hint="eastAsia" w:ascii="宋体" w:hAnsi="宋体" w:cs="宋体"/>
          <w:color w:val="000000" w:themeColor="text1"/>
          <w:sz w:val="28"/>
          <w:szCs w:val="36"/>
          <w:highlight w:val="none"/>
          <w:lang w:val="en-US" w:eastAsia="zh-CN"/>
          <w14:textFill>
            <w14:solidFill>
              <w14:schemeClr w14:val="tx1"/>
            </w14:solidFill>
          </w14:textFill>
        </w:rPr>
        <w:t>5</w:t>
      </w:r>
      <w:r>
        <w:rPr>
          <w:rFonts w:hint="eastAsia" w:ascii="宋体" w:hAnsi="宋体" w:eastAsia="宋体" w:cs="宋体"/>
          <w:color w:val="000000" w:themeColor="text1"/>
          <w:sz w:val="28"/>
          <w:szCs w:val="36"/>
          <w:highlight w:val="none"/>
          <w14:textFill>
            <w14:solidFill>
              <w14:schemeClr w14:val="tx1"/>
            </w14:solidFill>
          </w14:textFill>
        </w:rPr>
        <w:t>）依法缴纳税收和社会保障资金的承诺（附件</w:t>
      </w:r>
      <w:r>
        <w:rPr>
          <w:rFonts w:hint="eastAsia" w:ascii="宋体" w:hAnsi="宋体" w:cs="宋体"/>
          <w:color w:val="000000" w:themeColor="text1"/>
          <w:sz w:val="28"/>
          <w:szCs w:val="36"/>
          <w:highlight w:val="none"/>
          <w:lang w:val="en-US" w:eastAsia="zh-CN"/>
          <w14:textFill>
            <w14:solidFill>
              <w14:schemeClr w14:val="tx1"/>
            </w14:solidFill>
          </w14:textFill>
        </w:rPr>
        <w:t>6</w:t>
      </w:r>
      <w:r>
        <w:rPr>
          <w:rFonts w:hint="eastAsia" w:ascii="宋体" w:hAnsi="宋体" w:eastAsia="宋体" w:cs="宋体"/>
          <w:color w:val="000000" w:themeColor="text1"/>
          <w:sz w:val="28"/>
          <w:szCs w:val="36"/>
          <w:highlight w:val="none"/>
          <w14:textFill>
            <w14:solidFill>
              <w14:schemeClr w14:val="tx1"/>
            </w14:solidFill>
          </w14:textFill>
        </w:rPr>
        <w:t>）；</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w:t>
      </w:r>
      <w:r>
        <w:rPr>
          <w:rFonts w:hint="eastAsia" w:ascii="宋体" w:hAnsi="宋体" w:cs="宋体"/>
          <w:color w:val="000000" w:themeColor="text1"/>
          <w:sz w:val="28"/>
          <w:szCs w:val="36"/>
          <w:highlight w:val="none"/>
          <w:lang w:val="en-US" w:eastAsia="zh-CN"/>
          <w14:textFill>
            <w14:solidFill>
              <w14:schemeClr w14:val="tx1"/>
            </w14:solidFill>
          </w14:textFill>
        </w:rPr>
        <w:t>6</w:t>
      </w:r>
      <w:r>
        <w:rPr>
          <w:rFonts w:hint="eastAsia" w:ascii="宋体" w:hAnsi="宋体" w:eastAsia="宋体" w:cs="宋体"/>
          <w:color w:val="000000" w:themeColor="text1"/>
          <w:sz w:val="28"/>
          <w:szCs w:val="36"/>
          <w:highlight w:val="none"/>
          <w14:textFill>
            <w14:solidFill>
              <w14:schemeClr w14:val="tx1"/>
            </w14:solidFill>
          </w14:textFill>
        </w:rPr>
        <w:t>）参加政府采购活动前三年内，在经营活动中没有重大违法记录（附件</w:t>
      </w:r>
      <w:r>
        <w:rPr>
          <w:rFonts w:hint="eastAsia" w:ascii="宋体" w:hAnsi="宋体" w:cs="宋体"/>
          <w:color w:val="000000" w:themeColor="text1"/>
          <w:sz w:val="28"/>
          <w:szCs w:val="36"/>
          <w:highlight w:val="none"/>
          <w:lang w:val="en-US" w:eastAsia="zh-CN"/>
          <w14:textFill>
            <w14:solidFill>
              <w14:schemeClr w14:val="tx1"/>
            </w14:solidFill>
          </w14:textFill>
        </w:rPr>
        <w:t>7</w:t>
      </w:r>
      <w:r>
        <w:rPr>
          <w:rFonts w:hint="eastAsia" w:ascii="宋体" w:hAnsi="宋体" w:eastAsia="宋体" w:cs="宋体"/>
          <w:color w:val="000000" w:themeColor="text1"/>
          <w:sz w:val="28"/>
          <w:szCs w:val="36"/>
          <w:highlight w:val="none"/>
          <w14:textFill>
            <w14:solidFill>
              <w14:schemeClr w14:val="tx1"/>
            </w14:solidFill>
          </w14:textFill>
        </w:rPr>
        <w:t>）；</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w:t>
      </w:r>
      <w:r>
        <w:rPr>
          <w:rFonts w:hint="eastAsia" w:ascii="宋体" w:hAnsi="宋体" w:cs="宋体"/>
          <w:color w:val="000000" w:themeColor="text1"/>
          <w:sz w:val="28"/>
          <w:szCs w:val="36"/>
          <w:highlight w:val="none"/>
          <w:lang w:val="en-US" w:eastAsia="zh-CN"/>
          <w14:textFill>
            <w14:solidFill>
              <w14:schemeClr w14:val="tx1"/>
            </w14:solidFill>
          </w14:textFill>
        </w:rPr>
        <w:t>7</w:t>
      </w:r>
      <w:r>
        <w:rPr>
          <w:rFonts w:hint="eastAsia" w:ascii="宋体" w:hAnsi="宋体" w:eastAsia="宋体" w:cs="宋体"/>
          <w:color w:val="000000" w:themeColor="text1"/>
          <w:sz w:val="28"/>
          <w:szCs w:val="36"/>
          <w:highlight w:val="none"/>
          <w14:textFill>
            <w14:solidFill>
              <w14:schemeClr w14:val="tx1"/>
            </w14:solidFill>
          </w14:textFill>
        </w:rPr>
        <w:t>）需要说明的其他资料。</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pStyle w:val="20"/>
        <w:shd w:val="clear"/>
        <w:spacing w:line="480" w:lineRule="auto"/>
        <w:ind w:left="0" w:leftChars="0" w:firstLine="0" w:firstLineChars="0"/>
        <w:jc w:val="left"/>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color w:val="000000" w:themeColor="text1"/>
          <w:sz w:val="28"/>
          <w:highlight w:val="none"/>
          <w:lang w:val="en-US" w:eastAsia="zh-CN"/>
          <w14:textFill>
            <w14:solidFill>
              <w14:schemeClr w14:val="tx1"/>
            </w14:solidFill>
          </w14:textFill>
        </w:rPr>
        <w:t xml:space="preserve">附件2                </w:t>
      </w:r>
      <w:r>
        <w:rPr>
          <w:rFonts w:hint="eastAsia" w:ascii="宋体" w:hAnsi="宋体" w:eastAsia="宋体" w:cs="宋体"/>
          <w:b/>
          <w:color w:val="000000" w:themeColor="text1"/>
          <w:kern w:val="0"/>
          <w:sz w:val="32"/>
          <w:szCs w:val="32"/>
          <w:highlight w:val="none"/>
          <w:lang w:val="zh-CN"/>
          <w14:textFill>
            <w14:solidFill>
              <w14:schemeClr w14:val="tx1"/>
            </w14:solidFill>
          </w14:textFill>
        </w:rPr>
        <w:t>投标声明书</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lang w:eastAsia="zh-CN"/>
          <w14:textFill>
            <w14:solidFill>
              <w14:schemeClr w14:val="tx1"/>
            </w14:solidFill>
          </w14:textFill>
        </w:rPr>
        <w:t>浙江五石中正工程咨询有限公司</w:t>
      </w:r>
      <w:r>
        <w:rPr>
          <w:rFonts w:hint="eastAsia" w:ascii="宋体" w:hAnsi="宋体" w:eastAsia="宋体" w:cs="宋体"/>
          <w:color w:val="000000" w:themeColor="text1"/>
          <w:sz w:val="24"/>
          <w:szCs w:val="32"/>
          <w:highlight w:val="none"/>
          <w14:textFill>
            <w14:solidFill>
              <w14:schemeClr w14:val="tx1"/>
            </w14:solidFill>
          </w14:textFill>
        </w:rPr>
        <w:t>（采购代理机构名称）：</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（投标人名称）</w:t>
      </w:r>
      <w:r>
        <w:rPr>
          <w:rFonts w:hint="eastAsia" w:ascii="宋体" w:hAnsi="宋体" w:eastAsia="宋体" w:cs="宋体"/>
          <w:color w:val="000000" w:themeColor="text1"/>
          <w:sz w:val="24"/>
          <w:szCs w:val="32"/>
          <w:highlight w:val="none"/>
          <w14:textFill>
            <w14:solidFill>
              <w14:schemeClr w14:val="tx1"/>
            </w14:solidFill>
          </w14:textFill>
        </w:rPr>
        <w:t>系中华人民共和国合法企业，经营地址</w:t>
      </w:r>
      <w:r>
        <w:rPr>
          <w:rFonts w:hint="eastAsia" w:ascii="宋体" w:hAnsi="宋体" w:cs="宋体"/>
          <w:color w:val="000000" w:themeColor="text1"/>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w:t>
      </w:r>
      <w:r>
        <w:rPr>
          <w:rFonts w:hint="eastAsia" w:ascii="宋体" w:hAnsi="宋体" w:eastAsia="宋体" w:cs="宋体"/>
          <w:color w:val="000000" w:themeColor="text1"/>
          <w:sz w:val="24"/>
          <w:szCs w:val="32"/>
          <w:highlight w:val="none"/>
          <w:u w:val="single"/>
          <w14:textFill>
            <w14:solidFill>
              <w14:schemeClr w14:val="tx1"/>
            </w14:solidFill>
          </w14:textFill>
        </w:rPr>
        <w:t xml:space="preserve"> 姓名 </w:t>
      </w:r>
      <w:r>
        <w:rPr>
          <w:rFonts w:hint="eastAsia" w:ascii="宋体" w:hAnsi="宋体" w:eastAsia="宋体" w:cs="宋体"/>
          <w:color w:val="000000" w:themeColor="text1"/>
          <w:sz w:val="24"/>
          <w:szCs w:val="32"/>
          <w:highlight w:val="none"/>
          <w14:textFill>
            <w14:solidFill>
              <w14:schemeClr w14:val="tx1"/>
            </w14:solidFill>
          </w14:textFill>
        </w:rPr>
        <w:t>）系（</w:t>
      </w:r>
      <w:r>
        <w:rPr>
          <w:rFonts w:hint="eastAsia" w:ascii="宋体" w:hAnsi="宋体" w:eastAsia="宋体" w:cs="宋体"/>
          <w:color w:val="000000" w:themeColor="text1"/>
          <w:sz w:val="24"/>
          <w:szCs w:val="32"/>
          <w:highlight w:val="none"/>
          <w:u w:val="single"/>
          <w14:textFill>
            <w14:solidFill>
              <w14:schemeClr w14:val="tx1"/>
            </w14:solidFill>
          </w14:textFill>
        </w:rPr>
        <w:t xml:space="preserve"> 投标人名称 </w:t>
      </w:r>
      <w:r>
        <w:rPr>
          <w:rFonts w:hint="eastAsia" w:ascii="宋体" w:hAnsi="宋体" w:eastAsia="宋体" w:cs="宋体"/>
          <w:color w:val="000000" w:themeColor="text1"/>
          <w:sz w:val="24"/>
          <w:szCs w:val="32"/>
          <w:highlight w:val="none"/>
          <w14:textFill>
            <w14:solidFill>
              <w14:schemeClr w14:val="tx1"/>
            </w14:solidFill>
          </w14:textFill>
        </w:rPr>
        <w:t>）的法定代表人，我公司自愿参加贵方组织的（</w:t>
      </w:r>
      <w:r>
        <w:rPr>
          <w:rFonts w:hint="eastAsia" w:ascii="宋体" w:hAnsi="宋体" w:cs="宋体"/>
          <w:color w:val="000000" w:themeColor="text1"/>
          <w:sz w:val="24"/>
          <w:szCs w:val="32"/>
          <w:highlight w:val="none"/>
          <w:u w:val="single"/>
          <w:lang w:eastAsia="zh-CN"/>
          <w14:textFill>
            <w14:solidFill>
              <w14:schemeClr w14:val="tx1"/>
            </w14:solidFill>
          </w14:textFill>
        </w:rPr>
        <w:t>2022-2023年台州市省控环境质量自动监测站运维服务及运维监理服务采购项目</w:t>
      </w:r>
      <w:r>
        <w:rPr>
          <w:rFonts w:hint="eastAsia" w:ascii="宋体" w:hAnsi="宋体" w:eastAsia="宋体" w:cs="宋体"/>
          <w:color w:val="000000" w:themeColor="text1"/>
          <w:sz w:val="24"/>
          <w:szCs w:val="32"/>
          <w:highlight w:val="none"/>
          <w14:textFill>
            <w14:solidFill>
              <w14:schemeClr w14:val="tx1"/>
            </w14:solidFill>
          </w14:textFill>
        </w:rPr>
        <w:t>）（编号为</w:t>
      </w:r>
      <w:r>
        <w:rPr>
          <w:rFonts w:hint="eastAsia" w:ascii="宋体" w:hAnsi="宋体" w:cs="宋体"/>
          <w:color w:val="000000" w:themeColor="text1"/>
          <w:sz w:val="24"/>
          <w:szCs w:val="32"/>
          <w:highlight w:val="none"/>
          <w:u w:val="single"/>
          <w:lang w:eastAsia="zh-CN"/>
          <w14:textFill>
            <w14:solidFill>
              <w14:schemeClr w14:val="tx1"/>
            </w14:solidFill>
          </w14:textFill>
        </w:rPr>
        <w:t>ZJWS2022-JJ287</w:t>
      </w:r>
      <w:r>
        <w:rPr>
          <w:rFonts w:hint="eastAsia" w:ascii="宋体" w:hAnsi="宋体" w:eastAsia="宋体" w:cs="宋体"/>
          <w:color w:val="000000" w:themeColor="text1"/>
          <w:sz w:val="24"/>
          <w:szCs w:val="32"/>
          <w:highlight w:val="none"/>
          <w14:textFill>
            <w14:solidFill>
              <w14:schemeClr w14:val="tx1"/>
            </w14:solidFill>
          </w14:textFill>
        </w:rPr>
        <w:t>）的投标，为此，我公司就本次投标有关事项郑重声明如下：</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不是采购人的附属机构；在获知本项目采购信息后，与采购人聘请的为此项目提供咨询服务的公司及其附属机构没有任何联系。</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32"/>
          <w:highlight w:val="none"/>
          <w:lang w:val="af-ZA"/>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保证，</w:t>
      </w:r>
      <w:r>
        <w:rPr>
          <w:rFonts w:hint="eastAsia" w:ascii="宋体" w:hAnsi="宋体" w:eastAsia="宋体" w:cs="宋体"/>
          <w:color w:val="000000" w:themeColor="text1"/>
          <w:sz w:val="24"/>
          <w:szCs w:val="32"/>
          <w:highlight w:val="none"/>
          <w:lang w:val="af-ZA"/>
          <w14:textFill>
            <w14:solidFill>
              <w14:schemeClr w14:val="tx1"/>
            </w14:solidFill>
          </w14:textFill>
        </w:rPr>
        <w:t>采购人在中华人民共和国境内使用</w:t>
      </w:r>
      <w:r>
        <w:rPr>
          <w:rFonts w:hint="eastAsia" w:ascii="宋体" w:hAnsi="宋体" w:eastAsia="宋体" w:cs="宋体"/>
          <w:color w:val="000000" w:themeColor="text1"/>
          <w:sz w:val="24"/>
          <w:szCs w:val="32"/>
          <w:highlight w:val="none"/>
          <w14:textFill>
            <w14:solidFill>
              <w14:schemeClr w14:val="tx1"/>
            </w14:solidFill>
          </w14:textFill>
        </w:rPr>
        <w:t>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af-ZA"/>
          <w14:textFill>
            <w14:solidFill>
              <w14:schemeClr w14:val="tx1"/>
            </w14:solidFill>
          </w14:textFill>
        </w:rPr>
        <w:t>5、我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lang w:val="af-ZA"/>
          <w14:textFill>
            <w14:solidFill>
              <w14:schemeClr w14:val="tx1"/>
            </w14:solidFill>
          </w14:textFill>
        </w:rPr>
        <w:t>严格履行政府采购合同，不降低合同约定的产品质量和服务，不擅自变更、中止、终止合同，或拒绝履行合同义务；</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6、以上事项如有虚假或隐瞒，我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愿意承担一切后果，并不再寻求任何旨在减轻或免除法律责任的辩解。</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7、</w:t>
      </w:r>
      <w:r>
        <w:rPr>
          <w:rFonts w:hint="eastAsia" w:ascii="宋体" w:hAnsi="宋体" w:eastAsia="宋体" w:cs="宋体"/>
          <w:color w:val="000000" w:themeColor="text1"/>
          <w:sz w:val="24"/>
          <w:szCs w:val="32"/>
          <w:highlight w:val="none"/>
          <w:lang w:val="zh-CN"/>
          <w14:textFill>
            <w14:solidFill>
              <w14:schemeClr w14:val="tx1"/>
            </w14:solidFill>
          </w14:textFill>
        </w:rPr>
        <w:t>我单位所投每个标段按照“标段（）&gt;标段（）&gt;标段（）&gt;标段（）&gt;标段（）优先选择顺序（每个标段注明的顺序应一致）。</w:t>
      </w:r>
    </w:p>
    <w:p>
      <w:pPr>
        <w:shd w:val="clear"/>
        <w:spacing w:line="360" w:lineRule="auto"/>
        <w:ind w:firstLine="4560" w:firstLineChars="19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投标人名称（公章）：</w:t>
      </w:r>
    </w:p>
    <w:p>
      <w:pPr>
        <w:shd w:val="clear"/>
        <w:spacing w:line="360" w:lineRule="auto"/>
        <w:ind w:firstLine="2400" w:firstLineChars="10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法定代表人或授权委托人（签字</w:t>
      </w:r>
      <w:r>
        <w:rPr>
          <w:rFonts w:hint="eastAsia" w:ascii="宋体" w:hAnsi="宋体" w:cs="宋体"/>
          <w:color w:val="000000" w:themeColor="text1"/>
          <w:sz w:val="24"/>
          <w:szCs w:val="32"/>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32"/>
          <w:highlight w:val="none"/>
          <w:lang w:val="zh-CN"/>
          <w14:textFill>
            <w14:solidFill>
              <w14:schemeClr w14:val="tx1"/>
            </w14:solidFill>
          </w14:textFill>
        </w:rPr>
        <w:t>）：</w:t>
      </w:r>
    </w:p>
    <w:p>
      <w:pPr>
        <w:shd w:val="clear"/>
        <w:spacing w:line="360" w:lineRule="auto"/>
        <w:ind w:firstLine="4560" w:firstLineChars="19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日期：年月日</w:t>
      </w:r>
    </w:p>
    <w:p>
      <w:pPr>
        <w:keepNext w:val="0"/>
        <w:keepLines w:val="0"/>
        <w:pageBreakBefore w:val="0"/>
        <w:widowControl w:val="0"/>
        <w:shd w:val="clear"/>
        <w:kinsoku/>
        <w:wordWrap/>
        <w:overflowPunct w:val="0"/>
        <w:topLinePunct w:val="0"/>
        <w:autoSpaceDE/>
        <w:autoSpaceDN/>
        <w:bidi w:val="0"/>
        <w:adjustRightInd/>
        <w:snapToGrid/>
        <w:spacing w:before="50" w:line="560" w:lineRule="exact"/>
        <w:ind w:firstLine="0" w:firstLineChars="0"/>
        <w:jc w:val="both"/>
        <w:textAlignment w:val="auto"/>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snapToGrid/>
        <w:spacing w:before="50" w:line="560" w:lineRule="exact"/>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3</w:t>
      </w:r>
    </w:p>
    <w:p>
      <w:pPr>
        <w:shd w:val="clear"/>
        <w:spacing w:line="360" w:lineRule="auto"/>
        <w:jc w:val="center"/>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授权委托书</w:t>
      </w: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lang w:eastAsia="zh-CN"/>
          <w14:textFill>
            <w14:solidFill>
              <w14:schemeClr w14:val="tx1"/>
            </w14:solidFill>
          </w14:textFill>
        </w:rPr>
        <w:t>浙江五石中正工程咨询有限公司</w:t>
      </w:r>
      <w:r>
        <w:rPr>
          <w:rFonts w:hint="eastAsia" w:ascii="宋体" w:hAnsi="宋体" w:eastAsia="宋体" w:cs="宋体"/>
          <w:color w:val="000000" w:themeColor="text1"/>
          <w:sz w:val="24"/>
          <w:szCs w:val="32"/>
          <w:highlight w:val="none"/>
          <w14:textFill>
            <w14:solidFill>
              <w14:schemeClr w14:val="tx1"/>
            </w14:solidFill>
          </w14:textFill>
        </w:rPr>
        <w:t>（采购代理机构名称）：</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（投标人全称）</w:t>
      </w:r>
      <w:r>
        <w:rPr>
          <w:rFonts w:hint="eastAsia" w:ascii="宋体" w:hAnsi="宋体" w:eastAsia="宋体" w:cs="宋体"/>
          <w:color w:val="000000" w:themeColor="text1"/>
          <w:sz w:val="24"/>
          <w:szCs w:val="32"/>
          <w:highlight w:val="none"/>
          <w14:textFill>
            <w14:solidFill>
              <w14:schemeClr w14:val="tx1"/>
            </w14:solidFill>
          </w14:textFill>
        </w:rPr>
        <w:t>法定代表人（或营业执照中单位负责人）</w:t>
      </w:r>
      <w:r>
        <w:rPr>
          <w:rFonts w:hint="eastAsia" w:ascii="宋体" w:hAnsi="宋体" w:eastAsia="宋体" w:cs="宋体"/>
          <w:color w:val="000000" w:themeColor="text1"/>
          <w:sz w:val="24"/>
          <w:szCs w:val="32"/>
          <w:highlight w:val="none"/>
          <w:u w:val="single"/>
          <w14:textFill>
            <w14:solidFill>
              <w14:schemeClr w14:val="tx1"/>
            </w14:solidFill>
          </w14:textFill>
        </w:rPr>
        <w:tab/>
      </w:r>
      <w:r>
        <w:rPr>
          <w:rFonts w:hint="eastAsia" w:ascii="宋体" w:hAnsi="宋体" w:eastAsia="宋体" w:cs="宋体"/>
          <w:color w:val="000000" w:themeColor="text1"/>
          <w:sz w:val="24"/>
          <w:szCs w:val="32"/>
          <w:highlight w:val="none"/>
          <w:u w:val="single"/>
          <w14:textFill>
            <w14:solidFill>
              <w14:schemeClr w14:val="tx1"/>
            </w14:solidFill>
          </w14:textFill>
        </w:rPr>
        <w:t xml:space="preserve">（法定代表人或营业执照中单位负责人姓名） </w:t>
      </w:r>
      <w:r>
        <w:rPr>
          <w:rFonts w:hint="eastAsia" w:ascii="宋体" w:hAnsi="宋体" w:eastAsia="宋体" w:cs="宋体"/>
          <w:color w:val="000000" w:themeColor="text1"/>
          <w:sz w:val="24"/>
          <w:szCs w:val="32"/>
          <w:highlight w:val="none"/>
          <w14:textFill>
            <w14:solidFill>
              <w14:schemeClr w14:val="tx1"/>
            </w14:solidFill>
          </w14:textFill>
        </w:rPr>
        <w:t>授权</w:t>
      </w:r>
      <w:r>
        <w:rPr>
          <w:rFonts w:hint="eastAsia" w:ascii="宋体" w:hAnsi="宋体" w:eastAsia="宋体" w:cs="宋体"/>
          <w:color w:val="000000" w:themeColor="text1"/>
          <w:sz w:val="24"/>
          <w:szCs w:val="32"/>
          <w:highlight w:val="none"/>
          <w:u w:val="single"/>
          <w14:textFill>
            <w14:solidFill>
              <w14:schemeClr w14:val="tx1"/>
            </w14:solidFill>
          </w14:textFill>
        </w:rPr>
        <w:t xml:space="preserve"> （授权委托代理人姓名） </w:t>
      </w:r>
      <w:r>
        <w:rPr>
          <w:rFonts w:hint="eastAsia" w:ascii="宋体" w:hAnsi="宋体" w:eastAsia="宋体" w:cs="宋体"/>
          <w:color w:val="000000" w:themeColor="text1"/>
          <w:sz w:val="24"/>
          <w:szCs w:val="32"/>
          <w:highlight w:val="none"/>
          <w14:textFill>
            <w14:solidFill>
              <w14:schemeClr w14:val="tx1"/>
            </w14:solidFill>
          </w14:textFill>
        </w:rPr>
        <w:t>为授权委托代理人，参加贵单位组织的</w:t>
      </w:r>
      <w:r>
        <w:rPr>
          <w:rFonts w:hint="eastAsia" w:ascii="宋体" w:hAnsi="宋体" w:cs="宋体"/>
          <w:color w:val="000000" w:themeColor="text1"/>
          <w:sz w:val="24"/>
          <w:szCs w:val="32"/>
          <w:highlight w:val="none"/>
          <w:u w:val="single"/>
          <w:lang w:eastAsia="zh-CN"/>
          <w14:textFill>
            <w14:solidFill>
              <w14:schemeClr w14:val="tx1"/>
            </w14:solidFill>
          </w14:textFill>
        </w:rPr>
        <w:t>2022-2023年台州市省控环境质量自动监测站运维服务及运维监理服务采购项目</w:t>
      </w:r>
      <w:r>
        <w:rPr>
          <w:rFonts w:hint="eastAsia" w:ascii="宋体" w:hAnsi="宋体" w:eastAsia="宋体" w:cs="宋体"/>
          <w:color w:val="000000" w:themeColor="text1"/>
          <w:sz w:val="24"/>
          <w:szCs w:val="32"/>
          <w:highlight w:val="none"/>
          <w14:textFill>
            <w14:solidFill>
              <w14:schemeClr w14:val="tx1"/>
            </w14:solidFill>
          </w14:textFill>
        </w:rPr>
        <w:t>的采购活动，并代表我方全权办理针对上述项目的投标、开标、评标、签约等具体事务和签署相关文件。我方对授权委托代理人的签字事项负全部责任。</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在撤销授权的书面通知以前，本授权书一直有效。授权委托代理人在授权委托书有效期内签署的所有文件不因授权的撤销而失效。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授权委托代理人无转委托权，特此委托。</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法定代表人签字或盖章：</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投标人全称（公章）：                      </w:t>
      </w:r>
      <w:r>
        <w:rPr>
          <w:rFonts w:hint="eastAsia" w:ascii="宋体" w:hAnsi="宋体" w:eastAsia="宋体" w:cs="宋体"/>
          <w:color w:val="000000" w:themeColor="text1"/>
          <w:sz w:val="24"/>
          <w:szCs w:val="32"/>
          <w:highlight w:val="none"/>
          <w:lang w:val="zh-CN"/>
          <w14:textFill>
            <w14:solidFill>
              <w14:schemeClr w14:val="tx1"/>
            </w14:solidFill>
          </w14:textFill>
        </w:rPr>
        <w:t>日期：年月日</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附：</w:t>
      </w:r>
    </w:p>
    <w:tbl>
      <w:tblPr>
        <w:tblStyle w:val="3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法定代表身份证复印件粘帖处</w:t>
            </w:r>
          </w:p>
        </w:tc>
      </w:tr>
    </w:tbl>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法定代表人姓名：</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传真：</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手机：</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详细通讯地址：</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邮政编码：</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tbl>
      <w:tblPr>
        <w:tblStyle w:val="3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授权委托代理人身份证复印件粘帖处</w:t>
            </w:r>
          </w:p>
        </w:tc>
      </w:tr>
    </w:tbl>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授权委托代理人姓名：</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职务：</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传真：</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手机：</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详细通讯地址：</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邮政编码：</w:t>
      </w: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color w:val="000000" w:themeColor="text1"/>
          <w:spacing w:val="-6"/>
          <w:sz w:val="24"/>
          <w:highlight w:val="none"/>
          <w:lang w:val="en-US" w:eastAsia="zh-CN"/>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4</w:t>
      </w:r>
    </w:p>
    <w:p>
      <w:pPr>
        <w:pStyle w:val="21"/>
        <w:shd w:val="clear"/>
        <w:spacing w:line="360" w:lineRule="auto"/>
        <w:ind w:left="0" w:firstLine="0" w:firstLineChars="0"/>
        <w:jc w:val="center"/>
        <w:rPr>
          <w:rFonts w:hint="eastAsia" w:ascii="宋体" w:hAnsi="宋体" w:eastAsia="宋体" w:cs="宋体"/>
          <w:b/>
          <w:color w:val="000000" w:themeColor="text1"/>
          <w:spacing w:val="-6"/>
          <w:sz w:val="24"/>
          <w:highlight w:val="none"/>
          <w14:textFill>
            <w14:solidFill>
              <w14:schemeClr w14:val="tx1"/>
            </w14:solidFill>
          </w14:textFill>
        </w:rPr>
      </w:pPr>
    </w:p>
    <w:p>
      <w:pPr>
        <w:pStyle w:val="21"/>
        <w:shd w:val="clear"/>
        <w:spacing w:line="360" w:lineRule="auto"/>
        <w:ind w:left="0" w:firstLine="0" w:firstLineChars="0"/>
        <w:jc w:val="center"/>
        <w:rPr>
          <w:rFonts w:hint="eastAsia" w:ascii="宋体" w:hAnsi="宋体" w:eastAsia="宋体" w:cs="宋体"/>
          <w:b/>
          <w:color w:val="000000" w:themeColor="text1"/>
          <w:spacing w:val="-6"/>
          <w:sz w:val="24"/>
          <w:highlight w:val="none"/>
          <w14:textFill>
            <w14:solidFill>
              <w14:schemeClr w14:val="tx1"/>
            </w14:solidFill>
          </w14:textFill>
        </w:rPr>
      </w:pPr>
      <w:r>
        <w:rPr>
          <w:rFonts w:hint="eastAsia" w:ascii="宋体" w:hAnsi="宋体" w:eastAsia="宋体" w:cs="宋体"/>
          <w:b/>
          <w:color w:val="000000" w:themeColor="text1"/>
          <w:spacing w:val="-6"/>
          <w:sz w:val="24"/>
          <w:highlight w:val="none"/>
          <w14:textFill>
            <w14:solidFill>
              <w14:schemeClr w14:val="tx1"/>
            </w14:solidFill>
          </w14:textFill>
        </w:rPr>
        <w:t>有效的法人或者其他组织的营业执照等证明文件（复印件），自然人的身份证明</w:t>
      </w:r>
    </w:p>
    <w:p>
      <w:pPr>
        <w:pStyle w:val="21"/>
        <w:shd w:val="clear"/>
        <w:spacing w:line="360" w:lineRule="auto"/>
        <w:ind w:left="0" w:firstLine="0" w:firstLineChars="0"/>
        <w:jc w:val="center"/>
        <w:rPr>
          <w:rFonts w:hint="eastAsia" w:ascii="宋体" w:hAnsi="宋体" w:eastAsia="宋体" w:cs="宋体"/>
          <w:b/>
          <w:color w:val="000000" w:themeColor="text1"/>
          <w:spacing w:val="-6"/>
          <w:sz w:val="24"/>
          <w:highlight w:val="none"/>
          <w14:textFill>
            <w14:solidFill>
              <w14:schemeClr w14:val="tx1"/>
            </w14:solidFill>
          </w14:textFill>
        </w:rPr>
      </w:pPr>
    </w:p>
    <w:p>
      <w:pPr>
        <w:pStyle w:val="21"/>
        <w:shd w:val="clear"/>
        <w:spacing w:line="360" w:lineRule="auto"/>
        <w:ind w:left="0" w:firstLine="0" w:firstLineChars="0"/>
        <w:jc w:val="center"/>
        <w:rPr>
          <w:rFonts w:hint="eastAsia" w:ascii="宋体" w:hAnsi="宋体" w:eastAsia="宋体" w:cs="宋体"/>
          <w:b/>
          <w:color w:val="000000" w:themeColor="text1"/>
          <w:spacing w:val="-6"/>
          <w:sz w:val="24"/>
          <w:highlight w:val="none"/>
          <w14:textFill>
            <w14:solidFill>
              <w14:schemeClr w14:val="tx1"/>
            </w14:solidFill>
          </w14:textFill>
        </w:rPr>
      </w:pPr>
    </w:p>
    <w:p>
      <w:pPr>
        <w:pStyle w:val="21"/>
        <w:shd w:val="clear"/>
        <w:spacing w:line="360" w:lineRule="auto"/>
        <w:ind w:left="0" w:firstLine="0" w:firstLineChars="0"/>
        <w:jc w:val="center"/>
        <w:rPr>
          <w:rFonts w:hint="eastAsia" w:ascii="宋体" w:hAnsi="宋体" w:eastAsia="宋体" w:cs="宋体"/>
          <w:b/>
          <w:color w:val="000000" w:themeColor="text1"/>
          <w:spacing w:val="-6"/>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pacing w:val="-6"/>
          <w:sz w:val="24"/>
          <w:highlight w:val="none"/>
          <w14:textFill>
            <w14:solidFill>
              <w14:schemeClr w14:val="tx1"/>
            </w14:solidFill>
          </w14:textFill>
        </w:rPr>
      </w:pPr>
      <w:r>
        <w:rPr>
          <w:rFonts w:hint="eastAsia" w:ascii="宋体" w:hAnsi="宋体" w:eastAsia="宋体" w:cs="宋体"/>
          <w:b/>
          <w:color w:val="000000" w:themeColor="text1"/>
          <w:spacing w:val="-6"/>
          <w:sz w:val="24"/>
          <w:highlight w:val="none"/>
          <w14:textFill>
            <w14:solidFill>
              <w14:schemeClr w14:val="tx1"/>
            </w14:solidFill>
          </w14:textFill>
        </w:rPr>
        <w:t>说明：</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1.如供应商是企业（包括合伙企业），提供在工商部门注册的有效“企业法人营业执照”或“营业执照”；</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2.如供应商是事业单位，提供有效的“事业单位法人证书”；</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3.如供应商是非企业专业服务机构的，提供执业许可证等证明文件；</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4.如供应商是个体工商户，提供有效的“个体工商户营业执照”；</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5.如供应商是自然人，提供有效的自然人身份证明。</w:t>
      </w:r>
    </w:p>
    <w:p>
      <w:pPr>
        <w:pStyle w:val="12"/>
        <w:shd w:val="clear"/>
        <w:rPr>
          <w:rFonts w:hint="eastAsia" w:ascii="宋体" w:hAnsi="宋体" w:eastAsia="宋体" w:cs="宋体"/>
          <w:color w:val="000000" w:themeColor="text1"/>
          <w:highlight w:val="none"/>
          <w14:textFill>
            <w14:solidFill>
              <w14:schemeClr w14:val="tx1"/>
            </w14:solidFill>
          </w14:textFill>
        </w:rPr>
      </w:pPr>
    </w:p>
    <w:p>
      <w:pPr>
        <w:pStyle w:val="10"/>
        <w:shd w:val="clear"/>
        <w:rPr>
          <w:rFonts w:hint="eastAsia" w:ascii="宋体" w:hAnsi="宋体" w:eastAsia="宋体" w:cs="宋体"/>
          <w:b/>
          <w:bCs/>
          <w:color w:val="000000" w:themeColor="text1"/>
          <w:sz w:val="28"/>
          <w:szCs w:val="36"/>
          <w:highlight w:val="none"/>
          <w14:textFill>
            <w14:solidFill>
              <w14:schemeClr w14:val="tx1"/>
            </w14:solidFill>
          </w14:textFill>
        </w:rPr>
      </w:pPr>
    </w:p>
    <w:p>
      <w:pPr>
        <w:pStyle w:val="11"/>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pStyle w:val="7"/>
        <w:numPr>
          <w:ilvl w:val="3"/>
          <w:numId w:val="0"/>
        </w:numPr>
        <w:shd w:val="clear"/>
        <w:ind w:leftChars="0"/>
        <w:rPr>
          <w:rFonts w:hint="eastAsia" w:ascii="宋体" w:hAnsi="宋体" w:eastAsia="宋体" w:cs="宋体"/>
          <w:color w:val="000000" w:themeColor="text1"/>
          <w:highlight w:val="none"/>
          <w14:textFill>
            <w14:solidFill>
              <w14:schemeClr w14:val="tx1"/>
            </w14:solidFill>
          </w14:textFill>
        </w:rPr>
      </w:pPr>
    </w:p>
    <w:p>
      <w:pPr>
        <w:pStyle w:val="7"/>
        <w:numPr>
          <w:ilvl w:val="3"/>
          <w:numId w:val="0"/>
        </w:numPr>
        <w:shd w:val="clear"/>
        <w:ind w:leftChars="0"/>
        <w:rPr>
          <w:rFonts w:hint="eastAsia" w:ascii="宋体" w:hAnsi="宋体" w:eastAsia="宋体" w:cs="宋体"/>
          <w:color w:val="000000" w:themeColor="text1"/>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5</w:t>
      </w:r>
    </w:p>
    <w:p>
      <w:pPr>
        <w:pStyle w:val="7"/>
        <w:numPr>
          <w:ilvl w:val="3"/>
          <w:numId w:val="0"/>
        </w:numPr>
        <w:shd w:val="clear"/>
        <w:ind w:leftChars="0"/>
        <w:rPr>
          <w:rFonts w:hint="eastAsia" w:ascii="宋体" w:hAnsi="宋体" w:eastAsia="宋体" w:cs="宋体"/>
          <w:color w:val="000000" w:themeColor="text1"/>
          <w:szCs w:val="36"/>
          <w:highlight w:val="none"/>
          <w14:textFill>
            <w14:solidFill>
              <w14:schemeClr w14:val="tx1"/>
            </w14:solidFill>
          </w14:textFill>
        </w:rPr>
      </w:pPr>
    </w:p>
    <w:p>
      <w:pPr>
        <w:shd w:val="clear"/>
        <w:spacing w:after="317" w:afterLines="100"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val="zh-CN"/>
          <w14:textFill>
            <w14:solidFill>
              <w14:schemeClr w14:val="tx1"/>
            </w14:solidFill>
          </w14:textFill>
        </w:rPr>
        <w:t>具备健全的财务会计制度的承诺函</w:t>
      </w:r>
    </w:p>
    <w:p>
      <w:pPr>
        <w:widowControl/>
        <w:shd w:val="clear"/>
        <w:spacing w:line="360" w:lineRule="auto"/>
        <w:rPr>
          <w:rFonts w:hint="eastAsia" w:ascii="宋体" w:hAnsi="宋体" w:eastAsia="宋体" w:cs="宋体"/>
          <w:color w:val="000000" w:themeColor="text1"/>
          <w:kern w:val="0"/>
          <w:sz w:val="24"/>
          <w:highlight w:val="none"/>
          <w14:textFill>
            <w14:solidFill>
              <w14:schemeClr w14:val="tx1"/>
            </w14:solidFill>
          </w14:textFill>
        </w:rPr>
      </w:pPr>
    </w:p>
    <w:p>
      <w:pPr>
        <w:widowControl/>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致：</w:t>
      </w:r>
      <w:r>
        <w:rPr>
          <w:rFonts w:hint="eastAsia" w:ascii="宋体" w:hAnsi="宋体" w:cs="宋体"/>
          <w:color w:val="000000" w:themeColor="text1"/>
          <w:sz w:val="24"/>
          <w:highlight w:val="none"/>
          <w:u w:val="single"/>
          <w:lang w:eastAsia="zh-CN"/>
          <w14:textFill>
            <w14:solidFill>
              <w14:schemeClr w14:val="tx1"/>
            </w14:solidFill>
          </w14:textFill>
        </w:rPr>
        <w:t>浙江省台州生态环境监测中心</w:t>
      </w:r>
      <w:r>
        <w:rPr>
          <w:rFonts w:hint="eastAsia" w:ascii="宋体" w:hAnsi="宋体" w:eastAsia="宋体" w:cs="宋体"/>
          <w:color w:val="000000" w:themeColor="text1"/>
          <w:sz w:val="24"/>
          <w:highlight w:val="none"/>
          <w:u w:val="single"/>
          <w14:textFill>
            <w14:solidFill>
              <w14:schemeClr w14:val="tx1"/>
            </w14:solidFill>
          </w14:textFill>
        </w:rPr>
        <w:t>、浙江五石中正工程咨询有限公司</w:t>
      </w:r>
    </w:p>
    <w:p>
      <w:pPr>
        <w:pStyle w:val="10"/>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我公司参加</w:t>
      </w:r>
      <w:r>
        <w:rPr>
          <w:rFonts w:hint="eastAsia" w:ascii="宋体" w:hAnsi="宋体" w:cs="宋体"/>
          <w:color w:val="000000" w:themeColor="text1"/>
          <w:highlight w:val="none"/>
          <w:u w:val="single"/>
          <w:lang w:eastAsia="zh-CN"/>
          <w14:textFill>
            <w14:solidFill>
              <w14:schemeClr w14:val="tx1"/>
            </w14:solidFill>
          </w14:textFill>
        </w:rPr>
        <w:t>2022-2023年台州市省控环境质量自动监测站运维服务及运维监理服务采购项目</w:t>
      </w:r>
      <w:r>
        <w:rPr>
          <w:rFonts w:hint="eastAsia" w:ascii="宋体" w:hAnsi="宋体" w:eastAsia="宋体" w:cs="宋体"/>
          <w:color w:val="000000" w:themeColor="text1"/>
          <w:highlight w:val="none"/>
          <w:u w:val="single"/>
          <w14:textFill>
            <w14:solidFill>
              <w14:schemeClr w14:val="tx1"/>
            </w14:solidFill>
          </w14:textFill>
        </w:rPr>
        <w:t>（编号为</w:t>
      </w:r>
      <w:r>
        <w:rPr>
          <w:rFonts w:hint="eastAsia" w:ascii="宋体" w:hAnsi="宋体" w:cs="宋体"/>
          <w:color w:val="000000" w:themeColor="text1"/>
          <w:highlight w:val="none"/>
          <w:u w:val="single"/>
          <w:lang w:eastAsia="zh-CN"/>
          <w14:textFill>
            <w14:solidFill>
              <w14:schemeClr w14:val="tx1"/>
            </w14:solidFill>
          </w14:textFill>
        </w:rPr>
        <w:t>ZJWS2022-JJ287</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的投标活动，作如下承诺：</w:t>
      </w:r>
    </w:p>
    <w:p>
      <w:pPr>
        <w:pStyle w:val="10"/>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我公司在参加本项目政府采购活动前，</w:t>
      </w:r>
      <w:r>
        <w:rPr>
          <w:rFonts w:hint="eastAsia" w:ascii="宋体" w:hAnsi="宋体" w:eastAsia="宋体" w:cs="宋体"/>
          <w:color w:val="000000" w:themeColor="text1"/>
          <w:kern w:val="0"/>
          <w:highlight w:val="none"/>
          <w14:textFill>
            <w14:solidFill>
              <w14:schemeClr w14:val="tx1"/>
            </w14:solidFill>
          </w14:textFill>
        </w:rPr>
        <w:t>没有处于被责令停产、财产被接管、冻结或破产状态，具有足够的流动资金，有能力履行合同；我公司</w:t>
      </w:r>
      <w:r>
        <w:rPr>
          <w:rFonts w:hint="eastAsia" w:ascii="宋体" w:hAnsi="宋体" w:eastAsia="宋体" w:cs="宋体"/>
          <w:color w:val="000000" w:themeColor="text1"/>
          <w:highlight w:val="none"/>
          <w14:textFill>
            <w14:solidFill>
              <w14:schemeClr w14:val="tx1"/>
            </w14:solidFill>
          </w14:textFill>
        </w:rPr>
        <w:t>具有良好的商业信誉和健全的财务会计制度。</w:t>
      </w:r>
    </w:p>
    <w:p>
      <w:pPr>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如违反以上承诺，本公司愿承担一切法律责任。</w:t>
      </w:r>
    </w:p>
    <w:p>
      <w:pPr>
        <w:shd w:val="clear"/>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pPr>
        <w:pStyle w:val="10"/>
        <w:shd w:val="clear"/>
        <w:spacing w:line="360" w:lineRule="auto"/>
        <w:rPr>
          <w:rFonts w:hint="eastAsia" w:ascii="宋体" w:hAnsi="宋体" w:eastAsia="宋体" w:cs="宋体"/>
          <w:color w:val="000000" w:themeColor="text1"/>
          <w:highlight w:val="none"/>
          <w:lang w:val="zh-CN"/>
          <w14:textFill>
            <w14:solidFill>
              <w14:schemeClr w14:val="tx1"/>
            </w14:solidFill>
          </w14:textFill>
        </w:rPr>
      </w:pPr>
    </w:p>
    <w:p>
      <w:pPr>
        <w:pStyle w:val="10"/>
        <w:shd w:val="clear"/>
        <w:spacing w:line="360" w:lineRule="auto"/>
        <w:rPr>
          <w:rFonts w:hint="eastAsia" w:ascii="宋体" w:hAnsi="宋体" w:eastAsia="宋体" w:cs="宋体"/>
          <w:color w:val="000000" w:themeColor="text1"/>
          <w:highlight w:val="none"/>
          <w:lang w:val="zh-CN"/>
          <w14:textFill>
            <w14:solidFill>
              <w14:schemeClr w14:val="tx1"/>
            </w14:solidFill>
          </w14:textFill>
        </w:rPr>
      </w:pPr>
    </w:p>
    <w:p>
      <w:pPr>
        <w:pStyle w:val="10"/>
        <w:shd w:val="clear"/>
        <w:spacing w:line="360" w:lineRule="auto"/>
        <w:rPr>
          <w:rFonts w:hint="eastAsia" w:ascii="宋体" w:hAnsi="宋体" w:eastAsia="宋体" w:cs="宋体"/>
          <w:color w:val="000000" w:themeColor="text1"/>
          <w:highlight w:val="none"/>
          <w:lang w:val="zh-CN"/>
          <w14:textFill>
            <w14:solidFill>
              <w14:schemeClr w14:val="tx1"/>
            </w14:solidFill>
          </w14:textFill>
        </w:rPr>
      </w:pPr>
    </w:p>
    <w:p>
      <w:pPr>
        <w:widowControl/>
        <w:shd w:val="clear"/>
        <w:spacing w:line="360" w:lineRule="auto"/>
        <w:ind w:firstLine="2880" w:firstLineChars="1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(公章)：</w:t>
      </w:r>
    </w:p>
    <w:p>
      <w:pPr>
        <w:widowControl/>
        <w:shd w:val="clear"/>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p>
      <w:pPr>
        <w:widowControl/>
        <w:shd w:val="clear"/>
        <w:spacing w:line="360" w:lineRule="auto"/>
        <w:ind w:firstLine="2880" w:firstLineChars="1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法定代表人(签字或盖章)或授权委托代理人(签字)：</w:t>
      </w:r>
    </w:p>
    <w:p>
      <w:pPr>
        <w:widowControl/>
        <w:shd w:val="clear"/>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p>
      <w:pPr>
        <w:shd w:val="clea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日期：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6</w:t>
      </w:r>
    </w:p>
    <w:p>
      <w:pPr>
        <w:pStyle w:val="12"/>
        <w:shd w:val="clear"/>
        <w:ind w:left="0"/>
        <w:rPr>
          <w:rFonts w:hint="eastAsia" w:ascii="宋体" w:hAnsi="宋体" w:eastAsia="宋体" w:cs="宋体"/>
          <w:color w:val="000000" w:themeColor="text1"/>
          <w:highlight w:val="none"/>
          <w14:textFill>
            <w14:solidFill>
              <w14:schemeClr w14:val="tx1"/>
            </w14:solidFill>
          </w14:textFill>
        </w:rPr>
      </w:pPr>
    </w:p>
    <w:p>
      <w:pPr>
        <w:shd w:val="clear"/>
        <w:spacing w:after="317" w:afterLines="100"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val="zh-CN"/>
          <w14:textFill>
            <w14:solidFill>
              <w14:schemeClr w14:val="tx1"/>
            </w14:solidFill>
          </w14:textFill>
        </w:rPr>
        <w:t>无税收缴纳、社会保障等方面的失信记录的承诺函</w:t>
      </w:r>
    </w:p>
    <w:p>
      <w:pPr>
        <w:widowControl/>
        <w:shd w:val="clear"/>
        <w:spacing w:line="360" w:lineRule="auto"/>
        <w:rPr>
          <w:rFonts w:hint="eastAsia" w:ascii="宋体" w:hAnsi="宋体" w:eastAsia="宋体" w:cs="宋体"/>
          <w:color w:val="000000" w:themeColor="text1"/>
          <w:kern w:val="0"/>
          <w:sz w:val="24"/>
          <w:highlight w:val="none"/>
          <w14:textFill>
            <w14:solidFill>
              <w14:schemeClr w14:val="tx1"/>
            </w14:solidFill>
          </w14:textFill>
        </w:rPr>
      </w:pPr>
    </w:p>
    <w:p>
      <w:pPr>
        <w:widowControl/>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致：</w:t>
      </w:r>
      <w:r>
        <w:rPr>
          <w:rFonts w:hint="eastAsia" w:ascii="宋体" w:hAnsi="宋体" w:cs="宋体"/>
          <w:color w:val="000000" w:themeColor="text1"/>
          <w:kern w:val="0"/>
          <w:sz w:val="24"/>
          <w:highlight w:val="none"/>
          <w:u w:val="single"/>
          <w:lang w:eastAsia="zh-CN"/>
          <w14:textFill>
            <w14:solidFill>
              <w14:schemeClr w14:val="tx1"/>
            </w14:solidFill>
          </w14:textFill>
        </w:rPr>
        <w:t>浙江省台州生态环境监测中心</w:t>
      </w:r>
      <w:r>
        <w:rPr>
          <w:rFonts w:hint="eastAsia" w:ascii="宋体" w:hAnsi="宋体" w:eastAsia="宋体" w:cs="宋体"/>
          <w:color w:val="000000" w:themeColor="text1"/>
          <w:kern w:val="0"/>
          <w:sz w:val="24"/>
          <w:highlight w:val="none"/>
          <w:u w:val="single"/>
          <w14:textFill>
            <w14:solidFill>
              <w14:schemeClr w14:val="tx1"/>
            </w14:solidFill>
          </w14:textFill>
        </w:rPr>
        <w:t>、浙江五石中正工程咨询有限公司</w:t>
      </w:r>
    </w:p>
    <w:p>
      <w:pPr>
        <w:pStyle w:val="10"/>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我公司参加</w:t>
      </w:r>
      <w:r>
        <w:rPr>
          <w:rFonts w:hint="eastAsia" w:ascii="宋体" w:hAnsi="宋体" w:cs="宋体"/>
          <w:color w:val="000000" w:themeColor="text1"/>
          <w:highlight w:val="none"/>
          <w:u w:val="single"/>
          <w:lang w:eastAsia="zh-CN"/>
          <w14:textFill>
            <w14:solidFill>
              <w14:schemeClr w14:val="tx1"/>
            </w14:solidFill>
          </w14:textFill>
        </w:rPr>
        <w:t>2022-2023年台州市省控环境质量自动监测站运维服务及运维监理服务采购项目</w:t>
      </w:r>
      <w:r>
        <w:rPr>
          <w:rFonts w:hint="eastAsia" w:ascii="宋体" w:hAnsi="宋体" w:eastAsia="宋体" w:cs="宋体"/>
          <w:color w:val="000000" w:themeColor="text1"/>
          <w:highlight w:val="none"/>
          <w:u w:val="single"/>
          <w14:textFill>
            <w14:solidFill>
              <w14:schemeClr w14:val="tx1"/>
            </w14:solidFill>
          </w14:textFill>
        </w:rPr>
        <w:t>（编号为</w:t>
      </w:r>
      <w:r>
        <w:rPr>
          <w:rFonts w:hint="eastAsia" w:ascii="宋体" w:hAnsi="宋体" w:cs="宋体"/>
          <w:color w:val="000000" w:themeColor="text1"/>
          <w:highlight w:val="none"/>
          <w:u w:val="single"/>
          <w:lang w:eastAsia="zh-CN"/>
          <w14:textFill>
            <w14:solidFill>
              <w14:schemeClr w14:val="tx1"/>
            </w14:solidFill>
          </w14:textFill>
        </w:rPr>
        <w:t>ZJWS2022-JJ287</w:t>
      </w:r>
      <w:r>
        <w:rPr>
          <w:rFonts w:hint="eastAsia" w:ascii="宋体" w:hAnsi="宋体" w:eastAsia="宋体" w:cs="宋体"/>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的投标活动，作如下承诺：</w:t>
      </w:r>
    </w:p>
    <w:p>
      <w:pPr>
        <w:pStyle w:val="10"/>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我公司在参加本项目政府采购活动前，符合参与政府采购活动的资格条件，有依法缴纳税收（享受免税政策的则无欠税）和社会保障资金的良好记录，不存在税收缴纳、社会保障等方面的失信记录。</w:t>
      </w:r>
    </w:p>
    <w:p>
      <w:pPr>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如违反以上承诺，本公司愿承担一切法律责任。</w:t>
      </w:r>
    </w:p>
    <w:p>
      <w:pPr>
        <w:shd w:val="clear"/>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pPr>
        <w:pStyle w:val="10"/>
        <w:shd w:val="clear"/>
        <w:spacing w:line="360" w:lineRule="auto"/>
        <w:rPr>
          <w:rFonts w:hint="eastAsia" w:ascii="宋体" w:hAnsi="宋体" w:eastAsia="宋体" w:cs="宋体"/>
          <w:color w:val="000000" w:themeColor="text1"/>
          <w:highlight w:val="none"/>
          <w:lang w:val="zh-CN"/>
          <w14:textFill>
            <w14:solidFill>
              <w14:schemeClr w14:val="tx1"/>
            </w14:solidFill>
          </w14:textFill>
        </w:rPr>
      </w:pPr>
    </w:p>
    <w:p>
      <w:pPr>
        <w:pStyle w:val="10"/>
        <w:shd w:val="clear"/>
        <w:spacing w:line="360" w:lineRule="auto"/>
        <w:rPr>
          <w:rFonts w:hint="eastAsia" w:ascii="宋体" w:hAnsi="宋体" w:eastAsia="宋体" w:cs="宋体"/>
          <w:color w:val="000000" w:themeColor="text1"/>
          <w:highlight w:val="none"/>
          <w:lang w:val="zh-CN"/>
          <w14:textFill>
            <w14:solidFill>
              <w14:schemeClr w14:val="tx1"/>
            </w14:solidFill>
          </w14:textFill>
        </w:rPr>
      </w:pPr>
    </w:p>
    <w:p>
      <w:pPr>
        <w:widowControl/>
        <w:shd w:val="clear"/>
        <w:spacing w:line="360" w:lineRule="auto"/>
        <w:ind w:firstLine="2880" w:firstLineChars="1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(公章)：</w:t>
      </w:r>
    </w:p>
    <w:p>
      <w:pPr>
        <w:widowControl/>
        <w:shd w:val="clear"/>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p>
      <w:pPr>
        <w:widowControl/>
        <w:shd w:val="clear"/>
        <w:spacing w:line="360" w:lineRule="auto"/>
        <w:ind w:firstLine="2880" w:firstLineChars="1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法定代表人(签字或盖章)或授权委托代理人(签字)：</w:t>
      </w:r>
    </w:p>
    <w:p>
      <w:pPr>
        <w:widowControl/>
        <w:shd w:val="clear"/>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p>
      <w:pPr>
        <w:pStyle w:val="11"/>
        <w:shd w:val="clear"/>
        <w:spacing w:line="360" w:lineRule="auto"/>
        <w:ind w:firstLine="2880" w:firstLineChars="1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pStyle w:val="7"/>
        <w:numPr>
          <w:ilvl w:val="3"/>
          <w:numId w:val="0"/>
        </w:numPr>
        <w:shd w:val="clear"/>
        <w:ind w:leftChars="0"/>
        <w:rPr>
          <w:rFonts w:hint="eastAsia" w:ascii="宋体" w:hAnsi="宋体" w:eastAsia="宋体" w:cs="宋体"/>
          <w:color w:val="000000" w:themeColor="text1"/>
          <w:highlight w:val="none"/>
          <w14:textFill>
            <w14:solidFill>
              <w14:schemeClr w14:val="tx1"/>
            </w14:solidFill>
          </w14:textFill>
        </w:rPr>
      </w:pPr>
    </w:p>
    <w:p>
      <w:pPr>
        <w:shd w:val="clear"/>
        <w:rPr>
          <w:rFonts w:hint="eastAsia" w:ascii="宋体" w:hAnsi="宋体" w:eastAsia="宋体" w:cs="宋体"/>
          <w:color w:val="000000" w:themeColor="text1"/>
          <w:highlight w:val="none"/>
          <w14:textFill>
            <w14:solidFill>
              <w14:schemeClr w14:val="tx1"/>
            </w14:solidFill>
          </w14:textFill>
        </w:rPr>
      </w:pPr>
    </w:p>
    <w:p>
      <w:pPr>
        <w:pStyle w:val="7"/>
        <w:numPr>
          <w:ilvl w:val="3"/>
          <w:numId w:val="0"/>
        </w:numPr>
        <w:shd w:val="clear"/>
        <w:ind w:leftChars="0"/>
        <w:rPr>
          <w:rFonts w:hint="eastAsia" w:ascii="宋体" w:hAnsi="宋体" w:eastAsia="宋体" w:cs="宋体"/>
          <w:color w:val="000000" w:themeColor="text1"/>
          <w:highlight w:val="none"/>
          <w14:textFill>
            <w14:solidFill>
              <w14:schemeClr w14:val="tx1"/>
            </w14:solidFill>
          </w14:textFill>
        </w:rPr>
      </w:pPr>
    </w:p>
    <w:p>
      <w:pPr>
        <w:shd w:val="clear"/>
        <w:rPr>
          <w:rFonts w:hint="eastAsia" w:ascii="宋体" w:hAnsi="宋体" w:eastAsia="宋体" w:cs="宋体"/>
          <w:color w:val="000000" w:themeColor="text1"/>
          <w:highlight w:val="none"/>
          <w14:textFill>
            <w14:solidFill>
              <w14:schemeClr w14:val="tx1"/>
            </w14:solidFill>
          </w14:textFill>
        </w:rPr>
      </w:pPr>
    </w:p>
    <w:p>
      <w:pPr>
        <w:pStyle w:val="7"/>
        <w:numPr>
          <w:ilvl w:val="3"/>
          <w:numId w:val="0"/>
        </w:numPr>
        <w:shd w:val="clear"/>
        <w:ind w:leftChars="0"/>
        <w:rPr>
          <w:rFonts w:hint="eastAsia" w:ascii="宋体" w:hAnsi="宋体" w:eastAsia="宋体" w:cs="宋体"/>
          <w:color w:val="000000" w:themeColor="text1"/>
          <w:highlight w:val="none"/>
          <w14:textFill>
            <w14:solidFill>
              <w14:schemeClr w14:val="tx1"/>
            </w14:solidFill>
          </w14:textFill>
        </w:rPr>
      </w:pPr>
    </w:p>
    <w:p>
      <w:pPr>
        <w:shd w:val="clear"/>
        <w:rPr>
          <w:rFonts w:hint="eastAsia" w:ascii="宋体" w:hAnsi="宋体" w:eastAsia="宋体" w:cs="宋体"/>
          <w:color w:val="000000" w:themeColor="text1"/>
          <w:highlight w:val="none"/>
          <w14:textFill>
            <w14:solidFill>
              <w14:schemeClr w14:val="tx1"/>
            </w14:solidFill>
          </w14:textFill>
        </w:rPr>
      </w:pPr>
    </w:p>
    <w:p>
      <w:pPr>
        <w:shd w:val="clear"/>
        <w:rPr>
          <w:rFonts w:hint="eastAsia" w:ascii="宋体" w:hAnsi="宋体" w:eastAsia="宋体" w:cs="宋体"/>
          <w:color w:val="000000" w:themeColor="text1"/>
          <w:highlight w:val="none"/>
          <w14:textFill>
            <w14:solidFill>
              <w14:schemeClr w14:val="tx1"/>
            </w14:solidFill>
          </w14:textFill>
        </w:rPr>
      </w:pPr>
    </w:p>
    <w:p>
      <w:pPr>
        <w:pStyle w:val="7"/>
        <w:numPr>
          <w:ilvl w:val="3"/>
          <w:numId w:val="0"/>
        </w:numPr>
        <w:shd w:val="clear"/>
        <w:ind w:leftChars="0"/>
        <w:rPr>
          <w:rFonts w:hint="eastAsia" w:ascii="宋体" w:hAnsi="宋体" w:eastAsia="宋体" w:cs="宋体"/>
          <w:color w:val="000000" w:themeColor="text1"/>
          <w:szCs w:val="36"/>
          <w:highlight w:val="none"/>
          <w:lang w:val="en-US" w:eastAsia="zh-CN"/>
          <w14:textFill>
            <w14:solidFill>
              <w14:schemeClr w14:val="tx1"/>
            </w14:solidFill>
          </w14:textFill>
        </w:rPr>
      </w:pPr>
      <w:r>
        <w:rPr>
          <w:rFonts w:hint="eastAsia" w:ascii="宋体" w:hAnsi="宋体" w:eastAsia="宋体" w:cs="宋体"/>
          <w:color w:val="000000" w:themeColor="text1"/>
          <w:szCs w:val="36"/>
          <w:highlight w:val="none"/>
          <w14:textFill>
            <w14:solidFill>
              <w14:schemeClr w14:val="tx1"/>
            </w14:solidFill>
          </w14:textFill>
        </w:rPr>
        <w:t>附件</w:t>
      </w:r>
      <w:r>
        <w:rPr>
          <w:rFonts w:hint="eastAsia" w:ascii="宋体" w:hAnsi="宋体" w:cs="宋体"/>
          <w:color w:val="000000" w:themeColor="text1"/>
          <w:szCs w:val="36"/>
          <w:highlight w:val="none"/>
          <w:lang w:val="en-US" w:eastAsia="zh-CN"/>
          <w14:textFill>
            <w14:solidFill>
              <w14:schemeClr w14:val="tx1"/>
            </w14:solidFill>
          </w14:textFill>
        </w:rPr>
        <w:t>7</w:t>
      </w:r>
    </w:p>
    <w:p>
      <w:pPr>
        <w:widowControl/>
        <w:shd w:val="clear"/>
        <w:spacing w:line="360" w:lineRule="auto"/>
        <w:jc w:val="center"/>
        <w:rPr>
          <w:rFonts w:hint="eastAsia" w:ascii="宋体" w:hAnsi="宋体" w:eastAsia="宋体" w:cs="宋体"/>
          <w:b/>
          <w:color w:val="000000" w:themeColor="text1"/>
          <w:spacing w:val="-6"/>
          <w:sz w:val="24"/>
          <w:highlight w:val="none"/>
          <w14:textFill>
            <w14:solidFill>
              <w14:schemeClr w14:val="tx1"/>
            </w14:solidFill>
          </w14:textFill>
        </w:rPr>
      </w:pPr>
      <w:r>
        <w:rPr>
          <w:rFonts w:hint="eastAsia" w:ascii="宋体" w:hAnsi="宋体" w:eastAsia="宋体" w:cs="宋体"/>
          <w:b/>
          <w:color w:val="000000" w:themeColor="text1"/>
          <w:spacing w:val="-6"/>
          <w:sz w:val="24"/>
          <w:highlight w:val="none"/>
          <w14:textFill>
            <w14:solidFill>
              <w14:schemeClr w14:val="tx1"/>
            </w14:solidFill>
          </w14:textFill>
        </w:rPr>
        <w:t>参加政府采购活动前3年内在经营活动中没有重大违法记录的书面声明</w:t>
      </w:r>
    </w:p>
    <w:p>
      <w:pPr>
        <w:pStyle w:val="21"/>
        <w:shd w:val="clear"/>
        <w:spacing w:line="360" w:lineRule="auto"/>
        <w:ind w:left="169" w:hanging="169" w:hangingChars="74"/>
        <w:jc w:val="center"/>
        <w:rPr>
          <w:rFonts w:hint="eastAsia" w:ascii="宋体" w:hAnsi="宋体" w:eastAsia="宋体" w:cs="宋体"/>
          <w:b/>
          <w:color w:val="000000" w:themeColor="text1"/>
          <w:spacing w:val="-6"/>
          <w:sz w:val="24"/>
          <w:highlight w:val="none"/>
          <w14:textFill>
            <w14:solidFill>
              <w14:schemeClr w14:val="tx1"/>
            </w14:solidFill>
          </w14:textFill>
        </w:rPr>
      </w:pPr>
      <w:r>
        <w:rPr>
          <w:rFonts w:hint="eastAsia" w:ascii="宋体" w:hAnsi="宋体" w:eastAsia="宋体" w:cs="宋体"/>
          <w:b/>
          <w:color w:val="000000" w:themeColor="text1"/>
          <w:spacing w:val="-6"/>
          <w:sz w:val="24"/>
          <w:highlight w:val="none"/>
          <w14:textFill>
            <w14:solidFill>
              <w14:schemeClr w14:val="tx1"/>
            </w14:solidFill>
          </w14:textFill>
        </w:rPr>
        <w:t>声明函</w:t>
      </w:r>
    </w:p>
    <w:p>
      <w:pPr>
        <w:shd w:val="clear"/>
        <w:spacing w:line="360" w:lineRule="auto"/>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致：</w:t>
      </w:r>
      <w:r>
        <w:rPr>
          <w:rFonts w:hint="eastAsia" w:ascii="宋体" w:hAnsi="宋体" w:cs="宋体"/>
          <w:color w:val="000000" w:themeColor="text1"/>
          <w:kern w:val="0"/>
          <w:sz w:val="24"/>
          <w:highlight w:val="none"/>
          <w:u w:val="single"/>
          <w:lang w:eastAsia="zh-CN"/>
          <w14:textFill>
            <w14:solidFill>
              <w14:schemeClr w14:val="tx1"/>
            </w14:solidFill>
          </w14:textFill>
        </w:rPr>
        <w:t>浙江省台州生态环境监测中心</w:t>
      </w:r>
      <w:r>
        <w:rPr>
          <w:rFonts w:hint="eastAsia" w:ascii="宋体" w:hAnsi="宋体" w:eastAsia="宋体" w:cs="宋体"/>
          <w:color w:val="000000" w:themeColor="text1"/>
          <w:kern w:val="0"/>
          <w:sz w:val="24"/>
          <w:highlight w:val="none"/>
          <w:u w:val="single"/>
          <w14:textFill>
            <w14:solidFill>
              <w14:schemeClr w14:val="tx1"/>
            </w14:solidFill>
          </w14:textFill>
        </w:rPr>
        <w:t>、浙江五石中正工程咨询有限公司</w:t>
      </w:r>
    </w:p>
    <w:p>
      <w:pPr>
        <w:shd w:val="clear"/>
        <w:spacing w:line="360" w:lineRule="auto"/>
        <w:ind w:firstLine="456"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我公司郑重承诺在参加本项目政府采购活动前三年内，在经营活动中</w:t>
      </w:r>
      <w:r>
        <w:rPr>
          <w:rFonts w:hint="eastAsia" w:ascii="宋体" w:hAnsi="宋体" w:eastAsia="宋体" w:cs="宋体"/>
          <w:b/>
          <w:color w:val="000000" w:themeColor="text1"/>
          <w:spacing w:val="-6"/>
          <w:sz w:val="24"/>
          <w:highlight w:val="none"/>
          <w:u w:val="single"/>
          <w14:textFill>
            <w14:solidFill>
              <w14:schemeClr w14:val="tx1"/>
            </w14:solidFill>
          </w14:textFill>
        </w:rPr>
        <w:t xml:space="preserve">     </w:t>
      </w:r>
      <w:r>
        <w:rPr>
          <w:rFonts w:hint="eastAsia" w:ascii="宋体" w:hAnsi="宋体" w:eastAsia="宋体" w:cs="宋体"/>
          <w:b/>
          <w:color w:val="000000" w:themeColor="text1"/>
          <w:spacing w:val="-6"/>
          <w:sz w:val="24"/>
          <w:highlight w:val="none"/>
          <w14:textFill>
            <w14:solidFill>
              <w14:schemeClr w14:val="tx1"/>
            </w14:solidFill>
          </w14:textFill>
        </w:rPr>
        <w:t>（填写“有”或“没有”，如实填写，如不填写视同未提供本声明函）</w:t>
      </w:r>
      <w:r>
        <w:rPr>
          <w:rFonts w:hint="eastAsia" w:ascii="宋体" w:hAnsi="宋体" w:eastAsia="宋体" w:cs="宋体"/>
          <w:color w:val="000000" w:themeColor="text1"/>
          <w:spacing w:val="-6"/>
          <w:sz w:val="24"/>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pPr>
        <w:shd w:val="clear"/>
        <w:spacing w:line="360" w:lineRule="auto"/>
        <w:ind w:firstLine="456"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以上事项如有虚假或隐瞒，我方愿意承担一切后果和责任。</w:t>
      </w:r>
    </w:p>
    <w:p>
      <w:pPr>
        <w:shd w:val="clear"/>
        <w:spacing w:line="360" w:lineRule="auto"/>
        <w:ind w:firstLine="456"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特此声明。</w:t>
      </w:r>
    </w:p>
    <w:p>
      <w:pPr>
        <w:shd w:val="clear"/>
        <w:spacing w:line="360" w:lineRule="auto"/>
        <w:rPr>
          <w:rFonts w:hint="eastAsia" w:ascii="宋体" w:hAnsi="宋体" w:eastAsia="宋体" w:cs="宋体"/>
          <w:color w:val="000000" w:themeColor="text1"/>
          <w:spacing w:val="-6"/>
          <w:sz w:val="24"/>
          <w:highlight w:val="none"/>
          <w14:textFill>
            <w14:solidFill>
              <w14:schemeClr w14:val="tx1"/>
            </w14:solidFill>
          </w14:textFill>
        </w:rPr>
      </w:pPr>
    </w:p>
    <w:p>
      <w:pPr>
        <w:pStyle w:val="88"/>
        <w:shd w:val="clear"/>
        <w:spacing w:line="360" w:lineRule="auto"/>
        <w:rPr>
          <w:rFonts w:hint="eastAsia" w:ascii="宋体" w:hAnsi="宋体" w:eastAsia="宋体" w:cs="宋体"/>
          <w:color w:val="000000" w:themeColor="text1"/>
          <w:spacing w:val="-6"/>
          <w:highlight w:val="none"/>
          <w14:textFill>
            <w14:solidFill>
              <w14:schemeClr w14:val="tx1"/>
            </w14:solidFill>
          </w14:textFill>
        </w:rPr>
      </w:pPr>
    </w:p>
    <w:p>
      <w:pPr>
        <w:pStyle w:val="96"/>
        <w:shd w:val="clear"/>
        <w:spacing w:line="360" w:lineRule="auto"/>
        <w:ind w:left="0"/>
        <w:rPr>
          <w:rFonts w:hint="eastAsia" w:ascii="宋体" w:hAnsi="宋体" w:eastAsia="宋体" w:cs="宋体"/>
          <w:color w:val="000000" w:themeColor="text1"/>
          <w:sz w:val="24"/>
          <w:szCs w:val="24"/>
          <w:highlight w:val="none"/>
          <w14:textFill>
            <w14:solidFill>
              <w14:schemeClr w14:val="tx1"/>
            </w14:solidFill>
          </w14:textFill>
        </w:rPr>
      </w:pPr>
    </w:p>
    <w:p>
      <w:pPr>
        <w:shd w:val="clear"/>
        <w:spacing w:line="360" w:lineRule="auto"/>
        <w:ind w:firstLine="4332" w:firstLineChars="19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供应商名称（盖章）：</w:t>
      </w:r>
    </w:p>
    <w:p>
      <w:pPr>
        <w:shd w:val="clear"/>
        <w:spacing w:line="360" w:lineRule="auto"/>
        <w:ind w:firstLine="4332" w:firstLineChars="19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授权委托代理人</w:t>
      </w:r>
      <w:r>
        <w:rPr>
          <w:rFonts w:hint="eastAsia" w:ascii="宋体" w:hAnsi="宋体" w:eastAsia="宋体" w:cs="宋体"/>
          <w:color w:val="000000" w:themeColor="text1"/>
          <w:spacing w:val="-6"/>
          <w:sz w:val="24"/>
          <w:highlight w:val="none"/>
          <w14:textFill>
            <w14:solidFill>
              <w14:schemeClr w14:val="tx1"/>
            </w14:solidFill>
          </w14:textFill>
        </w:rPr>
        <w:t>签字：</w:t>
      </w:r>
    </w:p>
    <w:p>
      <w:pPr>
        <w:widowControl/>
        <w:shd w:val="clear"/>
        <w:tabs>
          <w:tab w:val="left" w:pos="3225"/>
        </w:tabs>
        <w:spacing w:line="360" w:lineRule="auto"/>
        <w:ind w:firstLine="4332" w:firstLineChars="19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日期：     年   月   日</w:t>
      </w:r>
    </w:p>
    <w:p>
      <w:pPr>
        <w:shd w:val="clear"/>
        <w:rPr>
          <w:rFonts w:hint="eastAsia" w:ascii="宋体" w:hAnsi="宋体" w:eastAsia="宋体" w:cs="宋体"/>
          <w:color w:val="000000" w:themeColor="text1"/>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8</w:t>
      </w:r>
      <w:r>
        <w:rPr>
          <w:rFonts w:hint="eastAsia" w:ascii="宋体" w:hAnsi="宋体" w:eastAsia="宋体" w:cs="宋体"/>
          <w:b/>
          <w:bCs/>
          <w:color w:val="000000" w:themeColor="text1"/>
          <w:sz w:val="28"/>
          <w:szCs w:val="36"/>
          <w:highlight w:val="none"/>
          <w14:textFill>
            <w14:solidFill>
              <w14:schemeClr w14:val="tx1"/>
            </w14:solidFill>
          </w14:textFill>
        </w:rPr>
        <w:t>　</w:t>
      </w:r>
      <w:r>
        <w:rPr>
          <w:rFonts w:hint="eastAsia" w:ascii="宋体" w:hAnsi="宋体" w:eastAsia="宋体" w:cs="宋体"/>
          <w:color w:val="000000" w:themeColor="text1"/>
          <w:sz w:val="30"/>
          <w:szCs w:val="30"/>
          <w:highlight w:val="none"/>
          <w14:textFill>
            <w14:solidFill>
              <w14:schemeClr w14:val="tx1"/>
            </w14:solidFill>
          </w14:textFill>
        </w:rPr>
        <w:t xml:space="preserve">　　                           </w:t>
      </w:r>
      <w:r>
        <w:rPr>
          <w:rFonts w:hint="eastAsia" w:ascii="宋体" w:hAnsi="宋体" w:eastAsia="宋体" w:cs="宋体"/>
          <w:color w:val="000000" w:themeColor="text1"/>
          <w:sz w:val="30"/>
          <w:szCs w:val="30"/>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0"/>
          <w:szCs w:val="30"/>
          <w:highlight w:val="non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本</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pPr>
        <w:shd w:val="clear"/>
        <w:spacing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项目编号：（标段）</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投</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标</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文</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件</w:t>
      </w:r>
    </w:p>
    <w:p>
      <w:pPr>
        <w:shd w:val="clear"/>
        <w:autoSpaceDE w:val="0"/>
        <w:autoSpaceDN w:val="0"/>
        <w:adjustRightInd w:val="0"/>
        <w:spacing w:line="360" w:lineRule="auto"/>
        <w:jc w:val="center"/>
        <w:rPr>
          <w:rFonts w:hint="eastAsia" w:ascii="宋体" w:hAnsi="宋体" w:eastAsia="宋体" w:cs="宋体"/>
          <w:color w:val="000000" w:themeColor="text1"/>
          <w:spacing w:val="4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zh-CN"/>
          <w14:textFill>
            <w14:solidFill>
              <w14:schemeClr w14:val="tx1"/>
            </w14:solidFill>
          </w14:textFill>
        </w:rPr>
        <w:t>（商务与技术文件</w:t>
      </w:r>
      <w:r>
        <w:rPr>
          <w:rFonts w:hint="eastAsia" w:ascii="宋体" w:hAnsi="宋体" w:eastAsia="宋体" w:cs="宋体"/>
          <w:color w:val="000000" w:themeColor="text1"/>
          <w:spacing w:val="40"/>
          <w:sz w:val="28"/>
          <w:szCs w:val="28"/>
          <w:highlight w:val="none"/>
          <w14:textFill>
            <w14:solidFill>
              <w14:schemeClr w14:val="tx1"/>
            </w14:solidFill>
          </w14:textFill>
        </w:rPr>
        <w:t>）</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投标人全称（公章）：</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地址：</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时间：</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2"/>
          <w:szCs w:val="40"/>
          <w:highlight w:val="none"/>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商务与技术文件</w:t>
      </w:r>
      <w:r>
        <w:rPr>
          <w:rFonts w:hint="eastAsia" w:ascii="宋体" w:hAnsi="宋体" w:eastAsia="宋体" w:cs="宋体"/>
          <w:b/>
          <w:bCs/>
          <w:color w:val="000000" w:themeColor="text1"/>
          <w:sz w:val="32"/>
          <w:szCs w:val="40"/>
          <w:highlight w:val="none"/>
          <w14:textFill>
            <w14:solidFill>
              <w14:schemeClr w14:val="tx1"/>
            </w14:solidFill>
          </w14:textFill>
        </w:rPr>
        <w:t>目录</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（1）投标人情况介绍。</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（2）投标方案描述：</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C.安装、调试及验收方案（包括项目验收标准和验收方法等）和措施；</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（3）投标产品描述及相关资料：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A.拟投入设备配置清单</w:t>
      </w:r>
      <w:r>
        <w:rPr>
          <w:rFonts w:hint="eastAsia" w:ascii="宋体" w:hAnsi="宋体" w:eastAsia="宋体" w:cs="宋体"/>
          <w:b/>
          <w:bCs/>
          <w:color w:val="000000" w:themeColor="text1"/>
          <w:sz w:val="24"/>
          <w:szCs w:val="32"/>
          <w:highlight w:val="none"/>
          <w14:textFill>
            <w14:solidFill>
              <w14:schemeClr w14:val="tx1"/>
            </w14:solidFill>
          </w14:textFill>
        </w:rPr>
        <w:t>（均不含报价）</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B.商务及技术响应表。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C.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【特别提示：节能和环境标志产品最新一期政府采购清单，可在“中国政府采购网”中查看】</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（4）投标人通过的质量管理和质量保证体系、环保体系、自主创新相关证书、软件著作权证等等与本项目相关的认证证书或文件；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（5）近三年来类似项目的成功案例；</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（6）投标人认为需要提供的其他资料（包括可能影响投标人商务与技术文件评分的各类证明材料）。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（7）售后服务描述及承诺：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A.距采购人最近的服务网点详细介绍（包括地理位置、资质资格、技术力量、工作业绩、服务内容及联系电话等）。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B.针对本项目的售后服务措施及承诺（售后技术服务方案、人员配备、故障响应时间、技术培训方案等）。</w:t>
      </w:r>
    </w:p>
    <w:p>
      <w:pPr>
        <w:shd w:val="clear"/>
        <w:rPr>
          <w:rFonts w:hint="eastAsia"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9</w:t>
      </w:r>
    </w:p>
    <w:p>
      <w:pPr>
        <w:shd w:val="clear"/>
        <w:spacing w:line="360" w:lineRule="auto"/>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投标人基本情况表</w:t>
      </w:r>
    </w:p>
    <w:tbl>
      <w:tblPr>
        <w:tblStyle w:val="30"/>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shd w:val="clear" w:color="auto" w:fill="auto"/>
            <w:vAlign w:val="center"/>
          </w:tcPr>
          <w:p>
            <w:pPr>
              <w:pStyle w:val="59"/>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企业名称</w:t>
            </w:r>
          </w:p>
        </w:tc>
        <w:tc>
          <w:tcPr>
            <w:tcW w:w="3765" w:type="dxa"/>
            <w:gridSpan w:val="6"/>
            <w:shd w:val="clear" w:color="auto" w:fill="auto"/>
            <w:vAlign w:val="center"/>
          </w:tcPr>
          <w:p>
            <w:pPr>
              <w:pStyle w:val="59"/>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560" w:type="dxa"/>
            <w:shd w:val="clear" w:color="auto" w:fill="auto"/>
            <w:vAlign w:val="center"/>
          </w:tcPr>
          <w:p>
            <w:pPr>
              <w:pStyle w:val="59"/>
              <w:shd w:val="clear"/>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法人代表</w:t>
            </w:r>
          </w:p>
        </w:tc>
        <w:tc>
          <w:tcPr>
            <w:tcW w:w="2608" w:type="dxa"/>
            <w:gridSpan w:val="3"/>
            <w:shd w:val="clear" w:color="auto" w:fill="auto"/>
            <w:vAlign w:val="center"/>
          </w:tcPr>
          <w:p>
            <w:pPr>
              <w:pStyle w:val="59"/>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shd w:val="clear" w:color="auto" w:fill="auto"/>
            <w:vAlign w:val="center"/>
          </w:tcPr>
          <w:p>
            <w:pPr>
              <w:pStyle w:val="59"/>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地址</w:t>
            </w:r>
          </w:p>
        </w:tc>
        <w:tc>
          <w:tcPr>
            <w:tcW w:w="3765" w:type="dxa"/>
            <w:gridSpan w:val="6"/>
            <w:tcBorders>
              <w:bottom w:val="single" w:color="auto" w:sz="4" w:space="0"/>
            </w:tcBorders>
            <w:shd w:val="clear" w:color="auto" w:fill="auto"/>
            <w:vAlign w:val="center"/>
          </w:tcPr>
          <w:p>
            <w:pPr>
              <w:pStyle w:val="59"/>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shd w:val="clear" w:color="auto" w:fill="auto"/>
            <w:vAlign w:val="center"/>
          </w:tcPr>
          <w:p>
            <w:pPr>
              <w:pStyle w:val="59"/>
              <w:shd w:val="clear"/>
              <w:spacing w:line="360" w:lineRule="auto"/>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企业性质</w:t>
            </w:r>
          </w:p>
        </w:tc>
        <w:tc>
          <w:tcPr>
            <w:tcW w:w="2608" w:type="dxa"/>
            <w:gridSpan w:val="3"/>
            <w:shd w:val="clear" w:color="auto" w:fill="auto"/>
            <w:vAlign w:val="center"/>
          </w:tcPr>
          <w:p>
            <w:pPr>
              <w:pStyle w:val="59"/>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pPr>
              <w:pStyle w:val="59"/>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股东姓名</w:t>
            </w:r>
          </w:p>
        </w:tc>
        <w:tc>
          <w:tcPr>
            <w:tcW w:w="690" w:type="dxa"/>
            <w:tcBorders>
              <w:bottom w:val="single" w:color="auto" w:sz="4" w:space="0"/>
            </w:tcBorders>
            <w:shd w:val="clear" w:color="auto" w:fill="auto"/>
            <w:vAlign w:val="center"/>
          </w:tcPr>
          <w:p>
            <w:pPr>
              <w:pStyle w:val="59"/>
              <w:shd w:val="clear"/>
              <w:spacing w:before="0" w:beforeAutospacing="0" w:after="0" w:afterAutospacing="0"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60" w:type="dxa"/>
            <w:gridSpan w:val="2"/>
            <w:tcBorders>
              <w:bottom w:val="single" w:color="auto" w:sz="4" w:space="0"/>
            </w:tcBorders>
            <w:shd w:val="clear" w:color="auto" w:fill="auto"/>
            <w:vAlign w:val="center"/>
          </w:tcPr>
          <w:p>
            <w:pPr>
              <w:pStyle w:val="59"/>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股权结构（%）</w:t>
            </w:r>
          </w:p>
        </w:tc>
        <w:tc>
          <w:tcPr>
            <w:tcW w:w="2115" w:type="dxa"/>
            <w:gridSpan w:val="3"/>
            <w:tcBorders>
              <w:bottom w:val="single" w:color="auto" w:sz="4" w:space="0"/>
            </w:tcBorders>
            <w:shd w:val="clear" w:color="auto" w:fill="auto"/>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59"/>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shd w:val="clear" w:color="auto" w:fill="auto"/>
            <w:vAlign w:val="center"/>
          </w:tcPr>
          <w:p>
            <w:pPr>
              <w:pStyle w:val="59"/>
              <w:shd w:val="clear"/>
              <w:spacing w:line="360" w:lineRule="auto"/>
              <w:ind w:left="107"/>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股东关系</w:t>
            </w:r>
          </w:p>
        </w:tc>
        <w:tc>
          <w:tcPr>
            <w:tcW w:w="2608" w:type="dxa"/>
            <w:gridSpan w:val="3"/>
            <w:shd w:val="clear" w:color="auto" w:fill="auto"/>
            <w:vAlign w:val="center"/>
          </w:tcPr>
          <w:p>
            <w:pPr>
              <w:pStyle w:val="59"/>
              <w:shd w:val="clear"/>
              <w:spacing w:line="360" w:lineRule="auto"/>
              <w:ind w:left="107"/>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shd w:val="clear" w:color="auto" w:fill="auto"/>
            <w:vAlign w:val="center"/>
          </w:tcPr>
          <w:p>
            <w:pPr>
              <w:pStyle w:val="59"/>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联系人</w:t>
            </w:r>
            <w:r>
              <w:rPr>
                <w:rFonts w:hint="eastAsia" w:ascii="宋体" w:hAnsi="宋体" w:eastAsia="宋体" w:cs="宋体"/>
                <w:bCs/>
                <w:color w:val="000000" w:themeColor="text1"/>
                <w:spacing w:val="27"/>
                <w:highlight w:val="none"/>
                <w14:textFill>
                  <w14:solidFill>
                    <w14:schemeClr w14:val="tx1"/>
                  </w14:solidFill>
                </w14:textFill>
              </w:rPr>
              <w:t>姓名</w:t>
            </w:r>
          </w:p>
        </w:tc>
        <w:tc>
          <w:tcPr>
            <w:tcW w:w="690" w:type="dxa"/>
            <w:vMerge w:val="restart"/>
            <w:tcBorders>
              <w:top w:val="nil"/>
            </w:tcBorders>
            <w:shd w:val="clear" w:color="auto" w:fill="auto"/>
            <w:vAlign w:val="center"/>
          </w:tcPr>
          <w:p>
            <w:pPr>
              <w:pStyle w:val="59"/>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60" w:type="dxa"/>
            <w:gridSpan w:val="2"/>
            <w:tcBorders>
              <w:top w:val="nil"/>
              <w:bottom w:val="single" w:color="auto" w:sz="4" w:space="0"/>
            </w:tcBorders>
            <w:shd w:val="clear" w:color="auto" w:fill="auto"/>
            <w:vAlign w:val="center"/>
          </w:tcPr>
          <w:p>
            <w:pPr>
              <w:pStyle w:val="59"/>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固定电话</w:t>
            </w:r>
          </w:p>
        </w:tc>
        <w:tc>
          <w:tcPr>
            <w:tcW w:w="2115" w:type="dxa"/>
            <w:gridSpan w:val="3"/>
            <w:tcBorders>
              <w:top w:val="nil"/>
              <w:bottom w:val="single" w:color="auto" w:sz="4" w:space="0"/>
            </w:tcBorders>
            <w:shd w:val="clear" w:color="auto" w:fill="auto"/>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59"/>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Merge w:val="restart"/>
            <w:shd w:val="clear" w:color="auto" w:fill="auto"/>
            <w:vAlign w:val="center"/>
          </w:tcPr>
          <w:p>
            <w:pPr>
              <w:pStyle w:val="59"/>
              <w:shd w:val="clear"/>
              <w:spacing w:before="0" w:beforeAutospacing="0" w:after="0" w:afterAutospacing="0" w:line="360" w:lineRule="auto"/>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传真</w:t>
            </w:r>
          </w:p>
        </w:tc>
        <w:tc>
          <w:tcPr>
            <w:tcW w:w="2608" w:type="dxa"/>
            <w:gridSpan w:val="3"/>
            <w:vMerge w:val="restart"/>
            <w:shd w:val="clear" w:color="auto" w:fill="auto"/>
            <w:vAlign w:val="center"/>
          </w:tcPr>
          <w:p>
            <w:pPr>
              <w:pStyle w:val="59"/>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pPr>
              <w:pStyle w:val="59"/>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vMerge w:val="continue"/>
            <w:tcBorders>
              <w:bottom w:val="single" w:color="auto" w:sz="4" w:space="0"/>
            </w:tcBorders>
            <w:shd w:val="clear" w:color="auto" w:fill="auto"/>
            <w:vAlign w:val="center"/>
          </w:tcPr>
          <w:p>
            <w:pPr>
              <w:pStyle w:val="59"/>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60" w:type="dxa"/>
            <w:gridSpan w:val="2"/>
            <w:tcBorders>
              <w:bottom w:val="single" w:color="auto" w:sz="4" w:space="0"/>
            </w:tcBorders>
            <w:shd w:val="clear" w:color="auto" w:fill="auto"/>
            <w:vAlign w:val="center"/>
          </w:tcPr>
          <w:p>
            <w:pPr>
              <w:pStyle w:val="59"/>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手机</w:t>
            </w:r>
          </w:p>
        </w:tc>
        <w:tc>
          <w:tcPr>
            <w:tcW w:w="2115" w:type="dxa"/>
            <w:gridSpan w:val="3"/>
            <w:tcBorders>
              <w:bottom w:val="single" w:color="auto" w:sz="4" w:space="0"/>
            </w:tcBorders>
            <w:shd w:val="clear" w:color="auto" w:fill="auto"/>
            <w:vAlign w:val="center"/>
          </w:tcPr>
          <w:p>
            <w:pPr>
              <w:pStyle w:val="59"/>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Merge w:val="continue"/>
            <w:shd w:val="clear" w:color="auto" w:fill="auto"/>
            <w:vAlign w:val="center"/>
          </w:tcPr>
          <w:p>
            <w:pPr>
              <w:pStyle w:val="59"/>
              <w:shd w:val="clear"/>
              <w:spacing w:line="360" w:lineRule="auto"/>
              <w:jc w:val="center"/>
              <w:rPr>
                <w:rFonts w:hint="eastAsia" w:ascii="宋体" w:hAnsi="宋体" w:eastAsia="宋体" w:cs="宋体"/>
                <w:bCs/>
                <w:color w:val="000000" w:themeColor="text1"/>
                <w:spacing w:val="16"/>
                <w:highlight w:val="none"/>
                <w14:textFill>
                  <w14:solidFill>
                    <w14:schemeClr w14:val="tx1"/>
                  </w14:solidFill>
                </w14:textFill>
              </w:rPr>
            </w:pPr>
          </w:p>
        </w:tc>
        <w:tc>
          <w:tcPr>
            <w:tcW w:w="2608" w:type="dxa"/>
            <w:gridSpan w:val="3"/>
            <w:vMerge w:val="continue"/>
            <w:shd w:val="clear" w:color="auto" w:fill="auto"/>
            <w:vAlign w:val="center"/>
          </w:tcPr>
          <w:p>
            <w:pPr>
              <w:pStyle w:val="59"/>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shd w:val="clear" w:color="auto" w:fill="auto"/>
            <w:vAlign w:val="center"/>
          </w:tcPr>
          <w:p>
            <w:pPr>
              <w:pStyle w:val="59"/>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p>
          <w:p>
            <w:pPr>
              <w:pStyle w:val="59"/>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p>
          <w:p>
            <w:pPr>
              <w:pStyle w:val="59"/>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业</w:t>
            </w:r>
          </w:p>
          <w:p>
            <w:pPr>
              <w:pStyle w:val="59"/>
              <w:shd w:val="clear"/>
              <w:spacing w:line="360" w:lineRule="auto"/>
              <w:ind w:left="107"/>
              <w:jc w:val="both"/>
              <w:rPr>
                <w:rFonts w:hint="eastAsia" w:ascii="宋体" w:hAnsi="宋体" w:eastAsia="宋体" w:cs="宋体"/>
                <w:bCs/>
                <w:color w:val="000000" w:themeColor="text1"/>
                <w:spacing w:val="27"/>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概</w:t>
            </w:r>
          </w:p>
          <w:p>
            <w:pPr>
              <w:pStyle w:val="59"/>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况</w:t>
            </w:r>
          </w:p>
        </w:tc>
        <w:tc>
          <w:tcPr>
            <w:tcW w:w="690" w:type="dxa"/>
            <w:tcBorders>
              <w:top w:val="nil"/>
            </w:tcBorders>
            <w:shd w:val="clear" w:color="auto" w:fill="auto"/>
            <w:vAlign w:val="center"/>
          </w:tcPr>
          <w:p>
            <w:pPr>
              <w:pStyle w:val="59"/>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职工人数</w:t>
            </w:r>
          </w:p>
        </w:tc>
        <w:tc>
          <w:tcPr>
            <w:tcW w:w="960" w:type="dxa"/>
            <w:gridSpan w:val="2"/>
            <w:tcBorders>
              <w:top w:val="nil"/>
            </w:tcBorders>
            <w:shd w:val="clear" w:color="auto" w:fill="auto"/>
            <w:vAlign w:val="center"/>
          </w:tcPr>
          <w:p>
            <w:pPr>
              <w:pStyle w:val="59"/>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26" w:type="dxa"/>
            <w:tcBorders>
              <w:top w:val="nil"/>
            </w:tcBorders>
            <w:shd w:val="clear" w:color="auto" w:fill="auto"/>
            <w:vAlign w:val="center"/>
          </w:tcPr>
          <w:p>
            <w:pPr>
              <w:pStyle w:val="59"/>
              <w:shd w:val="clear"/>
              <w:spacing w:before="0" w:beforeAutospacing="0" w:after="0" w:afterAutospacing="0"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8"/>
                <w:highlight w:val="none"/>
                <w14:textFill>
                  <w14:solidFill>
                    <w14:schemeClr w14:val="tx1"/>
                  </w14:solidFill>
                </w14:textFill>
              </w:rPr>
              <w:t>具备大专以</w:t>
            </w:r>
            <w:r>
              <w:rPr>
                <w:rFonts w:hint="eastAsia" w:ascii="宋体" w:hAnsi="宋体" w:eastAsia="宋体" w:cs="宋体"/>
                <w:bCs/>
                <w:color w:val="000000" w:themeColor="text1"/>
                <w:spacing w:val="12"/>
                <w:highlight w:val="none"/>
                <w14:textFill>
                  <w14:solidFill>
                    <w14:schemeClr w14:val="tx1"/>
                  </w14:solidFill>
                </w14:textFill>
              </w:rPr>
              <w:t>上学历人数</w:t>
            </w:r>
          </w:p>
        </w:tc>
        <w:tc>
          <w:tcPr>
            <w:tcW w:w="1189" w:type="dxa"/>
            <w:gridSpan w:val="2"/>
            <w:tcBorders>
              <w:top w:val="nil"/>
            </w:tcBorders>
            <w:shd w:val="clear" w:color="auto" w:fill="auto"/>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59"/>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shd w:val="clear" w:color="auto" w:fill="auto"/>
            <w:vAlign w:val="center"/>
          </w:tcPr>
          <w:p>
            <w:pPr>
              <w:pStyle w:val="59"/>
              <w:shd w:val="clear"/>
              <w:spacing w:line="360" w:lineRule="auto"/>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65"/>
                <w:highlight w:val="none"/>
                <w14:textFill>
                  <w14:solidFill>
                    <w14:schemeClr w14:val="tx1"/>
                  </w14:solidFill>
                </w14:textFill>
              </w:rPr>
              <w:t>国家授予技</w:t>
            </w:r>
            <w:r>
              <w:rPr>
                <w:rFonts w:hint="eastAsia" w:ascii="宋体" w:hAnsi="宋体" w:eastAsia="宋体" w:cs="宋体"/>
                <w:bCs/>
                <w:color w:val="000000" w:themeColor="text1"/>
                <w:spacing w:val="12"/>
                <w:highlight w:val="none"/>
                <w14:textFill>
                  <w14:solidFill>
                    <w14:schemeClr w14:val="tx1"/>
                  </w14:solidFill>
                </w14:textFill>
              </w:rPr>
              <w:t>术职称人数</w:t>
            </w:r>
          </w:p>
        </w:tc>
        <w:tc>
          <w:tcPr>
            <w:tcW w:w="2608" w:type="dxa"/>
            <w:gridSpan w:val="3"/>
            <w:shd w:val="clear" w:color="auto" w:fill="auto"/>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59"/>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shd w:val="clear" w:color="auto" w:fill="auto"/>
            <w:vAlign w:val="center"/>
          </w:tcPr>
          <w:p>
            <w:pPr>
              <w:pStyle w:val="59"/>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shd w:val="clear" w:color="auto" w:fill="auto"/>
            <w:vAlign w:val="center"/>
          </w:tcPr>
          <w:p>
            <w:pPr>
              <w:pStyle w:val="59"/>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占地面积</w:t>
            </w:r>
          </w:p>
        </w:tc>
        <w:tc>
          <w:tcPr>
            <w:tcW w:w="960" w:type="dxa"/>
            <w:gridSpan w:val="2"/>
            <w:shd w:val="clear" w:color="auto" w:fill="auto"/>
            <w:vAlign w:val="center"/>
          </w:tcPr>
          <w:p>
            <w:pPr>
              <w:pStyle w:val="59"/>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926" w:type="dxa"/>
            <w:shd w:val="clear" w:color="auto" w:fill="auto"/>
            <w:vAlign w:val="center"/>
          </w:tcPr>
          <w:p>
            <w:pPr>
              <w:pStyle w:val="59"/>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建筑面积</w:t>
            </w:r>
          </w:p>
        </w:tc>
        <w:tc>
          <w:tcPr>
            <w:tcW w:w="1189" w:type="dxa"/>
            <w:gridSpan w:val="2"/>
            <w:shd w:val="clear" w:color="auto" w:fill="auto"/>
            <w:vAlign w:val="center"/>
          </w:tcPr>
          <w:p>
            <w:pPr>
              <w:pStyle w:val="59"/>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平方米</w:t>
            </w:r>
          </w:p>
          <w:p>
            <w:pPr>
              <w:pStyle w:val="59"/>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□自有□租赁</w:t>
            </w:r>
          </w:p>
        </w:tc>
        <w:tc>
          <w:tcPr>
            <w:tcW w:w="1560" w:type="dxa"/>
            <w:shd w:val="clear" w:color="auto" w:fill="auto"/>
            <w:vAlign w:val="center"/>
          </w:tcPr>
          <w:p>
            <w:pPr>
              <w:pStyle w:val="59"/>
              <w:shd w:val="clear"/>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生产经营场所及场所的设施与设备</w:t>
            </w:r>
          </w:p>
        </w:tc>
        <w:tc>
          <w:tcPr>
            <w:tcW w:w="2608" w:type="dxa"/>
            <w:gridSpan w:val="3"/>
            <w:shd w:val="clear" w:color="auto" w:fill="auto"/>
            <w:vAlign w:val="center"/>
          </w:tcPr>
          <w:p>
            <w:pPr>
              <w:pStyle w:val="59"/>
              <w:shd w:val="clear"/>
              <w:spacing w:before="0" w:beforeAutospacing="0" w:after="0" w:afterAutospacing="0"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shd w:val="clear" w:color="auto" w:fill="auto"/>
            <w:vAlign w:val="center"/>
          </w:tcPr>
          <w:p>
            <w:pPr>
              <w:pStyle w:val="59"/>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shd w:val="clear" w:color="auto" w:fill="auto"/>
            <w:vAlign w:val="center"/>
          </w:tcPr>
          <w:p>
            <w:pPr>
              <w:pStyle w:val="59"/>
              <w:shd w:val="clear"/>
              <w:spacing w:line="360" w:lineRule="auto"/>
              <w:ind w:left="2"/>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注册资金</w:t>
            </w:r>
          </w:p>
        </w:tc>
        <w:tc>
          <w:tcPr>
            <w:tcW w:w="960" w:type="dxa"/>
            <w:gridSpan w:val="2"/>
            <w:shd w:val="clear" w:color="auto" w:fill="auto"/>
            <w:vAlign w:val="center"/>
          </w:tcPr>
          <w:p>
            <w:pPr>
              <w:pStyle w:val="59"/>
              <w:shd w:val="clear"/>
              <w:spacing w:line="360" w:lineRule="auto"/>
              <w:ind w:left="2"/>
              <w:jc w:val="both"/>
              <w:rPr>
                <w:rFonts w:hint="eastAsia" w:ascii="宋体" w:hAnsi="宋体" w:eastAsia="宋体" w:cs="宋体"/>
                <w:bCs/>
                <w:color w:val="000000" w:themeColor="text1"/>
                <w:highlight w:val="none"/>
                <w14:textFill>
                  <w14:solidFill>
                    <w14:schemeClr w14:val="tx1"/>
                  </w14:solidFill>
                </w14:textFill>
              </w:rPr>
            </w:pPr>
          </w:p>
        </w:tc>
        <w:tc>
          <w:tcPr>
            <w:tcW w:w="926" w:type="dxa"/>
            <w:shd w:val="clear" w:color="auto" w:fill="auto"/>
            <w:vAlign w:val="center"/>
          </w:tcPr>
          <w:p>
            <w:pPr>
              <w:pStyle w:val="59"/>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注册发证</w:t>
            </w:r>
            <w:r>
              <w:rPr>
                <w:rFonts w:hint="eastAsia" w:ascii="宋体" w:hAnsi="宋体" w:eastAsia="宋体" w:cs="宋体"/>
                <w:bCs/>
                <w:color w:val="000000" w:themeColor="text1"/>
                <w:spacing w:val="27"/>
                <w:highlight w:val="none"/>
                <w14:textFill>
                  <w14:solidFill>
                    <w14:schemeClr w14:val="tx1"/>
                  </w14:solidFill>
                </w14:textFill>
              </w:rPr>
              <w:t>机关</w:t>
            </w:r>
          </w:p>
        </w:tc>
        <w:tc>
          <w:tcPr>
            <w:tcW w:w="2749" w:type="dxa"/>
            <w:gridSpan w:val="3"/>
            <w:shd w:val="clear" w:color="auto" w:fill="auto"/>
            <w:vAlign w:val="center"/>
          </w:tcPr>
          <w:p>
            <w:pPr>
              <w:widowControl/>
              <w:shd w:val="clear"/>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p>
            <w:pPr>
              <w:pStyle w:val="59"/>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1675" w:type="dxa"/>
            <w:gridSpan w:val="2"/>
            <w:shd w:val="clear" w:color="auto" w:fill="auto"/>
            <w:vAlign w:val="center"/>
          </w:tcPr>
          <w:p>
            <w:pPr>
              <w:pStyle w:val="59"/>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公司成</w:t>
            </w:r>
            <w:r>
              <w:rPr>
                <w:rFonts w:hint="eastAsia" w:ascii="宋体" w:hAnsi="宋体" w:eastAsia="宋体" w:cs="宋体"/>
                <w:bCs/>
                <w:color w:val="000000" w:themeColor="text1"/>
                <w:spacing w:val="12"/>
                <w:highlight w:val="none"/>
                <w14:textFill>
                  <w14:solidFill>
                    <w14:schemeClr w14:val="tx1"/>
                  </w14:solidFill>
                </w14:textFill>
              </w:rPr>
              <w:t>立时间</w:t>
            </w:r>
          </w:p>
        </w:tc>
        <w:tc>
          <w:tcPr>
            <w:tcW w:w="933" w:type="dxa"/>
            <w:shd w:val="clear" w:color="auto" w:fill="auto"/>
            <w:vAlign w:val="center"/>
          </w:tcPr>
          <w:p>
            <w:pPr>
              <w:pStyle w:val="59"/>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shd w:val="clear" w:color="auto" w:fill="auto"/>
            <w:vAlign w:val="center"/>
          </w:tcPr>
          <w:p>
            <w:pPr>
              <w:pStyle w:val="59"/>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shd w:val="clear" w:color="auto" w:fill="auto"/>
            <w:vAlign w:val="center"/>
          </w:tcPr>
          <w:p>
            <w:pPr>
              <w:pStyle w:val="59"/>
              <w:shd w:val="clear"/>
              <w:spacing w:line="360" w:lineRule="auto"/>
              <w:ind w:left="2"/>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核准经营范围</w:t>
            </w:r>
          </w:p>
        </w:tc>
        <w:tc>
          <w:tcPr>
            <w:tcW w:w="7243" w:type="dxa"/>
            <w:gridSpan w:val="9"/>
            <w:shd w:val="clear" w:color="auto" w:fill="auto"/>
            <w:vAlign w:val="center"/>
          </w:tcPr>
          <w:p>
            <w:pPr>
              <w:pStyle w:val="59"/>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shd w:val="clear" w:color="auto" w:fill="auto"/>
            <w:vAlign w:val="center"/>
          </w:tcPr>
          <w:p>
            <w:pPr>
              <w:pStyle w:val="59"/>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7933" w:type="dxa"/>
            <w:gridSpan w:val="10"/>
            <w:shd w:val="clear" w:color="auto" w:fill="auto"/>
            <w:vAlign w:val="center"/>
          </w:tcPr>
          <w:p>
            <w:pPr>
              <w:pStyle w:val="59"/>
              <w:shd w:val="clear"/>
              <w:spacing w:line="360" w:lineRule="auto"/>
              <w:jc w:val="both"/>
              <w:rPr>
                <w:rFonts w:hint="eastAsia" w:ascii="宋体" w:hAnsi="宋体" w:eastAsia="宋体" w:cs="宋体"/>
                <w:bCs/>
                <w:color w:val="000000" w:themeColor="text1"/>
                <w:spacing w:val="13"/>
                <w:highlight w:val="none"/>
                <w14:textFill>
                  <w14:solidFill>
                    <w14:schemeClr w14:val="tx1"/>
                  </w14:solidFill>
                </w14:textFill>
              </w:rPr>
            </w:pPr>
            <w:r>
              <w:rPr>
                <w:rFonts w:hint="eastAsia" w:ascii="宋体" w:hAnsi="宋体" w:eastAsia="宋体" w:cs="宋体"/>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shd w:val="clear" w:color="auto" w:fill="auto"/>
            <w:vAlign w:val="center"/>
          </w:tcPr>
          <w:p>
            <w:pPr>
              <w:pStyle w:val="59"/>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w:t>
            </w:r>
          </w:p>
          <w:p>
            <w:pPr>
              <w:pStyle w:val="59"/>
              <w:shd w:val="clear"/>
              <w:spacing w:line="360" w:lineRule="auto"/>
              <w:ind w:left="107"/>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r>
              <w:rPr>
                <w:rFonts w:hint="eastAsia" w:ascii="宋体" w:hAnsi="宋体" w:eastAsia="宋体" w:cs="宋体"/>
                <w:bCs/>
                <w:color w:val="000000" w:themeColor="text1"/>
                <w:spacing w:val="12"/>
                <w:highlight w:val="none"/>
                <w14:textFill>
                  <w14:solidFill>
                    <w14:schemeClr w14:val="tx1"/>
                  </w14:solidFill>
                </w14:textFill>
              </w:rPr>
              <w:t>业有关资质获证情况</w:t>
            </w:r>
          </w:p>
        </w:tc>
        <w:tc>
          <w:tcPr>
            <w:tcW w:w="1355" w:type="dxa"/>
            <w:gridSpan w:val="2"/>
            <w:vMerge w:val="restart"/>
            <w:shd w:val="clear" w:color="auto" w:fill="auto"/>
            <w:vAlign w:val="center"/>
          </w:tcPr>
          <w:p>
            <w:pPr>
              <w:pStyle w:val="59"/>
              <w:shd w:val="clear"/>
              <w:spacing w:before="0" w:beforeAutospacing="0" w:after="0" w:afterAutospacing="0"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产品生产许可证情况</w:t>
            </w:r>
            <w:r>
              <w:rPr>
                <w:rFonts w:hint="eastAsia" w:ascii="宋体" w:hAnsi="宋体" w:eastAsia="宋体" w:cs="宋体"/>
                <w:bCs/>
                <w:color w:val="000000" w:themeColor="text1"/>
                <w:spacing w:val="41"/>
                <w:highlight w:val="none"/>
                <w14:textFill>
                  <w14:solidFill>
                    <w14:schemeClr w14:val="tx1"/>
                  </w14:solidFill>
                </w14:textFill>
              </w:rPr>
              <w:t>（对需获得生产许可证的</w:t>
            </w:r>
            <w:r>
              <w:rPr>
                <w:rFonts w:hint="eastAsia" w:ascii="宋体" w:hAnsi="宋体" w:eastAsia="宋体" w:cs="宋体"/>
                <w:bCs/>
                <w:color w:val="000000" w:themeColor="text1"/>
                <w:spacing w:val="11"/>
                <w:highlight w:val="none"/>
                <w14:textFill>
                  <w14:solidFill>
                    <w14:schemeClr w14:val="tx1"/>
                  </w14:solidFill>
                </w14:textFill>
              </w:rPr>
              <w:t>产品要填写此栏）</w:t>
            </w:r>
          </w:p>
        </w:tc>
        <w:tc>
          <w:tcPr>
            <w:tcW w:w="1333" w:type="dxa"/>
            <w:gridSpan w:val="3"/>
            <w:shd w:val="clear" w:color="auto" w:fill="auto"/>
            <w:vAlign w:val="center"/>
          </w:tcPr>
          <w:p>
            <w:pPr>
              <w:pStyle w:val="59"/>
              <w:shd w:val="clear"/>
              <w:spacing w:line="360" w:lineRule="auto"/>
              <w:ind w:right="-78" w:rightChars="-37"/>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产品名称</w:t>
            </w:r>
          </w:p>
        </w:tc>
        <w:tc>
          <w:tcPr>
            <w:tcW w:w="1077" w:type="dxa"/>
            <w:shd w:val="clear" w:color="auto" w:fill="auto"/>
            <w:vAlign w:val="center"/>
          </w:tcPr>
          <w:p>
            <w:pPr>
              <w:pStyle w:val="59"/>
              <w:shd w:val="clear"/>
              <w:spacing w:before="0" w:beforeAutospacing="0" w:after="0" w:afterAutospacing="0"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发证机关</w:t>
            </w:r>
          </w:p>
        </w:tc>
        <w:tc>
          <w:tcPr>
            <w:tcW w:w="1617" w:type="dxa"/>
            <w:gridSpan w:val="2"/>
            <w:shd w:val="clear" w:color="auto" w:fill="auto"/>
            <w:vAlign w:val="center"/>
          </w:tcPr>
          <w:p>
            <w:pPr>
              <w:pStyle w:val="59"/>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编号</w:t>
            </w:r>
          </w:p>
        </w:tc>
        <w:tc>
          <w:tcPr>
            <w:tcW w:w="1618" w:type="dxa"/>
            <w:shd w:val="clear" w:color="auto" w:fill="auto"/>
            <w:vAlign w:val="center"/>
          </w:tcPr>
          <w:p>
            <w:pPr>
              <w:pStyle w:val="59"/>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发证时间</w:t>
            </w:r>
          </w:p>
        </w:tc>
        <w:tc>
          <w:tcPr>
            <w:tcW w:w="933" w:type="dxa"/>
            <w:shd w:val="clear" w:color="auto" w:fill="auto"/>
            <w:vAlign w:val="center"/>
          </w:tcPr>
          <w:p>
            <w:pPr>
              <w:pStyle w:val="59"/>
              <w:shd w:val="clear"/>
              <w:spacing w:before="0" w:beforeAutospacing="0" w:after="0" w:afterAutospacing="0"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shd w:val="clear" w:color="auto" w:fill="auto"/>
            <w:vAlign w:val="center"/>
          </w:tcPr>
          <w:p>
            <w:pPr>
              <w:pStyle w:val="59"/>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1355" w:type="dxa"/>
            <w:gridSpan w:val="2"/>
            <w:vMerge w:val="continue"/>
            <w:shd w:val="clear" w:color="auto" w:fill="auto"/>
            <w:vAlign w:val="center"/>
          </w:tcPr>
          <w:p>
            <w:pPr>
              <w:pStyle w:val="59"/>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333" w:type="dxa"/>
            <w:gridSpan w:val="3"/>
            <w:shd w:val="clear" w:color="auto" w:fill="auto"/>
            <w:vAlign w:val="center"/>
          </w:tcPr>
          <w:p>
            <w:pPr>
              <w:pStyle w:val="59"/>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077" w:type="dxa"/>
            <w:shd w:val="clear" w:color="auto" w:fill="auto"/>
            <w:vAlign w:val="center"/>
          </w:tcPr>
          <w:p>
            <w:pPr>
              <w:pStyle w:val="59"/>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617" w:type="dxa"/>
            <w:gridSpan w:val="2"/>
            <w:shd w:val="clear" w:color="auto" w:fill="auto"/>
            <w:vAlign w:val="center"/>
          </w:tcPr>
          <w:p>
            <w:pPr>
              <w:pStyle w:val="59"/>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2551" w:type="dxa"/>
            <w:gridSpan w:val="2"/>
            <w:shd w:val="clear" w:color="auto" w:fill="auto"/>
            <w:vAlign w:val="center"/>
          </w:tcPr>
          <w:p>
            <w:pPr>
              <w:pStyle w:val="59"/>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shd w:val="clear" w:color="auto" w:fill="auto"/>
            <w:vAlign w:val="center"/>
          </w:tcPr>
          <w:p>
            <w:pPr>
              <w:pStyle w:val="59"/>
              <w:shd w:val="clear"/>
              <w:spacing w:line="360" w:lineRule="auto"/>
              <w:ind w:left="107"/>
              <w:jc w:val="both"/>
              <w:rPr>
                <w:rFonts w:hint="eastAsia" w:ascii="宋体" w:hAnsi="宋体" w:eastAsia="宋体" w:cs="宋体"/>
                <w:bCs/>
                <w:color w:val="000000" w:themeColor="text1"/>
                <w:spacing w:val="16"/>
                <w:highlight w:val="none"/>
                <w14:textFill>
                  <w14:solidFill>
                    <w14:schemeClr w14:val="tx1"/>
                  </w14:solidFill>
                </w14:textFill>
              </w:rPr>
            </w:pPr>
          </w:p>
        </w:tc>
        <w:tc>
          <w:tcPr>
            <w:tcW w:w="1355" w:type="dxa"/>
            <w:gridSpan w:val="2"/>
            <w:shd w:val="clear" w:color="auto" w:fill="auto"/>
            <w:vAlign w:val="center"/>
          </w:tcPr>
          <w:p>
            <w:pPr>
              <w:pStyle w:val="59"/>
              <w:shd w:val="clear"/>
              <w:spacing w:before="0" w:beforeAutospacing="0" w:after="0" w:afterAutospacing="0" w:line="360" w:lineRule="auto"/>
              <w:ind w:right="-107" w:rightChars="-51"/>
              <w:jc w:val="both"/>
              <w:rPr>
                <w:rFonts w:hint="eastAsia" w:ascii="宋体" w:hAnsi="宋体" w:eastAsia="宋体" w:cs="宋体"/>
                <w:bCs/>
                <w:color w:val="000000" w:themeColor="text1"/>
                <w:spacing w:val="41"/>
                <w:highlight w:val="none"/>
                <w14:textFill>
                  <w14:solidFill>
                    <w14:schemeClr w14:val="tx1"/>
                  </w14:solidFill>
                </w14:textFill>
              </w:rPr>
            </w:pPr>
            <w:r>
              <w:rPr>
                <w:rFonts w:hint="eastAsia" w:ascii="宋体" w:hAnsi="宋体" w:eastAsia="宋体" w:cs="宋体"/>
                <w:bCs/>
                <w:color w:val="000000" w:themeColor="text1"/>
                <w:spacing w:val="41"/>
                <w:highlight w:val="none"/>
                <w14:textFill>
                  <w14:solidFill>
                    <w14:schemeClr w14:val="tx1"/>
                  </w14:solidFill>
                </w14:textFill>
              </w:rPr>
              <w:t>企业通过质量体系、环保</w:t>
            </w:r>
            <w:r>
              <w:rPr>
                <w:rFonts w:hint="eastAsia" w:ascii="宋体" w:hAnsi="宋体" w:eastAsia="宋体" w:cs="宋体"/>
                <w:bCs/>
                <w:color w:val="000000" w:themeColor="text1"/>
                <w:spacing w:val="11"/>
                <w:highlight w:val="none"/>
                <w14:textFill>
                  <w14:solidFill>
                    <w14:schemeClr w14:val="tx1"/>
                  </w14:solidFill>
                </w14:textFill>
              </w:rPr>
              <w:t>体系、计量等认证情况</w:t>
            </w:r>
          </w:p>
        </w:tc>
        <w:tc>
          <w:tcPr>
            <w:tcW w:w="6578" w:type="dxa"/>
            <w:gridSpan w:val="8"/>
            <w:shd w:val="clear" w:color="auto" w:fill="auto"/>
            <w:vAlign w:val="center"/>
          </w:tcPr>
          <w:p>
            <w:pPr>
              <w:pStyle w:val="59"/>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shd w:val="clear" w:color="auto" w:fill="auto"/>
            <w:vAlign w:val="center"/>
          </w:tcPr>
          <w:p>
            <w:pPr>
              <w:pStyle w:val="59"/>
              <w:shd w:val="clear"/>
              <w:spacing w:line="360" w:lineRule="auto"/>
              <w:ind w:left="107"/>
              <w:jc w:val="both"/>
              <w:rPr>
                <w:rFonts w:hint="eastAsia" w:ascii="宋体" w:hAnsi="宋体" w:eastAsia="宋体" w:cs="宋体"/>
                <w:bCs/>
                <w:color w:val="000000" w:themeColor="text1"/>
                <w:spacing w:val="27"/>
                <w:highlight w:val="none"/>
                <w14:textFill>
                  <w14:solidFill>
                    <w14:schemeClr w14:val="tx1"/>
                  </w14:solidFill>
                </w14:textFill>
              </w:rPr>
            </w:pPr>
          </w:p>
        </w:tc>
        <w:tc>
          <w:tcPr>
            <w:tcW w:w="1355" w:type="dxa"/>
            <w:gridSpan w:val="2"/>
            <w:shd w:val="clear" w:color="auto" w:fill="auto"/>
            <w:vAlign w:val="center"/>
          </w:tcPr>
          <w:p>
            <w:pPr>
              <w:pStyle w:val="59"/>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0"/>
                <w:highlight w:val="none"/>
                <w14:textFill>
                  <w14:solidFill>
                    <w14:schemeClr w14:val="tx1"/>
                  </w14:solidFill>
                </w14:textFill>
              </w:rPr>
              <w:t>企业获得专利情况</w:t>
            </w:r>
          </w:p>
        </w:tc>
        <w:tc>
          <w:tcPr>
            <w:tcW w:w="6578" w:type="dxa"/>
            <w:gridSpan w:val="8"/>
            <w:shd w:val="clear" w:color="auto" w:fill="auto"/>
            <w:vAlign w:val="center"/>
          </w:tcPr>
          <w:p>
            <w:pPr>
              <w:pStyle w:val="59"/>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bl>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要求：</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1.姓名栏必须将所有股东都统计在内，若非股份公司此行（第三行）无需填写；</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w:t>
      </w:r>
      <w:r>
        <w:rPr>
          <w:rFonts w:hint="eastAsia" w:ascii="宋体" w:hAnsi="宋体" w:eastAsia="宋体" w:cs="宋体"/>
          <w:b/>
          <w:color w:val="000000" w:themeColor="text1"/>
          <w:sz w:val="28"/>
          <w:highlight w:val="none"/>
          <w:lang w:val="en-US" w:eastAsia="zh-CN"/>
          <w14:textFill>
            <w14:solidFill>
              <w14:schemeClr w14:val="tx1"/>
            </w14:solidFill>
          </w14:textFill>
        </w:rPr>
        <w:t>1</w:t>
      </w:r>
      <w:r>
        <w:rPr>
          <w:rFonts w:hint="eastAsia" w:ascii="宋体" w:hAnsi="宋体" w:cs="宋体"/>
          <w:b/>
          <w:color w:val="000000" w:themeColor="text1"/>
          <w:sz w:val="28"/>
          <w:highlight w:val="none"/>
          <w:lang w:val="en-US" w:eastAsia="zh-CN"/>
          <w14:textFill>
            <w14:solidFill>
              <w14:schemeClr w14:val="tx1"/>
            </w14:solidFill>
          </w14:textFill>
        </w:rPr>
        <w:t>0</w:t>
      </w:r>
    </w:p>
    <w:p>
      <w:pPr>
        <w:shd w:val="clear"/>
        <w:spacing w:line="360" w:lineRule="auto"/>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项目实施人员一览表（标段）</w:t>
      </w:r>
    </w:p>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（主要从业人员及其技术资格）</w:t>
      </w:r>
    </w:p>
    <w:tbl>
      <w:tblPr>
        <w:tblStyle w:val="30"/>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5"/>
              <w:shd w:val="clear"/>
              <w:snapToGrid w:val="0"/>
              <w:spacing w:beforeLines="50" w:after="50" w:line="360" w:lineRule="auto"/>
              <w:ind w:left="5250"/>
              <w:rPr>
                <w:rFonts w:hint="eastAsia" w:ascii="宋体" w:hAnsi="宋体" w:eastAsia="宋体" w:cs="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5"/>
              <w:shd w:val="clear"/>
              <w:snapToGrid w:val="0"/>
              <w:spacing w:beforeLines="50" w:after="50" w:line="360" w:lineRule="auto"/>
              <w:ind w:left="5250"/>
              <w:rPr>
                <w:rFonts w:hint="eastAsia" w:ascii="宋体" w:hAnsi="宋体" w:eastAsia="宋体" w:cs="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5"/>
              <w:shd w:val="clear"/>
              <w:spacing w:line="360" w:lineRule="auto"/>
              <w:ind w:left="5250"/>
              <w:rPr>
                <w:rFonts w:hint="eastAsia" w:ascii="宋体" w:hAnsi="宋体" w:eastAsia="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bl>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要求：</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1.在填写时，如本表格不适合投标单位的实际情况，可根据本表格式自行划表填写。</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2.附人员证书复印件；</w:t>
      </w: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3.出具上述人员在本单位服务的外部证明，如：投标截止日之前六个月以内的代缴个税税单、参加社会保险的《投保单》或《社会保险参保人员证明》等。</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default"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w:t>
      </w:r>
      <w:r>
        <w:rPr>
          <w:rFonts w:hint="eastAsia" w:ascii="宋体" w:hAnsi="宋体" w:eastAsia="宋体" w:cs="宋体"/>
          <w:b/>
          <w:color w:val="000000" w:themeColor="text1"/>
          <w:sz w:val="28"/>
          <w:highlight w:val="none"/>
          <w:lang w:val="en-US" w:eastAsia="zh-CN"/>
          <w14:textFill>
            <w14:solidFill>
              <w14:schemeClr w14:val="tx1"/>
            </w14:solidFill>
          </w14:textFill>
        </w:rPr>
        <w:t>1</w:t>
      </w:r>
      <w:r>
        <w:rPr>
          <w:rFonts w:hint="eastAsia" w:ascii="宋体" w:hAnsi="宋体" w:cs="宋体"/>
          <w:b/>
          <w:color w:val="000000" w:themeColor="text1"/>
          <w:sz w:val="28"/>
          <w:highlight w:val="none"/>
          <w:lang w:val="en-US" w:eastAsia="zh-CN"/>
          <w14:textFill>
            <w14:solidFill>
              <w14:schemeClr w14:val="tx1"/>
            </w14:solidFill>
          </w14:textFill>
        </w:rPr>
        <w:t>1</w:t>
      </w:r>
    </w:p>
    <w:p>
      <w:pPr>
        <w:shd w:val="clear"/>
        <w:spacing w:beforeLines="50" w:afterLines="50" w:line="360" w:lineRule="auto"/>
        <w:ind w:right="-1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项目负责人资格情况表</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采购项目：                                        采购编号：</w:t>
      </w:r>
    </w:p>
    <w:tbl>
      <w:tblPr>
        <w:tblStyle w:val="30"/>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注：业绩证明应提供旁证材料</w:t>
            </w:r>
          </w:p>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bl>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480" w:lineRule="exact"/>
        <w:jc w:val="left"/>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lang w:val="en-US" w:eastAsia="zh-CN"/>
          <w14:textFill>
            <w14:solidFill>
              <w14:schemeClr w14:val="tx1"/>
            </w14:solidFill>
          </w14:textFill>
        </w:rPr>
        <w:t>1</w:t>
      </w:r>
      <w:r>
        <w:rPr>
          <w:rFonts w:hint="eastAsia" w:ascii="宋体" w:hAnsi="宋体" w:cs="宋体"/>
          <w:b/>
          <w:bCs/>
          <w:color w:val="000000" w:themeColor="text1"/>
          <w:sz w:val="28"/>
          <w:szCs w:val="36"/>
          <w:highlight w:val="none"/>
          <w:lang w:val="en-US" w:eastAsia="zh-CN"/>
          <w14:textFill>
            <w14:solidFill>
              <w14:schemeClr w14:val="tx1"/>
            </w14:solidFill>
          </w14:textFill>
        </w:rPr>
        <w:t>2</w:t>
      </w:r>
    </w:p>
    <w:p>
      <w:pPr>
        <w:shd w:val="clea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技术需求响应表</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bl>
      <w:tblPr>
        <w:tblStyle w:val="3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785" w:type="dxa"/>
            <w:vAlign w:val="center"/>
          </w:tcPr>
          <w:p>
            <w:pPr>
              <w:shd w:val="clear"/>
              <w:spacing w:line="360" w:lineRule="auto"/>
              <w:ind w:left="13" w:leftChars="6"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449" w:type="dxa"/>
            <w:vAlign w:val="center"/>
          </w:tcPr>
          <w:p>
            <w:pPr>
              <w:shd w:val="clear"/>
              <w:spacing w:line="360" w:lineRule="auto"/>
              <w:ind w:left="5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规格型号</w:t>
            </w:r>
          </w:p>
        </w:tc>
        <w:tc>
          <w:tcPr>
            <w:tcW w:w="1560" w:type="dxa"/>
            <w:vAlign w:val="center"/>
          </w:tcPr>
          <w:p>
            <w:pPr>
              <w:shd w:val="clear"/>
              <w:spacing w:line="360" w:lineRule="auto"/>
              <w:ind w:left="15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招标参数</w:t>
            </w:r>
          </w:p>
        </w:tc>
        <w:tc>
          <w:tcPr>
            <w:tcW w:w="1401" w:type="dxa"/>
            <w:vAlign w:val="center"/>
          </w:tcPr>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投标参数</w:t>
            </w:r>
          </w:p>
        </w:tc>
        <w:tc>
          <w:tcPr>
            <w:tcW w:w="1365" w:type="dxa"/>
            <w:vAlign w:val="center"/>
          </w:tcPr>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4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6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4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6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4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6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4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6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4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6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4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6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4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6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1.本表的名称须与《报价明细表》一致。</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2.本表参照本招标文件第四章“公开招标需求”内容填制，投标人应根据投标设备的性能指标、服务指标，对照招标文件要求在“偏离情况”栏注明“正偏离”、“负偏离”或“无偏离”。</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8"/>
          <w:szCs w:val="36"/>
          <w:highlight w:val="none"/>
          <w:lang w:val="zh-CN"/>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w:t>
      </w:r>
      <w:r>
        <w:rPr>
          <w:rFonts w:hint="eastAsia" w:ascii="宋体" w:hAnsi="宋体" w:cs="宋体"/>
          <w:b/>
          <w:bCs/>
          <w:color w:val="000000" w:themeColor="text1"/>
          <w:sz w:val="28"/>
          <w:szCs w:val="36"/>
          <w:highlight w:val="none"/>
          <w:lang w:val="en-US" w:eastAsia="zh-CN"/>
          <w14:textFill>
            <w14:solidFill>
              <w14:schemeClr w14:val="tx1"/>
            </w14:solidFill>
          </w14:textFill>
        </w:rPr>
        <w:t>3</w:t>
      </w:r>
    </w:p>
    <w:p>
      <w:pPr>
        <w:shd w:val="clear"/>
        <w:spacing w:line="360" w:lineRule="auto"/>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证书一览表</w:t>
      </w:r>
    </w:p>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tbl>
      <w:tblPr>
        <w:tblStyle w:val="3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63"/>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证书名称</w:t>
            </w:r>
          </w:p>
        </w:tc>
        <w:tc>
          <w:tcPr>
            <w:tcW w:w="2258" w:type="dxa"/>
            <w:tcBorders>
              <w:top w:val="double" w:color="auto" w:sz="4" w:space="0"/>
            </w:tcBorders>
          </w:tcPr>
          <w:p>
            <w:pPr>
              <w:pStyle w:val="63"/>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发证单位</w:t>
            </w:r>
          </w:p>
        </w:tc>
        <w:tc>
          <w:tcPr>
            <w:tcW w:w="2260" w:type="dxa"/>
            <w:tcBorders>
              <w:top w:val="double" w:color="auto" w:sz="4" w:space="0"/>
            </w:tcBorders>
          </w:tcPr>
          <w:p>
            <w:pPr>
              <w:pStyle w:val="63"/>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证书等级</w:t>
            </w:r>
          </w:p>
        </w:tc>
        <w:tc>
          <w:tcPr>
            <w:tcW w:w="2047" w:type="dxa"/>
            <w:tcBorders>
              <w:top w:val="double" w:color="auto" w:sz="4" w:space="0"/>
              <w:right w:val="single" w:color="auto" w:sz="4" w:space="0"/>
            </w:tcBorders>
          </w:tcPr>
          <w:p>
            <w:pPr>
              <w:pStyle w:val="63"/>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867" w:type="dxa"/>
            <w:tcBorders>
              <w:left w:val="single" w:color="auto" w:sz="4" w:space="0"/>
            </w:tcBorders>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Borders>
              <w:bottom w:val="double" w:color="auto" w:sz="4" w:space="0"/>
            </w:tcBorders>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Borders>
              <w:bottom w:val="double" w:color="auto" w:sz="4" w:space="0"/>
            </w:tcBorders>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bottom w:val="double" w:color="auto" w:sz="4" w:space="0"/>
              <w:right w:val="single" w:color="auto" w:sz="4" w:space="0"/>
            </w:tcBorders>
          </w:tcPr>
          <w:p>
            <w:pPr>
              <w:pStyle w:val="63"/>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1.填写投标人获得资质、认证或企业信誉证书；</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2.附所列证书复印件或其他证明材料。</w:t>
      </w:r>
    </w:p>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附件1</w:t>
      </w:r>
      <w:r>
        <w:rPr>
          <w:rFonts w:hint="eastAsia" w:ascii="宋体" w:hAnsi="宋体" w:cs="宋体"/>
          <w:b/>
          <w:bCs/>
          <w:color w:val="000000" w:themeColor="text1"/>
          <w:sz w:val="28"/>
          <w:szCs w:val="36"/>
          <w:highlight w:val="none"/>
          <w:lang w:val="en-US" w:eastAsia="zh-CN"/>
          <w14:textFill>
            <w14:solidFill>
              <w14:schemeClr w14:val="tx1"/>
            </w14:solidFill>
          </w14:textFill>
        </w:rPr>
        <w:t>4</w:t>
      </w:r>
    </w:p>
    <w:p>
      <w:pPr>
        <w:shd w:val="clear"/>
        <w:spacing w:line="360" w:lineRule="auto"/>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投标人类似项目实施情况一览表</w:t>
      </w: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tbl>
      <w:tblPr>
        <w:tblStyle w:val="3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2"/>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2"/>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2"/>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2"/>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62"/>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62"/>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62"/>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2"/>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1.业绩证明应提供证明材料（合同复印件可只提供首页、含金额页、盖章页并加盖投标人公章）；</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2.报价供应商可按此表格式复制。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附件1</w:t>
      </w:r>
      <w:r>
        <w:rPr>
          <w:rFonts w:hint="eastAsia" w:ascii="宋体" w:hAnsi="宋体" w:cs="宋体"/>
          <w:b/>
          <w:bCs/>
          <w:color w:val="000000" w:themeColor="text1"/>
          <w:sz w:val="28"/>
          <w:szCs w:val="36"/>
          <w:highlight w:val="none"/>
          <w:lang w:val="en-US" w:eastAsia="zh-CN"/>
          <w14:textFill>
            <w14:solidFill>
              <w14:schemeClr w14:val="tx1"/>
            </w14:solidFill>
          </w14:textFill>
        </w:rPr>
        <w:t>5</w:t>
      </w:r>
    </w:p>
    <w:p>
      <w:pPr>
        <w:shd w:val="clear"/>
        <w:spacing w:line="360" w:lineRule="auto"/>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资信及商务需求响应表</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tbl>
      <w:tblPr>
        <w:tblStyle w:val="3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hd w:val="clea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785" w:type="dxa"/>
            <w:vAlign w:val="center"/>
          </w:tcPr>
          <w:p>
            <w:pPr>
              <w:shd w:val="clea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内容</w:t>
            </w:r>
          </w:p>
        </w:tc>
        <w:tc>
          <w:tcPr>
            <w:tcW w:w="1785" w:type="dxa"/>
            <w:vAlign w:val="center"/>
          </w:tcPr>
          <w:p>
            <w:pPr>
              <w:shd w:val="clear"/>
              <w:ind w:left="53" w:leftChars="25"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招标需求</w:t>
            </w:r>
          </w:p>
        </w:tc>
        <w:tc>
          <w:tcPr>
            <w:tcW w:w="1365" w:type="dxa"/>
            <w:vAlign w:val="center"/>
          </w:tcPr>
          <w:p>
            <w:pPr>
              <w:shd w:val="clear"/>
              <w:ind w:left="15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是否响应</w:t>
            </w:r>
          </w:p>
        </w:tc>
        <w:tc>
          <w:tcPr>
            <w:tcW w:w="2625"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售后服务保障要求</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备品备件及耗材等要求</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质保期</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交货和服务</w:t>
            </w:r>
          </w:p>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时间及地点</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付款条件</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tabs>
          <w:tab w:val="left" w:pos="2460"/>
        </w:tabs>
        <w:spacing w:line="360" w:lineRule="auto"/>
        <w:rPr>
          <w:rFonts w:hint="eastAsia"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w:t>
      </w:r>
      <w:r>
        <w:rPr>
          <w:rFonts w:hint="eastAsia" w:ascii="宋体" w:hAnsi="宋体" w:cs="宋体"/>
          <w:b/>
          <w:color w:val="000000" w:themeColor="text1"/>
          <w:sz w:val="28"/>
          <w:highlight w:val="none"/>
          <w:lang w:val="en-US" w:eastAsia="zh-CN"/>
          <w14:textFill>
            <w14:solidFill>
              <w14:schemeClr w14:val="tx1"/>
            </w14:solidFill>
          </w14:textFill>
        </w:rPr>
        <w:t>6</w:t>
      </w:r>
    </w:p>
    <w:p>
      <w:pPr>
        <w:shd w:val="clear"/>
        <w:spacing w:line="48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售后服务情况表</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tbl>
      <w:tblPr>
        <w:tblStyle w:val="3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64"/>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355" w:type="dxa"/>
            <w:tcBorders>
              <w:top w:val="single" w:color="auto" w:sz="4" w:space="0"/>
            </w:tcBorders>
            <w:vAlign w:val="center"/>
          </w:tcPr>
          <w:p>
            <w:pPr>
              <w:pStyle w:val="64"/>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w:t>
            </w:r>
          </w:p>
        </w:tc>
        <w:tc>
          <w:tcPr>
            <w:tcW w:w="4061" w:type="dxa"/>
            <w:tcBorders>
              <w:top w:val="single" w:color="auto" w:sz="4" w:space="0"/>
            </w:tcBorders>
            <w:vAlign w:val="center"/>
          </w:tcPr>
          <w:p>
            <w:pPr>
              <w:pStyle w:val="64"/>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投标人情况</w:t>
            </w:r>
          </w:p>
        </w:tc>
        <w:tc>
          <w:tcPr>
            <w:tcW w:w="1373" w:type="dxa"/>
            <w:tcBorders>
              <w:top w:val="single" w:color="auto" w:sz="4" w:space="0"/>
            </w:tcBorders>
            <w:vAlign w:val="center"/>
          </w:tcPr>
          <w:p>
            <w:pPr>
              <w:pStyle w:val="64"/>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64"/>
              <w:shd w:val="clea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p>
        </w:tc>
        <w:tc>
          <w:tcPr>
            <w:tcW w:w="2355" w:type="dxa"/>
            <w:vMerge w:val="restart"/>
            <w:vAlign w:val="center"/>
          </w:tcPr>
          <w:p>
            <w:pPr>
              <w:pStyle w:val="64"/>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保修期内售后服务情况(服务方式、服务网点、售后服务的内容和措施等等，可用附页和宣传材料)</w:t>
            </w:r>
          </w:p>
        </w:tc>
        <w:tc>
          <w:tcPr>
            <w:tcW w:w="4061" w:type="dxa"/>
          </w:tcPr>
          <w:p>
            <w:pPr>
              <w:pStyle w:val="64"/>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生产厂商售后服务情况：</w:t>
            </w:r>
          </w:p>
        </w:tc>
        <w:tc>
          <w:tcPr>
            <w:tcW w:w="1373" w:type="dxa"/>
          </w:tcPr>
          <w:p>
            <w:pPr>
              <w:pStyle w:val="64"/>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64"/>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2355" w:type="dxa"/>
            <w:vMerge w:val="continue"/>
            <w:vAlign w:val="center"/>
          </w:tcPr>
          <w:p>
            <w:pPr>
              <w:pStyle w:val="64"/>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4061" w:type="dxa"/>
          </w:tcPr>
          <w:p>
            <w:pPr>
              <w:pStyle w:val="64"/>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投标人售后服务情况：</w:t>
            </w:r>
          </w:p>
        </w:tc>
        <w:tc>
          <w:tcPr>
            <w:tcW w:w="1373" w:type="dxa"/>
          </w:tcPr>
          <w:p>
            <w:pPr>
              <w:pStyle w:val="64"/>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64"/>
              <w:shd w:val="clea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w:t>
            </w:r>
          </w:p>
        </w:tc>
        <w:tc>
          <w:tcPr>
            <w:tcW w:w="2355" w:type="dxa"/>
            <w:vAlign w:val="center"/>
          </w:tcPr>
          <w:p>
            <w:pPr>
              <w:pStyle w:val="64"/>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保修期后售后服务</w:t>
            </w:r>
          </w:p>
        </w:tc>
        <w:tc>
          <w:tcPr>
            <w:tcW w:w="4061" w:type="dxa"/>
          </w:tcPr>
          <w:p>
            <w:pPr>
              <w:pStyle w:val="64"/>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64"/>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64"/>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p>
        </w:tc>
        <w:tc>
          <w:tcPr>
            <w:tcW w:w="1373" w:type="dxa"/>
          </w:tcPr>
          <w:p>
            <w:pPr>
              <w:pStyle w:val="64"/>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64"/>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64"/>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64"/>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 3</w:t>
            </w:r>
          </w:p>
        </w:tc>
        <w:tc>
          <w:tcPr>
            <w:tcW w:w="2355" w:type="dxa"/>
            <w:vAlign w:val="center"/>
          </w:tcPr>
          <w:p>
            <w:pPr>
              <w:pStyle w:val="64"/>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培训方案（可用附页）</w:t>
            </w:r>
          </w:p>
        </w:tc>
        <w:tc>
          <w:tcPr>
            <w:tcW w:w="4061" w:type="dxa"/>
          </w:tcPr>
          <w:p>
            <w:pPr>
              <w:pStyle w:val="64"/>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64"/>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tc>
        <w:tc>
          <w:tcPr>
            <w:tcW w:w="1373" w:type="dxa"/>
          </w:tcPr>
          <w:p>
            <w:pPr>
              <w:pStyle w:val="64"/>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64"/>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64"/>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64"/>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c>
          <w:tcPr>
            <w:tcW w:w="2355" w:type="dxa"/>
            <w:tcBorders>
              <w:bottom w:val="single" w:color="auto" w:sz="4" w:space="0"/>
            </w:tcBorders>
            <w:vAlign w:val="center"/>
          </w:tcPr>
          <w:p>
            <w:pPr>
              <w:pStyle w:val="64"/>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c>
          <w:tcPr>
            <w:tcW w:w="4061" w:type="dxa"/>
            <w:tcBorders>
              <w:bottom w:val="single" w:color="auto" w:sz="4" w:space="0"/>
            </w:tcBorders>
          </w:tcPr>
          <w:p>
            <w:pPr>
              <w:pStyle w:val="64"/>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1373" w:type="dxa"/>
            <w:tcBorders>
              <w:bottom w:val="single" w:color="auto" w:sz="4" w:space="0"/>
            </w:tcBorders>
          </w:tcPr>
          <w:p>
            <w:pPr>
              <w:pStyle w:val="64"/>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r>
    </w:tbl>
    <w:p>
      <w:pPr>
        <w:shd w:val="clear"/>
        <w:spacing w:line="360" w:lineRule="auto"/>
        <w:ind w:left="549" w:hanging="549" w:hangingChars="171"/>
        <w:jc w:val="center"/>
        <w:rPr>
          <w:rFonts w:hint="eastAsia" w:ascii="宋体" w:hAnsi="宋体" w:eastAsia="宋体" w:cs="宋体"/>
          <w:b/>
          <w:color w:val="000000" w:themeColor="text1"/>
          <w:sz w:val="32"/>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附件1</w:t>
      </w:r>
      <w:r>
        <w:rPr>
          <w:rFonts w:hint="eastAsia" w:ascii="宋体" w:hAnsi="宋体" w:cs="宋体"/>
          <w:b/>
          <w:bCs/>
          <w:color w:val="000000" w:themeColor="text1"/>
          <w:sz w:val="28"/>
          <w:szCs w:val="36"/>
          <w:highlight w:val="none"/>
          <w:lang w:val="en-US" w:eastAsia="zh-CN"/>
          <w14:textFill>
            <w14:solidFill>
              <w14:schemeClr w14:val="tx1"/>
            </w14:solidFill>
          </w14:textFill>
        </w:rPr>
        <w:t>7</w:t>
      </w:r>
      <w:r>
        <w:rPr>
          <w:rFonts w:hint="eastAsia" w:ascii="宋体" w:hAnsi="宋体" w:eastAsia="宋体" w:cs="宋体"/>
          <w:b/>
          <w:bCs/>
          <w:color w:val="000000" w:themeColor="text1"/>
          <w:sz w:val="28"/>
          <w:szCs w:val="36"/>
          <w:highlight w:val="none"/>
          <w14:textFill>
            <w14:solidFill>
              <w14:schemeClr w14:val="tx1"/>
            </w14:solidFill>
          </w14:textFill>
        </w:rPr>
        <w:t>　</w:t>
      </w:r>
      <w:r>
        <w:rPr>
          <w:rFonts w:hint="eastAsia" w:ascii="宋体" w:hAnsi="宋体" w:eastAsia="宋体" w:cs="宋体"/>
          <w:color w:val="000000" w:themeColor="text1"/>
          <w:sz w:val="30"/>
          <w:szCs w:val="30"/>
          <w:highlight w:val="non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本</w:t>
      </w:r>
    </w:p>
    <w:p>
      <w:pPr>
        <w:shd w:val="clear"/>
        <w:jc w:val="center"/>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项目编号：（标段）</w:t>
      </w: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报</w:t>
      </w: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价</w:t>
      </w: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文</w:t>
      </w: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件</w:t>
      </w: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pPr>
        <w:shd w:val="clear"/>
        <w:spacing w:line="360" w:lineRule="auto"/>
        <w:ind w:right="532"/>
        <w:jc w:val="center"/>
        <w:rPr>
          <w:rFonts w:hint="eastAsia" w:ascii="宋体" w:hAnsi="宋体" w:eastAsia="宋体" w:cs="宋体"/>
          <w:color w:val="000000" w:themeColor="text1"/>
          <w:sz w:val="36"/>
          <w:szCs w:val="36"/>
          <w:highlight w:val="none"/>
          <w14:textFill>
            <w14:solidFill>
              <w14:schemeClr w14:val="tx1"/>
            </w14:solidFill>
          </w14:textFill>
        </w:rPr>
      </w:pPr>
    </w:p>
    <w:p>
      <w:pPr>
        <w:shd w:val="clea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供应商全称（公章）：</w:t>
      </w:r>
    </w:p>
    <w:p>
      <w:pPr>
        <w:shd w:val="clea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地址：</w:t>
      </w:r>
    </w:p>
    <w:p>
      <w:pPr>
        <w:shd w:val="clea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时间：</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报价文件目录</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1、开标一览表（附件1</w:t>
      </w:r>
      <w:r>
        <w:rPr>
          <w:rFonts w:hint="eastAsia" w:ascii="宋体" w:hAnsi="宋体" w:cs="宋体"/>
          <w:color w:val="000000" w:themeColor="text1"/>
          <w:sz w:val="28"/>
          <w:szCs w:val="36"/>
          <w:highlight w:val="none"/>
          <w:lang w:val="en-US" w:eastAsia="zh-CN"/>
          <w14:textFill>
            <w14:solidFill>
              <w14:schemeClr w14:val="tx1"/>
            </w14:solidFill>
          </w14:textFill>
        </w:rPr>
        <w:t>8</w:t>
      </w:r>
      <w:r>
        <w:rPr>
          <w:rFonts w:hint="eastAsia" w:ascii="宋体" w:hAnsi="宋体" w:eastAsia="宋体" w:cs="宋体"/>
          <w:color w:val="000000" w:themeColor="text1"/>
          <w:sz w:val="28"/>
          <w:szCs w:val="36"/>
          <w:highlight w:val="none"/>
          <w14:textFill>
            <w14:solidFill>
              <w14:schemeClr w14:val="tx1"/>
            </w14:solidFill>
          </w14:textFill>
        </w:rPr>
        <w:t>）；</w:t>
      </w:r>
    </w:p>
    <w:p>
      <w:pPr>
        <w:shd w:val="clear"/>
        <w:spacing w:line="360" w:lineRule="auto"/>
        <w:jc w:val="left"/>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2、报价明细表（附件</w:t>
      </w:r>
      <w:r>
        <w:rPr>
          <w:rFonts w:hint="eastAsia" w:ascii="宋体" w:hAnsi="宋体" w:cs="宋体"/>
          <w:color w:val="000000" w:themeColor="text1"/>
          <w:sz w:val="28"/>
          <w:szCs w:val="36"/>
          <w:highlight w:val="none"/>
          <w:lang w:val="en-US" w:eastAsia="zh-CN"/>
          <w14:textFill>
            <w14:solidFill>
              <w14:schemeClr w14:val="tx1"/>
            </w14:solidFill>
          </w14:textFill>
        </w:rPr>
        <w:t>19</w:t>
      </w:r>
      <w:r>
        <w:rPr>
          <w:rFonts w:hint="eastAsia" w:ascii="宋体" w:hAnsi="宋体" w:eastAsia="宋体" w:cs="宋体"/>
          <w:color w:val="000000" w:themeColor="text1"/>
          <w:sz w:val="28"/>
          <w:szCs w:val="36"/>
          <w:highlight w:val="none"/>
          <w14:textFill>
            <w14:solidFill>
              <w14:schemeClr w14:val="tx1"/>
            </w14:solidFill>
          </w14:textFill>
        </w:rPr>
        <w:t>）；</w:t>
      </w:r>
    </w:p>
    <w:p>
      <w:pPr>
        <w:shd w:val="clear"/>
        <w:spacing w:line="360" w:lineRule="auto"/>
        <w:jc w:val="left"/>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3、针对报价投标人认为其他需要说明的；</w:t>
      </w:r>
    </w:p>
    <w:p>
      <w:pPr>
        <w:shd w:val="clear"/>
        <w:spacing w:line="360" w:lineRule="auto"/>
        <w:jc w:val="left"/>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4、中小企业等声明函（附件</w:t>
      </w:r>
      <w:r>
        <w:rPr>
          <w:rFonts w:hint="eastAsia" w:ascii="宋体" w:hAnsi="宋体" w:cs="宋体"/>
          <w:color w:val="000000" w:themeColor="text1"/>
          <w:sz w:val="28"/>
          <w:szCs w:val="36"/>
          <w:highlight w:val="none"/>
          <w:lang w:val="en-US" w:eastAsia="zh-CN"/>
          <w14:textFill>
            <w14:solidFill>
              <w14:schemeClr w14:val="tx1"/>
            </w14:solidFill>
          </w14:textFill>
        </w:rPr>
        <w:t>20</w:t>
      </w:r>
      <w:r>
        <w:rPr>
          <w:rFonts w:hint="eastAsia" w:ascii="宋体" w:hAnsi="宋体" w:eastAsia="宋体" w:cs="宋体"/>
          <w:color w:val="000000" w:themeColor="text1"/>
          <w:sz w:val="28"/>
          <w:szCs w:val="36"/>
          <w:highlight w:val="none"/>
          <w14:textFill>
            <w14:solidFill>
              <w14:schemeClr w14:val="tx1"/>
            </w14:solidFill>
          </w14:textFill>
        </w:rPr>
        <w:t>）；</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w:t>
      </w:r>
      <w:r>
        <w:rPr>
          <w:rFonts w:hint="eastAsia" w:ascii="宋体" w:hAnsi="宋体" w:cs="宋体"/>
          <w:b/>
          <w:color w:val="000000" w:themeColor="text1"/>
          <w:sz w:val="28"/>
          <w:highlight w:val="none"/>
          <w:lang w:val="en-US" w:eastAsia="zh-CN"/>
          <w14:textFill>
            <w14:solidFill>
              <w14:schemeClr w14:val="tx1"/>
            </w14:solidFill>
          </w14:textFill>
        </w:rPr>
        <w:t>8</w:t>
      </w:r>
    </w:p>
    <w:p>
      <w:pPr>
        <w:shd w:val="clear"/>
        <w:spacing w:line="360" w:lineRule="auto"/>
        <w:ind w:left="-2" w:hanging="2"/>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开标一览表</w:t>
      </w:r>
    </w:p>
    <w:p>
      <w:pPr>
        <w:shd w:val="clear"/>
        <w:spacing w:line="360" w:lineRule="auto"/>
        <w:ind w:left="-2" w:hanging="2"/>
        <w:jc w:val="center"/>
        <w:rPr>
          <w:rFonts w:hint="eastAsia" w:ascii="宋体" w:hAnsi="宋体" w:eastAsia="宋体" w:cs="宋体"/>
          <w:b/>
          <w:color w:val="000000" w:themeColor="text1"/>
          <w:sz w:val="32"/>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项目名称：</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项目编号：                                       [单位：人民币/元]</w:t>
      </w:r>
    </w:p>
    <w:tbl>
      <w:tblPr>
        <w:tblStyle w:val="30"/>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投标总报价(元)</w:t>
            </w:r>
          </w:p>
        </w:tc>
        <w:tc>
          <w:tcPr>
            <w:tcW w:w="1349" w:type="dxa"/>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大写</w:t>
            </w:r>
          </w:p>
        </w:tc>
        <w:tc>
          <w:tcPr>
            <w:tcW w:w="4629" w:type="dxa"/>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49" w:type="dxa"/>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小写</w:t>
            </w:r>
          </w:p>
        </w:tc>
        <w:tc>
          <w:tcPr>
            <w:tcW w:w="4629" w:type="dxa"/>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填报要求：</w:t>
      </w:r>
    </w:p>
    <w:p>
      <w:pPr>
        <w:numPr>
          <w:ilvl w:val="0"/>
          <w:numId w:val="0"/>
        </w:numPr>
        <w:shd w:val="clear"/>
        <w:spacing w:line="360" w:lineRule="auto"/>
        <w:ind w:firstLine="480" w:firstLineChars="200"/>
        <w:jc w:val="left"/>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z w:val="24"/>
          <w:szCs w:val="32"/>
          <w:highlight w:val="none"/>
          <w14:textFill>
            <w14:solidFill>
              <w14:schemeClr w14:val="tx1"/>
            </w14:solidFill>
          </w14:textFill>
        </w:rPr>
        <w:t>投标总报价</w:t>
      </w:r>
      <w:r>
        <w:rPr>
          <w:rFonts w:hint="eastAsia" w:ascii="宋体" w:hAnsi="宋体" w:eastAsia="宋体" w:cs="宋体"/>
          <w:bCs/>
          <w:color w:val="000000" w:themeColor="text1"/>
          <w:sz w:val="24"/>
          <w:szCs w:val="24"/>
          <w:highlight w:val="none"/>
          <w14:textFill>
            <w14:solidFill>
              <w14:schemeClr w14:val="tx1"/>
            </w14:solidFill>
          </w14:textFill>
        </w:rPr>
        <w:t>报价包括运行维护所投入的人工费、运行维护费、培训、维修保养、税收、中标服务费等其他一切费用</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pPr>
        <w:numPr>
          <w:ilvl w:val="0"/>
          <w:numId w:val="0"/>
        </w:num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z w:val="24"/>
          <w:szCs w:val="32"/>
          <w:highlight w:val="none"/>
          <w14:textFill>
            <w14:solidFill>
              <w14:schemeClr w14:val="tx1"/>
            </w14:solidFill>
          </w14:textFill>
        </w:rPr>
        <w:t>报价一经涂改，应在涂改处加盖单位公章，或者由法定代表人或授权委托代理人签字或盖章，否则其投标作无效标处理。</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default"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19</w:t>
      </w:r>
    </w:p>
    <w:p>
      <w:pPr>
        <w:shd w:val="clea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报价明细表</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项目名称：</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项目编号：                                       [单位：人民币/元]</w:t>
      </w:r>
    </w:p>
    <w:tbl>
      <w:tblPr>
        <w:tblStyle w:val="30"/>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460" w:type="dxa"/>
            <w:vAlign w:val="center"/>
          </w:tcPr>
          <w:p>
            <w:pPr>
              <w:shd w:val="clear"/>
              <w:tabs>
                <w:tab w:val="left" w:pos="8280"/>
              </w:tabs>
              <w:autoSpaceDE w:val="0"/>
              <w:autoSpaceDN w:val="0"/>
              <w:adjustRightInd w:val="0"/>
              <w:spacing w:line="360" w:lineRule="auto"/>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报价项目</w:t>
            </w:r>
          </w:p>
        </w:tc>
        <w:tc>
          <w:tcPr>
            <w:tcW w:w="1559" w:type="dxa"/>
            <w:vAlign w:val="center"/>
          </w:tcPr>
          <w:p>
            <w:pPr>
              <w:shd w:val="clear"/>
              <w:tabs>
                <w:tab w:val="left" w:pos="8280"/>
              </w:tabs>
              <w:autoSpaceDE w:val="0"/>
              <w:autoSpaceDN w:val="0"/>
              <w:adjustRightInd w:val="0"/>
              <w:spacing w:line="360" w:lineRule="auto"/>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品牌、产地</w:t>
            </w:r>
          </w:p>
        </w:tc>
        <w:tc>
          <w:tcPr>
            <w:tcW w:w="1559" w:type="dxa"/>
            <w:vAlign w:val="center"/>
          </w:tcPr>
          <w:p>
            <w:pPr>
              <w:shd w:val="clear"/>
              <w:spacing w:line="360" w:lineRule="auto"/>
              <w:ind w:left="52"/>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型号规格</w:t>
            </w:r>
          </w:p>
        </w:tc>
        <w:tc>
          <w:tcPr>
            <w:tcW w:w="851" w:type="dxa"/>
            <w:vAlign w:val="center"/>
          </w:tcPr>
          <w:p>
            <w:pPr>
              <w:shd w:val="clear"/>
              <w:spacing w:line="360" w:lineRule="auto"/>
              <w:ind w:left="152"/>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992"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单价</w:t>
            </w:r>
          </w:p>
        </w:tc>
        <w:tc>
          <w:tcPr>
            <w:tcW w:w="992"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小计</w:t>
            </w:r>
          </w:p>
        </w:tc>
        <w:tc>
          <w:tcPr>
            <w:tcW w:w="709"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6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6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6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6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6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8"/>
            <w:vAlign w:val="center"/>
          </w:tcPr>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合计人民币：大写                               小写</w:t>
            </w:r>
          </w:p>
        </w:tc>
      </w:tr>
    </w:tbl>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要求：</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1.本表为《开标一览表》的报价明细表（分单位报价），如有缺项、漏项，视为投标报价中已包含相关费用，采购人无需另外支付任何费用。</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“报价明细表”中的报价合计应与“开标一览表”中的投标总报价相一致，不一致时，以开标一览表为准。</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投标报价明细表所填内容按招标文件采购要求为准。如有漏报的，视同已包含在投标总价内或已作优惠处理。有重大缺项的将作无效标处理。</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tabs>
          <w:tab w:val="left" w:pos="2460"/>
        </w:tabs>
        <w:spacing w:line="360" w:lineRule="auto"/>
        <w:rPr>
          <w:rFonts w:hint="default"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w:t>
      </w:r>
      <w:r>
        <w:rPr>
          <w:rFonts w:hint="eastAsia" w:ascii="宋体" w:hAnsi="宋体" w:eastAsia="宋体" w:cs="宋体"/>
          <w:b/>
          <w:color w:val="000000" w:themeColor="text1"/>
          <w:sz w:val="28"/>
          <w:highlight w:val="none"/>
          <w:lang w:val="en-US" w:eastAsia="zh-CN"/>
          <w14:textFill>
            <w14:solidFill>
              <w14:schemeClr w14:val="tx1"/>
            </w14:solidFill>
          </w14:textFill>
        </w:rPr>
        <w:t>2</w:t>
      </w:r>
      <w:r>
        <w:rPr>
          <w:rFonts w:hint="eastAsia" w:ascii="宋体" w:hAnsi="宋体" w:cs="宋体"/>
          <w:b/>
          <w:color w:val="000000" w:themeColor="text1"/>
          <w:sz w:val="28"/>
          <w:highlight w:val="none"/>
          <w:lang w:val="en-US" w:eastAsia="zh-CN"/>
          <w14:textFill>
            <w14:solidFill>
              <w14:schemeClr w14:val="tx1"/>
            </w14:solidFill>
          </w14:textFill>
        </w:rPr>
        <w:t>0</w:t>
      </w:r>
    </w:p>
    <w:p>
      <w:pPr>
        <w:shd w:val="clear" w:color="auto"/>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中小企业声明函（工程、服务）</w:t>
      </w:r>
    </w:p>
    <w:p>
      <w:pPr>
        <w:shd w:val="clear" w:color="auto"/>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eastAsia="宋体" w:cs="宋体"/>
          <w:bCs/>
          <w:color w:val="000000" w:themeColor="text1"/>
          <w:sz w:val="24"/>
          <w:szCs w:val="24"/>
          <w:highlight w:val="none"/>
          <w:u w:val="single"/>
          <w14:textFill>
            <w14:solidFill>
              <w14:schemeClr w14:val="tx1"/>
            </w14:solidFill>
          </w14:textFill>
        </w:rPr>
        <w:t>（单位名称）</w:t>
      </w:r>
      <w:r>
        <w:rPr>
          <w:rFonts w:hint="eastAsia" w:ascii="宋体" w:hAnsi="宋体" w:eastAsia="宋体" w:cs="宋体"/>
          <w:bCs/>
          <w:color w:val="000000" w:themeColor="text1"/>
          <w:sz w:val="24"/>
          <w:szCs w:val="24"/>
          <w:highlight w:val="none"/>
          <w14:textFill>
            <w14:solidFill>
              <w14:schemeClr w14:val="tx1"/>
            </w14:solidFill>
          </w14:textFill>
        </w:rPr>
        <w:t>的</w:t>
      </w:r>
      <w:r>
        <w:rPr>
          <w:rFonts w:hint="eastAsia" w:ascii="宋体" w:hAnsi="宋体" w:eastAsia="宋体" w:cs="宋体"/>
          <w:bCs/>
          <w:color w:val="000000" w:themeColor="text1"/>
          <w:sz w:val="24"/>
          <w:szCs w:val="24"/>
          <w:highlight w:val="none"/>
          <w:u w:val="single"/>
          <w14:textFill>
            <w14:solidFill>
              <w14:schemeClr w14:val="tx1"/>
            </w14:solidFill>
          </w14:textFill>
        </w:rPr>
        <w:t>（项目名称）</w:t>
      </w:r>
      <w:r>
        <w:rPr>
          <w:rFonts w:hint="eastAsia" w:ascii="宋体" w:hAnsi="宋体" w:eastAsia="宋体" w:cs="宋体"/>
          <w:bCs/>
          <w:color w:val="000000" w:themeColor="text1"/>
          <w:sz w:val="24"/>
          <w:szCs w:val="24"/>
          <w:highlight w:val="none"/>
          <w14:textFill>
            <w14:solidFill>
              <w14:schemeClr w14:val="tx1"/>
            </w14:solidFill>
          </w14:textFill>
        </w:rPr>
        <w:t>采购活动，工程的施工单位全部为符合政策要求的中小企业（或者：服务全部由符合政策要求的中小企业承接）。相关企业的具体情况如下：</w:t>
      </w:r>
    </w:p>
    <w:p>
      <w:pPr>
        <w:shd w:val="clear" w:color="auto"/>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u w:val="single"/>
          <w14:textFill>
            <w14:solidFill>
              <w14:schemeClr w14:val="tx1"/>
            </w14:solidFill>
          </w14:textFill>
        </w:rPr>
        <w:t>（标的名称）</w:t>
      </w:r>
      <w:r>
        <w:rPr>
          <w:rFonts w:hint="eastAsia" w:ascii="宋体" w:hAnsi="宋体" w:eastAsia="宋体" w:cs="宋体"/>
          <w:bCs/>
          <w:color w:val="000000" w:themeColor="text1"/>
          <w:sz w:val="24"/>
          <w:szCs w:val="24"/>
          <w:highlight w:val="none"/>
          <w14:textFill>
            <w14:solidFill>
              <w14:schemeClr w14:val="tx1"/>
            </w14:solidFill>
          </w14:textFill>
        </w:rPr>
        <w:t>，属于</w:t>
      </w:r>
      <w:r>
        <w:rPr>
          <w:rFonts w:hint="eastAsia" w:ascii="宋体" w:hAnsi="宋体" w:eastAsia="宋体" w:cs="宋体"/>
          <w:bCs/>
          <w:color w:val="000000" w:themeColor="text1"/>
          <w:sz w:val="24"/>
          <w:szCs w:val="24"/>
          <w:highlight w:val="none"/>
          <w:u w:val="single"/>
          <w14:textFill>
            <w14:solidFill>
              <w14:schemeClr w14:val="tx1"/>
            </w14:solidFill>
          </w14:textFill>
        </w:rPr>
        <w:t>（采购文件中明确的所属行业）</w:t>
      </w:r>
      <w:r>
        <w:rPr>
          <w:rFonts w:hint="eastAsia" w:ascii="宋体" w:hAnsi="宋体" w:eastAsia="宋体" w:cs="宋体"/>
          <w:bCs/>
          <w:color w:val="000000" w:themeColor="text1"/>
          <w:sz w:val="24"/>
          <w:szCs w:val="24"/>
          <w:highlight w:val="none"/>
          <w14:textFill>
            <w14:solidFill>
              <w14:schemeClr w14:val="tx1"/>
            </w14:solidFill>
          </w14:textFill>
        </w:rPr>
        <w:t>；承建（承接）企业为</w:t>
      </w:r>
      <w:r>
        <w:rPr>
          <w:rFonts w:hint="eastAsia" w:ascii="宋体" w:hAnsi="宋体" w:eastAsia="宋体" w:cs="宋体"/>
          <w:bCs/>
          <w:color w:val="000000" w:themeColor="text1"/>
          <w:sz w:val="24"/>
          <w:szCs w:val="24"/>
          <w:highlight w:val="none"/>
          <w:u w:val="single"/>
          <w14:textFill>
            <w14:solidFill>
              <w14:schemeClr w14:val="tx1"/>
            </w14:solidFill>
          </w14:textFill>
        </w:rPr>
        <w:t>（企业名称）</w:t>
      </w:r>
      <w:r>
        <w:rPr>
          <w:rFonts w:hint="eastAsia" w:ascii="宋体" w:hAnsi="宋体" w:eastAsia="宋体" w:cs="宋体"/>
          <w:bCs/>
          <w:color w:val="000000" w:themeColor="text1"/>
          <w:sz w:val="24"/>
          <w:szCs w:val="24"/>
          <w:highlight w:val="none"/>
          <w14:textFill>
            <w14:solidFill>
              <w14:schemeClr w14:val="tx1"/>
            </w14:solidFill>
          </w14:textFill>
        </w:rPr>
        <w:t>，从业人员</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人，营业收入为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万元，资产总额为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万元</w:t>
      </w:r>
      <w:r>
        <w:rPr>
          <w:rStyle w:val="34"/>
          <w:rFonts w:hint="eastAsia" w:ascii="宋体" w:hAnsi="宋体" w:eastAsia="宋体" w:cs="宋体"/>
          <w:bCs/>
          <w:color w:val="000000" w:themeColor="text1"/>
          <w:sz w:val="24"/>
          <w:szCs w:val="24"/>
          <w:highlight w:val="none"/>
          <w14:textFill>
            <w14:solidFill>
              <w14:schemeClr w14:val="tx1"/>
            </w14:solidFill>
          </w14:textFill>
        </w:rPr>
        <w:footnoteReference w:id="0"/>
      </w:r>
      <w:r>
        <w:rPr>
          <w:rFonts w:hint="eastAsia" w:ascii="宋体" w:hAnsi="宋体" w:eastAsia="宋体" w:cs="宋体"/>
          <w:bCs/>
          <w:color w:val="000000" w:themeColor="text1"/>
          <w:sz w:val="24"/>
          <w:szCs w:val="24"/>
          <w:highlight w:val="none"/>
          <w14:textFill>
            <w14:solidFill>
              <w14:schemeClr w14:val="tx1"/>
            </w14:solidFill>
          </w14:textFill>
        </w:rPr>
        <w:t>，属于</w:t>
      </w:r>
      <w:r>
        <w:rPr>
          <w:rFonts w:hint="eastAsia" w:ascii="宋体" w:hAnsi="宋体" w:eastAsia="宋体" w:cs="宋体"/>
          <w:bCs/>
          <w:color w:val="000000" w:themeColor="text1"/>
          <w:sz w:val="24"/>
          <w:szCs w:val="24"/>
          <w:highlight w:val="none"/>
          <w:u w:val="single"/>
          <w14:textFill>
            <w14:solidFill>
              <w14:schemeClr w14:val="tx1"/>
            </w14:solidFill>
          </w14:textFill>
        </w:rPr>
        <w:t>（中型企业、小型企业、微型企业）</w:t>
      </w:r>
      <w:r>
        <w:rPr>
          <w:rFonts w:hint="eastAsia" w:ascii="宋体" w:hAnsi="宋体" w:eastAsia="宋体" w:cs="宋体"/>
          <w:bCs/>
          <w:color w:val="000000" w:themeColor="text1"/>
          <w:sz w:val="24"/>
          <w:szCs w:val="24"/>
          <w:highlight w:val="none"/>
          <w14:textFill>
            <w14:solidFill>
              <w14:schemeClr w14:val="tx1"/>
            </w14:solidFill>
          </w14:textFill>
        </w:rPr>
        <w:t>；</w:t>
      </w:r>
    </w:p>
    <w:p>
      <w:pPr>
        <w:shd w:val="clear" w:color="auto"/>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bCs/>
          <w:color w:val="000000" w:themeColor="text1"/>
          <w:sz w:val="24"/>
          <w:szCs w:val="24"/>
          <w:highlight w:val="none"/>
          <w:u w:val="single"/>
          <w14:textFill>
            <w14:solidFill>
              <w14:schemeClr w14:val="tx1"/>
            </w14:solidFill>
          </w14:textFill>
        </w:rPr>
        <w:t>（标的名称）</w:t>
      </w:r>
      <w:r>
        <w:rPr>
          <w:rFonts w:hint="eastAsia" w:ascii="宋体" w:hAnsi="宋体" w:eastAsia="宋体" w:cs="宋体"/>
          <w:bCs/>
          <w:color w:val="000000" w:themeColor="text1"/>
          <w:sz w:val="24"/>
          <w:szCs w:val="24"/>
          <w:highlight w:val="none"/>
          <w14:textFill>
            <w14:solidFill>
              <w14:schemeClr w14:val="tx1"/>
            </w14:solidFill>
          </w14:textFill>
        </w:rPr>
        <w:t>，属于</w:t>
      </w:r>
      <w:r>
        <w:rPr>
          <w:rFonts w:hint="eastAsia" w:ascii="宋体" w:hAnsi="宋体" w:eastAsia="宋体" w:cs="宋体"/>
          <w:bCs/>
          <w:color w:val="000000" w:themeColor="text1"/>
          <w:sz w:val="24"/>
          <w:szCs w:val="24"/>
          <w:highlight w:val="none"/>
          <w:u w:val="single"/>
          <w14:textFill>
            <w14:solidFill>
              <w14:schemeClr w14:val="tx1"/>
            </w14:solidFill>
          </w14:textFill>
        </w:rPr>
        <w:t>（采购文件中明确的所属行业）</w:t>
      </w:r>
      <w:r>
        <w:rPr>
          <w:rFonts w:hint="eastAsia" w:ascii="宋体" w:hAnsi="宋体" w:eastAsia="宋体" w:cs="宋体"/>
          <w:bCs/>
          <w:color w:val="000000" w:themeColor="text1"/>
          <w:sz w:val="24"/>
          <w:szCs w:val="24"/>
          <w:highlight w:val="none"/>
          <w14:textFill>
            <w14:solidFill>
              <w14:schemeClr w14:val="tx1"/>
            </w14:solidFill>
          </w14:textFill>
        </w:rPr>
        <w:t>；承建（承接）企业为</w:t>
      </w:r>
      <w:r>
        <w:rPr>
          <w:rFonts w:hint="eastAsia" w:ascii="宋体" w:hAnsi="宋体" w:eastAsia="宋体" w:cs="宋体"/>
          <w:bCs/>
          <w:color w:val="000000" w:themeColor="text1"/>
          <w:sz w:val="24"/>
          <w:szCs w:val="24"/>
          <w:highlight w:val="none"/>
          <w:u w:val="single"/>
          <w14:textFill>
            <w14:solidFill>
              <w14:schemeClr w14:val="tx1"/>
            </w14:solidFill>
          </w14:textFill>
        </w:rPr>
        <w:t>（企业名称）</w:t>
      </w:r>
      <w:r>
        <w:rPr>
          <w:rFonts w:hint="eastAsia" w:ascii="宋体" w:hAnsi="宋体" w:eastAsia="宋体" w:cs="宋体"/>
          <w:bCs/>
          <w:color w:val="000000" w:themeColor="text1"/>
          <w:sz w:val="24"/>
          <w:szCs w:val="24"/>
          <w:highlight w:val="none"/>
          <w14:textFill>
            <w14:solidFill>
              <w14:schemeClr w14:val="tx1"/>
            </w14:solidFill>
          </w14:textFill>
        </w:rPr>
        <w:t>，从业人员</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人，营业收入为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万元，资产总额为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万元，属于</w:t>
      </w:r>
      <w:r>
        <w:rPr>
          <w:rFonts w:hint="eastAsia" w:ascii="宋体" w:hAnsi="宋体" w:eastAsia="宋体" w:cs="宋体"/>
          <w:bCs/>
          <w:color w:val="000000" w:themeColor="text1"/>
          <w:sz w:val="24"/>
          <w:szCs w:val="24"/>
          <w:highlight w:val="none"/>
          <w:u w:val="single"/>
          <w14:textFill>
            <w14:solidFill>
              <w14:schemeClr w14:val="tx1"/>
            </w14:solidFill>
          </w14:textFill>
        </w:rPr>
        <w:t>（中型企业、小型企业、微型企业）</w:t>
      </w:r>
      <w:r>
        <w:rPr>
          <w:rFonts w:hint="eastAsia" w:ascii="宋体" w:hAnsi="宋体" w:eastAsia="宋体" w:cs="宋体"/>
          <w:bCs/>
          <w:color w:val="000000" w:themeColor="text1"/>
          <w:sz w:val="24"/>
          <w:szCs w:val="24"/>
          <w:highlight w:val="none"/>
          <w14:textFill>
            <w14:solidFill>
              <w14:schemeClr w14:val="tx1"/>
            </w14:solidFill>
          </w14:textFill>
        </w:rPr>
        <w:t>；</w:t>
      </w:r>
    </w:p>
    <w:p>
      <w:pPr>
        <w:shd w:val="clear" w:color="auto"/>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p>
    <w:p>
      <w:pPr>
        <w:shd w:val="clear" w:color="auto"/>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pPr>
        <w:shd w:val="clear" w:color="auto"/>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本企业对上述声明内容的真实性负责。如有虚假，将依法承担相应责任。 </w:t>
      </w:r>
    </w:p>
    <w:p>
      <w:pPr>
        <w:shd w:val="clear" w:color="auto"/>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hd w:val="clear" w:color="auto"/>
        <w:spacing w:line="360" w:lineRule="auto"/>
        <w:ind w:firstLine="4800" w:firstLineChars="20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企业名称（盖章）：</w:t>
      </w:r>
    </w:p>
    <w:p>
      <w:pPr>
        <w:shd w:val="clear" w:color="auto"/>
        <w:spacing w:line="360" w:lineRule="auto"/>
        <w:ind w:firstLine="4800" w:firstLineChars="20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日 期：</w:t>
      </w:r>
    </w:p>
    <w:p>
      <w:pPr>
        <w:shd w:val="clear" w:color="auto"/>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hd w:val="clear" w:color="auto"/>
        <w:spacing w:line="360" w:lineRule="auto"/>
        <w:ind w:left="-2" w:hanging="2"/>
        <w:jc w:val="center"/>
        <w:rPr>
          <w:rFonts w:hint="eastAsia" w:ascii="宋体" w:hAnsi="宋体" w:eastAsia="宋体" w:cs="宋体"/>
          <w:b/>
          <w:color w:val="000000" w:themeColor="text1"/>
          <w:sz w:val="32"/>
          <w:szCs w:val="32"/>
          <w:highlight w:val="none"/>
          <w:lang w:val="en-GB"/>
          <w14:textFill>
            <w14:solidFill>
              <w14:schemeClr w14:val="tx1"/>
            </w14:solidFill>
          </w14:textFill>
        </w:rPr>
      </w:pPr>
    </w:p>
    <w:p>
      <w:pPr>
        <w:shd w:val="clear" w:color="auto"/>
        <w:spacing w:line="360" w:lineRule="auto"/>
        <w:ind w:left="-2" w:hanging="2"/>
        <w:jc w:val="center"/>
        <w:rPr>
          <w:rFonts w:hint="eastAsia" w:ascii="宋体" w:hAnsi="宋体" w:eastAsia="宋体" w:cs="宋体"/>
          <w:b/>
          <w:color w:val="000000" w:themeColor="text1"/>
          <w:sz w:val="32"/>
          <w:szCs w:val="32"/>
          <w:highlight w:val="none"/>
          <w:lang w:val="en-GB"/>
          <w14:textFill>
            <w14:solidFill>
              <w14:schemeClr w14:val="tx1"/>
            </w14:solidFill>
          </w14:textFill>
        </w:rPr>
      </w:pPr>
    </w:p>
    <w:p>
      <w:pPr>
        <w:shd w:val="clear" w:color="auto"/>
        <w:spacing w:line="360" w:lineRule="auto"/>
        <w:ind w:left="-2" w:hanging="2"/>
        <w:jc w:val="center"/>
        <w:rPr>
          <w:rFonts w:hint="eastAsia" w:ascii="宋体" w:hAnsi="宋体" w:eastAsia="宋体" w:cs="宋体"/>
          <w:b/>
          <w:color w:val="000000" w:themeColor="text1"/>
          <w:sz w:val="32"/>
          <w:szCs w:val="32"/>
          <w:highlight w:val="none"/>
          <w:lang w:val="en-GB"/>
          <w14:textFill>
            <w14:solidFill>
              <w14:schemeClr w14:val="tx1"/>
            </w14:solidFill>
          </w14:textFill>
        </w:rPr>
      </w:pPr>
    </w:p>
    <w:p>
      <w:pPr>
        <w:shd w:val="clear" w:color="auto"/>
        <w:spacing w:line="360" w:lineRule="auto"/>
        <w:ind w:left="-2" w:hanging="2"/>
        <w:jc w:val="center"/>
        <w:rPr>
          <w:rFonts w:hint="eastAsia" w:ascii="宋体" w:hAnsi="宋体" w:eastAsia="宋体" w:cs="宋体"/>
          <w:b/>
          <w:color w:val="000000" w:themeColor="text1"/>
          <w:sz w:val="32"/>
          <w:szCs w:val="32"/>
          <w:highlight w:val="none"/>
          <w:lang w:val="en-GB"/>
          <w14:textFill>
            <w14:solidFill>
              <w14:schemeClr w14:val="tx1"/>
            </w14:solidFill>
          </w14:textFill>
        </w:rPr>
      </w:pPr>
    </w:p>
    <w:p>
      <w:pPr>
        <w:shd w:val="clear" w:color="auto"/>
        <w:spacing w:line="360" w:lineRule="auto"/>
        <w:ind w:left="-2" w:hanging="2"/>
        <w:jc w:val="center"/>
        <w:rPr>
          <w:rFonts w:hint="eastAsia" w:ascii="宋体" w:hAnsi="宋体" w:eastAsia="宋体" w:cs="宋体"/>
          <w:b/>
          <w:color w:val="000000" w:themeColor="text1"/>
          <w:sz w:val="32"/>
          <w:szCs w:val="32"/>
          <w:highlight w:val="none"/>
          <w:lang w:val="en-GB"/>
          <w14:textFill>
            <w14:solidFill>
              <w14:schemeClr w14:val="tx1"/>
            </w14:solidFill>
          </w14:textFill>
        </w:rPr>
      </w:pPr>
    </w:p>
    <w:p>
      <w:pPr>
        <w:shd w:val="clear" w:color="auto"/>
        <w:spacing w:line="360" w:lineRule="auto"/>
        <w:ind w:left="-2" w:hanging="2"/>
        <w:jc w:val="center"/>
        <w:rPr>
          <w:rFonts w:hint="eastAsia" w:ascii="宋体" w:hAnsi="宋体" w:eastAsia="宋体" w:cs="宋体"/>
          <w:b/>
          <w:color w:val="000000" w:themeColor="text1"/>
          <w:sz w:val="32"/>
          <w:szCs w:val="32"/>
          <w:highlight w:val="none"/>
          <w:lang w:val="en-GB"/>
          <w14:textFill>
            <w14:solidFill>
              <w14:schemeClr w14:val="tx1"/>
            </w14:solidFill>
          </w14:textFill>
        </w:rPr>
      </w:pPr>
      <w:r>
        <w:rPr>
          <w:rFonts w:hint="eastAsia" w:ascii="宋体" w:hAnsi="宋体" w:eastAsia="宋体" w:cs="宋体"/>
          <w:b/>
          <w:color w:val="000000" w:themeColor="text1"/>
          <w:sz w:val="32"/>
          <w:szCs w:val="32"/>
          <w:highlight w:val="none"/>
          <w:lang w:val="en-GB"/>
          <w14:textFill>
            <w14:solidFill>
              <w14:schemeClr w14:val="tx1"/>
            </w14:solidFill>
          </w14:textFill>
        </w:rPr>
        <w:t>残疾人福利性单位声明函</w:t>
      </w:r>
    </w:p>
    <w:p>
      <w:pPr>
        <w:shd w:val="clear" w:color="auto"/>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color="auto"/>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pPr>
        <w:shd w:val="clear" w:color="auto"/>
        <w:spacing w:line="360" w:lineRule="auto"/>
        <w:ind w:firstLine="3120" w:firstLineChars="13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单位名称（单位公章）：</w:t>
      </w:r>
    </w:p>
    <w:p>
      <w:pPr>
        <w:shd w:val="clear" w:color="auto"/>
        <w:spacing w:line="360" w:lineRule="auto"/>
        <w:ind w:firstLine="5040" w:firstLineChars="21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日期：</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日</w:t>
      </w:r>
    </w:p>
    <w:p>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填表说明：</w:t>
      </w:r>
    </w:p>
    <w:p>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、从业人员、营业收入、资产总额填报上一年度数据，无上一年度数据的新成立企业可不填报。</w:t>
      </w:r>
    </w:p>
    <w:p>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、为了更加准确判定制造商是否为小微企业，请供应商根据工业和信息化部官方网站---中小企业规模类型自测小程序来辨别制造商企业规模类型，中小企业规模类型自测小程序链接网址为</w:t>
      </w:r>
    </w:p>
    <w:p>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http://202.106.120.146/baosong/appweb/orgScale.html</w:t>
      </w:r>
    </w:p>
    <w:p>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、供应商未提供《中小企业声明函》的、《中小企业声明函》中内容应填写而未进行填写或未如实填写的，将不给予供应商小微企业报价优惠扣除。</w:t>
      </w:r>
    </w:p>
    <w:p>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预成交供应商享受小微企业报价优惠扣除的，将按规定公开预成交供应商的《中小企业声明函》。</w:t>
      </w:r>
    </w:p>
    <w:p>
      <w:pPr>
        <w:keepNext w:val="0"/>
        <w:keepLines w:val="0"/>
        <w:pageBreakBefore w:val="0"/>
        <w:widowControl w:val="0"/>
        <w:numPr>
          <w:ilvl w:val="0"/>
          <w:numId w:val="5"/>
        </w:numPr>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如国家对中小企业划型标准有新的规定的，从其规定。 </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宋体" w:hAnsi="宋体" w:cs="宋体"/>
          <w:b/>
          <w:bCs/>
          <w:color w:val="000000" w:themeColor="text1"/>
          <w:sz w:val="28"/>
          <w:szCs w:val="36"/>
          <w:highlight w:val="none"/>
          <w:lang w:val="en-GB" w:eastAsia="zh-CN"/>
          <w14:textFill>
            <w14:solidFill>
              <w14:schemeClr w14:val="tx1"/>
            </w14:solidFill>
          </w14:textFill>
        </w:rPr>
      </w:pPr>
      <w:r>
        <w:rPr>
          <w:rFonts w:hint="eastAsia" w:ascii="宋体" w:hAnsi="宋体" w:cs="宋体"/>
          <w:b/>
          <w:bCs/>
          <w:color w:val="000000" w:themeColor="text1"/>
          <w:sz w:val="28"/>
          <w:szCs w:val="36"/>
          <w:highlight w:val="none"/>
          <w:lang w:val="en-GB" w:eastAsia="zh-CN"/>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 xml:space="preserve">                 </w:t>
      </w:r>
      <w:r>
        <w:rPr>
          <w:rFonts w:hint="eastAsia" w:ascii="宋体" w:hAnsi="宋体" w:cs="宋体"/>
          <w:b/>
          <w:bCs/>
          <w:color w:val="000000" w:themeColor="text1"/>
          <w:sz w:val="28"/>
          <w:szCs w:val="36"/>
          <w:highlight w:val="none"/>
          <w:lang w:val="en-GB" w:eastAsia="zh-CN"/>
          <w14:textFill>
            <w14:solidFill>
              <w14:schemeClr w14:val="tx1"/>
            </w14:solidFill>
          </w14:textFill>
        </w:rPr>
        <w:t>政府采购活动确认声明书</w:t>
      </w:r>
    </w:p>
    <w:p>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浙江五石中正工程咨询有限公司</w:t>
      </w:r>
      <w:r>
        <w:rPr>
          <w:rFonts w:hint="eastAsia" w:ascii="宋体" w:hAnsi="宋体" w:cs="宋体"/>
          <w:color w:val="000000" w:themeColor="text1"/>
          <w:sz w:val="24"/>
          <w:highlight w:val="none"/>
          <w14:textFill>
            <w14:solidFill>
              <w14:schemeClr w14:val="tx1"/>
            </w14:solidFill>
          </w14:textFill>
        </w:rPr>
        <w:t>（采购组织机构名称）：</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themeColor="text1"/>
          <w:sz w:val="24"/>
          <w:highlight w:val="none"/>
          <w:u w:val="none"/>
          <w:lang w:val="zh-CN"/>
          <w14:textFill>
            <w14:solidFill>
              <w14:schemeClr w14:val="tx1"/>
            </w14:solidFill>
          </w14:textFill>
        </w:rPr>
      </w:pPr>
      <w:r>
        <w:rPr>
          <w:rFonts w:hint="eastAsia" w:ascii="宋体" w:hAnsi="宋体" w:cs="宋体"/>
          <w:color w:val="000000" w:themeColor="text1"/>
          <w:sz w:val="24"/>
          <w:highlight w:val="none"/>
          <w:u w:val="none"/>
          <w:lang w:val="zh-CN"/>
          <w14:textFill>
            <w14:solidFill>
              <w14:schemeClr w14:val="tx1"/>
            </w14:solidFill>
          </w14:textFill>
        </w:rPr>
        <w:t>本人经由</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u w:val="none"/>
          <w:lang w:val="zh-CN"/>
          <w14:textFill>
            <w14:solidFill>
              <w14:schemeClr w14:val="tx1"/>
            </w14:solidFill>
          </w14:textFill>
        </w:rPr>
        <w:t>单位</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u w:val="none"/>
          <w:lang w:val="zh-CN"/>
          <w14:textFill>
            <w14:solidFill>
              <w14:schemeClr w14:val="tx1"/>
            </w14:solidFill>
          </w14:textFill>
        </w:rPr>
        <w:t>（法人代表）合法授权参加</w:t>
      </w:r>
      <w:r>
        <w:rPr>
          <w:rFonts w:hint="eastAsia" w:ascii="宋体" w:hAnsi="宋体" w:cs="宋体"/>
          <w:b/>
          <w:bCs/>
          <w:color w:val="000000" w:themeColor="text1"/>
          <w:sz w:val="24"/>
          <w:highlight w:val="none"/>
          <w:u w:val="single"/>
          <w:lang w:val="zh-CN"/>
          <w14:textFill>
            <w14:solidFill>
              <w14:schemeClr w14:val="tx1"/>
            </w14:solidFill>
          </w14:textFill>
        </w:rPr>
        <w:t>2022-2023年台州市省控环境质量自动监测站运维服务及运维监理服务采购项目</w:t>
      </w:r>
      <w:r>
        <w:rPr>
          <w:rFonts w:hint="eastAsia" w:ascii="宋体" w:hAnsi="宋体" w:cs="宋体"/>
          <w:color w:val="000000" w:themeColor="text1"/>
          <w:sz w:val="24"/>
          <w:highlight w:val="none"/>
          <w:u w:val="none"/>
          <w:lang w:val="zh-CN"/>
          <w14:textFill>
            <w14:solidFill>
              <w14:schemeClr w14:val="tx1"/>
            </w14:solidFill>
          </w14:textFill>
        </w:rPr>
        <w:t>（</w:t>
      </w:r>
      <w:r>
        <w:rPr>
          <w:rFonts w:hint="eastAsia" w:ascii="宋体" w:hAnsi="宋体" w:cs="宋体"/>
          <w:color w:val="000000" w:themeColor="text1"/>
          <w:sz w:val="24"/>
          <w:highlight w:val="none"/>
          <w:u w:val="none"/>
          <w14:textFill>
            <w14:solidFill>
              <w14:schemeClr w14:val="tx1"/>
            </w14:solidFill>
          </w14:textFill>
        </w:rPr>
        <w:t>项目</w:t>
      </w:r>
      <w:r>
        <w:rPr>
          <w:rFonts w:hint="eastAsia" w:ascii="宋体" w:hAnsi="宋体" w:cs="宋体"/>
          <w:color w:val="000000" w:themeColor="text1"/>
          <w:sz w:val="24"/>
          <w:highlight w:val="none"/>
          <w:u w:val="none"/>
          <w:lang w:val="zh-CN"/>
          <w14:textFill>
            <w14:solidFill>
              <w14:schemeClr w14:val="tx1"/>
            </w14:solidFill>
          </w14:textFill>
        </w:rPr>
        <w:t>编号：</w:t>
      </w:r>
      <w:r>
        <w:rPr>
          <w:rFonts w:hint="eastAsia" w:ascii="宋体" w:hAnsi="宋体" w:cs="宋体"/>
          <w:b/>
          <w:bCs/>
          <w:color w:val="000000" w:themeColor="text1"/>
          <w:sz w:val="24"/>
          <w:highlight w:val="none"/>
          <w:u w:val="single"/>
          <w:lang w:val="zh-CN"/>
          <w14:textFill>
            <w14:solidFill>
              <w14:schemeClr w14:val="tx1"/>
            </w14:solidFill>
          </w14:textFill>
        </w:rPr>
        <w:t>ZJWS2022-JJ287</w:t>
      </w:r>
      <w:r>
        <w:rPr>
          <w:rFonts w:hint="eastAsia" w:ascii="宋体" w:hAnsi="宋体" w:cs="宋体"/>
          <w:color w:val="000000" w:themeColor="text1"/>
          <w:sz w:val="24"/>
          <w:highlight w:val="none"/>
          <w:u w:val="none"/>
          <w:lang w:val="zh-CN"/>
          <w14:textFill>
            <w14:solidFill>
              <w14:schemeClr w14:val="tx1"/>
            </w14:solidFill>
          </w14:textFill>
        </w:rPr>
        <w:t>）政府采购活动，经与本单位法人代表（负责人）联系确认，现就有关公平竞争事项郑重声明如下：</w:t>
      </w:r>
    </w:p>
    <w:p>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一、本单位与采购人之间</w:t>
      </w:r>
      <w:r>
        <w:rPr>
          <w:rFonts w:hint="eastAsia" w:ascii="宋体" w:hAnsi="宋体" w:cs="宋体"/>
          <w:color w:val="000000" w:themeColor="text1"/>
          <w:sz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□不存在利害关系</w:t>
      </w:r>
      <w:r>
        <w:rPr>
          <w:rFonts w:hint="eastAsia" w:ascii="宋体" w:hAnsi="宋体" w:cs="宋体"/>
          <w:color w:val="000000" w:themeColor="text1"/>
          <w:sz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□存在下列利害关系</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A.投资关系</w:t>
      </w:r>
      <w:r>
        <w:rPr>
          <w:rFonts w:hint="eastAsia" w:ascii="宋体" w:hAnsi="宋体" w:cs="宋体"/>
          <w:color w:val="000000" w:themeColor="text1"/>
          <w:sz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B.行政隶属关系</w:t>
      </w:r>
      <w:r>
        <w:rPr>
          <w:rFonts w:hint="eastAsia" w:ascii="宋体" w:hAnsi="宋体" w:cs="宋体"/>
          <w:color w:val="000000" w:themeColor="text1"/>
          <w:sz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C.业务指导关系</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D.其他可能影响采购公正的利害关系</w:t>
      </w:r>
      <w:r>
        <w:rPr>
          <w:rFonts w:hint="eastAsia" w:ascii="宋体" w:hAnsi="宋体" w:cs="宋体"/>
          <w:color w:val="000000" w:themeColor="text1"/>
          <w:sz w:val="24"/>
          <w:highlight w:val="none"/>
          <w:u w:val="none"/>
          <w:lang w:eastAsia="zh-CN"/>
          <w14:textFill>
            <w14:solidFill>
              <w14:schemeClr w14:val="tx1"/>
            </w14:solidFill>
          </w14:textFill>
        </w:rPr>
        <w:t>（如有，请如实说明）</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二、现已清楚知道参加本项目采购活动的其他所有供应商名称，本单位</w:t>
      </w:r>
      <w:r>
        <w:rPr>
          <w:rFonts w:hint="eastAsia" w:ascii="宋体" w:hAnsi="宋体" w:cs="宋体"/>
          <w:color w:val="000000" w:themeColor="text1"/>
          <w:sz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□与其他所有供应商之间均不存在利害关系</w:t>
      </w:r>
      <w:r>
        <w:rPr>
          <w:rFonts w:hint="eastAsia" w:ascii="宋体" w:hAnsi="宋体" w:cs="宋体"/>
          <w:color w:val="000000" w:themeColor="text1"/>
          <w:sz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□与</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lang w:val="en-US" w:eastAsia="zh-CN"/>
          <w14:textFill>
            <w14:solidFill>
              <w14:schemeClr w14:val="tx1"/>
            </w14:solidFill>
          </w14:textFill>
        </w:rPr>
        <w:t>（供应商名称）</w:t>
      </w:r>
      <w:r>
        <w:rPr>
          <w:rFonts w:hint="eastAsia" w:ascii="宋体" w:hAnsi="宋体" w:cs="宋体"/>
          <w:color w:val="000000" w:themeColor="text1"/>
          <w:sz w:val="24"/>
          <w:highlight w:val="none"/>
          <w:u w:val="none"/>
          <w14:textFill>
            <w14:solidFill>
              <w14:schemeClr w14:val="tx1"/>
            </w14:solidFill>
          </w14:textFill>
        </w:rPr>
        <w:t>之间存在下列利害关系</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A.法定代表人或负责人或实际控制人是同一人</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B.法定代表人或负责人或实际控制人是夫妻关系</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C.法定代表人或负责人或实际控制人是直系血亲关系</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D.法定代表人或负责人或实际控制人存在三代以内旁系血亲关系</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E.法定代表人或负责人或实际控制人存在近姻亲关系</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F.法定代表人或负责人或实际控制人存在股份控制或实际控制关系</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G.存在共同直接或间接投资设立子公司、联营企业和合营企业情况</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I.其他利害关系情况</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三、现已清楚知道并严格遵守政府采购法律法规和现场纪律。</w:t>
      </w:r>
    </w:p>
    <w:p>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四、我发现</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供应商之间存在或可能存在上述第二条第</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项利害关系。</w:t>
      </w:r>
    </w:p>
    <w:p>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000000" w:themeColor="text1"/>
          <w:sz w:val="24"/>
          <w:highlight w:val="none"/>
          <w:u w:val="none"/>
          <w:lang w:eastAsia="zh-CN"/>
          <w14:textFill>
            <w14:solidFill>
              <w14:schemeClr w14:val="tx1"/>
            </w14:solidFill>
          </w14:textFill>
        </w:rPr>
      </w:pPr>
      <w:r>
        <w:rPr>
          <w:rFonts w:hint="eastAsia" w:ascii="宋体" w:hAnsi="宋体" w:cs="宋体"/>
          <w:b w:val="0"/>
          <w:bCs w:val="0"/>
          <w:color w:val="000000" w:themeColor="text1"/>
          <w:sz w:val="24"/>
          <w:highlight w:val="none"/>
          <w:u w:val="none"/>
          <w:lang w:eastAsia="zh-CN"/>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pPr>
        <w:keepNext w:val="0"/>
        <w:keepLines w:val="0"/>
        <w:pageBreakBefore w:val="0"/>
        <w:widowControl w:val="0"/>
        <w:shd w:val="clear"/>
        <w:kinsoku/>
        <w:wordWrap/>
        <w:overflowPunct/>
        <w:topLinePunct w:val="0"/>
        <w:autoSpaceDE/>
        <w:autoSpaceDN/>
        <w:bidi w:val="0"/>
        <w:adjustRightInd/>
        <w:snapToGrid/>
        <w:spacing w:line="420" w:lineRule="exact"/>
        <w:ind w:firstLine="4819" w:firstLineChars="2000"/>
        <w:textAlignment w:val="auto"/>
        <w:rPr>
          <w:rFonts w:hint="eastAsia" w:ascii="宋体" w:hAnsi="宋体" w:cs="宋体"/>
          <w:b/>
          <w:bCs/>
          <w:color w:val="000000" w:themeColor="text1"/>
          <w:sz w:val="24"/>
          <w:highlight w:val="none"/>
          <w:u w:val="none"/>
          <w14:textFill>
            <w14:solidFill>
              <w14:schemeClr w14:val="tx1"/>
            </w14:solidFill>
          </w14:textFill>
        </w:rPr>
      </w:pPr>
      <w:r>
        <w:rPr>
          <w:rFonts w:hint="eastAsia" w:ascii="宋体" w:hAnsi="宋体" w:cs="宋体"/>
          <w:b/>
          <w:bCs/>
          <w:color w:val="000000" w:themeColor="text1"/>
          <w:sz w:val="24"/>
          <w:highlight w:val="none"/>
          <w:u w:val="none"/>
          <w14:textFill>
            <w14:solidFill>
              <w14:schemeClr w14:val="tx1"/>
            </w14:solidFill>
          </w14:textFill>
        </w:rPr>
        <w:t>供应商代表签名：</w:t>
      </w:r>
    </w:p>
    <w:p>
      <w:pPr>
        <w:keepNext w:val="0"/>
        <w:keepLines w:val="0"/>
        <w:pageBreakBefore w:val="0"/>
        <w:widowControl w:val="0"/>
        <w:shd w:val="clear"/>
        <w:kinsoku/>
        <w:wordWrap/>
        <w:overflowPunct/>
        <w:topLinePunct w:val="0"/>
        <w:autoSpaceDE/>
        <w:autoSpaceDN/>
        <w:bidi w:val="0"/>
        <w:adjustRightInd/>
        <w:snapToGrid/>
        <w:spacing w:line="420" w:lineRule="exact"/>
        <w:jc w:val="right"/>
        <w:textAlignment w:val="auto"/>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2022年  月  日</w:t>
      </w:r>
    </w:p>
    <w:p>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000000" w:themeColor="text1"/>
          <w:sz w:val="24"/>
          <w:highlight w:val="none"/>
          <w:u w:val="none"/>
          <w:lang w:eastAsia="zh-CN"/>
          <w14:textFill>
            <w14:solidFill>
              <w14:schemeClr w14:val="tx1"/>
            </w14:solidFill>
          </w14:textFill>
        </w:rPr>
      </w:pPr>
      <w:r>
        <w:rPr>
          <w:rFonts w:hint="eastAsia" w:ascii="宋体" w:hAnsi="宋体" w:eastAsia="宋体" w:cs="宋体"/>
          <w:b/>
          <w:bCs/>
          <w:color w:val="000000" w:themeColor="text1"/>
          <w:sz w:val="24"/>
          <w:highlight w:val="none"/>
          <w:u w:val="none"/>
          <w:lang w:eastAsia="zh-CN"/>
          <w14:textFill>
            <w14:solidFill>
              <w14:schemeClr w14:val="tx1"/>
            </w14:solidFill>
          </w14:textFill>
        </w:rPr>
        <w:t>说明：商务技术文件开启后30分钟内，供应商通过邮件形式将经授权代表签署的《</w:t>
      </w:r>
      <w:r>
        <w:rPr>
          <w:rFonts w:hint="eastAsia" w:ascii="宋体" w:hAnsi="宋体" w:eastAsia="宋体" w:cs="宋体"/>
          <w:b/>
          <w:bCs/>
          <w:color w:val="000000" w:themeColor="text1"/>
          <w:sz w:val="24"/>
          <w:highlight w:val="none"/>
          <w:u w:val="none"/>
          <w:lang w:val="en-GB" w:eastAsia="zh-CN"/>
          <w14:textFill>
            <w14:solidFill>
              <w14:schemeClr w14:val="tx1"/>
            </w14:solidFill>
          </w14:textFill>
        </w:rPr>
        <w:t>政府采购活动确认声明书</w:t>
      </w:r>
      <w:r>
        <w:rPr>
          <w:rFonts w:hint="eastAsia" w:ascii="宋体" w:hAnsi="宋体" w:eastAsia="宋体" w:cs="宋体"/>
          <w:b/>
          <w:bCs/>
          <w:color w:val="000000" w:themeColor="text1"/>
          <w:sz w:val="24"/>
          <w:highlight w:val="none"/>
          <w:u w:val="none"/>
          <w:lang w:eastAsia="zh-CN"/>
          <w14:textFill>
            <w14:solidFill>
              <w14:schemeClr w14:val="tx1"/>
            </w14:solidFill>
          </w14:textFill>
        </w:rPr>
        <w:t>》扫描件发至代理机构经办人邮箱（邮箱地址：</w:t>
      </w:r>
      <w:r>
        <w:rPr>
          <w:rFonts w:hint="eastAsia" w:ascii="宋体" w:hAnsi="宋体" w:eastAsia="宋体" w:cs="宋体"/>
          <w:b/>
          <w:bCs/>
          <w:color w:val="000000" w:themeColor="text1"/>
          <w:sz w:val="24"/>
          <w:highlight w:val="none"/>
          <w:u w:val="none"/>
          <w:lang w:eastAsia="zh-CN"/>
          <w14:textFill>
            <w14:solidFill>
              <w14:schemeClr w14:val="tx1"/>
            </w14:solidFill>
          </w14:textFill>
        </w:rPr>
        <w:fldChar w:fldCharType="begin"/>
      </w:r>
      <w:r>
        <w:rPr>
          <w:rFonts w:hint="eastAsia" w:ascii="宋体" w:hAnsi="宋体" w:eastAsia="宋体" w:cs="宋体"/>
          <w:b/>
          <w:bCs/>
          <w:color w:val="000000" w:themeColor="text1"/>
          <w:sz w:val="24"/>
          <w:highlight w:val="none"/>
          <w:u w:val="none"/>
          <w:lang w:eastAsia="zh-CN"/>
          <w14:textFill>
            <w14:solidFill>
              <w14:schemeClr w14:val="tx1"/>
            </w14:solidFill>
          </w14:textFill>
        </w:rPr>
        <w:instrText xml:space="preserve"> HYPERLINK "mailto:303054329@qq.com）；" </w:instrText>
      </w:r>
      <w:r>
        <w:rPr>
          <w:rFonts w:hint="eastAsia" w:ascii="宋体" w:hAnsi="宋体" w:eastAsia="宋体" w:cs="宋体"/>
          <w:b/>
          <w:bCs/>
          <w:color w:val="000000" w:themeColor="text1"/>
          <w:sz w:val="24"/>
          <w:highlight w:val="none"/>
          <w:u w:val="none"/>
          <w:lang w:eastAsia="zh-CN"/>
          <w14:textFill>
            <w14:solidFill>
              <w14:schemeClr w14:val="tx1"/>
            </w14:solidFill>
          </w14:textFill>
        </w:rPr>
        <w:fldChar w:fldCharType="separate"/>
      </w:r>
      <w:r>
        <w:rPr>
          <w:rFonts w:hint="eastAsia" w:ascii="宋体" w:hAnsi="宋体" w:eastAsia="宋体" w:cs="宋体"/>
          <w:b/>
          <w:bCs/>
          <w:color w:val="000000" w:themeColor="text1"/>
          <w:sz w:val="24"/>
          <w:highlight w:val="none"/>
          <w:u w:val="none"/>
          <w:lang w:val="en-US" w:eastAsia="zh-CN"/>
          <w14:textFill>
            <w14:solidFill>
              <w14:schemeClr w14:val="tx1"/>
            </w14:solidFill>
          </w14:textFill>
        </w:rPr>
        <w:t>zjwstz@163</w:t>
      </w:r>
      <w:r>
        <w:rPr>
          <w:rFonts w:hint="eastAsia" w:ascii="宋体" w:hAnsi="宋体" w:eastAsia="宋体" w:cs="宋体"/>
          <w:b/>
          <w:bCs/>
          <w:color w:val="000000" w:themeColor="text1"/>
          <w:sz w:val="24"/>
          <w:highlight w:val="none"/>
          <w:u w:val="none"/>
          <w:lang w:eastAsia="zh-CN"/>
          <w14:textFill>
            <w14:solidFill>
              <w14:schemeClr w14:val="tx1"/>
            </w14:solidFill>
          </w14:textFill>
        </w:rPr>
        <w:t>.com）；</w:t>
      </w:r>
      <w:r>
        <w:rPr>
          <w:rFonts w:hint="eastAsia" w:ascii="宋体" w:hAnsi="宋体" w:eastAsia="宋体" w:cs="宋体"/>
          <w:b/>
          <w:bCs/>
          <w:color w:val="000000" w:themeColor="text1"/>
          <w:sz w:val="24"/>
          <w:highlight w:val="none"/>
          <w:u w:val="none"/>
          <w:lang w:eastAsia="zh-CN"/>
          <w14:textFill>
            <w14:solidFill>
              <w14:schemeClr w14:val="tx1"/>
            </w14:solidFill>
          </w14:textFill>
        </w:rPr>
        <w:fldChar w:fldCharType="end"/>
      </w:r>
      <w:r>
        <w:rPr>
          <w:rFonts w:hint="eastAsia" w:ascii="宋体" w:hAnsi="宋体" w:eastAsia="宋体" w:cs="宋体"/>
          <w:b/>
          <w:bCs/>
          <w:color w:val="000000" w:themeColor="text1"/>
          <w:sz w:val="24"/>
          <w:highlight w:val="none"/>
          <w:u w:val="none"/>
          <w:lang w:eastAsia="zh-CN"/>
          <w14:textFill>
            <w14:solidFill>
              <w14:schemeClr w14:val="tx1"/>
            </w14:solidFill>
          </w14:textFill>
        </w:rPr>
        <w:t>不填写或未按规定发出邮件的，视同默认不存在确认声明书中的相关违规情形。</w:t>
      </w:r>
    </w:p>
    <w:sectPr>
      <w:headerReference r:id="rId10" w:type="default"/>
      <w:footerReference r:id="rId11" w:type="default"/>
      <w:pgSz w:w="11906" w:h="16838"/>
      <w:pgMar w:top="1440" w:right="1803" w:bottom="1440" w:left="1803" w:header="851" w:footer="992" w:gutter="0"/>
      <w:pgNumType w:fmt="decimal" w:start="88"/>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7A"/>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7012"/>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7012"/>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7012"/>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2"/>
        <w:snapToGrid w:val="0"/>
        <w:ind w:firstLine="360"/>
      </w:pPr>
      <w:r>
        <w:rPr>
          <w:rStyle w:val="34"/>
        </w:rPr>
        <w:footnoteRef/>
      </w:r>
      <w:r>
        <w:t xml:space="preserve"> </w:t>
      </w:r>
      <w:r>
        <w:rPr>
          <w:rFonts w:hint="eastAsia" w:ascii="宋体" w:hAnsi="宋体"/>
          <w:bCs/>
          <w:sz w:val="24"/>
          <w:szCs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p>
  <w:p>
    <w:pPr>
      <w:pStyle w:val="1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BC3B0"/>
    <w:multiLevelType w:val="singleLevel"/>
    <w:tmpl w:val="998BC3B0"/>
    <w:lvl w:ilvl="0" w:tentative="0">
      <w:start w:val="4"/>
      <w:numFmt w:val="decimal"/>
      <w:suff w:val="nothing"/>
      <w:lvlText w:val="%1、"/>
      <w:lvlJc w:val="left"/>
    </w:lvl>
  </w:abstractNum>
  <w:abstractNum w:abstractNumId="1">
    <w:nsid w:val="AE2D8F7B"/>
    <w:multiLevelType w:val="singleLevel"/>
    <w:tmpl w:val="AE2D8F7B"/>
    <w:lvl w:ilvl="0" w:tentative="0">
      <w:start w:val="1"/>
      <w:numFmt w:val="decimal"/>
      <w:pStyle w:val="8"/>
      <w:lvlText w:val="%1."/>
      <w:lvlJc w:val="left"/>
      <w:pPr>
        <w:tabs>
          <w:tab w:val="left" w:pos="360"/>
        </w:tabs>
        <w:ind w:left="360" w:hanging="360"/>
      </w:pPr>
      <w:rPr>
        <w:rFonts w:cs="Times New Roman"/>
      </w:rPr>
    </w:lvl>
  </w:abstractNum>
  <w:abstractNum w:abstractNumId="2">
    <w:nsid w:val="EE7F6513"/>
    <w:multiLevelType w:val="singleLevel"/>
    <w:tmpl w:val="EE7F6513"/>
    <w:lvl w:ilvl="0" w:tentative="0">
      <w:start w:val="1"/>
      <w:numFmt w:val="decimal"/>
      <w:suff w:val="nothing"/>
      <w:lvlText w:val="%1、"/>
      <w:lvlJc w:val="left"/>
    </w:lvl>
  </w:abstractNum>
  <w:abstractNum w:abstractNumId="3">
    <w:nsid w:val="5B0C17D9"/>
    <w:multiLevelType w:val="multilevel"/>
    <w:tmpl w:val="5B0C17D9"/>
    <w:lvl w:ilvl="0" w:tentative="0">
      <w:start w:val="1"/>
      <w:numFmt w:val="decimal"/>
      <w:suff w:val="nothing"/>
      <w:lvlText w:val="%1、"/>
      <w:lvlJc w:val="left"/>
      <w:pPr>
        <w:ind w:left="432" w:hanging="432"/>
      </w:pPr>
      <w:rPr>
        <w:rFonts w:hint="eastAsia"/>
      </w:rPr>
    </w:lvl>
    <w:lvl w:ilvl="1" w:tentative="0">
      <w:start w:val="1"/>
      <w:numFmt w:val="decimal"/>
      <w:suff w:val="nothing"/>
      <w:lvlText w:val="%1.%2、"/>
      <w:lvlJc w:val="left"/>
      <w:pPr>
        <w:ind w:left="576" w:hanging="576"/>
      </w:pPr>
      <w:rPr>
        <w:rFonts w:hint="eastAsia"/>
      </w:rPr>
    </w:lvl>
    <w:lvl w:ilvl="2" w:tentative="0">
      <w:start w:val="1"/>
      <w:numFmt w:val="decimal"/>
      <w:suff w:val="nothing"/>
      <w:lvlText w:val="%1.%2.%3、"/>
      <w:lvlJc w:val="left"/>
      <w:pPr>
        <w:ind w:left="2160" w:hanging="720"/>
      </w:pPr>
      <w:rPr>
        <w:rFonts w:hint="eastAsia"/>
      </w:rPr>
    </w:lvl>
    <w:lvl w:ilvl="3" w:tentative="0">
      <w:start w:val="1"/>
      <w:numFmt w:val="decimal"/>
      <w:pStyle w:val="7"/>
      <w:suff w:val="nothing"/>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7E43D33F"/>
    <w:multiLevelType w:val="singleLevel"/>
    <w:tmpl w:val="7E43D33F"/>
    <w:lvl w:ilvl="0" w:tentative="0">
      <w:start w:val="4"/>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Y2RhMzFhMmJkOWMxY2Y2ZWQxMTAxNGQ2OWRkYWQifQ=="/>
  </w:docVars>
  <w:rsids>
    <w:rsidRoot w:val="0E970358"/>
    <w:rsid w:val="00016260"/>
    <w:rsid w:val="0002035B"/>
    <w:rsid w:val="0002289C"/>
    <w:rsid w:val="00026FDB"/>
    <w:rsid w:val="000403F7"/>
    <w:rsid w:val="0004055B"/>
    <w:rsid w:val="0006294D"/>
    <w:rsid w:val="00062AB3"/>
    <w:rsid w:val="000630DA"/>
    <w:rsid w:val="000A6E0D"/>
    <w:rsid w:val="000D5E47"/>
    <w:rsid w:val="000E1AFA"/>
    <w:rsid w:val="000F2AB4"/>
    <w:rsid w:val="00107BF6"/>
    <w:rsid w:val="001334F2"/>
    <w:rsid w:val="001358F3"/>
    <w:rsid w:val="00165F2A"/>
    <w:rsid w:val="00180836"/>
    <w:rsid w:val="001B704D"/>
    <w:rsid w:val="001D77B7"/>
    <w:rsid w:val="001E0F27"/>
    <w:rsid w:val="001F0883"/>
    <w:rsid w:val="00201D2F"/>
    <w:rsid w:val="00201D62"/>
    <w:rsid w:val="00203C2F"/>
    <w:rsid w:val="0021318F"/>
    <w:rsid w:val="00241352"/>
    <w:rsid w:val="00241C21"/>
    <w:rsid w:val="002568C8"/>
    <w:rsid w:val="002745E8"/>
    <w:rsid w:val="00277E4C"/>
    <w:rsid w:val="002A1620"/>
    <w:rsid w:val="002C0F29"/>
    <w:rsid w:val="002E25BB"/>
    <w:rsid w:val="003102FB"/>
    <w:rsid w:val="0033011F"/>
    <w:rsid w:val="00332E30"/>
    <w:rsid w:val="0034082A"/>
    <w:rsid w:val="00353DAF"/>
    <w:rsid w:val="00356AD4"/>
    <w:rsid w:val="003945DA"/>
    <w:rsid w:val="00394F4B"/>
    <w:rsid w:val="003C020E"/>
    <w:rsid w:val="003C5E00"/>
    <w:rsid w:val="003E3CD3"/>
    <w:rsid w:val="003E60C0"/>
    <w:rsid w:val="003E6DE1"/>
    <w:rsid w:val="003F595C"/>
    <w:rsid w:val="003F78E0"/>
    <w:rsid w:val="00415B00"/>
    <w:rsid w:val="00441FAE"/>
    <w:rsid w:val="00446CEF"/>
    <w:rsid w:val="00491BDF"/>
    <w:rsid w:val="004966C6"/>
    <w:rsid w:val="004B4165"/>
    <w:rsid w:val="004D0806"/>
    <w:rsid w:val="004F5D8C"/>
    <w:rsid w:val="00501A00"/>
    <w:rsid w:val="00514920"/>
    <w:rsid w:val="00526C81"/>
    <w:rsid w:val="00531666"/>
    <w:rsid w:val="005422E8"/>
    <w:rsid w:val="00542F87"/>
    <w:rsid w:val="00576AE9"/>
    <w:rsid w:val="00594D09"/>
    <w:rsid w:val="005D59B9"/>
    <w:rsid w:val="006106B8"/>
    <w:rsid w:val="0061674E"/>
    <w:rsid w:val="00616E31"/>
    <w:rsid w:val="00636172"/>
    <w:rsid w:val="00646CA0"/>
    <w:rsid w:val="006540F3"/>
    <w:rsid w:val="00655E3C"/>
    <w:rsid w:val="00664471"/>
    <w:rsid w:val="00672CEF"/>
    <w:rsid w:val="00674C42"/>
    <w:rsid w:val="006B57B2"/>
    <w:rsid w:val="006E1E28"/>
    <w:rsid w:val="006E5A80"/>
    <w:rsid w:val="006F4DFE"/>
    <w:rsid w:val="0075349E"/>
    <w:rsid w:val="00775146"/>
    <w:rsid w:val="00781623"/>
    <w:rsid w:val="00783370"/>
    <w:rsid w:val="00793C81"/>
    <w:rsid w:val="007A2629"/>
    <w:rsid w:val="007A6343"/>
    <w:rsid w:val="007B6BE0"/>
    <w:rsid w:val="007C1005"/>
    <w:rsid w:val="007F5FAF"/>
    <w:rsid w:val="00802325"/>
    <w:rsid w:val="0080460E"/>
    <w:rsid w:val="008108F3"/>
    <w:rsid w:val="00811675"/>
    <w:rsid w:val="008154BD"/>
    <w:rsid w:val="00823978"/>
    <w:rsid w:val="00825CA5"/>
    <w:rsid w:val="00847BE5"/>
    <w:rsid w:val="0088066B"/>
    <w:rsid w:val="00891FD3"/>
    <w:rsid w:val="008A3BF7"/>
    <w:rsid w:val="008A4030"/>
    <w:rsid w:val="008D75B5"/>
    <w:rsid w:val="008E781F"/>
    <w:rsid w:val="00912983"/>
    <w:rsid w:val="00942223"/>
    <w:rsid w:val="00944004"/>
    <w:rsid w:val="00972143"/>
    <w:rsid w:val="009B38D1"/>
    <w:rsid w:val="009B3E22"/>
    <w:rsid w:val="009C54AA"/>
    <w:rsid w:val="009D26CD"/>
    <w:rsid w:val="009E1C1C"/>
    <w:rsid w:val="009F3459"/>
    <w:rsid w:val="009F36F6"/>
    <w:rsid w:val="009F5B67"/>
    <w:rsid w:val="00A0659C"/>
    <w:rsid w:val="00A079A9"/>
    <w:rsid w:val="00A11B5D"/>
    <w:rsid w:val="00A12F71"/>
    <w:rsid w:val="00A17880"/>
    <w:rsid w:val="00A222C5"/>
    <w:rsid w:val="00A263AB"/>
    <w:rsid w:val="00A2753B"/>
    <w:rsid w:val="00A30B75"/>
    <w:rsid w:val="00A50F9E"/>
    <w:rsid w:val="00A730CA"/>
    <w:rsid w:val="00A913CD"/>
    <w:rsid w:val="00AA1065"/>
    <w:rsid w:val="00AE6A42"/>
    <w:rsid w:val="00AF1BC6"/>
    <w:rsid w:val="00AF276E"/>
    <w:rsid w:val="00B0420E"/>
    <w:rsid w:val="00B079DA"/>
    <w:rsid w:val="00BA738A"/>
    <w:rsid w:val="00BB56A1"/>
    <w:rsid w:val="00BE0ADF"/>
    <w:rsid w:val="00C27C47"/>
    <w:rsid w:val="00C44AFB"/>
    <w:rsid w:val="00C52E14"/>
    <w:rsid w:val="00C767D4"/>
    <w:rsid w:val="00CB0437"/>
    <w:rsid w:val="00CB0F2E"/>
    <w:rsid w:val="00CC1628"/>
    <w:rsid w:val="00CC232E"/>
    <w:rsid w:val="00CD0CC4"/>
    <w:rsid w:val="00CD1804"/>
    <w:rsid w:val="00CD692D"/>
    <w:rsid w:val="00CF2D4E"/>
    <w:rsid w:val="00CF6B82"/>
    <w:rsid w:val="00D03495"/>
    <w:rsid w:val="00D05E09"/>
    <w:rsid w:val="00D264AC"/>
    <w:rsid w:val="00D5211E"/>
    <w:rsid w:val="00D5269F"/>
    <w:rsid w:val="00DA25C4"/>
    <w:rsid w:val="00DB2B95"/>
    <w:rsid w:val="00DB6334"/>
    <w:rsid w:val="00DC774C"/>
    <w:rsid w:val="00DE383F"/>
    <w:rsid w:val="00DF079E"/>
    <w:rsid w:val="00DF2E77"/>
    <w:rsid w:val="00DF7974"/>
    <w:rsid w:val="00E27F87"/>
    <w:rsid w:val="00E319E7"/>
    <w:rsid w:val="00E342C2"/>
    <w:rsid w:val="00E372BC"/>
    <w:rsid w:val="00E457DB"/>
    <w:rsid w:val="00E855C9"/>
    <w:rsid w:val="00E931BC"/>
    <w:rsid w:val="00ED2998"/>
    <w:rsid w:val="00EF2797"/>
    <w:rsid w:val="00F11CB8"/>
    <w:rsid w:val="00F127FF"/>
    <w:rsid w:val="00F64E95"/>
    <w:rsid w:val="00F74D1E"/>
    <w:rsid w:val="00F835F4"/>
    <w:rsid w:val="00F94869"/>
    <w:rsid w:val="00FA599D"/>
    <w:rsid w:val="00FD3E85"/>
    <w:rsid w:val="0146433F"/>
    <w:rsid w:val="0162067B"/>
    <w:rsid w:val="017442FA"/>
    <w:rsid w:val="01822573"/>
    <w:rsid w:val="01935887"/>
    <w:rsid w:val="01A7022B"/>
    <w:rsid w:val="01D67B16"/>
    <w:rsid w:val="02046A92"/>
    <w:rsid w:val="02182ED7"/>
    <w:rsid w:val="022F3D89"/>
    <w:rsid w:val="025F5180"/>
    <w:rsid w:val="0264611C"/>
    <w:rsid w:val="026B5F45"/>
    <w:rsid w:val="032101C4"/>
    <w:rsid w:val="03375DC5"/>
    <w:rsid w:val="03887300"/>
    <w:rsid w:val="03B517B6"/>
    <w:rsid w:val="04363AE8"/>
    <w:rsid w:val="045F3555"/>
    <w:rsid w:val="04AA6BC9"/>
    <w:rsid w:val="04B50744"/>
    <w:rsid w:val="04C4159B"/>
    <w:rsid w:val="04CC341D"/>
    <w:rsid w:val="04EC563D"/>
    <w:rsid w:val="04ED2D94"/>
    <w:rsid w:val="05137CD7"/>
    <w:rsid w:val="057C2347"/>
    <w:rsid w:val="05973711"/>
    <w:rsid w:val="05A01219"/>
    <w:rsid w:val="05A212BC"/>
    <w:rsid w:val="05E02767"/>
    <w:rsid w:val="05F9301F"/>
    <w:rsid w:val="060B26E0"/>
    <w:rsid w:val="06445431"/>
    <w:rsid w:val="06456F77"/>
    <w:rsid w:val="065522E1"/>
    <w:rsid w:val="069C7CC4"/>
    <w:rsid w:val="06AB05CD"/>
    <w:rsid w:val="06C47256"/>
    <w:rsid w:val="06F86E33"/>
    <w:rsid w:val="070752C8"/>
    <w:rsid w:val="07080B62"/>
    <w:rsid w:val="073D4ECF"/>
    <w:rsid w:val="077B3903"/>
    <w:rsid w:val="07A019A5"/>
    <w:rsid w:val="07AA0505"/>
    <w:rsid w:val="07CC079B"/>
    <w:rsid w:val="07F751B7"/>
    <w:rsid w:val="081F33B5"/>
    <w:rsid w:val="082F18A7"/>
    <w:rsid w:val="0835492A"/>
    <w:rsid w:val="08422A5C"/>
    <w:rsid w:val="08471DAF"/>
    <w:rsid w:val="08DE7A29"/>
    <w:rsid w:val="09170415"/>
    <w:rsid w:val="091E53AB"/>
    <w:rsid w:val="0923315B"/>
    <w:rsid w:val="09321794"/>
    <w:rsid w:val="09365898"/>
    <w:rsid w:val="094D3687"/>
    <w:rsid w:val="094F1A35"/>
    <w:rsid w:val="097B1D33"/>
    <w:rsid w:val="097F1E8C"/>
    <w:rsid w:val="09E967AC"/>
    <w:rsid w:val="0A195D79"/>
    <w:rsid w:val="0A207EE3"/>
    <w:rsid w:val="0A2D59D6"/>
    <w:rsid w:val="0A392607"/>
    <w:rsid w:val="0A572581"/>
    <w:rsid w:val="0A863F1F"/>
    <w:rsid w:val="0AB97872"/>
    <w:rsid w:val="0ADB4F19"/>
    <w:rsid w:val="0ADD7D3C"/>
    <w:rsid w:val="0B5D305E"/>
    <w:rsid w:val="0B6F6C6A"/>
    <w:rsid w:val="0B960791"/>
    <w:rsid w:val="0BA71B27"/>
    <w:rsid w:val="0BA979F3"/>
    <w:rsid w:val="0BC568FE"/>
    <w:rsid w:val="0BD63416"/>
    <w:rsid w:val="0C1E2BA0"/>
    <w:rsid w:val="0C765CB2"/>
    <w:rsid w:val="0C8550AD"/>
    <w:rsid w:val="0CD36378"/>
    <w:rsid w:val="0D0D122B"/>
    <w:rsid w:val="0D1712CC"/>
    <w:rsid w:val="0DA874F0"/>
    <w:rsid w:val="0DAC1076"/>
    <w:rsid w:val="0DB14344"/>
    <w:rsid w:val="0DDA7292"/>
    <w:rsid w:val="0E4878A5"/>
    <w:rsid w:val="0E73043E"/>
    <w:rsid w:val="0E970358"/>
    <w:rsid w:val="0EC1463F"/>
    <w:rsid w:val="0ED33496"/>
    <w:rsid w:val="0F227143"/>
    <w:rsid w:val="0F276507"/>
    <w:rsid w:val="0F4922DD"/>
    <w:rsid w:val="0F60639B"/>
    <w:rsid w:val="0F81461E"/>
    <w:rsid w:val="0FF21790"/>
    <w:rsid w:val="10053DFB"/>
    <w:rsid w:val="102E6D55"/>
    <w:rsid w:val="10390C85"/>
    <w:rsid w:val="10392EAE"/>
    <w:rsid w:val="103F136E"/>
    <w:rsid w:val="10706EC2"/>
    <w:rsid w:val="107A6611"/>
    <w:rsid w:val="10FF4BAA"/>
    <w:rsid w:val="114D620F"/>
    <w:rsid w:val="117B2B3A"/>
    <w:rsid w:val="1202325C"/>
    <w:rsid w:val="12807280"/>
    <w:rsid w:val="12B874F8"/>
    <w:rsid w:val="12D776DF"/>
    <w:rsid w:val="1312189C"/>
    <w:rsid w:val="132A4818"/>
    <w:rsid w:val="13345697"/>
    <w:rsid w:val="133C2E38"/>
    <w:rsid w:val="13763D70"/>
    <w:rsid w:val="13C3146E"/>
    <w:rsid w:val="13FC1BC3"/>
    <w:rsid w:val="143015EC"/>
    <w:rsid w:val="14685286"/>
    <w:rsid w:val="148443FC"/>
    <w:rsid w:val="148463E6"/>
    <w:rsid w:val="14A14921"/>
    <w:rsid w:val="14CE0BC5"/>
    <w:rsid w:val="14D20D9B"/>
    <w:rsid w:val="14EA425F"/>
    <w:rsid w:val="156360A4"/>
    <w:rsid w:val="15642450"/>
    <w:rsid w:val="157E709D"/>
    <w:rsid w:val="15A72BED"/>
    <w:rsid w:val="15AD100C"/>
    <w:rsid w:val="15B64A89"/>
    <w:rsid w:val="16074F81"/>
    <w:rsid w:val="1621170E"/>
    <w:rsid w:val="16403831"/>
    <w:rsid w:val="168F2E24"/>
    <w:rsid w:val="169E1961"/>
    <w:rsid w:val="16A14AF6"/>
    <w:rsid w:val="16B10C72"/>
    <w:rsid w:val="16D8586C"/>
    <w:rsid w:val="173C56DA"/>
    <w:rsid w:val="17B35FCD"/>
    <w:rsid w:val="17BE4970"/>
    <w:rsid w:val="17F65611"/>
    <w:rsid w:val="180D1B18"/>
    <w:rsid w:val="18303C7C"/>
    <w:rsid w:val="185540E5"/>
    <w:rsid w:val="18820ED2"/>
    <w:rsid w:val="18B91D2B"/>
    <w:rsid w:val="18C40414"/>
    <w:rsid w:val="18D47700"/>
    <w:rsid w:val="18E11A7C"/>
    <w:rsid w:val="19153875"/>
    <w:rsid w:val="192E2828"/>
    <w:rsid w:val="1952231E"/>
    <w:rsid w:val="195E521C"/>
    <w:rsid w:val="19801B76"/>
    <w:rsid w:val="1A0E6B24"/>
    <w:rsid w:val="1A2E6726"/>
    <w:rsid w:val="1A6A6D44"/>
    <w:rsid w:val="1A6E5932"/>
    <w:rsid w:val="1A7343BD"/>
    <w:rsid w:val="1A772956"/>
    <w:rsid w:val="1A817123"/>
    <w:rsid w:val="1A8564E4"/>
    <w:rsid w:val="1A93159D"/>
    <w:rsid w:val="1A99573A"/>
    <w:rsid w:val="1AB16476"/>
    <w:rsid w:val="1ABF1CEA"/>
    <w:rsid w:val="1ADE4A1E"/>
    <w:rsid w:val="1AE30C4E"/>
    <w:rsid w:val="1B1729AB"/>
    <w:rsid w:val="1B1E1106"/>
    <w:rsid w:val="1B3409E4"/>
    <w:rsid w:val="1B4040DC"/>
    <w:rsid w:val="1B66485B"/>
    <w:rsid w:val="1B674FFA"/>
    <w:rsid w:val="1BAB4F79"/>
    <w:rsid w:val="1C093ECB"/>
    <w:rsid w:val="1C2A1FDB"/>
    <w:rsid w:val="1C56042C"/>
    <w:rsid w:val="1CB50725"/>
    <w:rsid w:val="1CD65226"/>
    <w:rsid w:val="1CE4433A"/>
    <w:rsid w:val="1CF77E61"/>
    <w:rsid w:val="1D004D16"/>
    <w:rsid w:val="1D0A52C3"/>
    <w:rsid w:val="1DAD6772"/>
    <w:rsid w:val="1DC064A5"/>
    <w:rsid w:val="1DC530BD"/>
    <w:rsid w:val="1DD722C7"/>
    <w:rsid w:val="1E4110C2"/>
    <w:rsid w:val="1E4B30F0"/>
    <w:rsid w:val="1E58234F"/>
    <w:rsid w:val="1E645E62"/>
    <w:rsid w:val="1E6C25A6"/>
    <w:rsid w:val="1E6D0D0C"/>
    <w:rsid w:val="1E831280"/>
    <w:rsid w:val="1E8E0351"/>
    <w:rsid w:val="1E9955EF"/>
    <w:rsid w:val="1EE84AA8"/>
    <w:rsid w:val="1EF02DBA"/>
    <w:rsid w:val="1FB56625"/>
    <w:rsid w:val="1FBD0FB4"/>
    <w:rsid w:val="1FCB19CF"/>
    <w:rsid w:val="1FEE7922"/>
    <w:rsid w:val="200F54C2"/>
    <w:rsid w:val="20303E66"/>
    <w:rsid w:val="207C106E"/>
    <w:rsid w:val="20DC1314"/>
    <w:rsid w:val="2148260C"/>
    <w:rsid w:val="217D1BCC"/>
    <w:rsid w:val="21AC6D9B"/>
    <w:rsid w:val="21D20555"/>
    <w:rsid w:val="21EA1BD0"/>
    <w:rsid w:val="221862B3"/>
    <w:rsid w:val="226514FC"/>
    <w:rsid w:val="228447E5"/>
    <w:rsid w:val="22B45EAC"/>
    <w:rsid w:val="22CE51C0"/>
    <w:rsid w:val="22DF04B6"/>
    <w:rsid w:val="232271C0"/>
    <w:rsid w:val="23360FB7"/>
    <w:rsid w:val="23424F53"/>
    <w:rsid w:val="236E14E2"/>
    <w:rsid w:val="2388078A"/>
    <w:rsid w:val="23A36435"/>
    <w:rsid w:val="24090792"/>
    <w:rsid w:val="245E7561"/>
    <w:rsid w:val="246212CC"/>
    <w:rsid w:val="24724271"/>
    <w:rsid w:val="24A83423"/>
    <w:rsid w:val="24C37926"/>
    <w:rsid w:val="24D966D9"/>
    <w:rsid w:val="24DD2F68"/>
    <w:rsid w:val="24EA31B9"/>
    <w:rsid w:val="24F151DF"/>
    <w:rsid w:val="24FE2F42"/>
    <w:rsid w:val="25C11B38"/>
    <w:rsid w:val="25D9751E"/>
    <w:rsid w:val="25E90F07"/>
    <w:rsid w:val="26750099"/>
    <w:rsid w:val="268A132E"/>
    <w:rsid w:val="26985C22"/>
    <w:rsid w:val="26B97A26"/>
    <w:rsid w:val="26DE30DF"/>
    <w:rsid w:val="27781984"/>
    <w:rsid w:val="27866A19"/>
    <w:rsid w:val="27A04C51"/>
    <w:rsid w:val="280A41D5"/>
    <w:rsid w:val="28215C9F"/>
    <w:rsid w:val="288D1E5B"/>
    <w:rsid w:val="28BE0843"/>
    <w:rsid w:val="28E64005"/>
    <w:rsid w:val="29094C3E"/>
    <w:rsid w:val="2916554B"/>
    <w:rsid w:val="293D28A2"/>
    <w:rsid w:val="2957361E"/>
    <w:rsid w:val="29744295"/>
    <w:rsid w:val="297C222F"/>
    <w:rsid w:val="2994582E"/>
    <w:rsid w:val="29BB5D72"/>
    <w:rsid w:val="29D148D0"/>
    <w:rsid w:val="2A015268"/>
    <w:rsid w:val="2A1D6B3E"/>
    <w:rsid w:val="2A4665A4"/>
    <w:rsid w:val="2A651663"/>
    <w:rsid w:val="2A906605"/>
    <w:rsid w:val="2A97233B"/>
    <w:rsid w:val="2AB651B9"/>
    <w:rsid w:val="2ABF5502"/>
    <w:rsid w:val="2AC803DC"/>
    <w:rsid w:val="2AF71430"/>
    <w:rsid w:val="2AF85694"/>
    <w:rsid w:val="2B045C6D"/>
    <w:rsid w:val="2B520C88"/>
    <w:rsid w:val="2B5A0B44"/>
    <w:rsid w:val="2B67284F"/>
    <w:rsid w:val="2B746B21"/>
    <w:rsid w:val="2B7F46E1"/>
    <w:rsid w:val="2BAC23EB"/>
    <w:rsid w:val="2BE52236"/>
    <w:rsid w:val="2BED0DD4"/>
    <w:rsid w:val="2C045189"/>
    <w:rsid w:val="2C0966D9"/>
    <w:rsid w:val="2C0E0C76"/>
    <w:rsid w:val="2C2B1197"/>
    <w:rsid w:val="2C435E6A"/>
    <w:rsid w:val="2CB93512"/>
    <w:rsid w:val="2CF717B7"/>
    <w:rsid w:val="2D313642"/>
    <w:rsid w:val="2D580DB5"/>
    <w:rsid w:val="2D80355B"/>
    <w:rsid w:val="2D83129D"/>
    <w:rsid w:val="2D8E0632"/>
    <w:rsid w:val="2DB034A1"/>
    <w:rsid w:val="2DCE3867"/>
    <w:rsid w:val="2DE27D71"/>
    <w:rsid w:val="2E152297"/>
    <w:rsid w:val="2E2173C2"/>
    <w:rsid w:val="2E5844D8"/>
    <w:rsid w:val="2E6A6084"/>
    <w:rsid w:val="2F270657"/>
    <w:rsid w:val="2F3E217D"/>
    <w:rsid w:val="2F402F53"/>
    <w:rsid w:val="2F412CDA"/>
    <w:rsid w:val="2F6A44C2"/>
    <w:rsid w:val="2F7777B0"/>
    <w:rsid w:val="2F917CA1"/>
    <w:rsid w:val="30143D85"/>
    <w:rsid w:val="303E0EE9"/>
    <w:rsid w:val="30423960"/>
    <w:rsid w:val="305E2095"/>
    <w:rsid w:val="306C1617"/>
    <w:rsid w:val="30936E53"/>
    <w:rsid w:val="30970566"/>
    <w:rsid w:val="30BD6407"/>
    <w:rsid w:val="31100E82"/>
    <w:rsid w:val="31192A64"/>
    <w:rsid w:val="31210BB1"/>
    <w:rsid w:val="31305CAC"/>
    <w:rsid w:val="316110D8"/>
    <w:rsid w:val="316B65CB"/>
    <w:rsid w:val="31752B09"/>
    <w:rsid w:val="31C963C7"/>
    <w:rsid w:val="31EE10D2"/>
    <w:rsid w:val="323959D6"/>
    <w:rsid w:val="323A7CA1"/>
    <w:rsid w:val="328433FB"/>
    <w:rsid w:val="32AC094E"/>
    <w:rsid w:val="32B83797"/>
    <w:rsid w:val="337F1750"/>
    <w:rsid w:val="33B15257"/>
    <w:rsid w:val="33B73A4E"/>
    <w:rsid w:val="33C77B10"/>
    <w:rsid w:val="33D51B61"/>
    <w:rsid w:val="341018E5"/>
    <w:rsid w:val="341548E3"/>
    <w:rsid w:val="34C90F7A"/>
    <w:rsid w:val="34DD334C"/>
    <w:rsid w:val="353024AA"/>
    <w:rsid w:val="35455ECD"/>
    <w:rsid w:val="357E2A76"/>
    <w:rsid w:val="359B739A"/>
    <w:rsid w:val="35F1149A"/>
    <w:rsid w:val="36055867"/>
    <w:rsid w:val="36623E0E"/>
    <w:rsid w:val="36855242"/>
    <w:rsid w:val="36A839CA"/>
    <w:rsid w:val="37160E6A"/>
    <w:rsid w:val="375531B2"/>
    <w:rsid w:val="375A4F31"/>
    <w:rsid w:val="37712A39"/>
    <w:rsid w:val="379C2DB5"/>
    <w:rsid w:val="379E73FF"/>
    <w:rsid w:val="37AD406B"/>
    <w:rsid w:val="381D57F8"/>
    <w:rsid w:val="38274BBC"/>
    <w:rsid w:val="382947EF"/>
    <w:rsid w:val="389220D5"/>
    <w:rsid w:val="38D20306"/>
    <w:rsid w:val="38E8103F"/>
    <w:rsid w:val="394F577C"/>
    <w:rsid w:val="39697DDF"/>
    <w:rsid w:val="396F6B2A"/>
    <w:rsid w:val="39FA01B9"/>
    <w:rsid w:val="3A9C150D"/>
    <w:rsid w:val="3AA87C67"/>
    <w:rsid w:val="3AAA7E09"/>
    <w:rsid w:val="3AC01F67"/>
    <w:rsid w:val="3AC06DBE"/>
    <w:rsid w:val="3ADC20D7"/>
    <w:rsid w:val="3AE50133"/>
    <w:rsid w:val="3B036495"/>
    <w:rsid w:val="3B10517C"/>
    <w:rsid w:val="3B345EA5"/>
    <w:rsid w:val="3B641BB6"/>
    <w:rsid w:val="3B665242"/>
    <w:rsid w:val="3B6C15C2"/>
    <w:rsid w:val="3BDF3B42"/>
    <w:rsid w:val="3BE53927"/>
    <w:rsid w:val="3C5410A4"/>
    <w:rsid w:val="3C842AB5"/>
    <w:rsid w:val="3CAC4A2A"/>
    <w:rsid w:val="3D002EB6"/>
    <w:rsid w:val="3D1275D3"/>
    <w:rsid w:val="3D7D00B2"/>
    <w:rsid w:val="3DB531EC"/>
    <w:rsid w:val="3DBB71E5"/>
    <w:rsid w:val="3DDC7C59"/>
    <w:rsid w:val="3E10762F"/>
    <w:rsid w:val="3E7F160D"/>
    <w:rsid w:val="3EA229E3"/>
    <w:rsid w:val="3F8238BE"/>
    <w:rsid w:val="3F9C624C"/>
    <w:rsid w:val="3FC33065"/>
    <w:rsid w:val="402E1B61"/>
    <w:rsid w:val="40B84DAA"/>
    <w:rsid w:val="40D83598"/>
    <w:rsid w:val="40E378DD"/>
    <w:rsid w:val="412F74AF"/>
    <w:rsid w:val="4158551F"/>
    <w:rsid w:val="418B10DC"/>
    <w:rsid w:val="41E83CA4"/>
    <w:rsid w:val="420358DF"/>
    <w:rsid w:val="42112252"/>
    <w:rsid w:val="425132C0"/>
    <w:rsid w:val="42C91BA7"/>
    <w:rsid w:val="42E54EF2"/>
    <w:rsid w:val="43036342"/>
    <w:rsid w:val="436C3479"/>
    <w:rsid w:val="43B402D3"/>
    <w:rsid w:val="43D911A2"/>
    <w:rsid w:val="43E048FB"/>
    <w:rsid w:val="43F06E58"/>
    <w:rsid w:val="43F87E97"/>
    <w:rsid w:val="443B46CB"/>
    <w:rsid w:val="44427095"/>
    <w:rsid w:val="444855EF"/>
    <w:rsid w:val="44AE67A8"/>
    <w:rsid w:val="44B00D29"/>
    <w:rsid w:val="44BA332E"/>
    <w:rsid w:val="44E23928"/>
    <w:rsid w:val="45376011"/>
    <w:rsid w:val="4563730C"/>
    <w:rsid w:val="456B496E"/>
    <w:rsid w:val="45AE030A"/>
    <w:rsid w:val="45BC3922"/>
    <w:rsid w:val="45D26EC1"/>
    <w:rsid w:val="45D513DD"/>
    <w:rsid w:val="46095888"/>
    <w:rsid w:val="46113D09"/>
    <w:rsid w:val="46224F1C"/>
    <w:rsid w:val="46263EBC"/>
    <w:rsid w:val="46270D88"/>
    <w:rsid w:val="46283301"/>
    <w:rsid w:val="46561B42"/>
    <w:rsid w:val="467A1037"/>
    <w:rsid w:val="468A0B4E"/>
    <w:rsid w:val="468A4A6B"/>
    <w:rsid w:val="469E5BA0"/>
    <w:rsid w:val="46BF2EEE"/>
    <w:rsid w:val="470912E9"/>
    <w:rsid w:val="473B4647"/>
    <w:rsid w:val="47482CE8"/>
    <w:rsid w:val="4754461F"/>
    <w:rsid w:val="47B61CC1"/>
    <w:rsid w:val="47BB2F99"/>
    <w:rsid w:val="47C00CCC"/>
    <w:rsid w:val="483205D7"/>
    <w:rsid w:val="484C38D1"/>
    <w:rsid w:val="486157D6"/>
    <w:rsid w:val="48694FA0"/>
    <w:rsid w:val="488C5052"/>
    <w:rsid w:val="488E768B"/>
    <w:rsid w:val="48E64A08"/>
    <w:rsid w:val="48EE62AA"/>
    <w:rsid w:val="49472517"/>
    <w:rsid w:val="496F3D48"/>
    <w:rsid w:val="49A55F90"/>
    <w:rsid w:val="49B75921"/>
    <w:rsid w:val="49F41D5E"/>
    <w:rsid w:val="4A704071"/>
    <w:rsid w:val="4B1E31F7"/>
    <w:rsid w:val="4B330E9D"/>
    <w:rsid w:val="4B4C5447"/>
    <w:rsid w:val="4BBF14B2"/>
    <w:rsid w:val="4BC355B3"/>
    <w:rsid w:val="4BCB3573"/>
    <w:rsid w:val="4BE8259F"/>
    <w:rsid w:val="4C1A1EC6"/>
    <w:rsid w:val="4C36032A"/>
    <w:rsid w:val="4CBB3F03"/>
    <w:rsid w:val="4CE75373"/>
    <w:rsid w:val="4CFA4C80"/>
    <w:rsid w:val="4D2F3315"/>
    <w:rsid w:val="4D5934CA"/>
    <w:rsid w:val="4DA63CB5"/>
    <w:rsid w:val="4DA775DE"/>
    <w:rsid w:val="4DBA747C"/>
    <w:rsid w:val="4E4377FB"/>
    <w:rsid w:val="4E661EA1"/>
    <w:rsid w:val="4E7B76FB"/>
    <w:rsid w:val="4E7C370E"/>
    <w:rsid w:val="4EA478DF"/>
    <w:rsid w:val="4F193467"/>
    <w:rsid w:val="4F9C33FF"/>
    <w:rsid w:val="4FDC75D6"/>
    <w:rsid w:val="500F31B8"/>
    <w:rsid w:val="50224719"/>
    <w:rsid w:val="503E2952"/>
    <w:rsid w:val="504C784F"/>
    <w:rsid w:val="50D6578F"/>
    <w:rsid w:val="50E13A61"/>
    <w:rsid w:val="510C31D4"/>
    <w:rsid w:val="512A745A"/>
    <w:rsid w:val="51355EEC"/>
    <w:rsid w:val="515667B0"/>
    <w:rsid w:val="51612CF6"/>
    <w:rsid w:val="517446A2"/>
    <w:rsid w:val="51A125C5"/>
    <w:rsid w:val="522C29C1"/>
    <w:rsid w:val="52BE2E17"/>
    <w:rsid w:val="52D355C1"/>
    <w:rsid w:val="531A2310"/>
    <w:rsid w:val="5320067F"/>
    <w:rsid w:val="53C102A5"/>
    <w:rsid w:val="54471133"/>
    <w:rsid w:val="549C0FEB"/>
    <w:rsid w:val="54A80350"/>
    <w:rsid w:val="54E13EC1"/>
    <w:rsid w:val="55236D3E"/>
    <w:rsid w:val="553D67EA"/>
    <w:rsid w:val="554E1123"/>
    <w:rsid w:val="558570B1"/>
    <w:rsid w:val="55BA4166"/>
    <w:rsid w:val="55EA127E"/>
    <w:rsid w:val="56547E4D"/>
    <w:rsid w:val="566D4B95"/>
    <w:rsid w:val="5682580A"/>
    <w:rsid w:val="56BC38F0"/>
    <w:rsid w:val="56EA7B13"/>
    <w:rsid w:val="56FA471F"/>
    <w:rsid w:val="570203AA"/>
    <w:rsid w:val="572656D4"/>
    <w:rsid w:val="57556439"/>
    <w:rsid w:val="57722878"/>
    <w:rsid w:val="578671EF"/>
    <w:rsid w:val="58407472"/>
    <w:rsid w:val="584D3F6A"/>
    <w:rsid w:val="58592AAD"/>
    <w:rsid w:val="589422C5"/>
    <w:rsid w:val="58EF4404"/>
    <w:rsid w:val="59065D79"/>
    <w:rsid w:val="59234CED"/>
    <w:rsid w:val="59576FB6"/>
    <w:rsid w:val="597E09E7"/>
    <w:rsid w:val="59AA03FF"/>
    <w:rsid w:val="59AD06A4"/>
    <w:rsid w:val="5A025174"/>
    <w:rsid w:val="5A031DB0"/>
    <w:rsid w:val="5A421A14"/>
    <w:rsid w:val="5A4D586D"/>
    <w:rsid w:val="5A5345BE"/>
    <w:rsid w:val="5A6249B0"/>
    <w:rsid w:val="5A6B437D"/>
    <w:rsid w:val="5A7476F4"/>
    <w:rsid w:val="5AF26F96"/>
    <w:rsid w:val="5B0265C6"/>
    <w:rsid w:val="5B546FB9"/>
    <w:rsid w:val="5B7B5732"/>
    <w:rsid w:val="5C8B03B2"/>
    <w:rsid w:val="5C9B3AE3"/>
    <w:rsid w:val="5CAC586B"/>
    <w:rsid w:val="5CC901CB"/>
    <w:rsid w:val="5D3F47CB"/>
    <w:rsid w:val="5D734F59"/>
    <w:rsid w:val="5DAA2803"/>
    <w:rsid w:val="5DC00965"/>
    <w:rsid w:val="5E0121C2"/>
    <w:rsid w:val="5E0F1DCE"/>
    <w:rsid w:val="5E104C16"/>
    <w:rsid w:val="5E1510F9"/>
    <w:rsid w:val="5E20206C"/>
    <w:rsid w:val="5E5324F6"/>
    <w:rsid w:val="5EA452F0"/>
    <w:rsid w:val="5EAB55E1"/>
    <w:rsid w:val="5EE84C68"/>
    <w:rsid w:val="5F6231D7"/>
    <w:rsid w:val="5FA703FC"/>
    <w:rsid w:val="5FA93BA5"/>
    <w:rsid w:val="5FE25262"/>
    <w:rsid w:val="60104B68"/>
    <w:rsid w:val="602463B0"/>
    <w:rsid w:val="6026592A"/>
    <w:rsid w:val="603C54FD"/>
    <w:rsid w:val="604C0EF7"/>
    <w:rsid w:val="607032D7"/>
    <w:rsid w:val="60996106"/>
    <w:rsid w:val="60CD5AC3"/>
    <w:rsid w:val="60E07B05"/>
    <w:rsid w:val="61173EA2"/>
    <w:rsid w:val="61A31340"/>
    <w:rsid w:val="61E22ADB"/>
    <w:rsid w:val="61FB0E26"/>
    <w:rsid w:val="621D5BA4"/>
    <w:rsid w:val="624D267E"/>
    <w:rsid w:val="62D13935"/>
    <w:rsid w:val="630F2AE9"/>
    <w:rsid w:val="63197EAF"/>
    <w:rsid w:val="63251ED3"/>
    <w:rsid w:val="63395278"/>
    <w:rsid w:val="635B6748"/>
    <w:rsid w:val="63947A95"/>
    <w:rsid w:val="63CE60C7"/>
    <w:rsid w:val="6401505A"/>
    <w:rsid w:val="645760BC"/>
    <w:rsid w:val="648570CD"/>
    <w:rsid w:val="648E5C86"/>
    <w:rsid w:val="64D12312"/>
    <w:rsid w:val="64E42D17"/>
    <w:rsid w:val="657B6906"/>
    <w:rsid w:val="65EA539D"/>
    <w:rsid w:val="65EC2468"/>
    <w:rsid w:val="661722D0"/>
    <w:rsid w:val="66203063"/>
    <w:rsid w:val="662C5DED"/>
    <w:rsid w:val="663F7500"/>
    <w:rsid w:val="66AB5012"/>
    <w:rsid w:val="66C73E1C"/>
    <w:rsid w:val="66CB41B0"/>
    <w:rsid w:val="671B5165"/>
    <w:rsid w:val="674C00E3"/>
    <w:rsid w:val="6764746E"/>
    <w:rsid w:val="676958DE"/>
    <w:rsid w:val="676F49FF"/>
    <w:rsid w:val="67B05ABC"/>
    <w:rsid w:val="67B167D1"/>
    <w:rsid w:val="67DB0789"/>
    <w:rsid w:val="67E17416"/>
    <w:rsid w:val="67E33A6D"/>
    <w:rsid w:val="680C6A16"/>
    <w:rsid w:val="685F1C50"/>
    <w:rsid w:val="68727968"/>
    <w:rsid w:val="689842F3"/>
    <w:rsid w:val="68CB5B7B"/>
    <w:rsid w:val="69332241"/>
    <w:rsid w:val="69381B2D"/>
    <w:rsid w:val="699022E9"/>
    <w:rsid w:val="69E922E4"/>
    <w:rsid w:val="6A416CEB"/>
    <w:rsid w:val="6A714498"/>
    <w:rsid w:val="6A8E6D2D"/>
    <w:rsid w:val="6B113469"/>
    <w:rsid w:val="6B431148"/>
    <w:rsid w:val="6B5517F4"/>
    <w:rsid w:val="6BAB2082"/>
    <w:rsid w:val="6BD627E1"/>
    <w:rsid w:val="6C1625B8"/>
    <w:rsid w:val="6C1D6E8D"/>
    <w:rsid w:val="6C211EC1"/>
    <w:rsid w:val="6C590E0D"/>
    <w:rsid w:val="6C677D00"/>
    <w:rsid w:val="6C81461E"/>
    <w:rsid w:val="6CA947E8"/>
    <w:rsid w:val="6D01750D"/>
    <w:rsid w:val="6D0B038C"/>
    <w:rsid w:val="6D3F48F5"/>
    <w:rsid w:val="6D6B7FF0"/>
    <w:rsid w:val="6D97003F"/>
    <w:rsid w:val="6DD8201C"/>
    <w:rsid w:val="6E11579E"/>
    <w:rsid w:val="6E3F209B"/>
    <w:rsid w:val="6E6164B5"/>
    <w:rsid w:val="6E783425"/>
    <w:rsid w:val="6EEB1186"/>
    <w:rsid w:val="6EEE3AC1"/>
    <w:rsid w:val="6F5558EE"/>
    <w:rsid w:val="6F89353E"/>
    <w:rsid w:val="6FBD239A"/>
    <w:rsid w:val="6FBE1647"/>
    <w:rsid w:val="6FC330B5"/>
    <w:rsid w:val="6FC628EE"/>
    <w:rsid w:val="701F5AC2"/>
    <w:rsid w:val="705E71B6"/>
    <w:rsid w:val="706731A9"/>
    <w:rsid w:val="70A82898"/>
    <w:rsid w:val="70C86426"/>
    <w:rsid w:val="70EC6B1F"/>
    <w:rsid w:val="71146956"/>
    <w:rsid w:val="713B071E"/>
    <w:rsid w:val="717F0E68"/>
    <w:rsid w:val="719E234C"/>
    <w:rsid w:val="71B44B4E"/>
    <w:rsid w:val="71C63A36"/>
    <w:rsid w:val="71DB597A"/>
    <w:rsid w:val="71EE15BC"/>
    <w:rsid w:val="722A310A"/>
    <w:rsid w:val="727151E7"/>
    <w:rsid w:val="72C60D24"/>
    <w:rsid w:val="72E113A3"/>
    <w:rsid w:val="72F51217"/>
    <w:rsid w:val="73BB567C"/>
    <w:rsid w:val="73DD70F6"/>
    <w:rsid w:val="74026044"/>
    <w:rsid w:val="743106D8"/>
    <w:rsid w:val="743757E6"/>
    <w:rsid w:val="7444613E"/>
    <w:rsid w:val="74477EFB"/>
    <w:rsid w:val="745919C6"/>
    <w:rsid w:val="74676780"/>
    <w:rsid w:val="74702A9A"/>
    <w:rsid w:val="74727568"/>
    <w:rsid w:val="74746816"/>
    <w:rsid w:val="74E67714"/>
    <w:rsid w:val="74FA3E39"/>
    <w:rsid w:val="754B0474"/>
    <w:rsid w:val="75745308"/>
    <w:rsid w:val="75894543"/>
    <w:rsid w:val="758B63C8"/>
    <w:rsid w:val="75947170"/>
    <w:rsid w:val="75A274B9"/>
    <w:rsid w:val="75A66CA8"/>
    <w:rsid w:val="75FC2F67"/>
    <w:rsid w:val="761C2BBB"/>
    <w:rsid w:val="76443A46"/>
    <w:rsid w:val="76706E92"/>
    <w:rsid w:val="7671701C"/>
    <w:rsid w:val="7677439C"/>
    <w:rsid w:val="772628C0"/>
    <w:rsid w:val="774065EE"/>
    <w:rsid w:val="776A1DE8"/>
    <w:rsid w:val="77A955F8"/>
    <w:rsid w:val="77AA6501"/>
    <w:rsid w:val="78120108"/>
    <w:rsid w:val="784B0556"/>
    <w:rsid w:val="785D00CA"/>
    <w:rsid w:val="789C340D"/>
    <w:rsid w:val="78D02752"/>
    <w:rsid w:val="78E5118E"/>
    <w:rsid w:val="795D2E6B"/>
    <w:rsid w:val="79BD2A0E"/>
    <w:rsid w:val="79E04006"/>
    <w:rsid w:val="7A2F56B9"/>
    <w:rsid w:val="7A350C22"/>
    <w:rsid w:val="7A65786F"/>
    <w:rsid w:val="7A7603C3"/>
    <w:rsid w:val="7AA57BE5"/>
    <w:rsid w:val="7AAB4976"/>
    <w:rsid w:val="7ADE337D"/>
    <w:rsid w:val="7AE71001"/>
    <w:rsid w:val="7AF915A8"/>
    <w:rsid w:val="7B1642C0"/>
    <w:rsid w:val="7B2539A9"/>
    <w:rsid w:val="7B6C6499"/>
    <w:rsid w:val="7BB13249"/>
    <w:rsid w:val="7BC63DFB"/>
    <w:rsid w:val="7C25552B"/>
    <w:rsid w:val="7C583963"/>
    <w:rsid w:val="7CA37938"/>
    <w:rsid w:val="7CC3106A"/>
    <w:rsid w:val="7D6E784A"/>
    <w:rsid w:val="7D8F51D0"/>
    <w:rsid w:val="7DB83903"/>
    <w:rsid w:val="7DD16A88"/>
    <w:rsid w:val="7DD44828"/>
    <w:rsid w:val="7DDD6CEA"/>
    <w:rsid w:val="7DED0920"/>
    <w:rsid w:val="7E636E14"/>
    <w:rsid w:val="7E662E93"/>
    <w:rsid w:val="7E6F4E9E"/>
    <w:rsid w:val="7E78435A"/>
    <w:rsid w:val="7EC66197"/>
    <w:rsid w:val="7F26233C"/>
    <w:rsid w:val="7F32693E"/>
    <w:rsid w:val="7F59798F"/>
    <w:rsid w:val="7FBA3FD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3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0" w:semiHidden="0" w:name="Body Text Indent 3" w:locked="1"/>
    <w:lsdException w:qFormat="1" w:unhideWhenUsed="0" w:uiPriority="99" w:semiHidden="0"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7"/>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38"/>
    <w:qFormat/>
    <w:uiPriority w:val="99"/>
    <w:pPr>
      <w:keepNext/>
      <w:keepLines/>
      <w:spacing w:before="260" w:after="260" w:line="416" w:lineRule="auto"/>
      <w:outlineLvl w:val="1"/>
    </w:pPr>
    <w:rPr>
      <w:rFonts w:ascii="Calibri Light" w:hAnsi="Calibri Light"/>
      <w:b/>
      <w:bCs/>
      <w:sz w:val="32"/>
      <w:szCs w:val="32"/>
    </w:rPr>
  </w:style>
  <w:style w:type="paragraph" w:styleId="6">
    <w:name w:val="heading 3"/>
    <w:basedOn w:val="1"/>
    <w:next w:val="1"/>
    <w:link w:val="39"/>
    <w:qFormat/>
    <w:uiPriority w:val="99"/>
    <w:pPr>
      <w:keepNext/>
      <w:keepLines/>
      <w:spacing w:before="260" w:after="260" w:line="416" w:lineRule="auto"/>
      <w:outlineLvl w:val="2"/>
    </w:pPr>
    <w:rPr>
      <w:b/>
      <w:bCs/>
      <w:sz w:val="32"/>
      <w:szCs w:val="32"/>
    </w:rPr>
  </w:style>
  <w:style w:type="paragraph" w:styleId="7">
    <w:name w:val="heading 4"/>
    <w:basedOn w:val="1"/>
    <w:next w:val="1"/>
    <w:unhideWhenUsed/>
    <w:qFormat/>
    <w:locked/>
    <w:uiPriority w:val="9"/>
    <w:pPr>
      <w:keepNext/>
      <w:keepLines/>
      <w:numPr>
        <w:ilvl w:val="3"/>
        <w:numId w:val="1"/>
      </w:numPr>
      <w:ind w:left="862" w:hanging="862"/>
      <w:outlineLvl w:val="3"/>
    </w:pPr>
    <w:rPr>
      <w:rFonts w:cstheme="majorBidi"/>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pPr>
    <w:rPr>
      <w:szCs w:val="20"/>
    </w:rPr>
  </w:style>
  <w:style w:type="paragraph" w:styleId="3">
    <w:name w:val="Body Text Indent"/>
    <w:basedOn w:val="1"/>
    <w:next w:val="2"/>
    <w:link w:val="49"/>
    <w:qFormat/>
    <w:uiPriority w:val="99"/>
    <w:pPr>
      <w:spacing w:after="120"/>
      <w:ind w:left="420" w:leftChars="200"/>
    </w:pPr>
  </w:style>
  <w:style w:type="paragraph" w:styleId="8">
    <w:name w:val="List Number"/>
    <w:basedOn w:val="1"/>
    <w:qFormat/>
    <w:uiPriority w:val="99"/>
    <w:pPr>
      <w:numPr>
        <w:ilvl w:val="0"/>
        <w:numId w:val="2"/>
      </w:numPr>
    </w:pPr>
  </w:style>
  <w:style w:type="paragraph" w:styleId="9">
    <w:name w:val="annotation text"/>
    <w:basedOn w:val="1"/>
    <w:link w:val="48"/>
    <w:qFormat/>
    <w:uiPriority w:val="99"/>
    <w:pPr>
      <w:jc w:val="left"/>
    </w:pPr>
  </w:style>
  <w:style w:type="paragraph" w:styleId="10">
    <w:name w:val="Body Text"/>
    <w:basedOn w:val="1"/>
    <w:next w:val="11"/>
    <w:link w:val="47"/>
    <w:qFormat/>
    <w:uiPriority w:val="99"/>
    <w:pPr>
      <w:spacing w:line="360" w:lineRule="exact"/>
    </w:pPr>
    <w:rPr>
      <w:sz w:val="24"/>
    </w:rPr>
  </w:style>
  <w:style w:type="paragraph" w:styleId="11">
    <w:name w:val="Body Text First Indent"/>
    <w:basedOn w:val="10"/>
    <w:next w:val="12"/>
    <w:qFormat/>
    <w:locked/>
    <w:uiPriority w:val="99"/>
    <w:pPr>
      <w:ind w:firstLine="420"/>
    </w:pPr>
    <w:rPr>
      <w:sz w:val="21"/>
    </w:rPr>
  </w:style>
  <w:style w:type="paragraph" w:styleId="12">
    <w:name w:val="toc 6"/>
    <w:basedOn w:val="1"/>
    <w:next w:val="1"/>
    <w:qFormat/>
    <w:locked/>
    <w:uiPriority w:val="39"/>
    <w:pPr>
      <w:widowControl/>
      <w:ind w:left="1000"/>
      <w:jc w:val="left"/>
    </w:pPr>
    <w:rPr>
      <w:kern w:val="0"/>
      <w:sz w:val="18"/>
      <w:szCs w:val="20"/>
    </w:rPr>
  </w:style>
  <w:style w:type="paragraph" w:styleId="13">
    <w:name w:val="Block Text"/>
    <w:basedOn w:val="1"/>
    <w:qFormat/>
    <w:locked/>
    <w:uiPriority w:val="99"/>
    <w:pPr>
      <w:adjustRightInd w:val="0"/>
      <w:spacing w:line="300" w:lineRule="auto"/>
      <w:ind w:left="958" w:right="-120" w:rightChars="-120"/>
      <w:jc w:val="left"/>
    </w:pPr>
    <w:rPr>
      <w:rFonts w:ascii="宋体" w:hAnsi="宋体"/>
      <w:sz w:val="28"/>
    </w:rPr>
  </w:style>
  <w:style w:type="paragraph" w:styleId="14">
    <w:name w:val="Plain Text"/>
    <w:basedOn w:val="1"/>
    <w:link w:val="50"/>
    <w:qFormat/>
    <w:uiPriority w:val="0"/>
    <w:rPr>
      <w:rFonts w:ascii="宋体" w:hAnsi="Courier New"/>
    </w:rPr>
  </w:style>
  <w:style w:type="paragraph" w:styleId="15">
    <w:name w:val="Date"/>
    <w:basedOn w:val="1"/>
    <w:next w:val="1"/>
    <w:link w:val="51"/>
    <w:qFormat/>
    <w:uiPriority w:val="99"/>
    <w:pPr>
      <w:ind w:left="2500" w:leftChars="2500"/>
    </w:pPr>
    <w:rPr>
      <w:rFonts w:ascii="Calibri" w:hAnsi="Calibri" w:eastAsia="楷体_GB2312"/>
      <w:sz w:val="32"/>
      <w:szCs w:val="22"/>
    </w:rPr>
  </w:style>
  <w:style w:type="paragraph" w:styleId="16">
    <w:name w:val="Balloon Text"/>
    <w:basedOn w:val="1"/>
    <w:link w:val="52"/>
    <w:qFormat/>
    <w:uiPriority w:val="99"/>
    <w:rPr>
      <w:sz w:val="18"/>
      <w:szCs w:val="18"/>
    </w:rPr>
  </w:style>
  <w:style w:type="paragraph" w:styleId="17">
    <w:name w:val="footer"/>
    <w:basedOn w:val="1"/>
    <w:next w:val="18"/>
    <w:link w:val="41"/>
    <w:qFormat/>
    <w:uiPriority w:val="99"/>
    <w:pPr>
      <w:tabs>
        <w:tab w:val="center" w:pos="4153"/>
        <w:tab w:val="right" w:pos="8306"/>
      </w:tabs>
      <w:snapToGrid w:val="0"/>
      <w:jc w:val="left"/>
    </w:pPr>
    <w:rPr>
      <w:sz w:val="18"/>
    </w:rPr>
  </w:style>
  <w:style w:type="paragraph" w:styleId="18">
    <w:name w:val="toc 2"/>
    <w:basedOn w:val="1"/>
    <w:next w:val="1"/>
    <w:qFormat/>
    <w:uiPriority w:val="99"/>
    <w:pPr>
      <w:ind w:left="420" w:leftChars="200"/>
    </w:pPr>
  </w:style>
  <w:style w:type="paragraph" w:styleId="19">
    <w:name w:val="header"/>
    <w:basedOn w:val="1"/>
    <w:link w:val="5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Subtitle"/>
    <w:basedOn w:val="1"/>
    <w:next w:val="1"/>
    <w:qFormat/>
    <w:locked/>
    <w:uiPriority w:val="99"/>
    <w:pPr>
      <w:ind w:left="200" w:hanging="200" w:hangingChars="200"/>
      <w:jc w:val="left"/>
      <w:outlineLvl w:val="2"/>
    </w:pPr>
    <w:rPr>
      <w:rFonts w:ascii="Cambria" w:hAnsi="Cambria"/>
      <w:b/>
      <w:bCs/>
      <w:kern w:val="28"/>
      <w:sz w:val="32"/>
      <w:szCs w:val="32"/>
    </w:rPr>
  </w:style>
  <w:style w:type="paragraph" w:styleId="21">
    <w:name w:val="List"/>
    <w:basedOn w:val="1"/>
    <w:qFormat/>
    <w:locked/>
    <w:uiPriority w:val="0"/>
    <w:pPr>
      <w:ind w:left="200" w:hanging="200" w:hangingChars="200"/>
    </w:pPr>
  </w:style>
  <w:style w:type="paragraph" w:styleId="22">
    <w:name w:val="footnote text"/>
    <w:basedOn w:val="1"/>
    <w:semiHidden/>
    <w:unhideWhenUsed/>
    <w:qFormat/>
    <w:locked/>
    <w:uiPriority w:val="99"/>
    <w:pPr>
      <w:snapToGrid w:val="0"/>
      <w:jc w:val="left"/>
    </w:pPr>
    <w:rPr>
      <w:sz w:val="18"/>
    </w:rPr>
  </w:style>
  <w:style w:type="paragraph" w:styleId="23">
    <w:name w:val="Body Text Indent 3"/>
    <w:basedOn w:val="1"/>
    <w:qFormat/>
    <w:locked/>
    <w:uiPriority w:val="0"/>
    <w:pPr>
      <w:autoSpaceDE w:val="0"/>
      <w:autoSpaceDN w:val="0"/>
      <w:spacing w:line="400" w:lineRule="atLeast"/>
      <w:ind w:firstLine="443" w:firstLineChars="200"/>
      <w:textAlignment w:val="bottom"/>
    </w:pPr>
    <w:rPr>
      <w:rFonts w:eastAsia="黑体"/>
      <w:color w:val="000000"/>
      <w:sz w:val="24"/>
    </w:rPr>
  </w:style>
  <w:style w:type="paragraph" w:styleId="24">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5">
    <w:name w:val="Normal (Web)"/>
    <w:basedOn w:val="1"/>
    <w:qFormat/>
    <w:uiPriority w:val="99"/>
    <w:pPr>
      <w:widowControl/>
      <w:spacing w:before="100" w:beforeAutospacing="1" w:after="100" w:afterAutospacing="1"/>
      <w:jc w:val="left"/>
    </w:pPr>
    <w:rPr>
      <w:rFonts w:ascii="宋体" w:hAnsi="宋体"/>
      <w:kern w:val="0"/>
      <w:sz w:val="24"/>
    </w:rPr>
  </w:style>
  <w:style w:type="paragraph" w:styleId="26">
    <w:name w:val="Title"/>
    <w:basedOn w:val="1"/>
    <w:next w:val="1"/>
    <w:qFormat/>
    <w:locked/>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7">
    <w:name w:val="annotation subject"/>
    <w:basedOn w:val="9"/>
    <w:next w:val="9"/>
    <w:link w:val="54"/>
    <w:qFormat/>
    <w:uiPriority w:val="99"/>
    <w:rPr>
      <w:b/>
      <w:bCs/>
    </w:rPr>
  </w:style>
  <w:style w:type="paragraph" w:styleId="28">
    <w:name w:val="Body Text First Indent 2"/>
    <w:basedOn w:val="3"/>
    <w:next w:val="29"/>
    <w:qFormat/>
    <w:locked/>
    <w:uiPriority w:val="0"/>
    <w:pPr>
      <w:ind w:firstLine="420"/>
    </w:pPr>
  </w:style>
  <w:style w:type="paragraph" w:customStyle="1" w:styleId="29">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1">
    <w:name w:val="Table Grid"/>
    <w:basedOn w:val="30"/>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annotation reference"/>
    <w:basedOn w:val="32"/>
    <w:qFormat/>
    <w:uiPriority w:val="99"/>
    <w:rPr>
      <w:rFonts w:cs="Times New Roman"/>
      <w:sz w:val="21"/>
      <w:szCs w:val="21"/>
    </w:rPr>
  </w:style>
  <w:style w:type="character" w:styleId="34">
    <w:name w:val="footnote reference"/>
    <w:basedOn w:val="32"/>
    <w:semiHidden/>
    <w:unhideWhenUsed/>
    <w:qFormat/>
    <w:locked/>
    <w:uiPriority w:val="99"/>
    <w:rPr>
      <w:vertAlign w:val="superscript"/>
    </w:rPr>
  </w:style>
  <w:style w:type="paragraph" w:customStyle="1" w:styleId="35">
    <w:name w:val="NormalIndent"/>
    <w:basedOn w:val="1"/>
    <w:next w:val="1"/>
    <w:qFormat/>
    <w:uiPriority w:val="0"/>
    <w:pPr>
      <w:ind w:firstLine="420"/>
      <w:jc w:val="both"/>
      <w:textAlignment w:val="baseline"/>
    </w:pPr>
    <w:rPr>
      <w:rFonts w:ascii="Times New Roman" w:hAnsi="Times New Roman" w:eastAsia="宋体"/>
      <w:kern w:val="2"/>
      <w:sz w:val="21"/>
      <w:szCs w:val="20"/>
      <w:lang w:val="en-US" w:eastAsia="zh-CN" w:bidi="ar-SA"/>
    </w:rPr>
  </w:style>
  <w:style w:type="paragraph" w:customStyle="1" w:styleId="36">
    <w:name w:val="正文（首行缩进2字符）"/>
    <w:basedOn w:val="1"/>
    <w:qFormat/>
    <w:uiPriority w:val="0"/>
    <w:pPr>
      <w:spacing w:line="360" w:lineRule="auto"/>
      <w:ind w:firstLine="420" w:firstLineChars="200"/>
    </w:pPr>
    <w:rPr>
      <w:szCs w:val="21"/>
    </w:rPr>
  </w:style>
  <w:style w:type="character" w:customStyle="1" w:styleId="37">
    <w:name w:val="标题 1 Char"/>
    <w:basedOn w:val="32"/>
    <w:link w:val="4"/>
    <w:qFormat/>
    <w:uiPriority w:val="9"/>
    <w:rPr>
      <w:rFonts w:ascii="Times New Roman" w:hAnsi="Times New Roman" w:eastAsia="宋体" w:cs="Times New Roman"/>
      <w:b/>
      <w:bCs/>
      <w:kern w:val="44"/>
      <w:sz w:val="44"/>
      <w:szCs w:val="44"/>
    </w:rPr>
  </w:style>
  <w:style w:type="character" w:customStyle="1" w:styleId="38">
    <w:name w:val="标题 2 Char"/>
    <w:basedOn w:val="32"/>
    <w:link w:val="5"/>
    <w:semiHidden/>
    <w:qFormat/>
    <w:locked/>
    <w:uiPriority w:val="99"/>
    <w:rPr>
      <w:rFonts w:ascii="Cambria" w:hAnsi="Cambria" w:eastAsia="宋体" w:cs="Times New Roman"/>
      <w:b/>
      <w:bCs/>
      <w:sz w:val="32"/>
      <w:szCs w:val="32"/>
    </w:rPr>
  </w:style>
  <w:style w:type="character" w:customStyle="1" w:styleId="39">
    <w:name w:val="标题 3 Char"/>
    <w:basedOn w:val="32"/>
    <w:link w:val="6"/>
    <w:semiHidden/>
    <w:qFormat/>
    <w:locked/>
    <w:uiPriority w:val="99"/>
    <w:rPr>
      <w:rFonts w:cs="Times New Roman"/>
      <w:b/>
      <w:bCs/>
      <w:sz w:val="32"/>
      <w:szCs w:val="32"/>
    </w:rPr>
  </w:style>
  <w:style w:type="paragraph" w:customStyle="1" w:styleId="40">
    <w:name w:val="表格文字"/>
    <w:basedOn w:val="1"/>
    <w:next w:val="10"/>
    <w:qFormat/>
    <w:uiPriority w:val="0"/>
    <w:pPr>
      <w:jc w:val="left"/>
      <w:textAlignment w:val="top"/>
    </w:pPr>
    <w:rPr>
      <w:sz w:val="18"/>
    </w:rPr>
  </w:style>
  <w:style w:type="character" w:customStyle="1" w:styleId="41">
    <w:name w:val="页脚 Char"/>
    <w:basedOn w:val="32"/>
    <w:link w:val="17"/>
    <w:semiHidden/>
    <w:qFormat/>
    <w:locked/>
    <w:uiPriority w:val="99"/>
    <w:rPr>
      <w:rFonts w:cs="Times New Roman"/>
      <w:sz w:val="18"/>
      <w:szCs w:val="18"/>
    </w:rPr>
  </w:style>
  <w:style w:type="paragraph" w:customStyle="1" w:styleId="42">
    <w:name w:val="_Style 3"/>
    <w:qFormat/>
    <w:uiPriority w:val="0"/>
    <w:rPr>
      <w:rFonts w:ascii="Calibri" w:hAnsi="Calibri" w:eastAsia="宋体" w:cs="Times New Roman"/>
      <w:sz w:val="22"/>
      <w:szCs w:val="22"/>
      <w:lang w:val="en-US" w:eastAsia="zh-CN" w:bidi="ar-SA"/>
    </w:rPr>
  </w:style>
  <w:style w:type="paragraph" w:customStyle="1" w:styleId="43">
    <w:name w:val="BodyText1I2"/>
    <w:basedOn w:val="44"/>
    <w:next w:val="1"/>
    <w:qFormat/>
    <w:uiPriority w:val="0"/>
    <w:pPr>
      <w:tabs>
        <w:tab w:val="left" w:pos="1680"/>
      </w:tabs>
      <w:spacing w:before="0" w:after="120" w:line="360" w:lineRule="auto"/>
      <w:ind w:left="420" w:leftChars="200" w:firstLine="420" w:firstLineChars="200"/>
      <w:textAlignment w:val="auto"/>
    </w:pPr>
    <w:rPr>
      <w:rFonts w:ascii="Calibri" w:hAnsi="Calibri"/>
      <w:kern w:val="2"/>
      <w:sz w:val="21"/>
      <w:szCs w:val="22"/>
    </w:rPr>
  </w:style>
  <w:style w:type="paragraph" w:customStyle="1" w:styleId="44">
    <w:name w:val="BodyTextIndent"/>
    <w:basedOn w:val="1"/>
    <w:next w:val="1"/>
    <w:qFormat/>
    <w:uiPriority w:val="0"/>
    <w:pPr>
      <w:widowControl/>
      <w:snapToGrid w:val="0"/>
      <w:spacing w:before="120" w:line="400" w:lineRule="atLeast"/>
      <w:ind w:firstLine="570"/>
      <w:textAlignment w:val="bottom"/>
    </w:pPr>
    <w:rPr>
      <w:rFonts w:ascii="宋体"/>
      <w:kern w:val="0"/>
      <w:sz w:val="24"/>
      <w:szCs w:val="20"/>
    </w:rPr>
  </w:style>
  <w:style w:type="paragraph" w:customStyle="1" w:styleId="45">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46">
    <w:name w:val="Heading 1 Char"/>
    <w:basedOn w:val="32"/>
    <w:qFormat/>
    <w:locked/>
    <w:uiPriority w:val="99"/>
    <w:rPr>
      <w:rFonts w:ascii="Times New Roman" w:hAnsi="Times New Roman" w:cs="Times New Roman"/>
      <w:b/>
      <w:bCs/>
      <w:kern w:val="44"/>
      <w:sz w:val="44"/>
      <w:szCs w:val="44"/>
    </w:rPr>
  </w:style>
  <w:style w:type="character" w:customStyle="1" w:styleId="47">
    <w:name w:val="正文文本 Char"/>
    <w:basedOn w:val="32"/>
    <w:link w:val="10"/>
    <w:semiHidden/>
    <w:qFormat/>
    <w:locked/>
    <w:uiPriority w:val="99"/>
    <w:rPr>
      <w:rFonts w:cs="Times New Roman"/>
      <w:sz w:val="24"/>
      <w:szCs w:val="24"/>
    </w:rPr>
  </w:style>
  <w:style w:type="character" w:customStyle="1" w:styleId="48">
    <w:name w:val="批注文字 Char"/>
    <w:basedOn w:val="32"/>
    <w:link w:val="9"/>
    <w:qFormat/>
    <w:locked/>
    <w:uiPriority w:val="99"/>
    <w:rPr>
      <w:rFonts w:ascii="Times New Roman" w:hAnsi="Times New Roman" w:eastAsia="宋体" w:cs="Times New Roman"/>
      <w:kern w:val="2"/>
      <w:sz w:val="24"/>
      <w:szCs w:val="24"/>
    </w:rPr>
  </w:style>
  <w:style w:type="character" w:customStyle="1" w:styleId="49">
    <w:name w:val="正文文本缩进 Char"/>
    <w:basedOn w:val="32"/>
    <w:link w:val="3"/>
    <w:qFormat/>
    <w:locked/>
    <w:uiPriority w:val="99"/>
    <w:rPr>
      <w:rFonts w:cs="Times New Roman"/>
      <w:kern w:val="2"/>
      <w:sz w:val="24"/>
      <w:szCs w:val="24"/>
    </w:rPr>
  </w:style>
  <w:style w:type="character" w:customStyle="1" w:styleId="50">
    <w:name w:val="纯文本 Char"/>
    <w:basedOn w:val="32"/>
    <w:link w:val="14"/>
    <w:qFormat/>
    <w:locked/>
    <w:uiPriority w:val="0"/>
    <w:rPr>
      <w:rFonts w:ascii="宋体" w:hAnsi="Courier New" w:cs="Courier New"/>
      <w:sz w:val="21"/>
      <w:szCs w:val="21"/>
    </w:rPr>
  </w:style>
  <w:style w:type="character" w:customStyle="1" w:styleId="51">
    <w:name w:val="日期 Char"/>
    <w:basedOn w:val="32"/>
    <w:link w:val="15"/>
    <w:semiHidden/>
    <w:qFormat/>
    <w:locked/>
    <w:uiPriority w:val="99"/>
    <w:rPr>
      <w:rFonts w:cs="Times New Roman"/>
      <w:sz w:val="24"/>
      <w:szCs w:val="24"/>
    </w:rPr>
  </w:style>
  <w:style w:type="character" w:customStyle="1" w:styleId="52">
    <w:name w:val="批注框文本 Char"/>
    <w:basedOn w:val="32"/>
    <w:link w:val="16"/>
    <w:qFormat/>
    <w:locked/>
    <w:uiPriority w:val="99"/>
    <w:rPr>
      <w:rFonts w:ascii="Times New Roman" w:hAnsi="Times New Roman" w:eastAsia="宋体" w:cs="Times New Roman"/>
      <w:kern w:val="2"/>
      <w:sz w:val="18"/>
      <w:szCs w:val="18"/>
    </w:rPr>
  </w:style>
  <w:style w:type="character" w:customStyle="1" w:styleId="53">
    <w:name w:val="页眉 Char"/>
    <w:basedOn w:val="32"/>
    <w:link w:val="19"/>
    <w:semiHidden/>
    <w:qFormat/>
    <w:locked/>
    <w:uiPriority w:val="99"/>
    <w:rPr>
      <w:rFonts w:cs="Times New Roman"/>
      <w:sz w:val="18"/>
      <w:szCs w:val="18"/>
    </w:rPr>
  </w:style>
  <w:style w:type="character" w:customStyle="1" w:styleId="54">
    <w:name w:val="批注主题 Char"/>
    <w:basedOn w:val="48"/>
    <w:link w:val="27"/>
    <w:qFormat/>
    <w:locked/>
    <w:uiPriority w:val="99"/>
    <w:rPr>
      <w:rFonts w:ascii="Times New Roman" w:hAnsi="Times New Roman" w:eastAsia="宋体" w:cs="Times New Roman"/>
      <w:b/>
      <w:bCs/>
      <w:kern w:val="2"/>
      <w:sz w:val="24"/>
      <w:szCs w:val="24"/>
    </w:rPr>
  </w:style>
  <w:style w:type="paragraph" w:customStyle="1" w:styleId="55">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56">
    <w:name w:val="List Paragraph"/>
    <w:basedOn w:val="1"/>
    <w:qFormat/>
    <w:uiPriority w:val="99"/>
    <w:pPr>
      <w:ind w:firstLine="420" w:firstLineChars="200"/>
    </w:pPr>
    <w:rPr>
      <w:rFonts w:ascii="Calibri" w:hAnsi="Calibri"/>
      <w:szCs w:val="22"/>
    </w:rPr>
  </w:style>
  <w:style w:type="paragraph" w:customStyle="1" w:styleId="57">
    <w:name w:val="列出段落1"/>
    <w:basedOn w:val="1"/>
    <w:qFormat/>
    <w:uiPriority w:val="99"/>
    <w:pPr>
      <w:ind w:firstLine="420" w:firstLineChars="200"/>
    </w:pPr>
    <w:rPr>
      <w:rFonts w:ascii="Calibri" w:hAnsi="Calibri"/>
      <w:kern w:val="0"/>
      <w:szCs w:val="20"/>
    </w:rPr>
  </w:style>
  <w:style w:type="paragraph" w:customStyle="1" w:styleId="58">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9">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60">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14"/>
    <w:qFormat/>
    <w:uiPriority w:val="99"/>
    <w:rPr>
      <w:rFonts w:ascii="Times New Roman" w:hAnsi="Times New Roman" w:eastAsia="宋体" w:cs="Times New Roman"/>
      <w:sz w:val="21"/>
      <w:szCs w:val="22"/>
      <w:lang w:val="en-US" w:eastAsia="zh-CN" w:bidi="ar-SA"/>
    </w:rPr>
  </w:style>
  <w:style w:type="paragraph" w:customStyle="1" w:styleId="62">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纯文本_3"/>
    <w:basedOn w:val="64"/>
    <w:qFormat/>
    <w:uiPriority w:val="99"/>
    <w:pPr>
      <w:widowControl/>
      <w:jc w:val="left"/>
    </w:pPr>
    <w:rPr>
      <w:rFonts w:ascii="宋体" w:hAnsi="Courier New"/>
      <w:szCs w:val="21"/>
    </w:rPr>
  </w:style>
  <w:style w:type="paragraph" w:customStyle="1" w:styleId="66">
    <w:name w:val="纯文本_0_1"/>
    <w:basedOn w:val="1"/>
    <w:qFormat/>
    <w:uiPriority w:val="99"/>
    <w:pPr>
      <w:widowControl/>
      <w:jc w:val="left"/>
    </w:pPr>
    <w:rPr>
      <w:rFonts w:ascii="宋体" w:hAnsi="Courier New"/>
      <w:szCs w:val="21"/>
    </w:rPr>
  </w:style>
  <w:style w:type="paragraph" w:customStyle="1" w:styleId="67">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1">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72">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73">
    <w:name w:val="font11"/>
    <w:qFormat/>
    <w:uiPriority w:val="0"/>
    <w:rPr>
      <w:rFonts w:hint="default" w:ascii="Times New Roman" w:hAnsi="Times New Roman" w:cs="Times New Roman"/>
      <w:color w:val="000000"/>
      <w:sz w:val="24"/>
      <w:szCs w:val="24"/>
      <w:u w:val="none"/>
    </w:rPr>
  </w:style>
  <w:style w:type="character" w:customStyle="1" w:styleId="74">
    <w:name w:val="font01"/>
    <w:qFormat/>
    <w:uiPriority w:val="0"/>
    <w:rPr>
      <w:rFonts w:hint="eastAsia" w:ascii="宋体" w:hAnsi="宋体" w:eastAsia="宋体" w:cs="宋体"/>
      <w:color w:val="000000"/>
      <w:sz w:val="24"/>
      <w:szCs w:val="24"/>
      <w:u w:val="none"/>
    </w:rPr>
  </w:style>
  <w:style w:type="character" w:customStyle="1" w:styleId="75">
    <w:name w:val="font31"/>
    <w:qFormat/>
    <w:uiPriority w:val="0"/>
    <w:rPr>
      <w:rFonts w:hint="eastAsia" w:ascii="宋体" w:hAnsi="宋体" w:eastAsia="宋体" w:cs="宋体"/>
      <w:color w:val="000000"/>
      <w:sz w:val="24"/>
      <w:szCs w:val="24"/>
      <w:u w:val="none"/>
    </w:rPr>
  </w:style>
  <w:style w:type="paragraph" w:customStyle="1" w:styleId="76">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7">
    <w:name w:val="p18"/>
    <w:basedOn w:val="1"/>
    <w:qFormat/>
    <w:uiPriority w:val="99"/>
    <w:pPr>
      <w:widowControl/>
      <w:spacing w:line="748" w:lineRule="atLeast"/>
      <w:ind w:left="-527" w:firstLine="527"/>
    </w:pPr>
    <w:rPr>
      <w:rFonts w:ascii="宋体" w:hAnsi="宋体" w:cs="宋体"/>
      <w:kern w:val="0"/>
      <w:sz w:val="24"/>
    </w:rPr>
  </w:style>
  <w:style w:type="paragraph" w:customStyle="1" w:styleId="78">
    <w:name w:val="投标标题1"/>
    <w:qFormat/>
    <w:uiPriority w:val="0"/>
    <w:pPr>
      <w:keepNext/>
      <w:keepLines/>
      <w:widowControl w:val="0"/>
      <w:spacing w:before="120" w:after="120"/>
      <w:ind w:left="144" w:hanging="144"/>
      <w:jc w:val="center"/>
      <w:outlineLvl w:val="0"/>
    </w:pPr>
    <w:rPr>
      <w:rFonts w:hint="eastAsia" w:ascii="黑体" w:hAnsi="Times New Roman" w:eastAsia="黑体" w:cs="Times New Roman"/>
      <w:b/>
      <w:kern w:val="44"/>
      <w:sz w:val="28"/>
      <w:szCs w:val="28"/>
      <w:lang w:val="en-US" w:eastAsia="zh-CN" w:bidi="ar-SA"/>
    </w:rPr>
  </w:style>
  <w:style w:type="paragraph" w:customStyle="1" w:styleId="79">
    <w:name w:val="投标正文"/>
    <w:basedOn w:val="1"/>
    <w:qFormat/>
    <w:uiPriority w:val="0"/>
    <w:pPr>
      <w:spacing w:line="360" w:lineRule="auto"/>
      <w:ind w:left="100" w:firstLine="480" w:firstLineChars="200"/>
    </w:pPr>
    <w:rPr>
      <w:rFonts w:ascii="Calibri" w:hAnsi="Calibri"/>
      <w:sz w:val="24"/>
    </w:rPr>
  </w:style>
  <w:style w:type="paragraph" w:customStyle="1" w:styleId="80">
    <w:name w:val="投标文件正文"/>
    <w:basedOn w:val="1"/>
    <w:qFormat/>
    <w:uiPriority w:val="0"/>
    <w:pPr>
      <w:spacing w:afterLines="50" w:line="360" w:lineRule="auto"/>
      <w:ind w:firstLine="200" w:firstLineChars="200"/>
    </w:pPr>
    <w:rPr>
      <w:rFonts w:hint="eastAsia" w:ascii="宋体" w:hAnsi="宋体"/>
      <w:color w:val="000000"/>
      <w:sz w:val="24"/>
    </w:rPr>
  </w:style>
  <w:style w:type="paragraph" w:customStyle="1" w:styleId="81">
    <w:name w:val="投标标题2"/>
    <w:qFormat/>
    <w:uiPriority w:val="0"/>
    <w:pPr>
      <w:keepNext/>
      <w:keepLines/>
      <w:widowControl w:val="0"/>
      <w:spacing w:before="120" w:after="120" w:line="412" w:lineRule="auto"/>
      <w:ind w:left="576" w:hanging="576"/>
      <w:jc w:val="both"/>
      <w:outlineLvl w:val="1"/>
    </w:pPr>
    <w:rPr>
      <w:rFonts w:ascii="Times New Roman" w:hAnsi="Times New Roman" w:eastAsia="黑体" w:cs="Times New Roman"/>
      <w:b/>
      <w:kern w:val="2"/>
      <w:sz w:val="28"/>
      <w:szCs w:val="28"/>
      <w:lang w:val="en-US" w:eastAsia="zh-CN" w:bidi="ar-SA"/>
    </w:rPr>
  </w:style>
  <w:style w:type="paragraph" w:customStyle="1" w:styleId="82">
    <w:name w:val="投标标题3"/>
    <w:qFormat/>
    <w:uiPriority w:val="0"/>
    <w:pPr>
      <w:keepNext/>
      <w:keepLines/>
      <w:widowControl w:val="0"/>
      <w:spacing w:beforeLines="50" w:afterLines="50" w:line="480" w:lineRule="auto"/>
      <w:ind w:left="420" w:hanging="420"/>
      <w:jc w:val="both"/>
      <w:outlineLvl w:val="2"/>
    </w:pPr>
    <w:rPr>
      <w:rFonts w:hint="eastAsia" w:ascii="宋体" w:hAnsi="宋体" w:eastAsia="宋体" w:cs="Times New Roman"/>
      <w:b/>
      <w:color w:val="000000"/>
      <w:kern w:val="2"/>
      <w:sz w:val="24"/>
      <w:szCs w:val="24"/>
      <w:lang w:val="en-US" w:eastAsia="zh-CN" w:bidi="ar-SA"/>
    </w:rPr>
  </w:style>
  <w:style w:type="character" w:customStyle="1" w:styleId="83">
    <w:name w:val="标题 1 Char Char"/>
    <w:qFormat/>
    <w:uiPriority w:val="0"/>
    <w:rPr>
      <w:rFonts w:eastAsia="宋体"/>
      <w:b/>
      <w:spacing w:val="-2"/>
      <w:sz w:val="24"/>
      <w:lang w:val="en-US" w:eastAsia="zh-CN" w:bidi="ar-SA"/>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85">
    <w:name w:val="UserStyle_0"/>
    <w:qFormat/>
    <w:uiPriority w:val="0"/>
    <w:rPr>
      <w:rFonts w:ascii="Times New Roman" w:hAnsi="Times New Roman" w:eastAsia="宋体"/>
    </w:rPr>
  </w:style>
  <w:style w:type="paragraph" w:customStyle="1" w:styleId="86">
    <w:name w:val="UserStyle_2"/>
    <w:basedOn w:val="1"/>
    <w:qFormat/>
    <w:uiPriority w:val="0"/>
    <w:pPr>
      <w:ind w:firstLine="420" w:firstLineChars="200"/>
      <w:textAlignment w:val="baseline"/>
    </w:pPr>
    <w:rPr>
      <w:rFonts w:ascii="Calibri" w:hAnsi="Calibri"/>
      <w:szCs w:val="22"/>
    </w:rPr>
  </w:style>
  <w:style w:type="character" w:customStyle="1" w:styleId="87">
    <w:name w:val="UserStyle_1"/>
    <w:basedOn w:val="84"/>
    <w:qFormat/>
    <w:uiPriority w:val="0"/>
    <w:rPr>
      <w:rFonts w:ascii="Times New Roman" w:hAnsi="Times New Roman" w:eastAsia="宋体" w:cs="Times New Roman"/>
      <w:b/>
      <w:spacing w:val="-2"/>
      <w:kern w:val="2"/>
      <w:sz w:val="24"/>
      <w:szCs w:val="24"/>
      <w:lang w:val="en-US" w:eastAsia="zh-CN" w:bidi="ar-SA"/>
    </w:rPr>
  </w:style>
  <w:style w:type="paragraph" w:customStyle="1" w:styleId="8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89">
    <w:name w:val="font21"/>
    <w:basedOn w:val="32"/>
    <w:qFormat/>
    <w:uiPriority w:val="0"/>
    <w:rPr>
      <w:rFonts w:hint="eastAsia" w:ascii="宋体" w:hAnsi="宋体" w:eastAsia="宋体" w:cs="Arial"/>
      <w:snapToGrid w:val="0"/>
      <w:kern w:val="2"/>
      <w:sz w:val="28"/>
      <w:szCs w:val="28"/>
      <w:lang w:val="en-US" w:eastAsia="zh-CN" w:bidi="ar-SA"/>
    </w:rPr>
  </w:style>
  <w:style w:type="paragraph" w:customStyle="1" w:styleId="90">
    <w:name w:val="List Paragraph1"/>
    <w:basedOn w:val="1"/>
    <w:qFormat/>
    <w:uiPriority w:val="0"/>
    <w:pPr>
      <w:ind w:firstLine="420" w:firstLineChars="200"/>
    </w:pPr>
    <w:rPr>
      <w:rFonts w:ascii="Calibri" w:hAnsi="Calibri"/>
      <w:szCs w:val="22"/>
    </w:rPr>
  </w:style>
  <w:style w:type="paragraph" w:customStyle="1" w:styleId="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2">
    <w:name w:val="Table Paragraph"/>
    <w:basedOn w:val="1"/>
    <w:qFormat/>
    <w:uiPriority w:val="1"/>
  </w:style>
  <w:style w:type="paragraph" w:customStyle="1" w:styleId="93">
    <w:name w:val="正文_8_0_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customStyle="1" w:styleId="94">
    <w:name w:val="正文_10_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character" w:customStyle="1" w:styleId="95">
    <w:name w:val="ptb181"/>
    <w:qFormat/>
    <w:uiPriority w:val="0"/>
    <w:rPr>
      <w:rFonts w:hint="default" w:ascii="Verdana" w:hAnsi="Verdana"/>
      <w:b/>
      <w:bCs/>
      <w:color w:val="000000"/>
      <w:sz w:val="26"/>
      <w:szCs w:val="26"/>
    </w:rPr>
  </w:style>
  <w:style w:type="paragraph" w:customStyle="1" w:styleId="9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table" w:customStyle="1" w:styleId="9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120</Pages>
  <Words>59315</Words>
  <Characters>64772</Characters>
  <Lines>263</Lines>
  <Paragraphs>74</Paragraphs>
  <TotalTime>5</TotalTime>
  <ScaleCrop>false</ScaleCrop>
  <LinksUpToDate>false</LinksUpToDate>
  <CharactersWithSpaces>66348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2021-08-13T00:57:00Z</dcterms:created>
  <dc:creator>S-mile</dc:creator>
  <cp:lastModifiedBy>弄白白白</cp:lastModifiedBy>
  <cp:lastPrinted>2021-09-24T02:09:00Z</cp:lastPrinted>
  <dcterms:modified xsi:type="dcterms:W3CDTF">2022-11-01T10:23:18Z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34F75C64A3DE4C1B95A43C75A6495DDE</vt:lpwstr>
  </property>
</Properties>
</file>