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right="924"/>
        <w:rPr>
          <w:rFonts w:ascii="宋体"/>
          <w:b/>
          <w:bCs/>
          <w:color w:val="000000" w:themeColor="text1"/>
          <w:kern w:val="0"/>
          <w:sz w:val="52"/>
          <w:szCs w:val="52"/>
          <w14:textFill>
            <w14:solidFill>
              <w14:schemeClr w14:val="tx1"/>
            </w14:solidFill>
          </w14:textFill>
        </w:rPr>
      </w:pPr>
    </w:p>
    <w:p>
      <w:pPr>
        <w:spacing w:line="360" w:lineRule="auto"/>
        <w:jc w:val="center"/>
        <w:rPr>
          <w:rFonts w:ascii="宋体" w:cs="宋体"/>
          <w:color w:val="000000" w:themeColor="text1"/>
          <w:sz w:val="36"/>
          <w:szCs w:val="36"/>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2000"/>
                    </a:blip>
                    <a:stretch>
                      <a:fillRect/>
                    </a:stretch>
                  </pic:blipFill>
                  <pic:spPr>
                    <a:xfrm>
                      <a:off x="0" y="0"/>
                      <a:ext cx="2971800" cy="2091690"/>
                    </a:xfrm>
                    <a:prstGeom prst="rect">
                      <a:avLst/>
                    </a:prstGeom>
                    <a:noFill/>
                    <a:ln>
                      <a:noFill/>
                    </a:ln>
                  </pic:spPr>
                </pic:pic>
              </a:graphicData>
            </a:graphic>
          </wp:anchor>
        </w:drawing>
      </w:r>
    </w:p>
    <w:p>
      <w:pPr>
        <w:spacing w:line="360" w:lineRule="auto"/>
        <w:jc w:val="center"/>
        <w:rPr>
          <w:rFonts w:ascii="宋体" w:cs="宋体"/>
          <w:color w:val="000000" w:themeColor="text1"/>
          <w:sz w:val="52"/>
          <w:szCs w:val="52"/>
          <w14:textFill>
            <w14:solidFill>
              <w14:schemeClr w14:val="tx1"/>
            </w14:solidFill>
          </w14:textFill>
        </w:rPr>
      </w:pPr>
      <w:r>
        <w:rPr>
          <w:rFonts w:ascii="宋体" w:hAnsi="宋体" w:cs="宋体"/>
          <w:color w:val="000000" w:themeColor="text1"/>
          <w:sz w:val="36"/>
          <w:szCs w:val="36"/>
          <w14:textFill>
            <w14:solidFill>
              <w14:schemeClr w14:val="tx1"/>
            </w14:solidFill>
          </w14:textFill>
        </w:rPr>
        <w:t xml:space="preserve">                   </w:t>
      </w:r>
      <w:r>
        <w:rPr>
          <w:rFonts w:ascii="宋体" w:hAnsi="宋体" w:cs="宋体"/>
          <w:color w:val="000000" w:themeColor="text1"/>
          <w:sz w:val="52"/>
          <w:szCs w:val="52"/>
          <w14:textFill>
            <w14:solidFill>
              <w14:schemeClr w14:val="tx1"/>
            </w14:solidFill>
          </w14:textFill>
        </w:rPr>
        <w:t xml:space="preserve"> </w:t>
      </w:r>
    </w:p>
    <w:p>
      <w:pPr>
        <w:spacing w:line="360" w:lineRule="auto"/>
        <w:ind w:left="-359" w:leftChars="-171"/>
        <w:jc w:val="center"/>
        <w:rPr>
          <w:rFonts w:ascii="宋体" w:cs="宋体"/>
          <w:color w:val="000000" w:themeColor="text1"/>
          <w:sz w:val="72"/>
          <w:szCs w:val="72"/>
          <w14:textFill>
            <w14:solidFill>
              <w14:schemeClr w14:val="tx1"/>
            </w14:solidFill>
          </w14:textFill>
        </w:rPr>
      </w:pPr>
      <w:r>
        <w:rPr>
          <w:rFonts w:ascii="宋体" w:hAnsi="宋体" w:cs="宋体"/>
          <w:color w:val="000000" w:themeColor="text1"/>
          <w:sz w:val="72"/>
          <w:szCs w:val="72"/>
          <w14:textFill>
            <w14:solidFill>
              <w14:schemeClr w14:val="tx1"/>
            </w14:solidFill>
          </w14:textFill>
        </w:rPr>
        <w:t xml:space="preserve">         F-STONE</w:t>
      </w:r>
    </w:p>
    <w:p>
      <w:pPr>
        <w:spacing w:line="360" w:lineRule="auto"/>
        <w:jc w:val="center"/>
        <w:rPr>
          <w:rFonts w:ascii="宋体" w:cs="宋体"/>
          <w:color w:val="000000" w:themeColor="text1"/>
          <w:sz w:val="36"/>
          <w:szCs w:val="36"/>
          <w14:textFill>
            <w14:solidFill>
              <w14:schemeClr w14:val="tx1"/>
            </w14:solidFill>
          </w14:textFill>
        </w:rPr>
      </w:pPr>
    </w:p>
    <w:p>
      <w:pPr>
        <w:spacing w:line="360" w:lineRule="auto"/>
        <w:ind w:right="-512" w:rightChars="-244"/>
        <w:rPr>
          <w:rFonts w:ascii="宋体" w:cs="宋体"/>
          <w:b/>
          <w:color w:val="000000" w:themeColor="text1"/>
          <w:sz w:val="72"/>
          <w:szCs w:val="72"/>
          <w14:textFill>
            <w14:solidFill>
              <w14:schemeClr w14:val="tx1"/>
            </w14:solidFill>
          </w14:textFill>
        </w:rPr>
      </w:pPr>
      <w:r>
        <w:rPr>
          <w:rFonts w:ascii="宋体" w:hAnsi="宋体" w:cs="宋体"/>
          <w:b/>
          <w:color w:val="000000" w:themeColor="text1"/>
          <w:sz w:val="72"/>
          <w:szCs w:val="72"/>
          <w14:textFill>
            <w14:solidFill>
              <w14:schemeClr w14:val="tx1"/>
            </w14:solidFill>
          </w14:textFill>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14:textFill>
            <w14:solidFill>
              <w14:schemeClr w14:val="tx1"/>
            </w14:solidFill>
          </w14:textFill>
        </w:rPr>
      </w:pPr>
      <w:r>
        <w:rPr>
          <w:rFonts w:hint="eastAsia" w:ascii="宋体"/>
          <w:b/>
          <w:color w:val="000000" w:themeColor="text1"/>
          <w:kern w:val="0"/>
          <w:sz w:val="52"/>
          <w14:textFill>
            <w14:solidFill>
              <w14:schemeClr w14:val="tx1"/>
            </w14:solidFill>
          </w14:textFill>
        </w:rPr>
        <w:t>政府采购竞争性谈判文件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14:textFill>
            <w14:solidFill>
              <w14:schemeClr w14:val="tx1"/>
            </w14:solidFill>
          </w14:textFill>
        </w:rPr>
      </w:pPr>
    </w:p>
    <w:p>
      <w:pPr>
        <w:autoSpaceDE w:val="0"/>
        <w:autoSpaceDN w:val="0"/>
        <w:adjustRightInd w:val="0"/>
        <w:spacing w:line="360" w:lineRule="auto"/>
        <w:ind w:left="2794" w:leftChars="1064" w:hanging="560" w:hangingChars="200"/>
        <w:rPr>
          <w:rFonts w:ascii="宋体" w:hAnsi="宋体" w:cs="宋体"/>
          <w:color w:val="000000" w:themeColor="text1"/>
          <w:kern w:val="0"/>
          <w:sz w:val="28"/>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项目编号：ZJWS2022-JJ12</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14:textFill>
            <w14:solidFill>
              <w14:schemeClr w14:val="tx1"/>
            </w14:solidFill>
          </w14:textFill>
        </w:rPr>
      </w:pPr>
    </w:p>
    <w:p>
      <w:pPr>
        <w:shd w:val="clear" w:color="auto" w:fill="FFFFFF"/>
        <w:spacing w:line="360" w:lineRule="auto"/>
        <w:textAlignment w:val="bottom"/>
        <w:rPr>
          <w:rFonts w:ascii="宋体" w:cs="宋体"/>
          <w:color w:val="000000" w:themeColor="text1"/>
          <w:kern w:val="0"/>
          <w:sz w:val="28"/>
          <w14:textFill>
            <w14:solidFill>
              <w14:schemeClr w14:val="tx1"/>
            </w14:solidFill>
          </w14:textFill>
        </w:rPr>
      </w:pPr>
    </w:p>
    <w:p>
      <w:pPr>
        <w:autoSpaceDE w:val="0"/>
        <w:autoSpaceDN w:val="0"/>
        <w:adjustRightInd w:val="0"/>
        <w:spacing w:line="360" w:lineRule="auto"/>
        <w:ind w:firstLine="1400" w:firstLineChars="500"/>
        <w:rPr>
          <w:rFonts w:ascii="宋体" w:cs="宋体"/>
          <w:color w:val="000000" w:themeColor="text1"/>
          <w:kern w:val="0"/>
          <w:sz w:val="28"/>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采购项目：荧光定量PCR仪及相关设备采购项目</w:t>
      </w:r>
    </w:p>
    <w:p>
      <w:pPr>
        <w:autoSpaceDE w:val="0"/>
        <w:autoSpaceDN w:val="0"/>
        <w:adjustRightInd w:val="0"/>
        <w:spacing w:line="360" w:lineRule="auto"/>
        <w:ind w:firstLine="1400" w:firstLineChars="500"/>
        <w:rPr>
          <w:rFonts w:ascii="宋体" w:cs="宋体"/>
          <w:color w:val="000000" w:themeColor="text1"/>
          <w:kern w:val="0"/>
          <w:sz w:val="28"/>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采购单位：</w:t>
      </w:r>
      <w:r>
        <w:rPr>
          <w:rFonts w:hint="eastAsia" w:ascii="宋体"/>
          <w:color w:val="000000" w:themeColor="text1"/>
          <w:kern w:val="0"/>
          <w:sz w:val="28"/>
          <w14:textFill>
            <w14:solidFill>
              <w14:schemeClr w14:val="tx1"/>
            </w14:solidFill>
          </w14:textFill>
        </w:rPr>
        <w:t>台州恩泽医疗中心（集团）</w:t>
      </w:r>
    </w:p>
    <w:p>
      <w:pPr>
        <w:autoSpaceDE w:val="0"/>
        <w:autoSpaceDN w:val="0"/>
        <w:adjustRightInd w:val="0"/>
        <w:spacing w:line="360" w:lineRule="auto"/>
        <w:ind w:firstLine="1400" w:firstLineChars="500"/>
        <w:rPr>
          <w:rFonts w:ascii="宋体" w:cs="宋体"/>
          <w:color w:val="000000" w:themeColor="text1"/>
          <w:kern w:val="0"/>
          <w:sz w:val="28"/>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代理机构：浙江五石中正工程咨询有限公司</w:t>
      </w:r>
    </w:p>
    <w:p>
      <w:pPr>
        <w:autoSpaceDE w:val="0"/>
        <w:autoSpaceDN w:val="0"/>
        <w:adjustRightInd w:val="0"/>
        <w:spacing w:line="360" w:lineRule="auto"/>
        <w:jc w:val="center"/>
        <w:rPr>
          <w:rFonts w:ascii="宋体" w:cs="宋体"/>
          <w:color w:val="000000" w:themeColor="text1"/>
          <w:kern w:val="0"/>
          <w:sz w:val="28"/>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二○二二年一月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28"/>
          <w14:textFill>
            <w14:solidFill>
              <w14:schemeClr w14:val="tx1"/>
            </w14:solidFill>
          </w14:textFill>
        </w:rPr>
        <w:sectPr>
          <w:headerReference r:id="rId3" w:type="default"/>
          <w:pgSz w:w="11906" w:h="16838"/>
          <w:pgMar w:top="1440" w:right="1906" w:bottom="1440" w:left="1800" w:header="851" w:footer="992" w:gutter="0"/>
          <w:cols w:space="425" w:num="1"/>
          <w:docGrid w:type="lines" w:linePitch="312" w:charSpace="0"/>
        </w:sectPr>
      </w:pPr>
    </w:p>
    <w:p>
      <w:pPr>
        <w:pStyle w:val="21"/>
        <w:rPr>
          <w:color w:val="000000" w:themeColor="text1"/>
          <w14:textFill>
            <w14:solidFill>
              <w14:schemeClr w14:val="tx1"/>
            </w14:solidFill>
          </w14:textFill>
        </w:rPr>
      </w:pPr>
    </w:p>
    <w:p>
      <w:pPr>
        <w:spacing w:line="360" w:lineRule="auto"/>
        <w:jc w:val="center"/>
        <w:rPr>
          <w:rFonts w:asci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目</w:t>
      </w:r>
      <w:r>
        <w:rPr>
          <w:rFonts w:ascii="宋体" w:hAnsi="宋体" w:cs="Arial"/>
          <w:b/>
          <w:bCs/>
          <w:color w:val="000000" w:themeColor="text1"/>
          <w:sz w:val="36"/>
          <w:szCs w:val="36"/>
          <w14:textFill>
            <w14:solidFill>
              <w14:schemeClr w14:val="tx1"/>
            </w14:solidFill>
          </w14:textFill>
        </w:rPr>
        <w:t xml:space="preserve">    </w:t>
      </w:r>
      <w:r>
        <w:rPr>
          <w:rFonts w:hint="eastAsia" w:ascii="宋体" w:hAnsi="宋体" w:cs="Arial"/>
          <w:b/>
          <w:bCs/>
          <w:color w:val="000000" w:themeColor="text1"/>
          <w:sz w:val="36"/>
          <w:szCs w:val="36"/>
          <w14:textFill>
            <w14:solidFill>
              <w14:schemeClr w14:val="tx1"/>
            </w14:solidFill>
          </w14:textFill>
        </w:rPr>
        <w:t>录</w:t>
      </w:r>
    </w:p>
    <w:p>
      <w:pPr>
        <w:spacing w:line="360" w:lineRule="auto"/>
        <w:ind w:firstLine="703" w:firstLineChars="250"/>
        <w:jc w:val="left"/>
        <w:rPr>
          <w:rFonts w:ascii="宋体"/>
          <w:b/>
          <w:color w:val="000000" w:themeColor="text1"/>
          <w:sz w:val="28"/>
          <w:szCs w:val="28"/>
          <w14:textFill>
            <w14:solidFill>
              <w14:schemeClr w14:val="tx1"/>
            </w14:solidFill>
          </w14:textFill>
        </w:rPr>
      </w:pPr>
    </w:p>
    <w:p>
      <w:pPr>
        <w:spacing w:line="360" w:lineRule="auto"/>
        <w:ind w:firstLine="703" w:firstLineChars="250"/>
        <w:jc w:val="left"/>
        <w:rPr>
          <w:rFonts w:ascii="宋体"/>
          <w:b/>
          <w:color w:val="000000" w:themeColor="text1"/>
          <w:sz w:val="28"/>
          <w:szCs w:val="28"/>
          <w14:textFill>
            <w14:solidFill>
              <w14:schemeClr w14:val="tx1"/>
            </w14:solidFill>
          </w14:textFill>
        </w:rPr>
      </w:pPr>
    </w:p>
    <w:p>
      <w:pPr>
        <w:spacing w:line="360" w:lineRule="auto"/>
        <w:ind w:firstLine="703" w:firstLineChars="250"/>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第一章</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竞争性谈判采购邀请</w:t>
      </w:r>
    </w:p>
    <w:p>
      <w:pPr>
        <w:spacing w:line="360" w:lineRule="auto"/>
        <w:ind w:firstLine="703" w:firstLineChars="250"/>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第二章　供应商须知</w:t>
      </w:r>
    </w:p>
    <w:p>
      <w:pPr>
        <w:spacing w:line="360" w:lineRule="auto"/>
        <w:ind w:firstLine="703" w:firstLineChars="250"/>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第三章　谈判内容</w:t>
      </w:r>
      <w:r>
        <w:rPr>
          <w:rFonts w:ascii="宋体" w:hAnsi="宋体"/>
          <w:b/>
          <w:color w:val="000000" w:themeColor="text1"/>
          <w:sz w:val="28"/>
          <w:szCs w:val="28"/>
          <w14:textFill>
            <w14:solidFill>
              <w14:schemeClr w14:val="tx1"/>
            </w14:solidFill>
          </w14:textFill>
        </w:rPr>
        <w:t xml:space="preserve">   </w:t>
      </w:r>
    </w:p>
    <w:p>
      <w:pPr>
        <w:spacing w:line="360" w:lineRule="auto"/>
        <w:ind w:firstLine="703" w:firstLineChars="250"/>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第四章</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政府采购合同主要条款指引</w:t>
      </w:r>
    </w:p>
    <w:p>
      <w:pPr>
        <w:spacing w:line="360" w:lineRule="auto"/>
        <w:ind w:firstLine="703" w:firstLineChars="250"/>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第五章</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响应文件格式附件</w:t>
      </w:r>
    </w:p>
    <w:p>
      <w:pPr>
        <w:tabs>
          <w:tab w:val="left" w:pos="180"/>
          <w:tab w:val="left" w:pos="360"/>
          <w:tab w:val="left" w:pos="540"/>
          <w:tab w:val="left" w:pos="8280"/>
        </w:tabs>
        <w:autoSpaceDE w:val="0"/>
        <w:autoSpaceDN w:val="0"/>
        <w:adjustRightInd w:val="0"/>
        <w:spacing w:line="360" w:lineRule="auto"/>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b/>
          <w:color w:val="000000" w:themeColor="text1"/>
          <w:kern w:val="0"/>
          <w:sz w:val="36"/>
          <w14:textFill>
            <w14:solidFill>
              <w14:schemeClr w14:val="tx1"/>
            </w14:solidFill>
          </w14:textFill>
        </w:rPr>
      </w:pPr>
      <w:r>
        <w:rPr>
          <w:rFonts w:ascii="宋体"/>
          <w:b/>
          <w:color w:val="000000" w:themeColor="text1"/>
          <w:kern w:val="0"/>
          <w:sz w:val="36"/>
          <w14:textFill>
            <w14:solidFill>
              <w14:schemeClr w14:val="tx1"/>
            </w14:solidFill>
          </w14:textFill>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b/>
          <w:color w:val="000000" w:themeColor="text1"/>
          <w:kern w:val="0"/>
          <w:sz w:val="36"/>
          <w:szCs w:val="36"/>
          <w14:textFill>
            <w14:solidFill>
              <w14:schemeClr w14:val="tx1"/>
            </w14:solidFill>
          </w14:textFill>
        </w:rPr>
      </w:pPr>
      <w:r>
        <w:rPr>
          <w:rFonts w:hint="eastAsia" w:ascii="宋体" w:hAnsi="宋体"/>
          <w:b/>
          <w:color w:val="000000" w:themeColor="text1"/>
          <w:kern w:val="0"/>
          <w:sz w:val="36"/>
          <w:szCs w:val="36"/>
          <w14:textFill>
            <w14:solidFill>
              <w14:schemeClr w14:val="tx1"/>
            </w14:solidFill>
          </w14:textFill>
        </w:rPr>
        <w:t>竞争性谈判采购邀请</w:t>
      </w:r>
    </w:p>
    <w:p>
      <w:pPr>
        <w:spacing w:line="360" w:lineRule="auto"/>
        <w:ind w:firstLine="480" w:firstLineChars="200"/>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根据财政部第</w:t>
      </w:r>
      <w:r>
        <w:rPr>
          <w:rFonts w:ascii="宋体" w:hAnsi="宋体" w:cs="宋体"/>
          <w:color w:val="000000" w:themeColor="text1"/>
          <w:kern w:val="0"/>
          <w:sz w:val="24"/>
          <w14:textFill>
            <w14:solidFill>
              <w14:schemeClr w14:val="tx1"/>
            </w14:solidFill>
          </w14:textFill>
        </w:rPr>
        <w:t>74</w:t>
      </w:r>
      <w:r>
        <w:rPr>
          <w:rFonts w:hint="eastAsia" w:ascii="宋体" w:hAnsi="宋体" w:cs="宋体"/>
          <w:color w:val="000000" w:themeColor="text1"/>
          <w:kern w:val="0"/>
          <w:sz w:val="24"/>
          <w14:textFill>
            <w14:solidFill>
              <w14:schemeClr w14:val="tx1"/>
            </w14:solidFill>
          </w14:textFill>
        </w:rPr>
        <w:t>号《政府采购非招标招标人式管理办法》第三章第三款“非采购人所能预见的原因或者非采购人拖延造成采用招标所需时间不能满足用户紧急需要的”规定，采用竞争性谈判采购方式，现就</w:t>
      </w:r>
      <w:r>
        <w:rPr>
          <w:rFonts w:hint="eastAsia" w:ascii="宋体" w:hAnsi="宋体" w:cs="宋体"/>
          <w:b/>
          <w:bCs/>
          <w:color w:val="000000" w:themeColor="text1"/>
          <w:kern w:val="0"/>
          <w:sz w:val="24"/>
          <w14:textFill>
            <w14:solidFill>
              <w14:schemeClr w14:val="tx1"/>
            </w14:solidFill>
          </w14:textFill>
        </w:rPr>
        <w:t>荧光定量PCR仪及相关设备采购项目</w:t>
      </w:r>
      <w:r>
        <w:rPr>
          <w:rFonts w:hint="eastAsia" w:ascii="宋体" w:hAnsi="宋体" w:cs="宋体"/>
          <w:color w:val="000000" w:themeColor="text1"/>
          <w:kern w:val="0"/>
          <w:sz w:val="24"/>
          <w14:textFill>
            <w14:solidFill>
              <w14:schemeClr w14:val="tx1"/>
            </w14:solidFill>
          </w14:textFill>
        </w:rPr>
        <w:t>进行竞争性谈判采购，欢迎合格供应商前来</w:t>
      </w:r>
      <w:r>
        <w:rPr>
          <w:rFonts w:hint="eastAsia" w:ascii="宋体" w:hAnsi="宋体" w:cs="宋体"/>
          <w:color w:val="000000" w:themeColor="text1"/>
          <w:sz w:val="24"/>
          <w14:textFill>
            <w14:solidFill>
              <w14:schemeClr w14:val="tx1"/>
            </w14:solidFill>
          </w14:textFill>
        </w:rPr>
        <w:t>洽谈</w:t>
      </w:r>
      <w:r>
        <w:rPr>
          <w:rFonts w:hint="eastAsia" w:ascii="宋体" w:hAnsi="宋体" w:cs="宋体"/>
          <w:color w:val="000000" w:themeColor="text1"/>
          <w:kern w:val="0"/>
          <w:sz w:val="24"/>
          <w14:textFill>
            <w14:solidFill>
              <w14:schemeClr w14:val="tx1"/>
            </w14:solidFill>
          </w14:textFill>
        </w:rPr>
        <w:t>。</w:t>
      </w:r>
    </w:p>
    <w:p>
      <w:pPr>
        <w:spacing w:line="360" w:lineRule="auto"/>
        <w:ind w:firstLine="482" w:firstLineChars="200"/>
        <w:rPr>
          <w:rFonts w:asci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一、项目编号：ZJWS2022-JJ12</w:t>
      </w:r>
    </w:p>
    <w:p>
      <w:pPr>
        <w:tabs>
          <w:tab w:val="left" w:pos="180"/>
          <w:tab w:val="left" w:pos="360"/>
          <w:tab w:val="left" w:pos="540"/>
          <w:tab w:val="left" w:pos="8280"/>
        </w:tabs>
        <w:autoSpaceDE w:val="0"/>
        <w:autoSpaceDN w:val="0"/>
        <w:adjustRightInd w:val="0"/>
        <w:spacing w:line="360" w:lineRule="auto"/>
        <w:ind w:right="23" w:firstLine="482" w:firstLineChars="2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二、谈判内容：</w:t>
      </w:r>
    </w:p>
    <w:tbl>
      <w:tblPr>
        <w:tblStyle w:val="23"/>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025"/>
        <w:gridCol w:w="972"/>
        <w:gridCol w:w="1212"/>
        <w:gridCol w:w="1966"/>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25" w:type="dxa"/>
            <w:vAlign w:val="center"/>
          </w:tcPr>
          <w:p>
            <w:pPr>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标段</w:t>
            </w:r>
          </w:p>
        </w:tc>
        <w:tc>
          <w:tcPr>
            <w:tcW w:w="2025" w:type="dxa"/>
            <w:vAlign w:val="center"/>
          </w:tcPr>
          <w:p>
            <w:pPr>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972" w:type="dxa"/>
            <w:vAlign w:val="center"/>
          </w:tcPr>
          <w:p>
            <w:pPr>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1212" w:type="dxa"/>
            <w:vAlign w:val="center"/>
          </w:tcPr>
          <w:p>
            <w:pPr>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w:t>
            </w:r>
          </w:p>
        </w:tc>
        <w:tc>
          <w:tcPr>
            <w:tcW w:w="1966" w:type="dxa"/>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最高限价</w:t>
            </w:r>
          </w:p>
        </w:tc>
        <w:tc>
          <w:tcPr>
            <w:tcW w:w="2655"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允许进口</w:t>
            </w:r>
            <w:r>
              <w:rPr>
                <w:rFonts w:hint="eastAsia" w:ascii="宋体" w:hAnsi="宋体" w:cs="宋体"/>
                <w:b/>
                <w:bCs/>
                <w:color w:val="000000" w:themeColor="text1"/>
                <w:sz w:val="24"/>
                <w:szCs w:val="32"/>
                <w14:textFill>
                  <w14:solidFill>
                    <w14:schemeClr w14:val="tx1"/>
                  </w14:solidFill>
                </w14:textFill>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625" w:type="dxa"/>
            <w:vAlign w:val="center"/>
          </w:tcPr>
          <w:p>
            <w:pPr>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2025"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荧光定量PCR仪及相关设备采购项目</w:t>
            </w:r>
          </w:p>
        </w:tc>
        <w:tc>
          <w:tcPr>
            <w:tcW w:w="972"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1项</w:t>
            </w:r>
          </w:p>
        </w:tc>
        <w:tc>
          <w:tcPr>
            <w:tcW w:w="1212"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4500万元</w:t>
            </w:r>
          </w:p>
        </w:tc>
        <w:tc>
          <w:tcPr>
            <w:tcW w:w="1966"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4200万元</w:t>
            </w:r>
          </w:p>
        </w:tc>
        <w:tc>
          <w:tcPr>
            <w:tcW w:w="2655"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实时荧光定量PCR仪及全自动医用PCR分析系统、高速冷冻离心机</w:t>
            </w:r>
            <w:r>
              <w:rPr>
                <w:rFonts w:hint="eastAsia" w:ascii="宋体" w:hAnsi="宋体"/>
                <w:color w:val="000000" w:themeColor="text1"/>
                <w:kern w:val="0"/>
                <w:sz w:val="24"/>
                <w14:textFill>
                  <w14:solidFill>
                    <w14:schemeClr w14:val="tx1"/>
                  </w14:solidFill>
                </w14:textFill>
              </w:rPr>
              <w:t>允许进口产品，进口依据：2021—2022年度全省政府采购进口产品统一论证清单第23项、第3项</w:t>
            </w:r>
          </w:p>
        </w:tc>
      </w:tr>
    </w:tbl>
    <w:p>
      <w:pPr>
        <w:pStyle w:val="5"/>
        <w:numPr>
          <w:ilvl w:val="0"/>
          <w:numId w:val="0"/>
        </w:numPr>
        <w:spacing w:before="0" w:after="0" w:line="360" w:lineRule="auto"/>
        <w:ind w:right="210" w:firstLine="482" w:firstLineChars="200"/>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三、合格投标人的资格条件：</w:t>
      </w:r>
    </w:p>
    <w:p>
      <w:pPr>
        <w:pStyle w:val="45"/>
        <w:adjustRightInd w:val="0"/>
        <w:snapToGrid w:val="0"/>
        <w:spacing w:before="0" w:line="360" w:lineRule="auto"/>
        <w:ind w:left="102" w:right="102" w:firstLine="480"/>
        <w:rPr>
          <w:rFonts w:ascii="宋体" w:eastAsia="宋体" w:cs="宋体"/>
          <w:color w:val="000000" w:themeColor="text1"/>
          <w:sz w:val="24"/>
          <w:szCs w:val="24"/>
          <w14:textFill>
            <w14:solidFill>
              <w14:schemeClr w14:val="tx1"/>
            </w14:solidFill>
          </w14:textFill>
        </w:rPr>
      </w:pPr>
      <w:r>
        <w:rPr>
          <w:rFonts w:ascii="宋体" w:eastAsia="宋体" w:cs="宋体"/>
          <w:color w:val="000000" w:themeColor="text1"/>
          <w:sz w:val="24"/>
          <w:szCs w:val="24"/>
          <w14:textFill>
            <w14:solidFill>
              <w14:schemeClr w14:val="tx1"/>
            </w14:solidFill>
          </w14:textFill>
        </w:rPr>
        <w:t>1</w:t>
      </w:r>
      <w:r>
        <w:rPr>
          <w:rFonts w:hint="eastAsia" w:ascii="宋体" w:eastAsia="宋体" w:cs="宋体"/>
          <w:color w:val="000000" w:themeColor="text1"/>
          <w:sz w:val="24"/>
          <w:szCs w:val="24"/>
          <w14:textFill>
            <w14:solidFill>
              <w14:schemeClr w14:val="tx1"/>
            </w14:solidFill>
          </w14:textFill>
        </w:rPr>
        <w:t>、符合《中华人民共和国政府采购法》第二十二条规定的谈判供应商资格条件。</w:t>
      </w:r>
    </w:p>
    <w:p>
      <w:pPr>
        <w:pStyle w:val="45"/>
        <w:adjustRightInd w:val="0"/>
        <w:snapToGrid w:val="0"/>
        <w:spacing w:before="0" w:line="360" w:lineRule="auto"/>
        <w:ind w:left="102" w:right="102" w:firstLine="480"/>
        <w:rPr>
          <w:rFonts w:ascii="宋体" w:cs="宋体"/>
          <w:color w:val="000000" w:themeColor="text1"/>
          <w:sz w:val="24"/>
          <w14:textFill>
            <w14:solidFill>
              <w14:schemeClr w14:val="tx1"/>
            </w14:solidFill>
          </w14:textFill>
        </w:rPr>
      </w:pPr>
      <w:r>
        <w:rPr>
          <w:rFonts w:ascii="宋体" w:eastAsia="宋体" w:cs="宋体"/>
          <w:color w:val="000000" w:themeColor="text1"/>
          <w:sz w:val="24"/>
          <w:szCs w:val="24"/>
          <w14:textFill>
            <w14:solidFill>
              <w14:schemeClr w14:val="tx1"/>
            </w14:solidFill>
          </w14:textFill>
        </w:rPr>
        <w:t>2</w:t>
      </w:r>
      <w:r>
        <w:rPr>
          <w:rFonts w:hint="eastAsia" w:ascii="宋体" w:eastAsia="宋体" w:cs="宋体"/>
          <w:color w:val="000000" w:themeColor="text1"/>
          <w:sz w:val="24"/>
          <w:szCs w:val="24"/>
          <w14:textFill>
            <w14:solidFill>
              <w14:schemeClr w14:val="tx1"/>
            </w14:solidFill>
          </w14:textFill>
        </w:rPr>
        <w:t>、</w:t>
      </w:r>
      <w:r>
        <w:rPr>
          <w:rFonts w:hint="eastAsia" w:ascii="宋体" w:cs="宋体"/>
          <w:color w:val="000000" w:themeColor="text1"/>
          <w:sz w:val="24"/>
          <w14:textFill>
            <w14:solidFill>
              <w14:schemeClr w14:val="tx1"/>
            </w14:solidFill>
          </w14:textFill>
        </w:rPr>
        <w:t>本项目不接受联合体投标。</w:t>
      </w:r>
    </w:p>
    <w:p>
      <w:pPr>
        <w:pStyle w:val="3"/>
        <w:spacing w:line="360" w:lineRule="auto"/>
        <w:ind w:firstLine="482" w:firstLineChars="200"/>
        <w:rPr>
          <w:rFonts w:ascii="宋体" w:cs="宋体"/>
          <w:color w:val="000000" w:themeColor="text1"/>
          <w14:textFill>
            <w14:solidFill>
              <w14:schemeClr w14:val="tx1"/>
            </w14:solidFill>
          </w14:textFill>
        </w:rPr>
      </w:pPr>
      <w:r>
        <w:rPr>
          <w:rStyle w:val="26"/>
          <w:rFonts w:hint="eastAsia" w:ascii="宋体" w:hAnsi="宋体" w:cs="宋体"/>
          <w:bCs/>
          <w:color w:val="000000" w:themeColor="text1"/>
          <w14:textFill>
            <w14:solidFill>
              <w14:schemeClr w14:val="tx1"/>
            </w14:solidFill>
          </w14:textFill>
        </w:rPr>
        <w:t>四、谈判文件获取的时间、方式：</w:t>
      </w:r>
    </w:p>
    <w:p>
      <w:pPr>
        <w:spacing w:line="360" w:lineRule="auto"/>
        <w:ind w:firstLine="482" w:firstLineChars="200"/>
        <w:rPr>
          <w:rFonts w:ascii="宋体" w:cs="宋体"/>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14:textFill>
            <w14:solidFill>
              <w14:schemeClr w14:val="tx1"/>
            </w14:solidFill>
          </w14:textFill>
        </w:rPr>
        <w:t>获取时间</w:t>
      </w:r>
      <w:r>
        <w:rPr>
          <w:rFonts w:hint="eastAsia" w:ascii="宋体" w:hAnsi="宋体" w:cs="宋体"/>
          <w:color w:val="000000" w:themeColor="text1"/>
          <w:sz w:val="24"/>
          <w14:textFill>
            <w14:solidFill>
              <w14:schemeClr w14:val="tx1"/>
            </w14:solidFill>
          </w14:textFill>
        </w:rPr>
        <w:t>：自本公告发布之日起至响应文件递交截止时间止（以供应商完成获取采购文件申请后下载采购文件的时间为准）；</w:t>
      </w:r>
    </w:p>
    <w:p>
      <w:pPr>
        <w:spacing w:line="360" w:lineRule="auto"/>
        <w:ind w:firstLine="482" w:firstLineChars="200"/>
        <w:rPr>
          <w:rFonts w:ascii="宋体" w:cs="宋体"/>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获取地址</w:t>
      </w:r>
      <w:r>
        <w:rPr>
          <w:rFonts w:hint="eastAsia" w:ascii="宋体" w:hAnsi="宋体" w:cs="宋体"/>
          <w:color w:val="000000" w:themeColor="text1"/>
          <w:sz w:val="24"/>
          <w14:textFill>
            <w14:solidFill>
              <w14:schemeClr w14:val="tx1"/>
            </w14:solidFill>
          </w14:textFill>
        </w:rPr>
        <w:t>：浙江政府采购网本项目公告附件；</w:t>
      </w:r>
    </w:p>
    <w:p>
      <w:pPr>
        <w:spacing w:line="360" w:lineRule="auto"/>
        <w:ind w:firstLine="482" w:firstLineChars="200"/>
        <w:rPr>
          <w:rFonts w:ascii="宋体" w:cs="宋体"/>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获取谈判文件方式</w:t>
      </w:r>
      <w:r>
        <w:rPr>
          <w:rFonts w:hint="eastAsia" w:ascii="宋体" w:hAnsi="宋体" w:cs="宋体"/>
          <w:color w:val="000000" w:themeColor="text1"/>
          <w:sz w:val="24"/>
          <w14:textFill>
            <w14:solidFill>
              <w14:schemeClr w14:val="tx1"/>
            </w14:solidFill>
          </w14:textFill>
        </w:rPr>
        <w:t>：在线免费获取（本项目实行网上报名，不接受现场报名。供应商登录浙江政府采购网进行报名。</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《供应商网上报名操作指南》位置：“首页</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办事指南</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省采中心</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网上报名”</w:t>
      </w:r>
      <w:r>
        <w:fldChar w:fldCharType="begin"/>
      </w:r>
      <w:r>
        <w:rPr>
          <w:color w:val="000000" w:themeColor="text1"/>
          <w14:textFill>
            <w14:solidFill>
              <w14:schemeClr w14:val="tx1"/>
            </w14:solidFill>
          </w14:textFill>
        </w:rPr>
        <w:instrText xml:space="preserve"> HYPERLINK "http://zfcg.czt.zj.gov.cn/bs_other/2018-03-30/12002.html?_=2018-03-30%2011:40:47" </w:instrText>
      </w:r>
      <w:r>
        <w:fldChar w:fldCharType="separate"/>
      </w:r>
      <w:r>
        <w:rPr>
          <w:rStyle w:val="28"/>
          <w:rFonts w:ascii="宋体" w:hAnsi="宋体" w:cs="宋体"/>
          <w:color w:val="000000" w:themeColor="text1"/>
          <w:sz w:val="24"/>
          <w14:textFill>
            <w14:solidFill>
              <w14:schemeClr w14:val="tx1"/>
            </w14:solidFill>
          </w14:textFill>
        </w:rPr>
        <w:t>http://zfcg.czt.zj.gov.cn/bs_other/2018-03-30/12002.html?_=2018-03-30 11:40:47</w:t>
      </w:r>
      <w:r>
        <w:rPr>
          <w:rStyle w:val="28"/>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报名时应提供以下资格证明材料（同时发送至报名邮箱</w:t>
      </w:r>
      <w:r>
        <w:rPr>
          <w:rFonts w:ascii="宋体" w:hAnsi="宋体" w:cs="宋体"/>
          <w:b/>
          <w:bCs/>
          <w:color w:val="000000" w:themeColor="text1"/>
          <w:sz w:val="24"/>
          <w14:textFill>
            <w14:solidFill>
              <w14:schemeClr w14:val="tx1"/>
            </w14:solidFill>
          </w14:textFill>
        </w:rPr>
        <w:t>hzwszb@163.com</w:t>
      </w:r>
      <w:r>
        <w:rPr>
          <w:rFonts w:hint="eastAsia" w:ascii="宋体" w:hAnsi="宋体" w:cs="宋体"/>
          <w:b/>
          <w:bCs/>
          <w:color w:val="000000" w:themeColor="text1"/>
          <w:sz w:val="24"/>
          <w14:textFill>
            <w14:solidFill>
              <w14:schemeClr w14:val="tx1"/>
            </w14:solidFill>
          </w14:textFill>
        </w:rPr>
        <w:t>）：</w:t>
      </w:r>
    </w:p>
    <w:p>
      <w:pPr>
        <w:adjustRightInd w:val="0"/>
        <w:snapToGrid w:val="0"/>
        <w:spacing w:line="360" w:lineRule="auto"/>
        <w:ind w:firstLine="6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）企业法人营业执照副本（复印件加盖公章）；</w:t>
      </w:r>
    </w:p>
    <w:p>
      <w:pPr>
        <w:adjustRightInd w:val="0"/>
        <w:snapToGrid w:val="0"/>
        <w:spacing w:line="360" w:lineRule="auto"/>
        <w:ind w:firstLine="6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）法定代表人授权书原件（加盖公章）；</w:t>
      </w:r>
    </w:p>
    <w:p>
      <w:pPr>
        <w:adjustRightInd w:val="0"/>
        <w:snapToGrid w:val="0"/>
        <w:spacing w:line="360" w:lineRule="auto"/>
        <w:ind w:firstLine="6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）报名人有效身份证或复印件（加盖公章）；</w:t>
      </w:r>
    </w:p>
    <w:p>
      <w:pPr>
        <w:adjustRightInd w:val="0"/>
        <w:snapToGrid w:val="0"/>
        <w:spacing w:line="360" w:lineRule="auto"/>
        <w:ind w:firstLine="6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d</w:t>
      </w:r>
      <w:r>
        <w:rPr>
          <w:rFonts w:hint="eastAsia" w:ascii="宋体" w:hAnsi="宋体" w:cs="宋体"/>
          <w:color w:val="000000" w:themeColor="text1"/>
          <w:sz w:val="24"/>
          <w14:textFill>
            <w14:solidFill>
              <w14:schemeClr w14:val="tx1"/>
            </w14:solidFill>
          </w14:textFill>
        </w:rPr>
        <w:t>）投标供应商报名表</w:t>
      </w:r>
    </w:p>
    <w:p>
      <w:pPr>
        <w:pStyle w:val="58"/>
        <w:spacing w:line="360" w:lineRule="auto"/>
        <w:ind w:firstLine="480"/>
        <w:rPr>
          <w:rFonts w:ascii="宋体" w:cs="宋体"/>
          <w:color w:val="000000" w:themeColor="text1"/>
          <w:kern w:val="2"/>
          <w:sz w:val="24"/>
          <w14:textFill>
            <w14:solidFill>
              <w14:schemeClr w14:val="tx1"/>
            </w14:solidFill>
          </w14:textFill>
        </w:rPr>
      </w:pPr>
      <w:r>
        <w:rPr>
          <w:rFonts w:ascii="宋体" w:hAnsi="宋体" w:cs="宋体"/>
          <w:b/>
          <w:bCs/>
          <w:color w:val="000000" w:themeColor="text1"/>
          <w:kern w:val="2"/>
          <w:sz w:val="24"/>
          <w14:textFill>
            <w14:solidFill>
              <w14:schemeClr w14:val="tx1"/>
            </w14:solidFill>
          </w14:textFill>
        </w:rPr>
        <w:t>5</w:t>
      </w:r>
      <w:r>
        <w:rPr>
          <w:rFonts w:hint="eastAsia" w:ascii="宋体" w:hAnsi="宋体" w:cs="宋体"/>
          <w:b/>
          <w:bCs/>
          <w:color w:val="000000" w:themeColor="text1"/>
          <w:kern w:val="2"/>
          <w:sz w:val="24"/>
          <w14:textFill>
            <w14:solidFill>
              <w14:schemeClr w14:val="tx1"/>
            </w14:solidFill>
          </w14:textFill>
        </w:rPr>
        <w:t>、特别提示：</w:t>
      </w:r>
      <w:r>
        <w:rPr>
          <w:rFonts w:hint="eastAsia" w:ascii="宋体" w:hAnsi="宋体" w:cs="宋体"/>
          <w:color w:val="000000" w:themeColor="text1"/>
          <w:kern w:val="2"/>
          <w:sz w:val="24"/>
          <w14:textFill>
            <w14:solidFill>
              <w14:schemeClr w14:val="tx1"/>
            </w14:solidFill>
          </w14:textFill>
        </w:rPr>
        <w:t>谈判公告附件内的谈判文件（或采购需求）仅供阅览使用，供应商只有在“政府采购云平台”完成获取谈判文件申请并下载了谈判文件后才视作依法获取谈判文件（法律法规所指的供应商获取谈判文件时间以供应商完成获取谈判文件申请后下载谈判文件的时间为准）。</w:t>
      </w:r>
    </w:p>
    <w:p>
      <w:pPr>
        <w:pStyle w:val="58"/>
        <w:spacing w:line="360" w:lineRule="auto"/>
        <w:ind w:firstLine="482" w:firstLineChars="200"/>
        <w:rPr>
          <w:rFonts w:ascii="宋体" w:cs="宋体"/>
          <w:color w:val="000000" w:themeColor="text1"/>
          <w:sz w:val="24"/>
          <w14:textFill>
            <w14:solidFill>
              <w14:schemeClr w14:val="tx1"/>
            </w14:solidFill>
          </w14:textFill>
        </w:rPr>
      </w:pPr>
      <w:r>
        <w:rPr>
          <w:rStyle w:val="26"/>
          <w:rFonts w:hint="eastAsia" w:ascii="宋体" w:hAnsi="宋体" w:cs="宋体"/>
          <w:bCs/>
          <w:color w:val="000000" w:themeColor="text1"/>
          <w:sz w:val="24"/>
          <w14:textFill>
            <w14:solidFill>
              <w14:schemeClr w14:val="tx1"/>
            </w14:solidFill>
          </w14:textFill>
        </w:rPr>
        <w:t>五、投标说明：</w:t>
      </w:r>
    </w:p>
    <w:p>
      <w:pPr>
        <w:spacing w:line="360" w:lineRule="auto"/>
        <w:ind w:firstLine="480" w:firstLineChars="200"/>
        <w:rPr>
          <w:rFonts w:ascii="宋体" w:cs="宋体"/>
          <w:color w:val="000000" w:themeColor="text1"/>
          <w:kern w:val="0"/>
          <w:sz w:val="24"/>
          <w:u w:val="single"/>
          <w14:textFill>
            <w14:solidFill>
              <w14:schemeClr w14:val="tx1"/>
            </w14:solidFill>
          </w14:textFill>
        </w:rPr>
      </w:pPr>
      <w:r>
        <w:rPr>
          <w:rFonts w:ascii="宋体" w:hAnsi="宋体" w:cs="宋体"/>
          <w:color w:val="000000" w:themeColor="text1"/>
          <w:kern w:val="0"/>
          <w:sz w:val="24"/>
          <w:u w:val="single"/>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本项目实行电子评审，谈判供应商应按照本项目谈判文件和政采云平台的要求编制、加密并递交谈判响应文件。谈判供应商在使用系统进行谈判的过程中遇到涉及平台使用的任何问题，可致电政采云平台技术支持热线咨询，联系方式：</w:t>
      </w:r>
      <w:r>
        <w:rPr>
          <w:rFonts w:ascii="宋体" w:hAnsi="宋体" w:cs="宋体"/>
          <w:color w:val="000000" w:themeColor="text1"/>
          <w:kern w:val="0"/>
          <w:sz w:val="24"/>
          <w:u w:val="single"/>
          <w14:textFill>
            <w14:solidFill>
              <w14:schemeClr w14:val="tx1"/>
            </w14:solidFill>
          </w14:textFill>
        </w:rPr>
        <w:t>400-881-7190</w:t>
      </w:r>
      <w:r>
        <w:rPr>
          <w:rFonts w:hint="eastAsia" w:ascii="宋体" w:hAnsi="宋体" w:cs="宋体"/>
          <w:color w:val="000000" w:themeColor="text1"/>
          <w:kern w:val="0"/>
          <w:sz w:val="24"/>
          <w:u w:val="single"/>
          <w14:textFill>
            <w14:solidFill>
              <w14:schemeClr w14:val="tx1"/>
            </w14:solidFill>
          </w14:textFill>
        </w:rPr>
        <w:t>。</w:t>
      </w:r>
    </w:p>
    <w:p>
      <w:pPr>
        <w:spacing w:line="360" w:lineRule="auto"/>
        <w:ind w:firstLine="480" w:firstLineChars="200"/>
        <w:rPr>
          <w:rFonts w:ascii="宋体" w:cs="宋体"/>
          <w:color w:val="000000" w:themeColor="text1"/>
          <w:kern w:val="0"/>
          <w:sz w:val="24"/>
          <w:u w:val="single"/>
          <w14:textFill>
            <w14:solidFill>
              <w14:schemeClr w14:val="tx1"/>
            </w14:solidFill>
          </w14:textFill>
        </w:rPr>
      </w:pP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谈判供应商通过政采云平台电子投标工具制作谈判响应文件，电子投标工具请谈判供应商自行前往浙江政府采购网下载并安装，（下载网址：</w:t>
      </w:r>
      <w:r>
        <w:rPr>
          <w:rFonts w:ascii="宋体" w:hAnsi="宋体" w:cs="宋体"/>
          <w:color w:val="000000" w:themeColor="text1"/>
          <w:kern w:val="0"/>
          <w:sz w:val="24"/>
          <w:u w:val="single"/>
          <w14:textFill>
            <w14:solidFill>
              <w14:schemeClr w14:val="tx1"/>
            </w14:solidFill>
          </w14:textFill>
        </w:rPr>
        <w:t>http://www.zjzfcg.gov.cn/bidClientTemplate/2019-05-27/12946.html</w:t>
      </w:r>
      <w:r>
        <w:rPr>
          <w:rFonts w:hint="eastAsia" w:ascii="宋体" w:hAnsi="宋体" w:cs="宋体"/>
          <w:color w:val="000000" w:themeColor="text1"/>
          <w:kern w:val="0"/>
          <w:sz w:val="24"/>
          <w:u w:val="single"/>
          <w14:textFill>
            <w14:solidFill>
              <w14:schemeClr w14:val="tx1"/>
            </w14:solidFill>
          </w14:textFill>
        </w:rPr>
        <w:t>）。</w:t>
      </w:r>
    </w:p>
    <w:p>
      <w:pPr>
        <w:spacing w:line="360" w:lineRule="auto"/>
        <w:ind w:firstLine="480" w:firstLineChars="200"/>
        <w:rPr>
          <w:rFonts w:ascii="宋体" w:cs="宋体"/>
          <w:color w:val="000000" w:themeColor="text1"/>
          <w:kern w:val="0"/>
          <w:sz w:val="24"/>
          <w:u w:val="single"/>
          <w14:textFill>
            <w14:solidFill>
              <w14:schemeClr w14:val="tx1"/>
            </w14:solidFill>
          </w14:textFill>
        </w:rPr>
      </w:pPr>
      <w:r>
        <w:rPr>
          <w:rFonts w:ascii="宋体" w:hAnsi="宋体" w:cs="宋体"/>
          <w:color w:val="000000" w:themeColor="text1"/>
          <w:kern w:val="0"/>
          <w:sz w:val="24"/>
          <w:u w:val="single"/>
          <w14:textFill>
            <w14:solidFill>
              <w14:schemeClr w14:val="tx1"/>
            </w14:solidFill>
          </w14:textFill>
        </w:rPr>
        <w:t>3.</w:t>
      </w:r>
      <w:r>
        <w:rPr>
          <w:rFonts w:hint="eastAsia" w:ascii="宋体" w:hAnsi="宋体" w:cs="宋体"/>
          <w:color w:val="000000" w:themeColor="text1"/>
          <w:kern w:val="0"/>
          <w:sz w:val="24"/>
          <w:u w:val="single"/>
          <w14:textFill>
            <w14:solidFill>
              <w14:schemeClr w14:val="tx1"/>
            </w14:solidFill>
          </w14:textFill>
        </w:rPr>
        <w:t>谈判供应商应在开标前完成</w:t>
      </w:r>
      <w:r>
        <w:rPr>
          <w:rFonts w:ascii="宋体" w:hAnsi="宋体" w:cs="宋体"/>
          <w:color w:val="000000" w:themeColor="text1"/>
          <w:kern w:val="0"/>
          <w:sz w:val="24"/>
          <w:u w:val="single"/>
          <w14:textFill>
            <w14:solidFill>
              <w14:schemeClr w14:val="tx1"/>
            </w14:solidFill>
          </w14:textFill>
        </w:rPr>
        <w:t>CA</w:t>
      </w:r>
      <w:r>
        <w:rPr>
          <w:rFonts w:hint="eastAsia" w:ascii="宋体" w:hAnsi="宋体" w:cs="宋体"/>
          <w:color w:val="000000" w:themeColor="text1"/>
          <w:kern w:val="0"/>
          <w:sz w:val="24"/>
          <w:u w:val="single"/>
          <w14:textFill>
            <w14:solidFill>
              <w14:schemeClr w14:val="tx1"/>
            </w14:solidFill>
          </w14:textFill>
        </w:rPr>
        <w:t>数字证书办理。（办理流程详见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"http://www.zjzfcg.gov.cn/bidClientTemplate/2019-05-27/12945.html" </w:instrText>
      </w:r>
      <w:r>
        <w:rPr>
          <w:color w:val="000000" w:themeColor="text1"/>
          <w14:textFill>
            <w14:solidFill>
              <w14:schemeClr w14:val="tx1"/>
            </w14:solidFill>
          </w14:textFill>
        </w:rPr>
        <w:fldChar w:fldCharType="separate"/>
      </w:r>
      <w:r>
        <w:rPr>
          <w:rFonts w:ascii="宋体" w:hAnsi="宋体" w:cs="宋体"/>
          <w:color w:val="000000" w:themeColor="text1"/>
          <w:kern w:val="0"/>
          <w:sz w:val="24"/>
          <w:u w:val="single"/>
          <w14:textFill>
            <w14:solidFill>
              <w14:schemeClr w14:val="tx1"/>
            </w14:solidFill>
          </w14:textFill>
        </w:rPr>
        <w:t>http://www.zjzfcg.gov.cn/bidClientTemplate/2019-05-27/12945.html</w:t>
      </w:r>
      <w:r>
        <w:rPr>
          <w:rFonts w:ascii="宋体" w:hAnsi="宋体" w:cs="宋体"/>
          <w:color w:val="000000" w:themeColor="text1"/>
          <w:kern w:val="0"/>
          <w:sz w:val="24"/>
          <w:u w:val="single"/>
          <w14:textFill>
            <w14:solidFill>
              <w14:schemeClr w14:val="tx1"/>
            </w14:solidFill>
          </w14:textFill>
        </w:rPr>
        <w:fldChar w:fldCharType="end"/>
      </w:r>
      <w:r>
        <w:rPr>
          <w:rFonts w:hint="eastAsia" w:ascii="宋体" w:hAnsi="宋体" w:cs="宋体"/>
          <w:color w:val="000000" w:themeColor="text1"/>
          <w:kern w:val="0"/>
          <w:sz w:val="24"/>
          <w:u w:val="single"/>
          <w14:textFill>
            <w14:solidFill>
              <w14:schemeClr w14:val="tx1"/>
            </w14:solidFill>
          </w14:textFill>
        </w:rPr>
        <w:t>，完成</w:t>
      </w:r>
      <w:r>
        <w:rPr>
          <w:rFonts w:ascii="宋体" w:hAnsi="宋体" w:cs="宋体"/>
          <w:color w:val="000000" w:themeColor="text1"/>
          <w:kern w:val="0"/>
          <w:sz w:val="24"/>
          <w:u w:val="single"/>
          <w14:textFill>
            <w14:solidFill>
              <w14:schemeClr w14:val="tx1"/>
            </w14:solidFill>
          </w14:textFill>
        </w:rPr>
        <w:t>CA</w:t>
      </w:r>
      <w:r>
        <w:rPr>
          <w:rFonts w:hint="eastAsia" w:ascii="宋体" w:hAnsi="宋体" w:cs="宋体"/>
          <w:color w:val="000000" w:themeColor="text1"/>
          <w:kern w:val="0"/>
          <w:sz w:val="24"/>
          <w:u w:val="single"/>
          <w14:textFill>
            <w14:solidFill>
              <w14:schemeClr w14:val="tx1"/>
            </w14:solidFill>
          </w14:textFill>
        </w:rPr>
        <w:t>数字证书办理预计一周左右，请各供应商自行把握时间）</w:t>
      </w:r>
    </w:p>
    <w:p>
      <w:pPr>
        <w:spacing w:line="360" w:lineRule="auto"/>
        <w:ind w:firstLine="480" w:firstLineChars="200"/>
        <w:rPr>
          <w:rFonts w:ascii="宋体" w:cs="宋体"/>
          <w:color w:val="000000" w:themeColor="text1"/>
          <w:kern w:val="0"/>
          <w:sz w:val="24"/>
          <w:u w:val="single"/>
          <w14:textFill>
            <w14:solidFill>
              <w14:schemeClr w14:val="tx1"/>
            </w14:solidFill>
          </w14:textFill>
        </w:rPr>
      </w:pPr>
      <w:r>
        <w:rPr>
          <w:rFonts w:ascii="宋体" w:hAnsi="宋体" w:cs="宋体"/>
          <w:color w:val="000000" w:themeColor="text1"/>
          <w:kern w:val="0"/>
          <w:sz w:val="24"/>
          <w:u w:val="single"/>
          <w14:textFill>
            <w14:solidFill>
              <w14:schemeClr w14:val="tx1"/>
            </w14:solidFill>
          </w14:textFill>
        </w:rPr>
        <w:t>4.</w:t>
      </w:r>
      <w:r>
        <w:rPr>
          <w:rFonts w:hint="eastAsia" w:ascii="宋体" w:hAnsi="宋体" w:cs="宋体"/>
          <w:color w:val="000000" w:themeColor="text1"/>
          <w:kern w:val="0"/>
          <w:sz w:val="24"/>
          <w:u w:val="single"/>
          <w14:textFill>
            <w14:solidFill>
              <w14:schemeClr w14:val="tx1"/>
            </w14:solidFill>
          </w14:textFill>
        </w:rPr>
        <w:t>谈判供应商应当在响应文件递交截止时间前完成电子谈判响应文件的传输递交，并可以补充、修改或者撤回电子谈判响应文件。补充或者修改电子谈判响应文件的，应当先行撤回原文件，补充、修改后重新传输递交。响应文件递交截止时间前未完成传输的，视为撤回谈判响应文件。响应文件递交截止时间后传输、递交的谈判响应文件，将被拒收。</w:t>
      </w:r>
      <w:r>
        <w:rPr>
          <w:rFonts w:hint="eastAsia" w:ascii="宋体" w:hAnsi="宋体" w:cs="宋体"/>
          <w:color w:val="000000" w:themeColor="text1"/>
          <w:kern w:val="0"/>
          <w:sz w:val="24"/>
          <w:u w:val="single"/>
          <w:lang w:val="en-GB"/>
          <w14:textFill>
            <w14:solidFill>
              <w14:schemeClr w14:val="tx1"/>
            </w14:solidFill>
          </w14:textFill>
        </w:rPr>
        <w:t>在谈判后规定的谈判响应有效期内，谈判供应商不能撤销谈判响应文件。</w:t>
      </w:r>
    </w:p>
    <w:p>
      <w:pPr>
        <w:spacing w:line="360" w:lineRule="auto"/>
        <w:ind w:firstLine="480" w:firstLineChars="200"/>
        <w:rPr>
          <w:rFonts w:asci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谈判响应文件的组成、份数、密封、效力</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本项目实行电子评审，谈判供应商应准备电子谈判响应文件、以介质（</w:t>
      </w:r>
      <w:r>
        <w:rPr>
          <w:rFonts w:ascii="宋体" w:hAnsi="宋体" w:cs="宋体"/>
          <w:color w:val="000000" w:themeColor="text1"/>
          <w:sz w:val="24"/>
          <w14:textFill>
            <w14:solidFill>
              <w14:schemeClr w14:val="tx1"/>
            </w14:solidFill>
          </w14:textFill>
        </w:rPr>
        <w:t>U</w:t>
      </w:r>
      <w:r>
        <w:rPr>
          <w:rFonts w:hint="eastAsia" w:ascii="宋体" w:hAnsi="宋体" w:cs="宋体"/>
          <w:color w:val="000000" w:themeColor="text1"/>
          <w:sz w:val="24"/>
          <w14:textFill>
            <w14:solidFill>
              <w14:schemeClr w14:val="tx1"/>
            </w14:solidFill>
          </w14:textFill>
        </w:rPr>
        <w:t>盘）存储的数据电文形式、纸质备份谈判响应文件三类：</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5.1</w:t>
      </w:r>
      <w:r>
        <w:rPr>
          <w:rFonts w:hint="eastAsia" w:ascii="宋体" w:hAnsi="宋体" w:cs="宋体"/>
          <w:color w:val="000000" w:themeColor="text1"/>
          <w:sz w:val="24"/>
          <w14:textFill>
            <w14:solidFill>
              <w14:schemeClr w14:val="tx1"/>
            </w14:solidFill>
          </w14:textFill>
        </w:rPr>
        <w:t>电子谈判响应文件，按政采云平台项目采购</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电子招投标操作指南及本谈判文件要求编制。</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5.2</w:t>
      </w:r>
      <w:bookmarkStart w:id="0" w:name="_Hlk34638143"/>
      <w:r>
        <w:rPr>
          <w:rFonts w:hint="eastAsia" w:ascii="宋体" w:hAnsi="宋体" w:cs="宋体"/>
          <w:color w:val="000000" w:themeColor="text1"/>
          <w:sz w:val="24"/>
          <w14:textFill>
            <w14:solidFill>
              <w14:schemeClr w14:val="tx1"/>
            </w14:solidFill>
          </w14:textFill>
        </w:rPr>
        <w:t>纸质</w:t>
      </w:r>
      <w:bookmarkEnd w:id="0"/>
      <w:r>
        <w:rPr>
          <w:rFonts w:hint="eastAsia" w:ascii="宋体" w:hAnsi="宋体" w:cs="宋体"/>
          <w:color w:val="000000" w:themeColor="text1"/>
          <w:sz w:val="24"/>
          <w14:textFill>
            <w14:solidFill>
              <w14:schemeClr w14:val="tx1"/>
            </w14:solidFill>
          </w14:textFill>
        </w:rPr>
        <w:t>备份谈判响应文件以纸质文件的形式编制，</w:t>
      </w:r>
      <w:r>
        <w:rPr>
          <w:rFonts w:hint="eastAsia" w:ascii="宋体" w:hAnsi="宋体" w:cs="宋体"/>
          <w:b/>
          <w:bCs/>
          <w:color w:val="000000" w:themeColor="text1"/>
          <w:sz w:val="24"/>
          <w14:textFill>
            <w14:solidFill>
              <w14:schemeClr w14:val="tx1"/>
            </w14:solidFill>
          </w14:textFill>
        </w:rPr>
        <w:t>数量为</w:t>
      </w:r>
      <w:r>
        <w:rPr>
          <w:rFonts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份（一正一副），</w:t>
      </w:r>
      <w:r>
        <w:rPr>
          <w:rFonts w:hint="eastAsia" w:ascii="宋体" w:hAnsi="宋体" w:cs="宋体"/>
          <w:color w:val="000000" w:themeColor="text1"/>
          <w:sz w:val="24"/>
          <w14:textFill>
            <w14:solidFill>
              <w14:schemeClr w14:val="tx1"/>
            </w14:solidFill>
          </w14:textFill>
        </w:rPr>
        <w:t>须密封封装，未密封的谈判响应文件将为无效。</w:t>
      </w:r>
    </w:p>
    <w:p>
      <w:pPr>
        <w:spacing w:line="360" w:lineRule="auto"/>
        <w:ind w:firstLine="480" w:firstLineChars="200"/>
        <w:rPr>
          <w:rFonts w:ascii="宋体" w:cs="宋体"/>
          <w:color w:val="000000" w:themeColor="text1"/>
          <w:sz w:val="24"/>
          <w14:textFill>
            <w14:solidFill>
              <w14:schemeClr w14:val="tx1"/>
            </w14:solidFill>
          </w14:textFill>
        </w:rPr>
      </w:pPr>
      <w:bookmarkStart w:id="1" w:name="_Hlk34639647"/>
      <w:r>
        <w:rPr>
          <w:rFonts w:ascii="宋体" w:hAnsi="宋体" w:cs="宋体"/>
          <w:color w:val="000000" w:themeColor="text1"/>
          <w:sz w:val="24"/>
          <w14:textFill>
            <w14:solidFill>
              <w14:schemeClr w14:val="tx1"/>
            </w14:solidFill>
          </w14:textFill>
        </w:rPr>
        <w:t>5.3</w:t>
      </w:r>
      <w:r>
        <w:rPr>
          <w:rFonts w:hint="eastAsia" w:ascii="宋体" w:hAnsi="宋体" w:cs="宋体"/>
          <w:color w:val="000000" w:themeColor="text1"/>
          <w:sz w:val="24"/>
          <w14:textFill>
            <w14:solidFill>
              <w14:schemeClr w14:val="tx1"/>
            </w14:solidFill>
          </w14:textFill>
        </w:rPr>
        <w:t>投标供应商在“政府采购云平台”完成“电子加密投标文件”的上传递交后，还可以（邮寄形式）在投标截止时间前递交以介质（</w:t>
      </w:r>
      <w:r>
        <w:rPr>
          <w:rFonts w:ascii="宋体" w:hAnsi="宋体" w:cs="宋体"/>
          <w:color w:val="000000" w:themeColor="text1"/>
          <w:sz w:val="24"/>
          <w14:textFill>
            <w14:solidFill>
              <w14:schemeClr w14:val="tx1"/>
            </w14:solidFill>
          </w14:textFill>
        </w:rPr>
        <w:t>U</w:t>
      </w:r>
      <w:r>
        <w:rPr>
          <w:rFonts w:hint="eastAsia" w:ascii="宋体" w:hAnsi="宋体" w:cs="宋体"/>
          <w:color w:val="000000" w:themeColor="text1"/>
          <w:sz w:val="24"/>
          <w14:textFill>
            <w14:solidFill>
              <w14:schemeClr w14:val="tx1"/>
            </w14:solidFill>
          </w14:textFill>
        </w:rPr>
        <w:t>盘）存储的数据电文形式和纸质形式的“备份投标文件”，“备份投标文件”应当密封包装并在包装上标注投标项目名称、投标单位名称并加盖公章。以介质（</w:t>
      </w:r>
      <w:r>
        <w:rPr>
          <w:rFonts w:ascii="宋体" w:hAnsi="宋体" w:cs="宋体"/>
          <w:color w:val="000000" w:themeColor="text1"/>
          <w:sz w:val="24"/>
          <w14:textFill>
            <w14:solidFill>
              <w14:schemeClr w14:val="tx1"/>
            </w14:solidFill>
          </w14:textFill>
        </w:rPr>
        <w:t>U</w:t>
      </w:r>
      <w:r>
        <w:rPr>
          <w:rFonts w:hint="eastAsia" w:ascii="宋体" w:hAnsi="宋体" w:cs="宋体"/>
          <w:color w:val="000000" w:themeColor="text1"/>
          <w:sz w:val="24"/>
          <w14:textFill>
            <w14:solidFill>
              <w14:schemeClr w14:val="tx1"/>
            </w14:solidFill>
          </w14:textFill>
        </w:rPr>
        <w:t>盘）存储的数据电文形式和纸质形式的“备份投标文件”需分别密封，可采用以下两种方式其中一种送达（逾期送达或未密封将被拒收）：</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①在投标截止时间前送交到开标地点；</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邮寄地址：浙江五石中正工程咨询有限公司（浙江省台州市东环大道576号二楼，联系人：金老师，电话：</w:t>
      </w:r>
      <w:r>
        <w:rPr>
          <w:rFonts w:ascii="宋体" w:hAnsi="宋体" w:cs="宋体"/>
          <w:color w:val="000000" w:themeColor="text1"/>
          <w:sz w:val="24"/>
          <w14:textFill>
            <w14:solidFill>
              <w14:schemeClr w14:val="tx1"/>
            </w14:solidFill>
          </w14:textFill>
        </w:rPr>
        <w:t>0576-88781913</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5.4</w:t>
      </w:r>
      <w:r>
        <w:rPr>
          <w:rFonts w:hint="eastAsia" w:ascii="宋体" w:hAnsi="宋体" w:cs="宋体"/>
          <w:color w:val="000000" w:themeColor="text1"/>
          <w:sz w:val="24"/>
          <w14:textFill>
            <w14:solidFill>
              <w14:schemeClr w14:val="tx1"/>
            </w14:solidFill>
          </w14:textFill>
        </w:rPr>
        <w:t>通过“政府采购云平台”上传递交的“电子加密谈判响应文件”无法按时解密，谈判供应商递交了备份谈判响应文件的，以备份谈判响应文件为依据，否则视为谈判响应文件撤回。通过“政府采购云平台”上传递交的“电子加密谈判响应文件”已按时解密的，“备份谈判响应文件”自动失效。谈判供应商仅递交备份谈判响应文件的，响应无效。</w:t>
      </w:r>
    </w:p>
    <w:bookmarkEnd w:id="1"/>
    <w:p>
      <w:pPr>
        <w:spacing w:line="360" w:lineRule="auto"/>
        <w:ind w:firstLine="480" w:firstLineChars="200"/>
        <w:rPr>
          <w:rFonts w:ascii="宋体" w:cs="宋体"/>
          <w:color w:val="000000" w:themeColor="text1"/>
          <w:sz w:val="24"/>
          <w:u w:val="single"/>
          <w14:textFill>
            <w14:solidFill>
              <w14:schemeClr w14:val="tx1"/>
            </w14:solidFill>
          </w14:textFill>
        </w:rPr>
      </w:pPr>
      <w:bookmarkStart w:id="2" w:name="_Hlk34638256"/>
      <w:r>
        <w:rPr>
          <w:rFonts w:ascii="宋体" w:hAnsi="宋体" w:cs="宋体"/>
          <w:color w:val="000000" w:themeColor="text1"/>
          <w:sz w:val="24"/>
          <w:u w:val="single"/>
          <w14:textFill>
            <w14:solidFill>
              <w14:schemeClr w14:val="tx1"/>
            </w14:solidFill>
          </w14:textFill>
        </w:rPr>
        <w:t>5.5</w:t>
      </w:r>
      <w:r>
        <w:rPr>
          <w:rFonts w:hint="eastAsia" w:ascii="宋体" w:hAnsi="宋体" w:cs="宋体"/>
          <w:color w:val="000000" w:themeColor="text1"/>
          <w:sz w:val="24"/>
          <w:u w:val="single"/>
          <w14:textFill>
            <w14:solidFill>
              <w14:schemeClr w14:val="tx1"/>
            </w14:solidFill>
          </w14:textFill>
        </w:rPr>
        <w:t>谈判响应文件启用顺序和效力：谈判响应文件的启用，按先后顺位分别为</w:t>
      </w:r>
      <w:bookmarkStart w:id="3" w:name="_Hlk34637932"/>
      <w:r>
        <w:rPr>
          <w:rFonts w:hint="eastAsia" w:ascii="宋体" w:hAnsi="宋体" w:cs="宋体"/>
          <w:color w:val="000000" w:themeColor="text1"/>
          <w:sz w:val="24"/>
          <w:u w:val="single"/>
          <w14:textFill>
            <w14:solidFill>
              <w14:schemeClr w14:val="tx1"/>
            </w14:solidFill>
          </w14:textFill>
        </w:rPr>
        <w:t>电子</w:t>
      </w:r>
      <w:bookmarkEnd w:id="3"/>
      <w:r>
        <w:rPr>
          <w:rFonts w:hint="eastAsia" w:ascii="宋体" w:hAnsi="宋体" w:cs="宋体"/>
          <w:color w:val="000000" w:themeColor="text1"/>
          <w:sz w:val="24"/>
          <w:u w:val="single"/>
          <w14:textFill>
            <w14:solidFill>
              <w14:schemeClr w14:val="tx1"/>
            </w14:solidFill>
          </w14:textFill>
        </w:rPr>
        <w:t>谈判响应文件、以介质（</w:t>
      </w:r>
      <w:r>
        <w:rPr>
          <w:rFonts w:ascii="宋体" w:hAnsi="宋体" w:cs="宋体"/>
          <w:color w:val="000000" w:themeColor="text1"/>
          <w:sz w:val="24"/>
          <w:u w:val="single"/>
          <w14:textFill>
            <w14:solidFill>
              <w14:schemeClr w14:val="tx1"/>
            </w14:solidFill>
          </w14:textFill>
        </w:rPr>
        <w:t>U</w:t>
      </w:r>
      <w:r>
        <w:rPr>
          <w:rFonts w:hint="eastAsia" w:ascii="宋体" w:hAnsi="宋体" w:cs="宋体"/>
          <w:color w:val="000000" w:themeColor="text1"/>
          <w:sz w:val="24"/>
          <w:u w:val="single"/>
          <w14:textFill>
            <w14:solidFill>
              <w14:schemeClr w14:val="tx1"/>
            </w14:solidFill>
          </w14:textFill>
        </w:rPr>
        <w:t>盘）存储的数据电文形式的备份谈判响应文件和纸质备份谈判响应文件。</w:t>
      </w:r>
      <w:bookmarkStart w:id="4" w:name="_Hlk34637983"/>
      <w:r>
        <w:rPr>
          <w:rFonts w:hint="eastAsia" w:ascii="宋体" w:hAnsi="宋体" w:cs="宋体"/>
          <w:color w:val="000000" w:themeColor="text1"/>
          <w:sz w:val="24"/>
          <w:u w:val="single"/>
          <w14:textFill>
            <w14:solidFill>
              <w14:schemeClr w14:val="tx1"/>
            </w14:solidFill>
          </w14:textFill>
        </w:rPr>
        <w:t>全部谈判供应商的</w:t>
      </w:r>
      <w:bookmarkStart w:id="5" w:name="_Hlk34638083"/>
      <w:r>
        <w:rPr>
          <w:rFonts w:hint="eastAsia" w:ascii="宋体" w:hAnsi="宋体" w:cs="宋体"/>
          <w:color w:val="000000" w:themeColor="text1"/>
          <w:sz w:val="24"/>
          <w:u w:val="single"/>
          <w14:textFill>
            <w14:solidFill>
              <w14:schemeClr w14:val="tx1"/>
            </w14:solidFill>
          </w14:textFill>
        </w:rPr>
        <w:t>电子谈判响应文件均已按时解密的，</w:t>
      </w:r>
      <w:bookmarkEnd w:id="5"/>
      <w:r>
        <w:rPr>
          <w:rFonts w:hint="eastAsia" w:ascii="宋体" w:hAnsi="宋体" w:cs="宋体"/>
          <w:color w:val="000000" w:themeColor="text1"/>
          <w:sz w:val="24"/>
          <w:u w:val="single"/>
          <w14:textFill>
            <w14:solidFill>
              <w14:schemeClr w14:val="tx1"/>
            </w14:solidFill>
          </w14:textFill>
        </w:rPr>
        <w:t>备份谈判响应文件自动失效，全部谈判供应商的电子谈判响应文件均无法按时解密的，</w:t>
      </w:r>
      <w:bookmarkStart w:id="6" w:name="_Hlk34638161"/>
      <w:r>
        <w:rPr>
          <w:rFonts w:hint="eastAsia" w:ascii="宋体" w:hAnsi="宋体" w:cs="宋体"/>
          <w:color w:val="000000" w:themeColor="text1"/>
          <w:sz w:val="24"/>
          <w:u w:val="single"/>
          <w14:textFill>
            <w14:solidFill>
              <w14:schemeClr w14:val="tx1"/>
            </w14:solidFill>
          </w14:textFill>
        </w:rPr>
        <w:t>启用纸质备份谈判响应文件进行线下谈判。</w:t>
      </w:r>
      <w:bookmarkEnd w:id="6"/>
      <w:r>
        <w:rPr>
          <w:rFonts w:hint="eastAsia" w:ascii="宋体" w:hAnsi="宋体" w:cs="宋体"/>
          <w:color w:val="000000" w:themeColor="text1"/>
          <w:sz w:val="24"/>
          <w:u w:val="single"/>
          <w14:textFill>
            <w14:solidFill>
              <w14:schemeClr w14:val="tx1"/>
            </w14:solidFill>
          </w14:textFill>
        </w:rPr>
        <w:t>如果某位谈判供应商的电子谈判响应文件无法按时解密的，其谈判响应文件为无效标，不启用纸质备份谈判响应文件。</w:t>
      </w:r>
      <w:bookmarkEnd w:id="2"/>
      <w:bookmarkEnd w:id="4"/>
    </w:p>
    <w:p>
      <w:pPr>
        <w:spacing w:line="360" w:lineRule="auto"/>
        <w:ind w:firstLine="480" w:firstLineChars="200"/>
        <w:rPr>
          <w:rFonts w:ascii="宋体" w:cs="宋体"/>
          <w:color w:val="000000" w:themeColor="text1"/>
          <w:sz w:val="24"/>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5.6</w:t>
      </w:r>
      <w:r>
        <w:rPr>
          <w:rFonts w:hint="eastAsia" w:ascii="宋体" w:hAnsi="宋体" w:cs="宋体"/>
          <w:color w:val="000000" w:themeColor="text1"/>
          <w:sz w:val="24"/>
          <w:u w:val="single"/>
          <w14:textFill>
            <w14:solidFill>
              <w14:schemeClr w14:val="tx1"/>
            </w14:solidFill>
          </w14:textFill>
        </w:rPr>
        <w:t>▲未传输递交电子谈判响应文件的，响应无效。▲未按规定提供相应的备份谈判响应文件，造成项目谈判活动无法进行下去的，响应无效。</w:t>
      </w:r>
    </w:p>
    <w:p>
      <w:pPr>
        <w:numPr>
          <w:ilvl w:val="0"/>
          <w:numId w:val="4"/>
        </w:numPr>
        <w:spacing w:line="360" w:lineRule="auto"/>
        <w:ind w:firstLine="482" w:firstLineChars="200"/>
        <w:rPr>
          <w:rFonts w:ascii="宋体" w:cs="宋体"/>
          <w:color w:val="000000" w:themeColor="text1"/>
          <w:sz w:val="24"/>
          <w14:textFill>
            <w14:solidFill>
              <w14:schemeClr w14:val="tx1"/>
            </w14:solidFill>
          </w14:textFill>
        </w:rPr>
      </w:pPr>
      <w:r>
        <w:rPr>
          <w:rStyle w:val="26"/>
          <w:rFonts w:hint="eastAsia" w:ascii="宋体" w:hAnsi="宋体" w:cs="宋体"/>
          <w:bCs/>
          <w:color w:val="000000" w:themeColor="text1"/>
          <w:sz w:val="24"/>
          <w14:textFill>
            <w14:solidFill>
              <w14:schemeClr w14:val="tx1"/>
            </w14:solidFill>
          </w14:textFill>
        </w:rPr>
        <w:t>投标截止时间及开标时间：</w:t>
      </w:r>
      <w:r>
        <w:rPr>
          <w:rFonts w:hint="eastAsia" w:ascii="宋体" w:hAnsi="宋体" w:cs="宋体"/>
          <w:color w:val="000000" w:themeColor="text1"/>
          <w:sz w:val="24"/>
          <w14:textFill>
            <w14:solidFill>
              <w14:schemeClr w14:val="tx1"/>
            </w14:solidFill>
          </w14:textFill>
        </w:rPr>
        <w:t>2022年2月8日上午10：00</w:t>
      </w:r>
    </w:p>
    <w:p>
      <w:pPr>
        <w:numPr>
          <w:ilvl w:val="0"/>
          <w:numId w:val="4"/>
        </w:numPr>
        <w:spacing w:line="360" w:lineRule="auto"/>
        <w:ind w:firstLine="482" w:firstLineChars="200"/>
        <w:rPr>
          <w:rFonts w:ascii="宋体" w:cs="宋体"/>
          <w:color w:val="000000" w:themeColor="text1"/>
          <w:sz w:val="24"/>
          <w14:textFill>
            <w14:solidFill>
              <w14:schemeClr w14:val="tx1"/>
            </w14:solidFill>
          </w14:textFill>
        </w:rPr>
      </w:pPr>
      <w:r>
        <w:rPr>
          <w:rStyle w:val="26"/>
          <w:rFonts w:hint="eastAsia" w:ascii="宋体" w:hAnsi="宋体" w:cs="宋体"/>
          <w:bCs/>
          <w:color w:val="000000" w:themeColor="text1"/>
          <w:sz w:val="24"/>
          <w14:textFill>
            <w14:solidFill>
              <w14:schemeClr w14:val="tx1"/>
            </w14:solidFill>
          </w14:textFill>
        </w:rPr>
        <w:t>投标及开标地址：</w:t>
      </w:r>
      <w:r>
        <w:rPr>
          <w:rFonts w:hint="eastAsia" w:ascii="宋体" w:hAnsi="宋体" w:cs="宋体"/>
          <w:color w:val="000000" w:themeColor="text1"/>
          <w:sz w:val="24"/>
          <w14:textFill>
            <w14:solidFill>
              <w14:schemeClr w14:val="tx1"/>
            </w14:solidFill>
          </w14:textFill>
        </w:rPr>
        <w:t>台州恩泽医疗中心（集团）临海市西门街150号台州医院多媒体教室。</w:t>
      </w:r>
    </w:p>
    <w:p>
      <w:pPr>
        <w:spacing w:line="360" w:lineRule="auto"/>
        <w:ind w:left="420" w:leftChars="200"/>
        <w:rPr>
          <w:rFonts w:ascii="宋体" w:cs="宋体"/>
          <w:color w:val="000000" w:themeColor="text1"/>
          <w:sz w:val="24"/>
          <w14:textFill>
            <w14:solidFill>
              <w14:schemeClr w14:val="tx1"/>
            </w14:solidFill>
          </w14:textFill>
        </w:rPr>
      </w:pPr>
      <w:r>
        <w:rPr>
          <w:rStyle w:val="26"/>
          <w:rFonts w:hint="eastAsia" w:ascii="宋体" w:hAnsi="宋体" w:cs="宋体"/>
          <w:bCs/>
          <w:color w:val="000000" w:themeColor="text1"/>
          <w:sz w:val="24"/>
          <w14:textFill>
            <w14:solidFill>
              <w14:schemeClr w14:val="tx1"/>
            </w14:solidFill>
          </w14:textFill>
        </w:rPr>
        <w:t>八、相关注意事项：</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获取谈判文件的时间期限截止之日之后有潜在谈判供应商提出要求获取谈判文件的，采购代理机构将允许其获取，但该谈判供应商如对谈判文件有异议的，应于自报名成功后获取谈判文件的时间期限截止之日起七个工作日内且在响应文件递交截止时间之前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成交公告期限：对成交结果提出质疑的，应当在成交结果公告期限届满之日起</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个工作日内。</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根据财库</w:t>
      </w:r>
      <w:r>
        <w:rPr>
          <w:rFonts w:ascii="宋体" w:hAnsi="宋体" w:cs="宋体"/>
          <w:color w:val="000000" w:themeColor="text1"/>
          <w:sz w:val="24"/>
          <w14:textFill>
            <w14:solidFill>
              <w14:schemeClr w14:val="tx1"/>
            </w14:solidFill>
          </w14:textFill>
        </w:rPr>
        <w:t>[2016]125</w:t>
      </w:r>
      <w:r>
        <w:rPr>
          <w:rFonts w:hint="eastAsia" w:ascii="宋体" w:hAnsi="宋体" w:cs="宋体"/>
          <w:color w:val="000000" w:themeColor="text1"/>
          <w:sz w:val="24"/>
          <w14:textFill>
            <w14:solidFill>
              <w14:schemeClr w14:val="tx1"/>
            </w14:solidFill>
          </w14:textFill>
        </w:rPr>
        <w:t>号《关于在政府采购活动中查询及使用信用记录有关问题的通知》要求，采购代理机构会对谈判供应商信用记录进行查询并甄别。</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）信用信息查询的截止时点：投标文件解密成功后；</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）查询渠道：“信用中国”（</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"qq://txfile/" </w:instrText>
      </w:r>
      <w:r>
        <w:rPr>
          <w:color w:val="000000" w:themeColor="text1"/>
          <w14:textFill>
            <w14:solidFill>
              <w14:schemeClr w14:val="tx1"/>
            </w14:solidFill>
          </w14:textFill>
        </w:rPr>
        <w:fldChar w:fldCharType="separate"/>
      </w:r>
      <w:r>
        <w:rPr>
          <w:rFonts w:ascii="宋体" w:hAnsi="宋体" w:cs="宋体"/>
          <w:color w:val="000000" w:themeColor="text1"/>
          <w:sz w:val="24"/>
          <w:szCs w:val="32"/>
          <w14:textFill>
            <w14:solidFill>
              <w14:schemeClr w14:val="tx1"/>
            </w14:solidFill>
          </w14:textFill>
        </w:rPr>
        <w:t>www.creditchina.gov.cn</w:t>
      </w:r>
      <w:r>
        <w:rPr>
          <w:rFonts w:ascii="宋体" w:hAnsi="宋体" w:cs="宋体"/>
          <w:color w:val="000000" w:themeColor="text1"/>
          <w:sz w:val="24"/>
          <w:szCs w:val="32"/>
          <w14:textFill>
            <w14:solidFill>
              <w14:schemeClr w14:val="tx1"/>
            </w14:solidFill>
          </w14:textFill>
        </w:rPr>
        <w:fldChar w:fldCharType="end"/>
      </w:r>
      <w:r>
        <w:rPr>
          <w:rFonts w:hint="eastAsia" w:ascii="宋体" w:hAnsi="宋体" w:cs="宋体"/>
          <w:color w:val="000000" w:themeColor="text1"/>
          <w:sz w:val="24"/>
          <w:szCs w:val="32"/>
          <w14:textFill>
            <w14:solidFill>
              <w14:schemeClr w14:val="tx1"/>
            </w14:solidFill>
          </w14:textFill>
        </w:rPr>
        <w:t>）、“中国政府采购网”（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"qq://txfile/" </w:instrText>
      </w:r>
      <w:r>
        <w:rPr>
          <w:color w:val="000000" w:themeColor="text1"/>
          <w14:textFill>
            <w14:solidFill>
              <w14:schemeClr w14:val="tx1"/>
            </w14:solidFill>
          </w14:textFill>
        </w:rPr>
        <w:fldChar w:fldCharType="separate"/>
      </w:r>
      <w:r>
        <w:rPr>
          <w:rFonts w:ascii="宋体" w:hAnsi="宋体" w:cs="宋体"/>
          <w:color w:val="000000" w:themeColor="text1"/>
          <w:sz w:val="24"/>
          <w:szCs w:val="32"/>
          <w14:textFill>
            <w14:solidFill>
              <w14:schemeClr w14:val="tx1"/>
            </w14:solidFill>
          </w14:textFill>
        </w:rPr>
        <w:t>www.ccgp.gov.cn</w:t>
      </w:r>
      <w:r>
        <w:rPr>
          <w:rFonts w:ascii="宋体" w:hAnsi="宋体" w:cs="宋体"/>
          <w:color w:val="000000" w:themeColor="text1"/>
          <w:sz w:val="24"/>
          <w:szCs w:val="32"/>
          <w14:textFill>
            <w14:solidFill>
              <w14:schemeClr w14:val="tx1"/>
            </w14:solidFill>
          </w14:textFill>
        </w:rPr>
        <w:fldChar w:fldCharType="end"/>
      </w:r>
      <w:r>
        <w:rPr>
          <w:rFonts w:hint="eastAsia" w:ascii="宋体" w:hAnsi="宋体" w:cs="宋体"/>
          <w:color w:val="000000" w:themeColor="text1"/>
          <w:sz w:val="24"/>
          <w:szCs w:val="32"/>
          <w14:textFill>
            <w14:solidFill>
              <w14:schemeClr w14:val="tx1"/>
            </w14:solidFill>
          </w14:textFill>
        </w:rPr>
        <w:t>）、“浙江政府采购网</w:t>
      </w:r>
      <w:r>
        <w:rPr>
          <w:rFonts w:ascii="宋体" w:cs="宋体"/>
          <w:color w:val="000000" w:themeColor="text1"/>
          <w:sz w:val="24"/>
          <w:szCs w:val="32"/>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投诉处理（</w:t>
      </w:r>
      <w:r>
        <w:rPr>
          <w:rFonts w:ascii="宋体" w:hAnsi="宋体" w:cs="宋体"/>
          <w:color w:val="000000" w:themeColor="text1"/>
          <w:sz w:val="24"/>
          <w:szCs w:val="32"/>
          <w14:textFill>
            <w14:solidFill>
              <w14:schemeClr w14:val="tx1"/>
            </w14:solidFill>
          </w14:textFill>
        </w:rPr>
        <w:t>http://zfcg.czt.zj.gov.cn/innerUsed_complain/index.html</w:t>
      </w:r>
      <w:r>
        <w:rPr>
          <w:rFonts w:hint="eastAsia" w:ascii="宋体" w:hAnsi="宋体" w:cs="宋体"/>
          <w:color w:val="000000" w:themeColor="text1"/>
          <w:sz w:val="24"/>
          <w:szCs w:val="32"/>
          <w14:textFill>
            <w14:solidFill>
              <w14:schemeClr w14:val="tx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）信用信息查询记录和证据留存具体方式：采购代理机构经办人将查询网页打印与其他谈判文件一并保存；</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）信用信息的使用规则：供应商存在不良信用记录的，其谈判响应将被作为无效响应被拒绝。</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不良信用记录指：被列入失信被执行人、重大税收违法案件当事人名单、政府采购严重违法失信行为记录名单或浙江政府采购网曝光台中尚在行政处罚期内的。</w:t>
      </w:r>
    </w:p>
    <w:p>
      <w:pPr>
        <w:spacing w:line="360" w:lineRule="auto"/>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5.</w:t>
      </w:r>
      <w:r>
        <w:rPr>
          <w:rFonts w:hint="eastAsia" w:ascii="宋体" w:hAnsi="宋体" w:cs="宋体"/>
          <w:b/>
          <w:bCs/>
          <w:color w:val="000000" w:themeColor="text1"/>
          <w:sz w:val="24"/>
          <w14:textFill>
            <w14:solidFill>
              <w14:schemeClr w14:val="tx1"/>
            </w14:solidFill>
          </w14:textFill>
        </w:rPr>
        <w:t>开标时间后</w:t>
      </w:r>
      <w:r>
        <w:rPr>
          <w:rFonts w:ascii="宋体" w:hAnsi="宋体" w:cs="宋体"/>
          <w:b/>
          <w:bCs/>
          <w:color w:val="000000" w:themeColor="text1"/>
          <w:sz w:val="24"/>
          <w14:textFill>
            <w14:solidFill>
              <w14:schemeClr w14:val="tx1"/>
            </w14:solidFill>
          </w14:textFill>
        </w:rPr>
        <w:t>30</w:t>
      </w:r>
      <w:r>
        <w:rPr>
          <w:rFonts w:hint="eastAsia" w:ascii="宋体" w:hAnsi="宋体" w:cs="宋体"/>
          <w:b/>
          <w:bCs/>
          <w:color w:val="000000" w:themeColor="text1"/>
          <w:sz w:val="24"/>
          <w14:textFill>
            <w14:solidFill>
              <w14:schemeClr w14:val="tx1"/>
            </w14:solidFill>
          </w14:textFill>
        </w:rPr>
        <w:t>分钟内，谈判供应商须登录“政采云”平台，用“项目采购</w:t>
      </w:r>
      <w:r>
        <w:rPr>
          <w:rFonts w:ascii="宋体" w:cs="宋体"/>
          <w:b/>
          <w:bCs/>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开标评标”功能解密谈判响应文件，谈判供应商未按时解密或解密失败的，其上传的电子谈判响应文件自动失效。电脑及</w:t>
      </w:r>
      <w:r>
        <w:rPr>
          <w:rFonts w:ascii="宋体" w:hAnsi="宋体" w:cs="宋体"/>
          <w:b/>
          <w:bCs/>
          <w:color w:val="000000" w:themeColor="text1"/>
          <w:sz w:val="24"/>
          <w14:textFill>
            <w14:solidFill>
              <w14:schemeClr w14:val="tx1"/>
            </w14:solidFill>
          </w14:textFill>
        </w:rPr>
        <w:t>CA</w:t>
      </w:r>
      <w:r>
        <w:rPr>
          <w:rFonts w:hint="eastAsia" w:ascii="宋体" w:hAnsi="宋体" w:cs="宋体"/>
          <w:b/>
          <w:bCs/>
          <w:color w:val="000000" w:themeColor="text1"/>
          <w:sz w:val="24"/>
          <w14:textFill>
            <w14:solidFill>
              <w14:schemeClr w14:val="tx1"/>
            </w14:solidFill>
          </w14:textFill>
        </w:rPr>
        <w:t>解密设备自备。</w:t>
      </w:r>
    </w:p>
    <w:p>
      <w:pPr>
        <w:spacing w:line="360" w:lineRule="auto"/>
        <w:ind w:firstLine="482" w:firstLineChars="200"/>
        <w:rPr>
          <w:rFonts w:asci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九、联系方式：</w:t>
      </w:r>
    </w:p>
    <w:p>
      <w:pPr>
        <w:spacing w:line="360" w:lineRule="auto"/>
        <w:ind w:firstLine="482" w:firstLineChars="200"/>
        <w:rPr>
          <w:rFonts w:ascii="宋体" w:cs="宋体"/>
          <w:color w:val="000000" w:themeColor="text1"/>
          <w:sz w:val="24"/>
          <w:szCs w:val="32"/>
          <w14:textFill>
            <w14:solidFill>
              <w14:schemeClr w14:val="tx1"/>
            </w14:solidFill>
          </w14:textFill>
        </w:rPr>
      </w:pPr>
      <w:r>
        <w:rPr>
          <w:rFonts w:ascii="宋体" w:hAnsi="宋体" w:cs="宋体"/>
          <w:b/>
          <w:bCs/>
          <w:color w:val="000000" w:themeColor="text1"/>
          <w:sz w:val="24"/>
          <w:szCs w:val="32"/>
          <w14:textFill>
            <w14:solidFill>
              <w14:schemeClr w14:val="tx1"/>
            </w14:solidFill>
          </w14:textFill>
        </w:rPr>
        <w:t>1</w:t>
      </w:r>
      <w:r>
        <w:rPr>
          <w:rFonts w:hint="eastAsia" w:ascii="宋体" w:hAnsi="宋体" w:cs="宋体"/>
          <w:b/>
          <w:bCs/>
          <w:color w:val="000000" w:themeColor="text1"/>
          <w:sz w:val="24"/>
          <w:szCs w:val="32"/>
          <w14:textFill>
            <w14:solidFill>
              <w14:schemeClr w14:val="tx1"/>
            </w14:solidFill>
          </w14:textFill>
        </w:rPr>
        <w:t>、采购代理机构：</w:t>
      </w:r>
      <w:r>
        <w:rPr>
          <w:rFonts w:hint="eastAsia" w:ascii="宋体" w:hAnsi="宋体" w:cs="宋体"/>
          <w:color w:val="000000" w:themeColor="text1"/>
          <w:sz w:val="24"/>
          <w:szCs w:val="32"/>
          <w14:textFill>
            <w14:solidFill>
              <w14:schemeClr w14:val="tx1"/>
            </w14:solidFill>
          </w14:textFill>
        </w:rPr>
        <w:t>浙江五石中正工程咨询有限公司；</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项目负责人：徐名峰；联系电话：</w:t>
      </w:r>
      <w:r>
        <w:rPr>
          <w:rFonts w:ascii="宋体" w:hAnsi="宋体" w:cs="宋体"/>
          <w:color w:val="000000" w:themeColor="text1"/>
          <w:sz w:val="24"/>
          <w:szCs w:val="32"/>
          <w14:textFill>
            <w14:solidFill>
              <w14:schemeClr w14:val="tx1"/>
            </w14:solidFill>
          </w14:textFill>
        </w:rPr>
        <w:t>15088711407</w:t>
      </w:r>
      <w:r>
        <w:rPr>
          <w:rFonts w:hint="eastAsia" w:ascii="宋体" w:hAnsi="宋体" w:cs="宋体"/>
          <w:color w:val="000000" w:themeColor="text1"/>
          <w:sz w:val="24"/>
          <w:szCs w:val="32"/>
          <w14:textFill>
            <w14:solidFill>
              <w14:schemeClr w14:val="tx1"/>
            </w14:solidFill>
          </w14:textFill>
        </w:rPr>
        <w:t>；</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质疑接收人：刘婕；联系电话：</w:t>
      </w:r>
      <w:r>
        <w:rPr>
          <w:rFonts w:ascii="宋体" w:hAnsi="宋体" w:cs="宋体"/>
          <w:color w:val="000000" w:themeColor="text1"/>
          <w:sz w:val="24"/>
          <w:szCs w:val="32"/>
          <w14:textFill>
            <w14:solidFill>
              <w14:schemeClr w14:val="tx1"/>
            </w14:solidFill>
          </w14:textFill>
        </w:rPr>
        <w:t>0571-85340710</w:t>
      </w:r>
      <w:r>
        <w:rPr>
          <w:rFonts w:hint="eastAsia" w:ascii="宋体" w:hAnsi="宋体" w:cs="宋体"/>
          <w:color w:val="000000" w:themeColor="text1"/>
          <w:sz w:val="24"/>
          <w:szCs w:val="32"/>
          <w14:textFill>
            <w14:solidFill>
              <w14:schemeClr w14:val="tx1"/>
            </w14:solidFill>
          </w14:textFill>
        </w:rPr>
        <w:t>；</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报名联系人：高女士；联系电话：</w:t>
      </w:r>
      <w:r>
        <w:rPr>
          <w:rFonts w:ascii="宋体" w:hAnsi="宋体" w:cs="宋体"/>
          <w:color w:val="000000" w:themeColor="text1"/>
          <w:sz w:val="24"/>
          <w:szCs w:val="32"/>
          <w14:textFill>
            <w14:solidFill>
              <w14:schemeClr w14:val="tx1"/>
            </w14:solidFill>
          </w14:textFill>
        </w:rPr>
        <w:t>0571-85334203</w:t>
      </w:r>
      <w:r>
        <w:rPr>
          <w:rFonts w:hint="eastAsia" w:ascii="宋体" w:hAnsi="宋体" w:cs="宋体"/>
          <w:color w:val="000000" w:themeColor="text1"/>
          <w:sz w:val="24"/>
          <w:szCs w:val="32"/>
          <w14:textFill>
            <w14:solidFill>
              <w14:schemeClr w14:val="tx1"/>
            </w14:solidFill>
          </w14:textFill>
        </w:rPr>
        <w:t>；传真：</w:t>
      </w:r>
      <w:r>
        <w:rPr>
          <w:rFonts w:ascii="宋体" w:hAnsi="宋体" w:cs="宋体"/>
          <w:color w:val="000000" w:themeColor="text1"/>
          <w:sz w:val="24"/>
          <w:szCs w:val="32"/>
          <w14:textFill>
            <w14:solidFill>
              <w14:schemeClr w14:val="tx1"/>
            </w14:solidFill>
          </w14:textFill>
        </w:rPr>
        <w:t>0571-85342190</w:t>
      </w:r>
      <w:r>
        <w:rPr>
          <w:rFonts w:hint="eastAsia" w:ascii="宋体" w:hAnsi="宋体" w:cs="宋体"/>
          <w:color w:val="000000" w:themeColor="text1"/>
          <w:sz w:val="24"/>
          <w:szCs w:val="32"/>
          <w14:textFill>
            <w14:solidFill>
              <w14:schemeClr w14:val="tx1"/>
            </w14:solidFill>
          </w14:textFill>
        </w:rPr>
        <w:t>；</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地址：杭州市拱墅区白石路</w:t>
      </w:r>
      <w:r>
        <w:rPr>
          <w:rFonts w:ascii="宋体" w:hAnsi="宋体" w:cs="宋体"/>
          <w:color w:val="000000" w:themeColor="text1"/>
          <w:sz w:val="24"/>
          <w:szCs w:val="32"/>
          <w14:textFill>
            <w14:solidFill>
              <w14:schemeClr w14:val="tx1"/>
            </w14:solidFill>
          </w14:textFill>
        </w:rPr>
        <w:t>318</w:t>
      </w:r>
      <w:r>
        <w:rPr>
          <w:rFonts w:hint="eastAsia" w:ascii="宋体" w:hAnsi="宋体" w:cs="宋体"/>
          <w:color w:val="000000" w:themeColor="text1"/>
          <w:sz w:val="24"/>
          <w:szCs w:val="32"/>
          <w14:textFill>
            <w14:solidFill>
              <w14:schemeClr w14:val="tx1"/>
            </w14:solidFill>
          </w14:textFill>
        </w:rPr>
        <w:t>号中国（杭州）人力资源服务产业园北楼</w:t>
      </w:r>
      <w:r>
        <w:rPr>
          <w:rFonts w:ascii="宋体" w:hAnsi="宋体" w:cs="宋体"/>
          <w:color w:val="000000" w:themeColor="text1"/>
          <w:sz w:val="24"/>
          <w:szCs w:val="32"/>
          <w14:textFill>
            <w14:solidFill>
              <w14:schemeClr w14:val="tx1"/>
            </w14:solidFill>
          </w14:textFill>
        </w:rPr>
        <w:t>512</w:t>
      </w:r>
      <w:r>
        <w:rPr>
          <w:rFonts w:hint="eastAsia" w:ascii="宋体" w:hAnsi="宋体" w:cs="宋体"/>
          <w:color w:val="000000" w:themeColor="text1"/>
          <w:sz w:val="24"/>
          <w:szCs w:val="32"/>
          <w14:textFill>
            <w14:solidFill>
              <w14:schemeClr w14:val="tx1"/>
            </w14:solidFill>
          </w14:textFill>
        </w:rPr>
        <w:t>室；</w:t>
      </w:r>
    </w:p>
    <w:p>
      <w:pPr>
        <w:spacing w:line="360" w:lineRule="auto"/>
        <w:ind w:firstLine="482" w:firstLineChars="200"/>
        <w:rPr>
          <w:rFonts w:ascii="宋体" w:cs="宋体"/>
          <w:color w:val="000000" w:themeColor="text1"/>
          <w:sz w:val="24"/>
          <w:szCs w:val="32"/>
          <w14:textFill>
            <w14:solidFill>
              <w14:schemeClr w14:val="tx1"/>
            </w14:solidFill>
          </w14:textFill>
        </w:rPr>
      </w:pPr>
      <w:r>
        <w:rPr>
          <w:rFonts w:ascii="宋体" w:hAnsi="宋体" w:cs="宋体"/>
          <w:b/>
          <w:bCs/>
          <w:color w:val="000000" w:themeColor="text1"/>
          <w:sz w:val="24"/>
          <w:szCs w:val="32"/>
          <w14:textFill>
            <w14:solidFill>
              <w14:schemeClr w14:val="tx1"/>
            </w14:solidFill>
          </w14:textFill>
        </w:rPr>
        <w:t>2</w:t>
      </w:r>
      <w:r>
        <w:rPr>
          <w:rFonts w:hint="eastAsia" w:ascii="宋体" w:hAnsi="宋体" w:cs="宋体"/>
          <w:b/>
          <w:bCs/>
          <w:color w:val="000000" w:themeColor="text1"/>
          <w:sz w:val="24"/>
          <w:szCs w:val="32"/>
          <w14:textFill>
            <w14:solidFill>
              <w14:schemeClr w14:val="tx1"/>
            </w14:solidFill>
          </w14:textFill>
        </w:rPr>
        <w:t>、采购人：采购人：</w:t>
      </w:r>
      <w:r>
        <w:rPr>
          <w:rFonts w:hint="eastAsia" w:ascii="宋体" w:hAnsi="宋体" w:cs="宋体"/>
          <w:color w:val="000000" w:themeColor="text1"/>
          <w:sz w:val="24"/>
          <w:szCs w:val="32"/>
          <w14:textFill>
            <w14:solidFill>
              <w14:schemeClr w14:val="tx1"/>
            </w14:solidFill>
          </w14:textFill>
        </w:rPr>
        <w:t>台州恩泽医疗中心（集团）；</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联系人：李俊；联系电话：0576-85199338；</w:t>
      </w:r>
    </w:p>
    <w:p>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质疑接受人：胡伟标；联系电话：0576-85199378；</w:t>
      </w:r>
    </w:p>
    <w:p>
      <w:pPr>
        <w:spacing w:line="360" w:lineRule="auto"/>
        <w:ind w:firstLine="482" w:firstLineChars="200"/>
        <w:rPr>
          <w:rFonts w:ascii="宋体" w:hAnsi="宋体" w:cs="宋体"/>
          <w:color w:val="000000"/>
          <w:sz w:val="24"/>
          <w:szCs w:val="32"/>
        </w:rPr>
      </w:pPr>
      <w:r>
        <w:rPr>
          <w:rFonts w:hint="eastAsia" w:ascii="宋体" w:hAnsi="宋体" w:cs="宋体"/>
          <w:b/>
          <w:bCs/>
          <w:color w:val="000000"/>
          <w:sz w:val="24"/>
          <w:szCs w:val="32"/>
        </w:rPr>
        <w:t>3、同级政府采购监管管理部门：</w:t>
      </w:r>
      <w:r>
        <w:rPr>
          <w:rFonts w:hint="eastAsia" w:ascii="宋体" w:hAnsi="宋体" w:cs="宋体"/>
          <w:color w:val="000000"/>
          <w:sz w:val="24"/>
          <w:szCs w:val="32"/>
        </w:rPr>
        <w:t>台州市财政局；</w:t>
      </w:r>
    </w:p>
    <w:p>
      <w:pPr>
        <w:spacing w:line="360" w:lineRule="auto"/>
        <w:ind w:firstLine="480" w:firstLineChars="200"/>
        <w:rPr>
          <w:rFonts w:ascii="宋体" w:hAnsi="宋体" w:cs="宋体"/>
          <w:color w:val="000000"/>
          <w:sz w:val="24"/>
          <w:szCs w:val="32"/>
        </w:rPr>
      </w:pPr>
      <w:r>
        <w:rPr>
          <w:rFonts w:hint="eastAsia" w:ascii="宋体" w:hAnsi="宋体" w:cs="宋体"/>
          <w:color w:val="000000"/>
          <w:sz w:val="24"/>
          <w:szCs w:val="32"/>
        </w:rPr>
        <w:t>联系人：陈工、李工；监督投诉电话：0576-88206705、0576-88206731；</w:t>
      </w:r>
    </w:p>
    <w:p>
      <w:pPr>
        <w:spacing w:line="360" w:lineRule="auto"/>
        <w:ind w:firstLine="480" w:firstLineChars="200"/>
        <w:rPr>
          <w:rFonts w:ascii="宋体" w:hAnsi="宋体" w:cs="宋体"/>
          <w:color w:val="000000"/>
          <w:sz w:val="24"/>
          <w:szCs w:val="32"/>
        </w:rPr>
      </w:pPr>
      <w:r>
        <w:rPr>
          <w:rFonts w:hint="eastAsia" w:ascii="宋体" w:hAnsi="宋体" w:cs="宋体"/>
          <w:color w:val="000000"/>
          <w:sz w:val="24"/>
          <w:szCs w:val="32"/>
        </w:rPr>
        <w:t>地址：台州市椒江区纬一路66号天元大厦。</w:t>
      </w:r>
    </w:p>
    <w:p>
      <w:pPr>
        <w:numPr>
          <w:ilvl w:val="0"/>
          <w:numId w:val="5"/>
        </w:numPr>
        <w:spacing w:line="360" w:lineRule="auto"/>
        <w:ind w:firstLine="482" w:firstLineChars="200"/>
        <w:rPr>
          <w:rFonts w:ascii="宋体" w:hAnsi="宋体" w:cs="宋体"/>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其余事项：</w:t>
      </w:r>
      <w:r>
        <w:rPr>
          <w:rFonts w:hint="eastAsia" w:ascii="宋体" w:hAnsi="宋体" w:cs="宋体"/>
          <w:color w:val="000000" w:themeColor="text1"/>
          <w:sz w:val="24"/>
          <w:szCs w:val="32"/>
          <w14:textFill>
            <w14:solidFill>
              <w14:schemeClr w14:val="tx1"/>
            </w14:solidFill>
          </w14:textFill>
        </w:rPr>
        <w:t>中标供应商如有融资需求，可使用以下银行的政采贷服务。</w:t>
      </w:r>
    </w:p>
    <w:tbl>
      <w:tblPr>
        <w:tblStyle w:val="24"/>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1548"/>
        <w:gridCol w:w="1217"/>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贷款年利率</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281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中国工商银行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王霖</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中国农业银行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龚盛</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中国建设银行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梅晶晶</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中国银行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3.75%起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任茜</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浦发银行台州分行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4.05%起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王渊</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浦发银行椒江分行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4.05%起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孙瑞华</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交通银行台州分行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3.75%起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周翔宇</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招商银行台州分行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4.32%起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王海玲</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浙商银行台州分行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5.01%起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章涉漪</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中信银行台州分行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4.15%起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陈金园</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华夏银行台州分行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邱明达</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泰隆银行开发区支行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5.6%起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梁宛莉</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民泰银行椒江支行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5.8%起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陈慧珠</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绍兴银行台州分行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郭庭斌</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温州银行台州分行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4.55%起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王晓波</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平安银行台州分行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6.53%起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李俊丽</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宁波银行台州分行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4.35%起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戴莉丽</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金华银行台州分行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4.05%起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金雪婷</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台州银行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5.6%起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洪婷</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邮储银行台州分行</w:t>
            </w:r>
          </w:p>
        </w:tc>
        <w:tc>
          <w:tcPr>
            <w:tcW w:w="15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3.85%起</w:t>
            </w:r>
          </w:p>
        </w:tc>
        <w:tc>
          <w:tcPr>
            <w:tcW w:w="12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董庆</w:t>
            </w:r>
          </w:p>
        </w:tc>
        <w:tc>
          <w:tcPr>
            <w:tcW w:w="2815"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81888982/18957683735</w:t>
            </w:r>
          </w:p>
        </w:tc>
      </w:tr>
    </w:tbl>
    <w:p>
      <w:pPr>
        <w:ind w:firstLine="840" w:firstLineChars="3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合同履约保函联系方式</w:t>
      </w:r>
    </w:p>
    <w:tbl>
      <w:tblPr>
        <w:tblStyle w:val="2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30"/>
        <w:gridCol w:w="2400"/>
        <w:gridCol w:w="1000"/>
        <w:gridCol w:w="17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23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保险公司名称</w:t>
            </w:r>
          </w:p>
        </w:tc>
        <w:tc>
          <w:tcPr>
            <w:tcW w:w="24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保费率</w:t>
            </w:r>
          </w:p>
        </w:tc>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178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323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中国人寿财产保险股份有限公司台州中心支公司</w:t>
            </w:r>
          </w:p>
        </w:tc>
        <w:tc>
          <w:tcPr>
            <w:tcW w:w="24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年费率1%，最低保费500元</w:t>
            </w:r>
          </w:p>
        </w:tc>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徐凌</w:t>
            </w:r>
          </w:p>
        </w:tc>
        <w:tc>
          <w:tcPr>
            <w:tcW w:w="178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323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永诚财产保险股份有限公司台州分公司</w:t>
            </w:r>
          </w:p>
        </w:tc>
        <w:tc>
          <w:tcPr>
            <w:tcW w:w="24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年费率1%，最低保费1000元</w:t>
            </w:r>
          </w:p>
        </w:tc>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尹刚强</w:t>
            </w:r>
          </w:p>
        </w:tc>
        <w:tc>
          <w:tcPr>
            <w:tcW w:w="178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323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华泰财产保险有限公司台州中心支公司</w:t>
            </w:r>
          </w:p>
        </w:tc>
        <w:tc>
          <w:tcPr>
            <w:tcW w:w="24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年费率0.5%，最低保费1000元</w:t>
            </w:r>
          </w:p>
        </w:tc>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王灵芳</w:t>
            </w:r>
          </w:p>
        </w:tc>
        <w:tc>
          <w:tcPr>
            <w:tcW w:w="178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trPr>
        <w:tc>
          <w:tcPr>
            <w:tcW w:w="323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中国大地财产保险股份有限公司台州中心支公司</w:t>
            </w:r>
          </w:p>
        </w:tc>
        <w:tc>
          <w:tcPr>
            <w:tcW w:w="24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年费率1.5%，最低保费1000元</w:t>
            </w:r>
          </w:p>
        </w:tc>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徐小明</w:t>
            </w:r>
          </w:p>
        </w:tc>
        <w:tc>
          <w:tcPr>
            <w:tcW w:w="178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323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阳光保险台州中心支公司</w:t>
            </w:r>
          </w:p>
        </w:tc>
        <w:tc>
          <w:tcPr>
            <w:tcW w:w="24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年费率1%，最低保费500元</w:t>
            </w:r>
          </w:p>
        </w:tc>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林高明</w:t>
            </w:r>
          </w:p>
        </w:tc>
        <w:tc>
          <w:tcPr>
            <w:tcW w:w="178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323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中华联合财产保险股份有限公司台州中心支公司</w:t>
            </w:r>
          </w:p>
        </w:tc>
        <w:tc>
          <w:tcPr>
            <w:tcW w:w="24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年费率2%，最低保费500元</w:t>
            </w:r>
          </w:p>
        </w:tc>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王仙高</w:t>
            </w:r>
          </w:p>
        </w:tc>
        <w:tc>
          <w:tcPr>
            <w:tcW w:w="178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323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中国人民财产保险股份有限公司台州中心支公司</w:t>
            </w:r>
          </w:p>
        </w:tc>
        <w:tc>
          <w:tcPr>
            <w:tcW w:w="24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年费率0.3%，最低保费1000元</w:t>
            </w:r>
          </w:p>
        </w:tc>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王仙春</w:t>
            </w:r>
          </w:p>
        </w:tc>
        <w:tc>
          <w:tcPr>
            <w:tcW w:w="178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9" w:hRule="atLeast"/>
        </w:trPr>
        <w:tc>
          <w:tcPr>
            <w:tcW w:w="323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永安财产保险股份有限公司台州中心支公司</w:t>
            </w:r>
          </w:p>
        </w:tc>
        <w:tc>
          <w:tcPr>
            <w:tcW w:w="24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年费率0.3%，最低保费1000</w:t>
            </w:r>
          </w:p>
        </w:tc>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王春宇</w:t>
            </w:r>
          </w:p>
        </w:tc>
        <w:tc>
          <w:tcPr>
            <w:tcW w:w="178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13676675331</w:t>
            </w:r>
          </w:p>
        </w:tc>
      </w:tr>
    </w:tbl>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预付款保函联系方式</w:t>
      </w:r>
    </w:p>
    <w:tbl>
      <w:tblPr>
        <w:tblStyle w:val="2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0"/>
        <w:gridCol w:w="2526"/>
        <w:gridCol w:w="974"/>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保险公司名称</w:t>
            </w:r>
          </w:p>
        </w:tc>
        <w:tc>
          <w:tcPr>
            <w:tcW w:w="252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保费率</w:t>
            </w:r>
          </w:p>
        </w:tc>
        <w:tc>
          <w:tcPr>
            <w:tcW w:w="97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中国人寿财产保险股份有限公司台州中心支公司</w:t>
            </w:r>
          </w:p>
        </w:tc>
        <w:tc>
          <w:tcPr>
            <w:tcW w:w="252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年费率3%，最低保费500元</w:t>
            </w:r>
          </w:p>
        </w:tc>
        <w:tc>
          <w:tcPr>
            <w:tcW w:w="97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徐凌</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阳光保险台州中心支公司</w:t>
            </w:r>
          </w:p>
        </w:tc>
        <w:tc>
          <w:tcPr>
            <w:tcW w:w="252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年费率1%，最低保费500元</w:t>
            </w:r>
          </w:p>
        </w:tc>
        <w:tc>
          <w:tcPr>
            <w:tcW w:w="97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林高明</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天安财产保险股份有限公司台州中心支公司</w:t>
            </w:r>
          </w:p>
        </w:tc>
        <w:tc>
          <w:tcPr>
            <w:tcW w:w="252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年费率1%-2%，最低保费500元</w:t>
            </w:r>
          </w:p>
        </w:tc>
        <w:tc>
          <w:tcPr>
            <w:tcW w:w="97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罗赛</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13736605643</w:t>
            </w:r>
          </w:p>
        </w:tc>
      </w:tr>
    </w:tbl>
    <w:p>
      <w:pPr>
        <w:spacing w:line="360" w:lineRule="auto"/>
        <w:rPr>
          <w:rFonts w:ascii="宋体" w:hAnsi="宋体" w:cs="宋体"/>
          <w:color w:val="000000" w:themeColor="text1"/>
          <w:sz w:val="24"/>
          <w:szCs w:val="32"/>
          <w14:textFill>
            <w14:solidFill>
              <w14:schemeClr w14:val="tx1"/>
            </w14:solidFill>
          </w14:textFill>
        </w:rPr>
      </w:pPr>
    </w:p>
    <w:p>
      <w:pPr>
        <w:spacing w:line="360" w:lineRule="auto"/>
        <w:jc w:val="right"/>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浙江五石中正工程咨询有限公司</w:t>
      </w:r>
    </w:p>
    <w:p>
      <w:pPr>
        <w:spacing w:line="360" w:lineRule="auto"/>
        <w:jc w:val="center"/>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                                              二○二二年一月</w:t>
      </w:r>
    </w:p>
    <w:p>
      <w:pPr>
        <w:snapToGrid w:val="0"/>
        <w:spacing w:line="360" w:lineRule="auto"/>
        <w:ind w:firstLine="2530" w:firstLineChars="700"/>
        <w:rPr>
          <w:rFonts w:ascii="宋体" w:hAnsi="宋体"/>
          <w:b/>
          <w:color w:val="000000" w:themeColor="text1"/>
          <w:sz w:val="36"/>
          <w:szCs w:val="36"/>
          <w14:textFill>
            <w14:solidFill>
              <w14:schemeClr w14:val="tx1"/>
            </w14:solidFill>
          </w14:textFill>
        </w:rPr>
      </w:pPr>
    </w:p>
    <w:p>
      <w:pPr>
        <w:snapToGrid w:val="0"/>
        <w:spacing w:line="360" w:lineRule="auto"/>
        <w:ind w:firstLine="2530" w:firstLineChars="700"/>
        <w:rPr>
          <w:rFonts w:ascii="宋体" w:hAnsi="宋体"/>
          <w:b/>
          <w:color w:val="000000" w:themeColor="text1"/>
          <w:sz w:val="36"/>
          <w:szCs w:val="36"/>
          <w14:textFill>
            <w14:solidFill>
              <w14:schemeClr w14:val="tx1"/>
            </w14:solidFill>
          </w14:textFill>
        </w:rPr>
      </w:pPr>
    </w:p>
    <w:p>
      <w:pPr>
        <w:snapToGrid w:val="0"/>
        <w:spacing w:line="360" w:lineRule="auto"/>
        <w:ind w:firstLine="2530" w:firstLineChars="700"/>
        <w:rPr>
          <w:rFonts w:ascii="宋体" w:hAnsi="宋体"/>
          <w:b/>
          <w:color w:val="000000" w:themeColor="text1"/>
          <w:sz w:val="36"/>
          <w:szCs w:val="36"/>
          <w14:textFill>
            <w14:solidFill>
              <w14:schemeClr w14:val="tx1"/>
            </w14:solidFill>
          </w14:textFill>
        </w:rPr>
      </w:pPr>
    </w:p>
    <w:p>
      <w:pPr>
        <w:snapToGrid w:val="0"/>
        <w:spacing w:line="360" w:lineRule="auto"/>
        <w:ind w:firstLine="2530" w:firstLineChars="700"/>
        <w:rPr>
          <w:rFonts w:ascii="宋体" w:hAnsi="宋体"/>
          <w:b/>
          <w:color w:val="000000" w:themeColor="text1"/>
          <w:sz w:val="36"/>
          <w:szCs w:val="36"/>
          <w14:textFill>
            <w14:solidFill>
              <w14:schemeClr w14:val="tx1"/>
            </w14:solidFill>
          </w14:textFill>
        </w:rPr>
      </w:pPr>
    </w:p>
    <w:p>
      <w:pPr>
        <w:pStyle w:val="21"/>
        <w:rPr>
          <w:rFonts w:ascii="宋体" w:hAnsi="宋体"/>
          <w:color w:val="000000" w:themeColor="text1"/>
          <w:sz w:val="36"/>
          <w:szCs w:val="36"/>
          <w14:textFill>
            <w14:solidFill>
              <w14:schemeClr w14:val="tx1"/>
            </w14:solidFill>
          </w14:textFill>
        </w:rPr>
      </w:pPr>
    </w:p>
    <w:p>
      <w:pPr>
        <w:rPr>
          <w:rFonts w:ascii="宋体" w:hAnsi="宋体"/>
          <w:b/>
          <w:color w:val="000000" w:themeColor="text1"/>
          <w:sz w:val="36"/>
          <w:szCs w:val="36"/>
          <w14:textFill>
            <w14:solidFill>
              <w14:schemeClr w14:val="tx1"/>
            </w14:solidFill>
          </w14:textFill>
        </w:rPr>
      </w:pPr>
    </w:p>
    <w:p>
      <w:pPr>
        <w:pStyle w:val="21"/>
        <w:rPr>
          <w:color w:val="000000" w:themeColor="text1"/>
          <w14:textFill>
            <w14:solidFill>
              <w14:schemeClr w14:val="tx1"/>
            </w14:solidFill>
          </w14:textFill>
        </w:rPr>
      </w:pPr>
    </w:p>
    <w:p>
      <w:pPr>
        <w:snapToGrid w:val="0"/>
        <w:spacing w:line="360" w:lineRule="auto"/>
        <w:ind w:firstLine="2530" w:firstLineChars="700"/>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第二章　供应商须知</w:t>
      </w:r>
    </w:p>
    <w:p>
      <w:pPr>
        <w:spacing w:line="360" w:lineRule="auto"/>
        <w:jc w:val="center"/>
        <w:rPr>
          <w:rFonts w:ascii="宋体"/>
          <w:b/>
          <w:color w:val="000000" w:themeColor="text1"/>
          <w:sz w:val="24"/>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  </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前附表</w:t>
      </w:r>
    </w:p>
    <w:tbl>
      <w:tblPr>
        <w:tblStyle w:val="23"/>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22"/>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vAlign w:val="center"/>
          </w:tcPr>
          <w:p>
            <w:pPr>
              <w:jc w:val="center"/>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1622" w:type="dxa"/>
            <w:vAlign w:val="center"/>
          </w:tcPr>
          <w:p>
            <w:pPr>
              <w:jc w:val="center"/>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w:t>
            </w:r>
            <w:r>
              <w:rPr>
                <w:rFonts w:ascii="宋体" w:hAnsi="宋体" w:cs="宋体"/>
                <w:b/>
                <w:bCs/>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目</w:t>
            </w:r>
          </w:p>
        </w:tc>
        <w:tc>
          <w:tcPr>
            <w:tcW w:w="6555" w:type="dxa"/>
            <w:vAlign w:val="center"/>
          </w:tcPr>
          <w:p>
            <w:pPr>
              <w:jc w:val="center"/>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w:t>
            </w:r>
            <w:r>
              <w:rPr>
                <w:rFonts w:ascii="宋体" w:hAnsi="宋体" w:cs="宋体"/>
                <w:b/>
                <w:bCs/>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1622" w:type="dxa"/>
            <w:vAlign w:val="center"/>
          </w:tcPr>
          <w:p>
            <w:pPr>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供应商特定资格要求</w:t>
            </w:r>
          </w:p>
        </w:tc>
        <w:tc>
          <w:tcPr>
            <w:tcW w:w="6555" w:type="dxa"/>
            <w:vAlign w:val="center"/>
          </w:tcPr>
          <w:p>
            <w:p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1622" w:type="dxa"/>
            <w:vAlign w:val="center"/>
          </w:tcPr>
          <w:p>
            <w:pPr>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答疑会或</w:t>
            </w:r>
            <w:r>
              <w:rPr>
                <w:rFonts w:hint="eastAsia" w:ascii="宋体" w:hAnsi="宋体" w:cs="宋体"/>
                <w:color w:val="000000" w:themeColor="text1"/>
                <w:sz w:val="24"/>
                <w14:textFill>
                  <w14:solidFill>
                    <w14:schemeClr w14:val="tx1"/>
                  </w14:solidFill>
                </w14:textFill>
              </w:rPr>
              <w:t>现场踏勘</w:t>
            </w:r>
          </w:p>
        </w:tc>
        <w:tc>
          <w:tcPr>
            <w:tcW w:w="6555" w:type="dxa"/>
            <w:vAlign w:val="center"/>
          </w:tcPr>
          <w:p>
            <w:pPr>
              <w:pStyle w:val="1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1622" w:type="dxa"/>
            <w:vAlign w:val="center"/>
          </w:tcPr>
          <w:p>
            <w:pPr>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谈判响应文件份数及谈判响应文件递交</w:t>
            </w:r>
          </w:p>
        </w:tc>
        <w:tc>
          <w:tcPr>
            <w:tcW w:w="6555" w:type="dxa"/>
            <w:vAlign w:val="center"/>
          </w:tcPr>
          <w:p>
            <w:pPr>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本项目实行电子投标，供应商应准备电子投标文件、以介质存储的数据电文形式的备份投标文件、纸质备份投标文件三类：</w:t>
            </w:r>
          </w:p>
          <w:p>
            <w:pPr>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电子投标文件，按政采云平台项目采购</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电子招投标操作指南及本谈判文件要求编制、递交。</w:t>
            </w:r>
          </w:p>
          <w:p>
            <w:pPr>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以介质存储的数据电文形式的备份投标文件，按政采云平台项目采购</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电子招投标操作指南中上传的电子投标文件格式，以</w:t>
            </w:r>
            <w:r>
              <w:rPr>
                <w:rFonts w:ascii="宋体" w:hAnsi="宋体" w:cs="宋体"/>
                <w:color w:val="000000" w:themeColor="text1"/>
                <w:sz w:val="24"/>
                <w14:textFill>
                  <w14:solidFill>
                    <w14:schemeClr w14:val="tx1"/>
                  </w14:solidFill>
                </w14:textFill>
              </w:rPr>
              <w:t>U</w:t>
            </w:r>
            <w:r>
              <w:rPr>
                <w:rFonts w:hint="eastAsia" w:ascii="宋体" w:hAnsi="宋体" w:cs="宋体"/>
                <w:color w:val="000000" w:themeColor="text1"/>
                <w:sz w:val="24"/>
                <w14:textFill>
                  <w14:solidFill>
                    <w14:schemeClr w14:val="tx1"/>
                  </w14:solidFill>
                </w14:textFill>
              </w:rPr>
              <w:t>盘形式提供。数量为</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份。</w:t>
            </w:r>
          </w:p>
          <w:p>
            <w:pPr>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纸质备份投标文件以纸质文件的形式编制，数量均为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份（正本一份，副本一份）。</w:t>
            </w:r>
          </w:p>
          <w:p>
            <w:pPr>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投标文件启用顺序和效力：投标文件的启用，按先后顺位分别为电子投标文件、以</w:t>
            </w:r>
            <w:r>
              <w:rPr>
                <w:rFonts w:ascii="宋体" w:hAnsi="宋体" w:cs="宋体"/>
                <w:color w:val="000000" w:themeColor="text1"/>
                <w:sz w:val="24"/>
                <w14:textFill>
                  <w14:solidFill>
                    <w14:schemeClr w14:val="tx1"/>
                  </w14:solidFill>
                </w14:textFill>
              </w:rPr>
              <w:t>U</w:t>
            </w:r>
            <w:r>
              <w:rPr>
                <w:rFonts w:hint="eastAsia" w:ascii="宋体" w:hAnsi="宋体" w:cs="宋体"/>
                <w:color w:val="000000" w:themeColor="text1"/>
                <w:sz w:val="24"/>
                <w14:textFill>
                  <w14:solidFill>
                    <w14:schemeClr w14:val="tx1"/>
                  </w14:solidFill>
                </w14:textFill>
              </w:rPr>
              <w:t>盘存储的数据电文形式的备份投标文件、纸质备份投标文件。顺位在先的投标文件已按时解密的，备份投标文件自动失效。在下一顺位的投标文件启用时，前一顺位的投标文件自动失效。</w:t>
            </w:r>
          </w:p>
          <w:p>
            <w:pPr>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1622" w:type="dxa"/>
            <w:vAlign w:val="center"/>
          </w:tcPr>
          <w:p>
            <w:pPr>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响应有效期</w:t>
            </w:r>
          </w:p>
        </w:tc>
        <w:tc>
          <w:tcPr>
            <w:tcW w:w="6555" w:type="dxa"/>
            <w:vAlign w:val="center"/>
          </w:tcPr>
          <w:p>
            <w:p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谈判响应有效期为谈判后</w:t>
            </w:r>
            <w:r>
              <w:rPr>
                <w:rFonts w:ascii="宋体" w:hAnsi="宋体" w:cs="宋体"/>
                <w:color w:val="000000" w:themeColor="text1"/>
                <w:sz w:val="24"/>
                <w14:textFill>
                  <w14:solidFill>
                    <w14:schemeClr w14:val="tx1"/>
                  </w14:solidFill>
                </w14:textFill>
              </w:rPr>
              <w:t>90</w:t>
            </w:r>
            <w:r>
              <w:rPr>
                <w:rFonts w:hint="eastAsia" w:ascii="宋体" w:hAnsi="宋体" w:cs="宋体"/>
                <w:color w:val="000000" w:themeColor="text1"/>
                <w:sz w:val="24"/>
                <w14:textFill>
                  <w14:solidFill>
                    <w14:schemeClr w14:val="tx1"/>
                  </w14:solidFill>
                </w14:textFill>
              </w:rPr>
              <w:t>天，</w:t>
            </w:r>
            <w:r>
              <w:rPr>
                <w:rFonts w:hint="eastAsia" w:ascii="宋体" w:hAnsi="宋体" w:cs="宋体"/>
                <w:color w:val="000000" w:themeColor="text1"/>
                <w:kern w:val="0"/>
                <w:sz w:val="24"/>
                <w14:textFill>
                  <w14:solidFill>
                    <w14:schemeClr w14:val="tx1"/>
                  </w14:solidFill>
                </w14:textFill>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1622" w:type="dxa"/>
            <w:vAlign w:val="center"/>
          </w:tcPr>
          <w:p>
            <w:pPr>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开标时间及地点</w:t>
            </w:r>
          </w:p>
        </w:tc>
        <w:tc>
          <w:tcPr>
            <w:tcW w:w="6555" w:type="dxa"/>
            <w:vAlign w:val="center"/>
          </w:tcPr>
          <w:p>
            <w:p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时间：北京时间2022年2月8日上午10：00</w:t>
            </w:r>
          </w:p>
          <w:p>
            <w:p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地点：台州恩泽医疗中心（集团）临海市西门街150号台州医院多媒体教室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1622" w:type="dxa"/>
            <w:vAlign w:val="center"/>
          </w:tcPr>
          <w:p>
            <w:pPr>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6555" w:type="dxa"/>
            <w:vAlign w:val="center"/>
          </w:tcPr>
          <w:p>
            <w:pPr>
              <w:rPr>
                <w:rFonts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合同签订前中标单位向采购单位缴纳合同金额</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履约保证金，履约保证金在项目通过验收并正常运行时间达到</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年后无息退还。（履约保证金可采用保函、担保、转账、银行支票等形式）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1622" w:type="dxa"/>
            <w:vAlign w:val="center"/>
          </w:tcPr>
          <w:p>
            <w:pPr>
              <w:autoSpaceDE w:val="0"/>
              <w:autoSpaceDN w:val="0"/>
              <w:adjustRightInd w:val="0"/>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实质性条款</w:t>
            </w:r>
          </w:p>
        </w:tc>
        <w:tc>
          <w:tcPr>
            <w:tcW w:w="6555" w:type="dxa"/>
            <w:vAlign w:val="center"/>
          </w:tcPr>
          <w:p>
            <w:pPr>
              <w:autoSpaceDE w:val="0"/>
              <w:autoSpaceDN w:val="0"/>
              <w:adjustRightInd w:val="0"/>
              <w:ind w:left="10" w:hanging="10"/>
              <w:jc w:val="lef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带“</w:t>
            </w:r>
            <w:r>
              <w:rPr>
                <w:rFonts w:hint="eastAsia" w:ascii="宋体" w:hAnsi="宋体" w:cs="宋体"/>
                <w:bCs/>
                <w:color w:val="000000" w:themeColor="text1"/>
                <w:sz w:val="24"/>
                <w14:textFill>
                  <w14:solidFill>
                    <w14:schemeClr w14:val="tx1"/>
                  </w14:solidFill>
                </w14:textFill>
              </w:rPr>
              <w:t>▲”的条款是实质性条款，谈判响应文件须作出实质性响应，否则作无效响应处理。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1622" w:type="dxa"/>
            <w:vAlign w:val="center"/>
          </w:tcPr>
          <w:p>
            <w:pPr>
              <w:autoSpaceDE w:val="0"/>
              <w:autoSpaceDN w:val="0"/>
              <w:adjustRightInd w:val="0"/>
              <w:jc w:val="center"/>
              <w:rPr>
                <w:rFonts w:asci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6555" w:type="dxa"/>
            <w:vAlign w:val="center"/>
          </w:tcPr>
          <w:p>
            <w:pPr>
              <w:autoSpaceDE w:val="0"/>
              <w:autoSpaceDN w:val="0"/>
              <w:adjustRightInd w:val="0"/>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本谈判文件解释权属于采购人和浙江五石中正工程咨询有限公司。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1622" w:type="dxa"/>
            <w:vAlign w:val="center"/>
          </w:tcPr>
          <w:p>
            <w:pPr>
              <w:autoSpaceDE w:val="0"/>
              <w:autoSpaceDN w:val="0"/>
              <w:adjustRightInd w:val="0"/>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节能、环保</w:t>
            </w:r>
          </w:p>
        </w:tc>
        <w:tc>
          <w:tcPr>
            <w:tcW w:w="6555" w:type="dxa"/>
            <w:vAlign w:val="center"/>
          </w:tcPr>
          <w:p>
            <w:pPr>
              <w:autoSpaceDE w:val="0"/>
              <w:autoSpaceDN w:val="0"/>
              <w:adjustRightInd w:val="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符合国家相关法律、法规要求。</w:t>
            </w:r>
          </w:p>
        </w:tc>
      </w:tr>
    </w:tbl>
    <w:p>
      <w:pPr>
        <w:pStyle w:val="13"/>
        <w:rPr>
          <w:color w:val="000000" w:themeColor="text1"/>
          <w14:textFill>
            <w14:solidFill>
              <w14:schemeClr w14:val="tx1"/>
            </w14:solidFill>
          </w14:textFill>
        </w:rPr>
      </w:pPr>
    </w:p>
    <w:p>
      <w:pPr>
        <w:pStyle w:val="12"/>
        <w:snapToGrid w:val="0"/>
        <w:spacing w:line="360" w:lineRule="auto"/>
        <w:rPr>
          <w:rFonts w:hAnsi="宋体"/>
          <w:b/>
          <w:color w:val="000000" w:themeColor="text1"/>
          <w:sz w:val="24"/>
          <w14:textFill>
            <w14:solidFill>
              <w14:schemeClr w14:val="tx1"/>
            </w14:solidFill>
          </w14:textFill>
        </w:rPr>
      </w:pPr>
    </w:p>
    <w:p>
      <w:pPr>
        <w:pStyle w:val="12"/>
        <w:snapToGrid w:val="0"/>
        <w:spacing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一</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、总</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则</w:t>
      </w:r>
    </w:p>
    <w:p>
      <w:pPr>
        <w:numPr>
          <w:ilvl w:val="0"/>
          <w:numId w:val="6"/>
        </w:numPr>
        <w:snapToGrid w:val="0"/>
        <w:spacing w:line="360" w:lineRule="auto"/>
        <w:ind w:firstLine="472" w:firstLineChars="196"/>
        <w:jc w:val="left"/>
        <w:outlineLvl w:val="1"/>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适用范围</w:t>
      </w:r>
    </w:p>
    <w:p>
      <w:pPr>
        <w:snapToGrid w:val="0"/>
        <w:spacing w:line="360" w:lineRule="auto"/>
        <w:ind w:firstLine="480" w:firstLineChars="200"/>
        <w:jc w:val="left"/>
        <w:outlineLvl w:val="1"/>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本谈判文件适用于</w:t>
      </w:r>
      <w:r>
        <w:rPr>
          <w:rFonts w:hint="eastAsia" w:ascii="宋体" w:hAnsi="宋体"/>
          <w:bCs/>
          <w:color w:val="000000" w:themeColor="text1"/>
          <w:sz w:val="24"/>
          <w14:textFill>
            <w14:solidFill>
              <w14:schemeClr w14:val="tx1"/>
            </w14:solidFill>
          </w14:textFill>
        </w:rPr>
        <w:t>本次</w:t>
      </w:r>
      <w:r>
        <w:rPr>
          <w:rFonts w:hint="eastAsia" w:ascii="宋体" w:hAnsi="宋体"/>
          <w:color w:val="000000" w:themeColor="text1"/>
          <w:sz w:val="24"/>
          <w14:textFill>
            <w14:solidFill>
              <w14:schemeClr w14:val="tx1"/>
            </w14:solidFill>
          </w14:textFill>
        </w:rPr>
        <w:t>项目的</w:t>
      </w:r>
      <w:r>
        <w:rPr>
          <w:rFonts w:hint="eastAsia" w:ascii="宋体" w:hAnsi="宋体"/>
          <w:bCs/>
          <w:color w:val="000000" w:themeColor="text1"/>
          <w:sz w:val="24"/>
          <w14:textFill>
            <w14:solidFill>
              <w14:schemeClr w14:val="tx1"/>
            </w14:solidFill>
          </w14:textFill>
        </w:rPr>
        <w:t>谈判、评审、确定成交供应商</w:t>
      </w:r>
      <w:r>
        <w:rPr>
          <w:rFonts w:hint="eastAsia" w:ascii="宋体" w:hAnsi="宋体"/>
          <w:color w:val="000000" w:themeColor="text1"/>
          <w:sz w:val="24"/>
          <w14:textFill>
            <w14:solidFill>
              <w14:schemeClr w14:val="tx1"/>
            </w14:solidFill>
          </w14:textFill>
        </w:rPr>
        <w:t>、验收、合同履约、付款等行为（法律、法规另有规定的，从其规定）。</w:t>
      </w:r>
    </w:p>
    <w:p>
      <w:pPr>
        <w:snapToGrid w:val="0"/>
        <w:spacing w:line="360" w:lineRule="auto"/>
        <w:ind w:firstLine="354" w:firstLineChars="147"/>
        <w:jc w:val="left"/>
        <w:outlineLvl w:val="1"/>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（二）定义</w:t>
      </w:r>
    </w:p>
    <w:p>
      <w:pPr>
        <w:pStyle w:val="6"/>
        <w:keepNext w:val="0"/>
        <w:keepLines w:val="0"/>
        <w:tabs>
          <w:tab w:val="left" w:pos="0"/>
          <w:tab w:val="left" w:pos="851"/>
        </w:tabs>
        <w:autoSpaceDE w:val="0"/>
        <w:autoSpaceDN w:val="0"/>
        <w:adjustRightInd w:val="0"/>
        <w:snapToGrid w:val="0"/>
        <w:spacing w:before="0" w:after="0" w:line="360" w:lineRule="auto"/>
        <w:ind w:firstLine="566" w:firstLineChars="236"/>
        <w:jc w:val="left"/>
        <w:rPr>
          <w:rFonts w:ascii="宋体"/>
          <w:b w:val="0"/>
          <w:bCs w:val="0"/>
          <w:color w:val="000000" w:themeColor="text1"/>
          <w:sz w:val="24"/>
          <w:szCs w:val="24"/>
          <w14:textFill>
            <w14:solidFill>
              <w14:schemeClr w14:val="tx1"/>
            </w14:solidFill>
          </w14:textFill>
        </w:rPr>
      </w:pPr>
      <w:r>
        <w:rPr>
          <w:rFonts w:ascii="宋体" w:hAnsi="宋体"/>
          <w:b w:val="0"/>
          <w:color w:val="000000" w:themeColor="text1"/>
          <w:sz w:val="24"/>
          <w:szCs w:val="24"/>
          <w14:textFill>
            <w14:solidFill>
              <w14:schemeClr w14:val="tx1"/>
            </w14:solidFill>
          </w14:textFill>
        </w:rPr>
        <w:t>1</w:t>
      </w:r>
      <w:r>
        <w:rPr>
          <w:rFonts w:hint="eastAsia" w:ascii="宋体" w:hAnsi="宋体"/>
          <w:b w:val="0"/>
          <w:color w:val="000000" w:themeColor="text1"/>
          <w:sz w:val="24"/>
          <w:szCs w:val="24"/>
          <w14:textFill>
            <w14:solidFill>
              <w14:schemeClr w14:val="tx1"/>
            </w14:solidFill>
          </w14:textFill>
        </w:rPr>
        <w:t>、</w:t>
      </w:r>
      <w:r>
        <w:rPr>
          <w:rFonts w:hint="eastAsia" w:ascii="宋体" w:hAnsi="宋体"/>
          <w:b w:val="0"/>
          <w:bCs w:val="0"/>
          <w:color w:val="000000" w:themeColor="text1"/>
          <w:sz w:val="24"/>
          <w:szCs w:val="24"/>
          <w:lang w:val="zh-CN"/>
          <w14:textFill>
            <w14:solidFill>
              <w14:schemeClr w14:val="tx1"/>
            </w14:solidFill>
          </w14:textFill>
        </w:rPr>
        <w:t>“采购组织机构”指采购人委托组织谈判的集中采购机构或采购代理机构。</w:t>
      </w:r>
    </w:p>
    <w:p>
      <w:pPr>
        <w:snapToGrid w:val="0"/>
        <w:spacing w:line="360" w:lineRule="auto"/>
        <w:ind w:firstLine="566" w:firstLineChars="236"/>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、采购人：是指委托</w:t>
      </w:r>
      <w:r>
        <w:rPr>
          <w:rFonts w:hint="eastAsia" w:ascii="宋体" w:hAnsi="宋体"/>
          <w:color w:val="000000" w:themeColor="text1"/>
          <w:sz w:val="24"/>
          <w:lang w:val="zh-CN"/>
          <w14:textFill>
            <w14:solidFill>
              <w14:schemeClr w14:val="tx1"/>
            </w14:solidFill>
          </w14:textFill>
        </w:rPr>
        <w:t>集中采购机构或</w:t>
      </w:r>
      <w:r>
        <w:rPr>
          <w:rFonts w:hint="eastAsia" w:ascii="宋体" w:hAnsi="宋体"/>
          <w:color w:val="000000" w:themeColor="text1"/>
          <w:sz w:val="24"/>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、谈判</w:t>
      </w:r>
      <w:r>
        <w:rPr>
          <w:rFonts w:hint="eastAsia" w:ascii="宋体"/>
          <w:color w:val="000000" w:themeColor="text1"/>
          <w:kern w:val="0"/>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：是指向采购</w:t>
      </w:r>
      <w:r>
        <w:rPr>
          <w:rFonts w:hint="eastAsia" w:ascii="宋体" w:hAnsi="宋体"/>
          <w:color w:val="000000" w:themeColor="text1"/>
          <w:sz w:val="24"/>
          <w:lang w:val="zh-CN"/>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机构提交谈判响应文件的单位或个人。</w:t>
      </w:r>
    </w:p>
    <w:p>
      <w:pPr>
        <w:snapToGrid w:val="0"/>
        <w:spacing w:line="360" w:lineRule="auto"/>
        <w:ind w:left="424" w:leftChars="202" w:firstLine="143"/>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、货物：是指各种形态和种类的物品，包括原材料、燃料、设备、产品等。</w:t>
      </w:r>
    </w:p>
    <w:p>
      <w:pPr>
        <w:snapToGrid w:val="0"/>
        <w:spacing w:line="360" w:lineRule="auto"/>
        <w:ind w:firstLine="566" w:firstLineChars="236"/>
        <w:jc w:val="left"/>
        <w:rPr>
          <w:rFonts w:asci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、服务：是指除货物和工程以外的政府采购对象，包括各类专业服务、信息网络开发服务、金融保险服务、运输服务，以及维修与维护服务等。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、“书面形式”包括信函、传真等。</w:t>
      </w:r>
    </w:p>
    <w:p>
      <w:pPr>
        <w:snapToGrid w:val="0"/>
        <w:spacing w:line="360" w:lineRule="auto"/>
        <w:ind w:firstLine="566" w:firstLineChars="236"/>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、“▲”系指实质性要求条款。</w:t>
      </w:r>
    </w:p>
    <w:p>
      <w:pPr>
        <w:snapToGrid w:val="0"/>
        <w:spacing w:line="360" w:lineRule="auto"/>
        <w:ind w:firstLine="472" w:firstLineChars="196"/>
        <w:jc w:val="left"/>
        <w:outlineLvl w:val="1"/>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（三）谈判费用</w:t>
      </w:r>
    </w:p>
    <w:p>
      <w:pPr>
        <w:snapToGrid w:val="0"/>
        <w:spacing w:line="360" w:lineRule="auto"/>
        <w:ind w:firstLine="480" w:firstLineChars="200"/>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不论谈判结果如何，供应商均应自行承担所有与谈判有关的全部费用（谈判文件有相关规定除外）。</w:t>
      </w:r>
    </w:p>
    <w:p>
      <w:pPr>
        <w:pStyle w:val="12"/>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（四）特别说明</w:t>
      </w:r>
    </w:p>
    <w:p>
      <w:pPr>
        <w:pStyle w:val="12"/>
        <w:snapToGrid w:val="0"/>
        <w:spacing w:line="360" w:lineRule="auto"/>
        <w:ind w:left="2" w:leftChars="1"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int="eastAsia"/>
          <w:color w:val="000000" w:themeColor="text1"/>
          <w:kern w:val="0"/>
          <w:sz w:val="24"/>
          <w14:textFill>
            <w14:solidFill>
              <w14:schemeClr w14:val="tx1"/>
            </w14:solidFill>
          </w14:textFill>
        </w:rPr>
        <w:t>供应商</w:t>
      </w:r>
      <w:r>
        <w:rPr>
          <w:rFonts w:hint="eastAsia" w:hAnsi="宋体"/>
          <w:color w:val="000000" w:themeColor="text1"/>
          <w:sz w:val="24"/>
          <w14:textFill>
            <w14:solidFill>
              <w14:schemeClr w14:val="tx1"/>
            </w14:solidFill>
          </w14:textFill>
        </w:rPr>
        <w:t>谈判所使用的资格、信誉、荣誉、业绩与企业认证必须为本法人所拥有。</w:t>
      </w:r>
      <w:r>
        <w:rPr>
          <w:rFonts w:hint="eastAsia"/>
          <w:color w:val="000000" w:themeColor="text1"/>
          <w:kern w:val="0"/>
          <w:sz w:val="24"/>
          <w14:textFill>
            <w14:solidFill>
              <w14:schemeClr w14:val="tx1"/>
            </w14:solidFill>
          </w14:textFill>
        </w:rPr>
        <w:t>供应商</w:t>
      </w:r>
      <w:r>
        <w:rPr>
          <w:rFonts w:hint="eastAsia" w:hAnsi="宋体"/>
          <w:color w:val="000000" w:themeColor="text1"/>
          <w:sz w:val="24"/>
          <w14:textFill>
            <w14:solidFill>
              <w14:schemeClr w14:val="tx1"/>
            </w14:solidFill>
          </w14:textFill>
        </w:rPr>
        <w:t>谈判所使用的采购项目实施人员必须为本法人员工（指必须为本法人或控股公司正式员工）。</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、供应商</w:t>
      </w:r>
      <w:r>
        <w:rPr>
          <w:rFonts w:hint="eastAsia" w:hAnsi="宋体"/>
          <w:color w:val="000000" w:themeColor="text1"/>
          <w:sz w:val="24"/>
          <w14:textFill>
            <w14:solidFill>
              <w14:schemeClr w14:val="tx1"/>
            </w14:solidFill>
          </w14:textFill>
        </w:rPr>
        <w:t>所标产品</w:t>
      </w:r>
      <w:r>
        <w:rPr>
          <w:rFonts w:hint="eastAsia" w:ascii="宋体" w:hAnsi="宋体"/>
          <w:color w:val="000000" w:themeColor="text1"/>
          <w:sz w:val="24"/>
          <w14:textFill>
            <w14:solidFill>
              <w14:schemeClr w14:val="tx1"/>
            </w14:solidFill>
          </w14:textFill>
        </w:rPr>
        <w:t>除谈判文件中明确规定要求“提供官网截图或相应检测报告的证明材料”以外，所有技术参数描述均以谈判文件为准。</w:t>
      </w:r>
      <w:r>
        <w:rPr>
          <w:rFonts w:hint="eastAsia" w:ascii="宋体" w:hAnsi="宋体"/>
          <w:b/>
          <w:bCs/>
          <w:color w:val="000000" w:themeColor="text1"/>
          <w:sz w:val="24"/>
          <w14:textFill>
            <w14:solidFill>
              <w14:schemeClr w14:val="tx1"/>
            </w14:solidFill>
          </w14:textFill>
        </w:rPr>
        <w:t>谈判供应商对所投产品技术参数的真实性承担法律责任。</w:t>
      </w:r>
      <w:r>
        <w:rPr>
          <w:rFonts w:hint="eastAsia" w:ascii="宋体" w:hAnsi="宋体"/>
          <w:color w:val="000000" w:themeColor="text1"/>
          <w:sz w:val="24"/>
          <w14:textFill>
            <w14:solidFill>
              <w14:schemeClr w14:val="tx1"/>
            </w14:solidFill>
          </w14:textFill>
        </w:rPr>
        <w:t>项目谈判结束后、质疑期限内，如有质疑供应商认为成交供应商所投产品、谈判文件技术参数与谈判需求存在重大偏离、错误、甚至造假的情况，应提供具体有效的证明材料。</w:t>
      </w:r>
    </w:p>
    <w:p>
      <w:pPr>
        <w:pStyle w:val="44"/>
        <w:snapToGrid w:val="0"/>
        <w:spacing w:line="360" w:lineRule="auto"/>
        <w:ind w:firstLineChars="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w:t>
      </w:r>
      <w:r>
        <w:rPr>
          <w:rFonts w:hint="eastAsia" w:ascii="宋体"/>
          <w:color w:val="000000" w:themeColor="text1"/>
          <w:kern w:val="0"/>
          <w:sz w:val="24"/>
          <w:szCs w:val="24"/>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在谈判活动中提供任何虚假材料</w:t>
      </w:r>
      <w:r>
        <w:rPr>
          <w:rFonts w:asci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其响应无效，并报监管部门查处；成交后发现的</w:t>
      </w:r>
      <w:r>
        <w:rPr>
          <w:rFonts w:asci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themeColor="text1"/>
          <w:sz w:val="24"/>
          <w:szCs w:val="24"/>
          <w14:textFill>
            <w14:solidFill>
              <w14:schemeClr w14:val="tx1"/>
            </w14:solidFill>
          </w14:textFill>
        </w:rPr>
      </w:pPr>
      <w:r>
        <w:rPr>
          <w:rFonts w:ascii="宋体" w:hAnsi="宋体"/>
          <w:b w:val="0"/>
          <w:bCs w:val="0"/>
          <w:color w:val="000000" w:themeColor="text1"/>
          <w:sz w:val="24"/>
          <w:szCs w:val="24"/>
          <w14:textFill>
            <w14:solidFill>
              <w14:schemeClr w14:val="tx1"/>
            </w14:solidFill>
          </w14:textFill>
        </w:rPr>
        <w:t>4</w:t>
      </w:r>
      <w:r>
        <w:rPr>
          <w:rFonts w:hint="eastAsia" w:ascii="宋体" w:hAnsi="宋体"/>
          <w:b w:val="0"/>
          <w:bCs w:val="0"/>
          <w:color w:val="000000" w:themeColor="text1"/>
          <w:sz w:val="24"/>
          <w:szCs w:val="24"/>
          <w14:textFill>
            <w14:solidFill>
              <w14:schemeClr w14:val="tx1"/>
            </w14:solidFill>
          </w14:textFill>
        </w:rPr>
        <w:t>、</w:t>
      </w:r>
      <w:r>
        <w:rPr>
          <w:rFonts w:hint="eastAsia" w:ascii="宋体"/>
          <w:b w:val="0"/>
          <w:bCs w:val="0"/>
          <w:color w:val="000000" w:themeColor="text1"/>
          <w:kern w:val="0"/>
          <w:sz w:val="24"/>
          <w:szCs w:val="24"/>
          <w14:textFill>
            <w14:solidFill>
              <w14:schemeClr w14:val="tx1"/>
            </w14:solidFill>
          </w14:textFill>
        </w:rPr>
        <w:t>供应商</w:t>
      </w:r>
      <w:r>
        <w:rPr>
          <w:rFonts w:hint="eastAsia" w:ascii="宋体" w:hAnsi="宋体"/>
          <w:b w:val="0"/>
          <w:bCs w:val="0"/>
          <w:color w:val="000000" w:themeColor="text1"/>
          <w:sz w:val="24"/>
          <w:szCs w:val="24"/>
          <w14:textFill>
            <w14:solidFill>
              <w14:schemeClr w14:val="tx1"/>
            </w14:solidFill>
          </w14:textFill>
        </w:rPr>
        <w:t>不得相互串通谈判报价，不得妨碍其他供应商的公平竞争，不得损害采购人或其他供应商的合法权益，供应商不得以向采购人、谈判小组成员行贿或者采取其他不正当手段谋取成交。</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themeColor="text1"/>
          <w:sz w:val="24"/>
          <w:szCs w:val="24"/>
          <w14:textFill>
            <w14:solidFill>
              <w14:schemeClr w14:val="tx1"/>
            </w14:solidFill>
          </w14:textFill>
        </w:rPr>
      </w:pPr>
      <w:r>
        <w:rPr>
          <w:rFonts w:ascii="宋体" w:hAnsi="宋体"/>
          <w:b w:val="0"/>
          <w:bCs w:val="0"/>
          <w:color w:val="000000" w:themeColor="text1"/>
          <w:sz w:val="24"/>
          <w:szCs w:val="24"/>
          <w14:textFill>
            <w14:solidFill>
              <w14:schemeClr w14:val="tx1"/>
            </w14:solidFill>
          </w14:textFill>
        </w:rPr>
        <w:t>5</w:t>
      </w:r>
      <w:r>
        <w:rPr>
          <w:rFonts w:hint="eastAsia" w:ascii="宋体" w:hAnsi="宋体"/>
          <w:b w:val="0"/>
          <w:bCs w:val="0"/>
          <w:color w:val="000000" w:themeColor="text1"/>
          <w:sz w:val="24"/>
          <w:szCs w:val="24"/>
          <w14:textFill>
            <w14:solidFill>
              <w14:schemeClr w14:val="tx1"/>
            </w14:solidFill>
          </w14:textFill>
        </w:rPr>
        <w:t>、为采购项目提供整体设计、规范编制或者项目管理、监理、检测等服务的供应商，不得再参加该采购项目的其他采购活动。</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themeColor="text1"/>
          <w:sz w:val="24"/>
          <w:szCs w:val="24"/>
          <w14:textFill>
            <w14:solidFill>
              <w14:schemeClr w14:val="tx1"/>
            </w14:solidFill>
          </w14:textFill>
        </w:rPr>
      </w:pPr>
      <w:r>
        <w:rPr>
          <w:rFonts w:ascii="宋体" w:hAnsi="宋体"/>
          <w:b w:val="0"/>
          <w:bCs w:val="0"/>
          <w:color w:val="000000" w:themeColor="text1"/>
          <w:sz w:val="24"/>
          <w:szCs w:val="24"/>
          <w14:textFill>
            <w14:solidFill>
              <w14:schemeClr w14:val="tx1"/>
            </w14:solidFill>
          </w14:textFill>
        </w:rPr>
        <w:t>6</w:t>
      </w:r>
      <w:r>
        <w:rPr>
          <w:rFonts w:hint="eastAsia" w:ascii="宋体" w:hAnsi="宋体"/>
          <w:b w:val="0"/>
          <w:bCs w:val="0"/>
          <w:color w:val="000000" w:themeColor="text1"/>
          <w:sz w:val="24"/>
          <w:szCs w:val="24"/>
          <w14:textFill>
            <w14:solidFill>
              <w14:schemeClr w14:val="tx1"/>
            </w14:solidFill>
          </w14:textFill>
        </w:rPr>
        <w:t>、谈判响应文件格式中的表格式样可以根据项目差别做适当调整</w:t>
      </w:r>
      <w:r>
        <w:rPr>
          <w:rFonts w:ascii="宋体"/>
          <w:b w:val="0"/>
          <w:bCs w:val="0"/>
          <w:color w:val="000000" w:themeColor="text1"/>
          <w:sz w:val="24"/>
          <w:szCs w:val="24"/>
          <w14:textFill>
            <w14:solidFill>
              <w14:schemeClr w14:val="tx1"/>
            </w14:solidFill>
          </w14:textFill>
        </w:rPr>
        <w:t>,</w:t>
      </w:r>
      <w:r>
        <w:rPr>
          <w:rFonts w:hint="eastAsia" w:ascii="宋体" w:hAnsi="宋体"/>
          <w:b w:val="0"/>
          <w:bCs w:val="0"/>
          <w:color w:val="000000" w:themeColor="text1"/>
          <w:sz w:val="24"/>
          <w:szCs w:val="24"/>
          <w14:textFill>
            <w14:solidFill>
              <w14:schemeClr w14:val="tx1"/>
            </w14:solidFill>
          </w14:textFill>
        </w:rPr>
        <w:t>但应当保持表格样式基本形态不变。</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themeColor="text1"/>
          <w:sz w:val="24"/>
          <w:szCs w:val="24"/>
          <w14:textFill>
            <w14:solidFill>
              <w14:schemeClr w14:val="tx1"/>
            </w14:solidFill>
          </w14:textFill>
        </w:rPr>
      </w:pPr>
      <w:r>
        <w:rPr>
          <w:rFonts w:ascii="宋体" w:hAnsi="宋体"/>
          <w:b w:val="0"/>
          <w:bCs w:val="0"/>
          <w:color w:val="000000" w:themeColor="text1"/>
          <w:sz w:val="24"/>
          <w:szCs w:val="24"/>
          <w14:textFill>
            <w14:solidFill>
              <w14:schemeClr w14:val="tx1"/>
            </w14:solidFill>
          </w14:textFill>
        </w:rPr>
        <w:t>7</w:t>
      </w:r>
      <w:r>
        <w:rPr>
          <w:rFonts w:hint="eastAsia" w:ascii="宋体" w:hAnsi="宋体"/>
          <w:b w:val="0"/>
          <w:bCs w:val="0"/>
          <w:color w:val="000000" w:themeColor="text1"/>
          <w:sz w:val="24"/>
          <w:szCs w:val="24"/>
          <w14:textFill>
            <w14:solidFill>
              <w14:schemeClr w14:val="tx1"/>
            </w14:solidFill>
          </w14:textFill>
        </w:rPr>
        <w:t>、单位负责人为同一人或者存在直接控股、管理关系的不同供应商，不得参加同一合同项下的政府采购活动。</w:t>
      </w:r>
    </w:p>
    <w:p>
      <w:pPr>
        <w:snapToGrid w:val="0"/>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w:t>
      </w:r>
      <w:r>
        <w:rPr>
          <w:rFonts w:hint="eastAsia" w:ascii="宋体" w:hAnsi="宋体"/>
          <w:b/>
          <w:color w:val="000000" w:themeColor="text1"/>
          <w:kern w:val="0"/>
          <w:sz w:val="24"/>
          <w14:textFill>
            <w14:solidFill>
              <w14:schemeClr w14:val="tx1"/>
            </w14:solidFill>
          </w14:textFill>
        </w:rPr>
        <w:t>谈判响应文件</w:t>
      </w:r>
    </w:p>
    <w:p>
      <w:pPr>
        <w:autoSpaceDE w:val="0"/>
        <w:autoSpaceDN w:val="0"/>
        <w:adjustRightInd w:val="0"/>
        <w:spacing w:line="360"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（一）谈判响应文件的组成</w:t>
      </w:r>
    </w:p>
    <w:p>
      <w:pPr>
        <w:autoSpaceDE w:val="0"/>
        <w:autoSpaceDN w:val="0"/>
        <w:adjustRightInd w:val="0"/>
        <w:spacing w:line="360" w:lineRule="auto"/>
        <w:ind w:firstLine="480" w:firstLineChars="200"/>
        <w:rPr>
          <w:rFonts w:ascii="宋体"/>
          <w:color w:val="000000" w:themeColor="text1"/>
          <w:kern w:val="0"/>
          <w:sz w:val="24"/>
          <w:lang w:val="zh-CN"/>
          <w14:textFill>
            <w14:solidFill>
              <w14:schemeClr w14:val="tx1"/>
            </w14:solidFill>
          </w14:textFill>
        </w:rPr>
      </w:pPr>
      <w:r>
        <w:rPr>
          <w:rFonts w:hint="eastAsia" w:ascii="宋体"/>
          <w:color w:val="000000" w:themeColor="text1"/>
          <w:kern w:val="0"/>
          <w:sz w:val="24"/>
          <w14:textFill>
            <w14:solidFill>
              <w14:schemeClr w14:val="tx1"/>
            </w14:solidFill>
          </w14:textFill>
        </w:rPr>
        <w:t>供应商应仔细阅读谈判文件的所有内容，按谈判采购文件的要求，详细编制谈判响应文件</w:t>
      </w:r>
      <w:r>
        <w:rPr>
          <w:rFonts w:hint="eastAsia" w:hAnsi="宋体"/>
          <w:color w:val="000000" w:themeColor="text1"/>
          <w:sz w:val="24"/>
          <w14:textFill>
            <w14:solidFill>
              <w14:schemeClr w14:val="tx1"/>
            </w14:solidFill>
          </w14:textFill>
        </w:rPr>
        <w:t>。</w:t>
      </w:r>
      <w:r>
        <w:rPr>
          <w:rFonts w:hint="eastAsia" w:ascii="宋体" w:hAnsi="宋体"/>
          <w:color w:val="000000" w:themeColor="text1"/>
          <w:kern w:val="0"/>
          <w:sz w:val="24"/>
          <w:lang w:val="zh-CN"/>
          <w14:textFill>
            <w14:solidFill>
              <w14:schemeClr w14:val="tx1"/>
            </w14:solidFill>
          </w14:textFill>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pacing w:line="360" w:lineRule="auto"/>
        <w:ind w:firstLine="723" w:firstLineChars="300"/>
        <w:rPr>
          <w:rFonts w:ascii="宋体"/>
          <w:color w:val="000000" w:themeColor="text1"/>
          <w:kern w:val="0"/>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、资格证明内容的组成：</w:t>
      </w:r>
    </w:p>
    <w:p>
      <w:pPr>
        <w:widowControl/>
        <w:numPr>
          <w:ilvl w:val="0"/>
          <w:numId w:val="7"/>
        </w:numPr>
        <w:spacing w:line="360" w:lineRule="auto"/>
        <w:ind w:right="60" w:firstLine="472" w:firstLineChars="197"/>
        <w:jc w:val="left"/>
        <w:outlineLvl w:val="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谈判声明书；</w:t>
      </w:r>
    </w:p>
    <w:p>
      <w:pPr>
        <w:widowControl/>
        <w:numPr>
          <w:ilvl w:val="0"/>
          <w:numId w:val="7"/>
        </w:numPr>
        <w:spacing w:line="360" w:lineRule="auto"/>
        <w:ind w:right="60" w:firstLine="472" w:firstLineChars="197"/>
        <w:jc w:val="left"/>
        <w:outlineLvl w:val="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授权委托书（法定代表人亲自办理谈判响应事宜的，则无需提交</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widowControl/>
        <w:numPr>
          <w:ilvl w:val="0"/>
          <w:numId w:val="7"/>
        </w:numPr>
        <w:spacing w:line="360" w:lineRule="auto"/>
        <w:ind w:right="60" w:firstLine="472" w:firstLineChars="197"/>
        <w:jc w:val="left"/>
        <w:outlineLvl w:val="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法人或者其他组织的营业执照等证明文件，自然人的身份证明；</w:t>
      </w:r>
    </w:p>
    <w:p>
      <w:pPr>
        <w:widowControl/>
        <w:numPr>
          <w:ilvl w:val="0"/>
          <w:numId w:val="7"/>
        </w:numPr>
        <w:spacing w:line="360" w:lineRule="auto"/>
        <w:ind w:right="60" w:firstLine="472" w:firstLineChars="197"/>
        <w:jc w:val="left"/>
        <w:outlineLvl w:val="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财务状况报告，依法缴纳税收和社会保障资金的相关材料；</w:t>
      </w:r>
    </w:p>
    <w:p>
      <w:pPr>
        <w:widowControl/>
        <w:numPr>
          <w:ilvl w:val="0"/>
          <w:numId w:val="7"/>
        </w:numPr>
        <w:spacing w:line="360" w:lineRule="auto"/>
        <w:ind w:right="60" w:firstLine="472" w:firstLineChars="197"/>
        <w:jc w:val="left"/>
        <w:outlineLvl w:val="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具备履行合同所必需的设备和专业技术能力的证明材料</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根据项目性质提供</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widowControl/>
        <w:numPr>
          <w:ilvl w:val="0"/>
          <w:numId w:val="7"/>
        </w:numPr>
        <w:spacing w:line="360" w:lineRule="auto"/>
        <w:ind w:right="60" w:firstLine="472" w:firstLineChars="197"/>
        <w:jc w:val="left"/>
        <w:outlineLvl w:val="0"/>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提供采购公告中符合供应商特定条件的有效资质证书复印件（谈判供应商特定条件中有要求的必须提供原件），以及需要说明的其他资料。</w:t>
      </w:r>
    </w:p>
    <w:p>
      <w:pPr>
        <w:snapToGrid w:val="0"/>
        <w:spacing w:line="360" w:lineRule="auto"/>
        <w:ind w:firstLine="482" w:firstLineChars="200"/>
        <w:rPr>
          <w:rFonts w:ascii="宋体" w:cs="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、商务与技术内容的组成：</w:t>
      </w:r>
    </w:p>
    <w:p>
      <w:pPr>
        <w:pStyle w:val="8"/>
        <w:widowControl/>
        <w:adjustRightInd w:val="0"/>
        <w:snapToGrid w:val="0"/>
        <w:spacing w:line="360" w:lineRule="auto"/>
        <w:ind w:firstLine="480" w:firstLineChars="20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）供应商情况介绍（人员与技术力量、企业规模、经营业绩等）。</w:t>
      </w:r>
    </w:p>
    <w:p>
      <w:pPr>
        <w:pStyle w:val="8"/>
        <w:widowControl/>
        <w:adjustRightInd w:val="0"/>
        <w:snapToGrid w:val="0"/>
        <w:spacing w:line="360" w:lineRule="auto"/>
        <w:ind w:firstLine="480" w:firstLineChars="20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）谈判响应方案描述：</w:t>
      </w:r>
    </w:p>
    <w:p>
      <w:pPr>
        <w:pStyle w:val="8"/>
        <w:widowControl/>
        <w:adjustRightInd w:val="0"/>
        <w:snapToGrid w:val="0"/>
        <w:spacing w:line="360" w:lineRule="auto"/>
        <w:ind w:left="218" w:leftChars="104" w:firstLine="619" w:firstLineChars="258"/>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A.</w:t>
      </w:r>
      <w:r>
        <w:rPr>
          <w:rFonts w:hint="eastAsia" w:ascii="宋体" w:hAnsi="宋体" w:cs="宋体"/>
          <w:color w:val="000000" w:themeColor="text1"/>
          <w:sz w:val="24"/>
          <w:szCs w:val="24"/>
          <w14:textFill>
            <w14:solidFill>
              <w14:schemeClr w14:val="tx1"/>
            </w14:solidFill>
          </w14:textFill>
        </w:rPr>
        <w:t>项目需求的理解与分析</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供应商对项目现状及需求的理解情况，对项目现状和需求描述的全面性、准确性、针对性</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p>
    <w:p>
      <w:pPr>
        <w:pStyle w:val="8"/>
        <w:widowControl/>
        <w:adjustRightInd w:val="0"/>
        <w:snapToGrid w:val="0"/>
        <w:spacing w:line="360" w:lineRule="auto"/>
        <w:ind w:left="218" w:leftChars="104" w:firstLine="619" w:firstLineChars="258"/>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B.</w:t>
      </w:r>
      <w:r>
        <w:rPr>
          <w:rFonts w:hint="eastAsia" w:ascii="宋体" w:hAnsi="宋体" w:cs="宋体"/>
          <w:color w:val="000000" w:themeColor="text1"/>
          <w:sz w:val="24"/>
          <w:szCs w:val="24"/>
          <w14:textFill>
            <w14:solidFill>
              <w14:schemeClr w14:val="tx1"/>
            </w14:solidFill>
          </w14:textFill>
        </w:rPr>
        <w:t>项目组织实施方案（包括确保项目供货的措施或方案、项目实施进度安排、项目实施人员及项目负责人的资质、类似经验及社保证明等）。</w:t>
      </w:r>
    </w:p>
    <w:p>
      <w:pPr>
        <w:pStyle w:val="8"/>
        <w:widowControl/>
        <w:adjustRightInd w:val="0"/>
        <w:snapToGrid w:val="0"/>
        <w:spacing w:line="360" w:lineRule="auto"/>
        <w:ind w:firstLine="480" w:firstLineChars="20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）谈判响应产品描述及相关资料：</w:t>
      </w:r>
    </w:p>
    <w:p>
      <w:pPr>
        <w:pStyle w:val="8"/>
        <w:widowControl/>
        <w:adjustRightInd w:val="0"/>
        <w:snapToGrid w:val="0"/>
        <w:spacing w:line="360" w:lineRule="auto"/>
        <w:ind w:left="218" w:leftChars="104" w:firstLine="619" w:firstLineChars="258"/>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A.</w:t>
      </w:r>
      <w:r>
        <w:rPr>
          <w:rFonts w:hint="eastAsia" w:ascii="宋体" w:hAnsi="宋体" w:cs="宋体"/>
          <w:color w:val="000000" w:themeColor="text1"/>
          <w:sz w:val="24"/>
          <w:szCs w:val="24"/>
          <w14:textFill>
            <w14:solidFill>
              <w14:schemeClr w14:val="tx1"/>
            </w14:solidFill>
          </w14:textFill>
        </w:rPr>
        <w:t>谈判</w:t>
      </w:r>
      <w:r>
        <w:rPr>
          <w:rFonts w:hint="eastAsia" w:ascii="宋体" w:hAnsi="宋体"/>
          <w:color w:val="000000" w:themeColor="text1"/>
          <w:sz w:val="24"/>
          <w:szCs w:val="24"/>
          <w14:textFill>
            <w14:solidFill>
              <w14:schemeClr w14:val="tx1"/>
            </w14:solidFill>
          </w14:textFill>
        </w:rPr>
        <w:t>项目供货清单。</w:t>
      </w:r>
    </w:p>
    <w:p>
      <w:pPr>
        <w:pStyle w:val="8"/>
        <w:widowControl/>
        <w:adjustRightInd w:val="0"/>
        <w:snapToGrid w:val="0"/>
        <w:spacing w:line="360" w:lineRule="auto"/>
        <w:ind w:left="218" w:leftChars="104" w:firstLine="619" w:firstLineChars="258"/>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B.</w:t>
      </w:r>
      <w:r>
        <w:rPr>
          <w:rFonts w:hint="eastAsia" w:ascii="宋体" w:hAnsi="宋体" w:cs="宋体"/>
          <w:color w:val="000000" w:themeColor="text1"/>
          <w:sz w:val="24"/>
          <w:szCs w:val="24"/>
          <w14:textFill>
            <w14:solidFill>
              <w14:schemeClr w14:val="tx1"/>
            </w14:solidFill>
          </w14:textFill>
        </w:rPr>
        <w:t>产品品牌及型号、技术参数指标、性能特点、图片资料以及所遵循的技术规范、产品质保期、出厂标准、产品质量相关检测报告等内容。</w:t>
      </w:r>
    </w:p>
    <w:p>
      <w:pPr>
        <w:pStyle w:val="8"/>
        <w:widowControl/>
        <w:adjustRightInd w:val="0"/>
        <w:snapToGrid w:val="0"/>
        <w:spacing w:line="360" w:lineRule="auto"/>
        <w:ind w:left="218" w:leftChars="104" w:firstLine="619" w:firstLineChars="258"/>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C.</w:t>
      </w:r>
      <w:r>
        <w:rPr>
          <w:rFonts w:hint="eastAsia" w:ascii="宋体" w:hAnsi="宋体" w:cs="宋体"/>
          <w:color w:val="000000" w:themeColor="text1"/>
          <w:sz w:val="24"/>
          <w:szCs w:val="24"/>
          <w14:textFill>
            <w14:solidFill>
              <w14:schemeClr w14:val="tx1"/>
            </w14:solidFill>
          </w14:textFill>
        </w:rPr>
        <w:t>商务及技术响应表。</w:t>
      </w:r>
    </w:p>
    <w:p>
      <w:pPr>
        <w:spacing w:line="360" w:lineRule="auto"/>
        <w:ind w:left="218" w:leftChars="104" w:firstLine="619" w:firstLineChars="258"/>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D.</w:t>
      </w:r>
      <w:r>
        <w:rPr>
          <w:rFonts w:hint="eastAsia" w:ascii="宋体" w:hAnsi="宋体" w:cs="宋体"/>
          <w:color w:val="000000" w:themeColor="text1"/>
          <w:sz w:val="24"/>
          <w14:textFill>
            <w14:solidFill>
              <w14:schemeClr w14:val="tx1"/>
            </w14:solidFill>
          </w14:textFill>
        </w:rPr>
        <w:t>谈判响应产品中有节能产品的，应列明谈判响应产品中有列入最新一期财政部、发展改革委公布的“节能产品政府采购清单”明细（提供所响应产品在清单中所处的页码、截图，并以明显标识标注）；谈判响应产品中有环保产品的，应列明谈判响应产品中有列入最新一期财政部、环境保护部公布的“环境标志产品政府采购清单”明细（提供所响应产品在清单中所处的页码、截图，并以明显标识标注）。</w:t>
      </w:r>
    </w:p>
    <w:p>
      <w:pPr>
        <w:autoSpaceDE w:val="0"/>
        <w:autoSpaceDN w:val="0"/>
        <w:adjustRightInd w:val="0"/>
        <w:spacing w:line="360" w:lineRule="auto"/>
        <w:ind w:firstLine="424" w:firstLineChars="177"/>
        <w:rPr>
          <w:rFonts w:ascii="宋体" w:cs="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）供应商通过的质量管理和质量保证体系、环保体系、</w:t>
      </w:r>
      <w:r>
        <w:rPr>
          <w:rFonts w:hint="eastAsia" w:ascii="宋体" w:hAnsi="宋体"/>
          <w:color w:val="000000" w:themeColor="text1"/>
          <w:sz w:val="24"/>
          <w14:textFill>
            <w14:solidFill>
              <w14:schemeClr w14:val="tx1"/>
            </w14:solidFill>
          </w14:textFill>
        </w:rPr>
        <w:t>自主创新相关证书、软件著作权证等等与本项目相关</w:t>
      </w:r>
      <w:r>
        <w:rPr>
          <w:rFonts w:hint="eastAsia" w:ascii="宋体" w:hAnsi="宋体"/>
          <w:color w:val="000000" w:themeColor="text1"/>
          <w:kern w:val="0"/>
          <w:sz w:val="24"/>
          <w14:textFill>
            <w14:solidFill>
              <w14:schemeClr w14:val="tx1"/>
            </w14:solidFill>
          </w14:textFill>
        </w:rPr>
        <w:t>的认证证书或文件；</w:t>
      </w:r>
    </w:p>
    <w:p>
      <w:pPr>
        <w:pStyle w:val="8"/>
        <w:widowControl/>
        <w:adjustRightInd w:val="0"/>
        <w:snapToGrid w:val="0"/>
        <w:spacing w:line="360" w:lineRule="auto"/>
        <w:ind w:firstLine="480" w:firstLineChars="200"/>
        <w:rPr>
          <w:rFonts w:ascii="宋体" w:cs="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5</w:t>
      </w:r>
      <w:r>
        <w:rPr>
          <w:rFonts w:hint="eastAsia" w:ascii="宋体" w:hAnsi="宋体"/>
          <w:color w:val="000000" w:themeColor="text1"/>
          <w:kern w:val="0"/>
          <w:sz w:val="24"/>
          <w:szCs w:val="24"/>
          <w14:textFill>
            <w14:solidFill>
              <w14:schemeClr w14:val="tx1"/>
            </w14:solidFill>
          </w14:textFill>
        </w:rPr>
        <w:t>）近三年来类似项目的成功案例（供应商类似项目实施情况一览表、合同复印件及其相应的发票、用户验收报告等），投标当天带相关原件到场复核；</w:t>
      </w:r>
    </w:p>
    <w:p>
      <w:pPr>
        <w:snapToGrid w:val="0"/>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）供应商认为需要提供的其他资料（包括可能影响谈判人商务与技术评定的各类证明材料）。</w:t>
      </w:r>
    </w:p>
    <w:p>
      <w:pPr>
        <w:pStyle w:val="8"/>
        <w:widowControl/>
        <w:adjustRightInd w:val="0"/>
        <w:snapToGrid w:val="0"/>
        <w:spacing w:line="360" w:lineRule="auto"/>
        <w:ind w:firstLine="480" w:firstLineChars="20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）售后服务描述及承诺：</w:t>
      </w:r>
    </w:p>
    <w:p>
      <w:pPr>
        <w:pStyle w:val="8"/>
        <w:widowControl/>
        <w:adjustRightInd w:val="0"/>
        <w:snapToGrid w:val="0"/>
        <w:spacing w:line="360" w:lineRule="auto"/>
        <w:ind w:left="218" w:leftChars="104" w:firstLine="619" w:firstLineChars="258"/>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A.</w:t>
      </w:r>
      <w:r>
        <w:rPr>
          <w:rFonts w:hint="eastAsia" w:ascii="宋体" w:hAnsi="宋体" w:cs="宋体"/>
          <w:color w:val="000000" w:themeColor="text1"/>
          <w:sz w:val="24"/>
          <w:szCs w:val="24"/>
          <w14:textFill>
            <w14:solidFill>
              <w14:schemeClr w14:val="tx1"/>
            </w14:solidFill>
          </w14:textFill>
        </w:rPr>
        <w:t>距采购人最近的服务网点详细介绍（包括地理位置、资质资格、技术力量、工作业绩、服务内容及联系电话等）。</w:t>
      </w:r>
    </w:p>
    <w:p>
      <w:pPr>
        <w:pStyle w:val="8"/>
        <w:widowControl/>
        <w:adjustRightInd w:val="0"/>
        <w:snapToGrid w:val="0"/>
        <w:spacing w:line="360" w:lineRule="auto"/>
        <w:ind w:left="218" w:leftChars="104" w:firstLine="619" w:firstLineChars="258"/>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B.</w:t>
      </w:r>
      <w:r>
        <w:rPr>
          <w:rFonts w:hint="eastAsia" w:ascii="宋体" w:hAnsi="宋体" w:cs="宋体"/>
          <w:color w:val="000000" w:themeColor="text1"/>
          <w:sz w:val="24"/>
          <w:szCs w:val="24"/>
          <w14:textFill>
            <w14:solidFill>
              <w14:schemeClr w14:val="tx1"/>
            </w14:solidFill>
          </w14:textFill>
        </w:rPr>
        <w:t>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3</w:t>
      </w:r>
      <w:r>
        <w:rPr>
          <w:rFonts w:hint="eastAsia" w:ascii="宋体" w:hAnsi="宋体"/>
          <w:b/>
          <w:color w:val="000000" w:themeColor="text1"/>
          <w:kern w:val="0"/>
          <w:sz w:val="24"/>
          <w14:textFill>
            <w14:solidFill>
              <w14:schemeClr w14:val="tx1"/>
            </w14:solidFill>
          </w14:textFill>
        </w:rPr>
        <w:t>、报价内容的组成</w:t>
      </w:r>
    </w:p>
    <w:p>
      <w:pPr>
        <w:pStyle w:val="19"/>
        <w:ind w:left="0" w:left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1</w:t>
      </w:r>
      <w:r>
        <w:rPr>
          <w:rFonts w:hint="eastAsia"/>
          <w:color w:val="000000" w:themeColor="text1"/>
          <w:kern w:val="0"/>
          <w14:textFill>
            <w14:solidFill>
              <w14:schemeClr w14:val="tx1"/>
            </w14:solidFill>
          </w14:textFill>
        </w:rPr>
        <w:t>）报价内容由首次报价一览表、报价明细表，以及供应商认为其他需要说明的内容组成。</w:t>
      </w:r>
    </w:p>
    <w:p>
      <w:pPr>
        <w:autoSpaceDE w:val="0"/>
        <w:autoSpaceDN w:val="0"/>
        <w:adjustRightInd w:val="0"/>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）此报价为供应商针对本项目报出的唯一的首次报价，包含其它一切所要涉及到的费用，有选择的报价将被拒绝。</w:t>
      </w:r>
    </w:p>
    <w:p>
      <w:pPr>
        <w:snapToGrid w:val="0"/>
        <w:spacing w:line="360" w:lineRule="auto"/>
        <w:ind w:firstLine="480" w:firstLineChars="200"/>
        <w:rPr>
          <w:rFonts w:asci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lang w:val="zh-CN"/>
          <w14:textFill>
            <w14:solidFill>
              <w14:schemeClr w14:val="tx1"/>
            </w14:solidFill>
          </w14:textFill>
        </w:rPr>
        <w:t>）总报价应当包括供货、运输、包装、验收、税金、合同包含的所有风险责任等各项费用及不可预见费等所需的全部费用。</w:t>
      </w:r>
    </w:p>
    <w:p>
      <w:pPr>
        <w:snapToGrid w:val="0"/>
        <w:spacing w:line="360" w:lineRule="auto"/>
        <w:ind w:firstLine="480" w:firstLineChars="200"/>
        <w:rPr>
          <w:rFonts w:asci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）相关报价单需打印或用不退色的墨水填写，</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谈判报价单不得涂改和增删，如有错漏必须修改，修改处须由同一签署人签字或盖章。由于字迹模糊或表达不清引起的后果由供应商负责。</w:t>
      </w:r>
    </w:p>
    <w:p>
      <w:pPr>
        <w:autoSpaceDE w:val="0"/>
        <w:autoSpaceDN w:val="0"/>
        <w:adjustRightInd w:val="0"/>
        <w:spacing w:line="360" w:lineRule="auto"/>
        <w:ind w:firstLine="480" w:firstLineChars="200"/>
        <w:rPr>
          <w:rFonts w:ascii="宋体"/>
          <w:b/>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kern w:val="0"/>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）报价有关表格应按谈判采购文件中相关附表格式填写。</w:t>
      </w:r>
    </w:p>
    <w:p>
      <w:pPr>
        <w:numPr>
          <w:ilvl w:val="0"/>
          <w:numId w:val="8"/>
        </w:numPr>
        <w:spacing w:line="360" w:lineRule="auto"/>
        <w:rPr>
          <w:rFonts w:asci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谈判响应文件的制作、封装及递交要求</w:t>
      </w:r>
    </w:p>
    <w:p>
      <w:pPr>
        <w:autoSpaceDE w:val="0"/>
        <w:autoSpaceDN w:val="0"/>
        <w:adjustRightInd w:val="0"/>
        <w:spacing w:line="360" w:lineRule="auto"/>
        <w:ind w:firstLine="480"/>
        <w:rPr>
          <w:rFonts w:asci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1</w:t>
      </w: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kern w:val="0"/>
          <w:sz w:val="24"/>
          <w14:textFill>
            <w14:solidFill>
              <w14:schemeClr w14:val="tx1"/>
            </w14:solidFill>
          </w14:textFill>
        </w:rPr>
        <w:t>谈判响应</w:t>
      </w:r>
      <w:r>
        <w:rPr>
          <w:rFonts w:hint="eastAsia" w:ascii="宋体" w:hAnsi="宋体"/>
          <w:b/>
          <w:bCs/>
          <w:color w:val="000000" w:themeColor="text1"/>
          <w:sz w:val="24"/>
          <w14:textFill>
            <w14:solidFill>
              <w14:schemeClr w14:val="tx1"/>
            </w14:solidFill>
          </w14:textFill>
        </w:rPr>
        <w:t>文件的制作要求</w:t>
      </w:r>
    </w:p>
    <w:p>
      <w:pPr>
        <w:spacing w:line="360" w:lineRule="auto"/>
        <w:ind w:firstLine="480" w:firstLineChars="200"/>
        <w:rPr>
          <w:rFonts w:ascii="宋体" w:cs="宋体"/>
          <w:color w:val="000000" w:themeColor="text1"/>
          <w:sz w:val="24"/>
          <w:lang w:val="en-GB"/>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ascii="宋体" w:hAnsi="宋体" w:cs="宋体"/>
          <w:color w:val="000000" w:themeColor="text1"/>
          <w:sz w:val="24"/>
          <w:lang w:val="en-GB"/>
          <w14:textFill>
            <w14:solidFill>
              <w14:schemeClr w14:val="tx1"/>
            </w14:solidFill>
          </w14:textFill>
        </w:rPr>
        <w:t>.1</w:t>
      </w:r>
      <w:r>
        <w:rPr>
          <w:rFonts w:hint="eastAsia" w:ascii="宋体" w:hAnsi="宋体" w:cs="宋体"/>
          <w:color w:val="000000" w:themeColor="text1"/>
          <w:sz w:val="24"/>
          <w:lang w:val="en-GB"/>
          <w14:textFill>
            <w14:solidFill>
              <w14:schemeClr w14:val="tx1"/>
            </w14:solidFill>
          </w14:textFill>
        </w:rPr>
        <w:t>本项目通过“政府采购云平台（</w:t>
      </w:r>
      <w:r>
        <w:rPr>
          <w:rFonts w:ascii="宋体" w:hAnsi="宋体" w:cs="宋体"/>
          <w:color w:val="000000" w:themeColor="text1"/>
          <w:sz w:val="24"/>
          <w:lang w:val="en-GB"/>
          <w14:textFill>
            <w14:solidFill>
              <w14:schemeClr w14:val="tx1"/>
            </w14:solidFill>
          </w14:textFill>
        </w:rPr>
        <w:t>www.zcygov.cn</w:t>
      </w:r>
      <w:r>
        <w:rPr>
          <w:rFonts w:hint="eastAsia" w:ascii="宋体" w:hAnsi="宋体" w:cs="宋体"/>
          <w:color w:val="000000" w:themeColor="text1"/>
          <w:sz w:val="24"/>
          <w:lang w:val="en-GB"/>
          <w14:textFill>
            <w14:solidFill>
              <w14:schemeClr w14:val="tx1"/>
            </w14:solidFill>
          </w14:textFill>
        </w:rPr>
        <w:t>）”实行在线投标响应（电子投标）。投标人应通过“政采云电子交易客户端”，并按照本</w:t>
      </w:r>
      <w:r>
        <w:rPr>
          <w:rFonts w:hint="eastAsia" w:ascii="宋体" w:hAnsi="宋体" w:cs="宋体"/>
          <w:color w:val="000000" w:themeColor="text1"/>
          <w:sz w:val="24"/>
          <w14:textFill>
            <w14:solidFill>
              <w14:schemeClr w14:val="tx1"/>
            </w14:solidFill>
          </w14:textFill>
        </w:rPr>
        <w:t>谈判</w:t>
      </w:r>
      <w:r>
        <w:rPr>
          <w:rFonts w:hint="eastAsia" w:ascii="宋体" w:hAnsi="宋体" w:cs="宋体"/>
          <w:color w:val="000000" w:themeColor="text1"/>
          <w:sz w:val="24"/>
          <w:lang w:val="en-GB"/>
          <w14:textFill>
            <w14:solidFill>
              <w14:schemeClr w14:val="tx1"/>
            </w14:solidFill>
          </w14:textFill>
        </w:rPr>
        <w:t>文件和“政府采购云平台”的要求编制并加密</w:t>
      </w:r>
      <w:r>
        <w:rPr>
          <w:rFonts w:hint="eastAsia" w:ascii="宋体" w:hAnsi="宋体" w:cs="宋体"/>
          <w:color w:val="000000" w:themeColor="text1"/>
          <w:sz w:val="24"/>
          <w14:textFill>
            <w14:solidFill>
              <w14:schemeClr w14:val="tx1"/>
            </w14:solidFill>
          </w14:textFill>
        </w:rPr>
        <w:t>谈判响应文件</w:t>
      </w:r>
      <w:r>
        <w:rPr>
          <w:rFonts w:hint="eastAsia" w:ascii="宋体" w:hAnsi="宋体" w:cs="宋体"/>
          <w:color w:val="000000" w:themeColor="text1"/>
          <w:sz w:val="24"/>
          <w:lang w:val="en-GB"/>
          <w14:textFill>
            <w14:solidFill>
              <w14:schemeClr w14:val="tx1"/>
            </w14:solidFill>
          </w14:textFill>
        </w:rPr>
        <w:t>。</w:t>
      </w:r>
    </w:p>
    <w:p>
      <w:pPr>
        <w:spacing w:line="360" w:lineRule="auto"/>
        <w:ind w:firstLine="480" w:firstLineChars="200"/>
        <w:rPr>
          <w:rFonts w:ascii="宋体" w:cs="宋体"/>
          <w:color w:val="000000" w:themeColor="text1"/>
          <w:sz w:val="24"/>
          <w:lang w:val="en-GB"/>
          <w14:textFill>
            <w14:solidFill>
              <w14:schemeClr w14:val="tx1"/>
            </w14:solidFill>
          </w14:textFill>
        </w:rPr>
      </w:pPr>
      <w:r>
        <w:rPr>
          <w:rFonts w:ascii="宋体" w:hAnsi="宋体" w:cs="宋体"/>
          <w:color w:val="000000" w:themeColor="text1"/>
          <w:sz w:val="24"/>
          <w:lang w:val="zh-CN"/>
          <w14:textFill>
            <w14:solidFill>
              <w14:schemeClr w14:val="tx1"/>
            </w14:solidFill>
          </w14:textFill>
        </w:rPr>
        <w:t>1.</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各投标人在编制</w:t>
      </w:r>
      <w:r>
        <w:rPr>
          <w:rFonts w:hint="eastAsia" w:ascii="宋体" w:hAnsi="宋体" w:cs="宋体"/>
          <w:color w:val="000000" w:themeColor="text1"/>
          <w:sz w:val="24"/>
          <w14:textFill>
            <w14:solidFill>
              <w14:schemeClr w14:val="tx1"/>
            </w14:solidFill>
          </w14:textFill>
        </w:rPr>
        <w:t>谈判响应</w:t>
      </w:r>
      <w:r>
        <w:rPr>
          <w:rFonts w:hint="eastAsia" w:ascii="宋体" w:hAnsi="宋体" w:cs="宋体"/>
          <w:color w:val="000000" w:themeColor="text1"/>
          <w:sz w:val="24"/>
          <w:lang w:val="zh-CN"/>
          <w14:textFill>
            <w14:solidFill>
              <w14:schemeClr w14:val="tx1"/>
            </w14:solidFill>
          </w14:textFill>
        </w:rPr>
        <w:t>文件时请按照</w:t>
      </w:r>
      <w:r>
        <w:rPr>
          <w:rFonts w:hint="eastAsia" w:ascii="宋体" w:hAnsi="宋体" w:cs="宋体"/>
          <w:color w:val="000000" w:themeColor="text1"/>
          <w:sz w:val="24"/>
          <w14:textFill>
            <w14:solidFill>
              <w14:schemeClr w14:val="tx1"/>
            </w14:solidFill>
          </w14:textFill>
        </w:rPr>
        <w:t>谈判</w:t>
      </w:r>
      <w:r>
        <w:rPr>
          <w:rFonts w:hint="eastAsia" w:ascii="宋体" w:hAnsi="宋体" w:cs="宋体"/>
          <w:color w:val="000000" w:themeColor="text1"/>
          <w:sz w:val="24"/>
          <w:lang w:val="zh-CN"/>
          <w14:textFill>
            <w14:solidFill>
              <w14:schemeClr w14:val="tx1"/>
            </w14:solidFill>
          </w14:textFill>
        </w:rPr>
        <w:t>文件第六部分规定的格式进行，</w:t>
      </w:r>
      <w:r>
        <w:rPr>
          <w:rFonts w:hint="eastAsia" w:ascii="宋体" w:hAnsi="宋体" w:cs="宋体"/>
          <w:color w:val="000000" w:themeColor="text1"/>
          <w:sz w:val="24"/>
          <w:lang w:val="en-GB"/>
          <w14:textFill>
            <w14:solidFill>
              <w14:schemeClr w14:val="tx1"/>
            </w14:solidFill>
          </w14:textFill>
        </w:rPr>
        <w:t>并按格式要求在指定位置根据要求进行签章，否则视为未提供，未提供格式的，请各投标人自行拟定格式。</w:t>
      </w:r>
    </w:p>
    <w:p>
      <w:pPr>
        <w:autoSpaceDE w:val="0"/>
        <w:autoSpaceDN w:val="0"/>
        <w:adjustRightInd w:val="0"/>
        <w:spacing w:line="360" w:lineRule="auto"/>
        <w:ind w:firstLine="480" w:firstLineChars="200"/>
        <w:rPr>
          <w:rFonts w:ascii="宋体"/>
          <w:color w:val="000000" w:themeColor="text1"/>
          <w:sz w:val="24"/>
          <w:lang w:val="zh-CN"/>
          <w14:textFill>
            <w14:solidFill>
              <w14:schemeClr w14:val="tx1"/>
            </w14:solidFill>
          </w14:textFill>
        </w:rPr>
      </w:pPr>
      <w:r>
        <w:rPr>
          <w:rFonts w:ascii="宋体" w:hAnsi="宋体"/>
          <w:color w:val="000000" w:themeColor="text1"/>
          <w:sz w:val="24"/>
          <w14:textFill>
            <w14:solidFill>
              <w14:schemeClr w14:val="tx1"/>
            </w14:solidFill>
          </w14:textFill>
        </w:rPr>
        <w:t xml:space="preserve">1.3 </w:t>
      </w:r>
      <w:r>
        <w:rPr>
          <w:rFonts w:hint="eastAsia" w:ascii="宋体" w:hAnsi="宋体"/>
          <w:color w:val="000000" w:themeColor="text1"/>
          <w:sz w:val="24"/>
          <w14:textFill>
            <w14:solidFill>
              <w14:schemeClr w14:val="tx1"/>
            </w14:solidFill>
          </w14:textFill>
        </w:rPr>
        <w:t>供应商应对所提供的全部资料的真实性承担法律责任，谈判响应文件</w:t>
      </w:r>
      <w:r>
        <w:rPr>
          <w:rFonts w:hint="eastAsia" w:ascii="宋体" w:hAnsi="宋体"/>
          <w:color w:val="000000" w:themeColor="text1"/>
          <w:sz w:val="24"/>
          <w:lang w:val="zh-CN"/>
          <w14:textFill>
            <w14:solidFill>
              <w14:schemeClr w14:val="tx1"/>
            </w14:solidFill>
          </w14:textFill>
        </w:rPr>
        <w:t>内容中有要求盖章或签字的地方，必须加盖</w:t>
      </w:r>
      <w:r>
        <w:rPr>
          <w:rFonts w:hint="eastAsia" w:ascii="宋体" w:hAnsi="宋体"/>
          <w:color w:val="000000" w:themeColor="text1"/>
          <w:sz w:val="24"/>
          <w14:textFill>
            <w14:solidFill>
              <w14:schemeClr w14:val="tx1"/>
            </w14:solidFill>
          </w14:textFill>
        </w:rPr>
        <w:t>谈判供应商</w:t>
      </w:r>
      <w:r>
        <w:rPr>
          <w:rFonts w:hint="eastAsia" w:ascii="宋体" w:hAnsi="宋体"/>
          <w:color w:val="000000" w:themeColor="text1"/>
          <w:sz w:val="24"/>
          <w:lang w:val="zh-CN"/>
          <w14:textFill>
            <w14:solidFill>
              <w14:schemeClr w14:val="tx1"/>
            </w14:solidFill>
          </w14:textFill>
        </w:rPr>
        <w:t>的公章以及法定代表人（单位负责人）或授权委托代理人的盖章或签字，其中</w:t>
      </w:r>
      <w:r>
        <w:rPr>
          <w:rFonts w:hint="eastAsia" w:ascii="宋体" w:hAnsi="宋体"/>
          <w:color w:val="000000" w:themeColor="text1"/>
          <w:sz w:val="24"/>
          <w14:textFill>
            <w14:solidFill>
              <w14:schemeClr w14:val="tx1"/>
            </w14:solidFill>
          </w14:textFill>
        </w:rPr>
        <w:t>所有证书类文件提供的复印件必须全部加盖单位公章且必须在有效期内的。</w:t>
      </w:r>
    </w:p>
    <w:p>
      <w:pPr>
        <w:snapToGrid w:val="0"/>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谈判响应文件以及谈判供应商与采购组织机构就有关谈判事宜的所有来往函电，均应以中文汉语书写。除签字、盖章、专用名称等特殊情形外，以中文汉语以外的文字表述的谈判响应文件视同未提供。</w:t>
      </w:r>
    </w:p>
    <w:p>
      <w:pPr>
        <w:autoSpaceDE w:val="0"/>
        <w:autoSpaceDN w:val="0"/>
        <w:adjustRightInd w:val="0"/>
        <w:spacing w:line="360" w:lineRule="auto"/>
        <w:ind w:firstLine="48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1.5 </w:t>
      </w:r>
      <w:r>
        <w:rPr>
          <w:rFonts w:hint="eastAsia" w:ascii="宋体" w:hAnsi="宋体"/>
          <w:color w:val="000000" w:themeColor="text1"/>
          <w:sz w:val="24"/>
          <w14:textFill>
            <w14:solidFill>
              <w14:schemeClr w14:val="tx1"/>
            </w14:solidFill>
          </w14:textFill>
        </w:rPr>
        <w:t>若谈判供应商不按采购文件的要求提供资格审查材料，其风险由谈判供应商自行承担。</w:t>
      </w:r>
    </w:p>
    <w:p>
      <w:pPr>
        <w:snapToGrid w:val="0"/>
        <w:spacing w:line="360" w:lineRule="auto"/>
        <w:ind w:firstLine="482" w:firstLineChars="200"/>
        <w:rPr>
          <w:rFonts w:ascii="宋体" w:cs="宋体"/>
          <w:b/>
          <w:bCs/>
          <w:color w:val="000000" w:themeColor="text1"/>
          <w:sz w:val="24"/>
          <w:lang w:val="en-GB"/>
          <w14:textFill>
            <w14:solidFill>
              <w14:schemeClr w14:val="tx1"/>
            </w14:solidFill>
          </w14:textFill>
        </w:rPr>
      </w:pPr>
      <w:r>
        <w:rPr>
          <w:rFonts w:ascii="宋体" w:hAnsi="宋体" w:cs="宋体"/>
          <w:b/>
          <w:bCs/>
          <w:color w:val="000000" w:themeColor="text1"/>
          <w:sz w:val="24"/>
          <w:lang w:val="en-GB"/>
          <w14:textFill>
            <w14:solidFill>
              <w14:schemeClr w14:val="tx1"/>
            </w14:solidFill>
          </w14:textFill>
        </w:rPr>
        <w:t>2.</w:t>
      </w:r>
      <w:r>
        <w:rPr>
          <w:rFonts w:hint="eastAsia" w:ascii="宋体" w:hAnsi="宋体" w:cs="宋体"/>
          <w:b/>
          <w:bCs/>
          <w:color w:val="000000" w:themeColor="text1"/>
          <w:sz w:val="24"/>
          <w:lang w:val="en-GB"/>
          <w14:textFill>
            <w14:solidFill>
              <w14:schemeClr w14:val="tx1"/>
            </w14:solidFill>
          </w14:textFill>
        </w:rPr>
        <w:t>提供纸质投标文件要求：见《前附表》</w:t>
      </w:r>
    </w:p>
    <w:p>
      <w:pPr>
        <w:snapToGrid w:val="0"/>
        <w:spacing w:line="360" w:lineRule="auto"/>
        <w:ind w:firstLine="482" w:firstLineChars="200"/>
        <w:rPr>
          <w:rFonts w:ascii="宋体" w:cs="宋体"/>
          <w:b/>
          <w:bCs/>
          <w:color w:val="000000" w:themeColor="text1"/>
          <w:sz w:val="24"/>
          <w:lang w:val="en-GB"/>
          <w14:textFill>
            <w14:solidFill>
              <w14:schemeClr w14:val="tx1"/>
            </w14:solidFill>
          </w14:textFill>
        </w:rPr>
      </w:pPr>
      <w:r>
        <w:rPr>
          <w:rFonts w:ascii="宋体" w:hAnsi="宋体" w:cs="宋体"/>
          <w:b/>
          <w:bCs/>
          <w:color w:val="000000" w:themeColor="text1"/>
          <w:sz w:val="24"/>
          <w:lang w:val="en-GB"/>
          <w14:textFill>
            <w14:solidFill>
              <w14:schemeClr w14:val="tx1"/>
            </w14:solidFill>
          </w14:textFill>
        </w:rPr>
        <w:t>3.</w:t>
      </w:r>
      <w:r>
        <w:rPr>
          <w:rFonts w:hint="eastAsia" w:ascii="宋体" w:hAnsi="宋体" w:cs="宋体"/>
          <w:b/>
          <w:bCs/>
          <w:color w:val="000000" w:themeColor="text1"/>
          <w:sz w:val="24"/>
          <w:lang w:val="en-GB"/>
          <w14:textFill>
            <w14:solidFill>
              <w14:schemeClr w14:val="tx1"/>
            </w14:solidFill>
          </w14:textFill>
        </w:rPr>
        <w:t>投标文件的签章</w:t>
      </w:r>
    </w:p>
    <w:p>
      <w:pPr>
        <w:pStyle w:val="59"/>
        <w:snapToGrid w:val="0"/>
        <w:spacing w:before="0"/>
        <w:ind w:firstLine="480"/>
        <w:rPr>
          <w:rFonts w:ascii="宋体" w:cs="宋体"/>
          <w:color w:val="000000" w:themeColor="text1"/>
          <w:szCs w:val="24"/>
          <w:lang w:val="en-GB"/>
          <w14:textFill>
            <w14:solidFill>
              <w14:schemeClr w14:val="tx1"/>
            </w14:solidFill>
          </w14:textFill>
        </w:rPr>
      </w:pPr>
      <w:r>
        <w:rPr>
          <w:rFonts w:hint="eastAsia" w:ascii="宋体" w:hAnsi="宋体" w:cs="宋体"/>
          <w:color w:val="000000" w:themeColor="text1"/>
          <w:szCs w:val="24"/>
          <w14:textFill>
            <w14:solidFill>
              <w14:schemeClr w14:val="tx1"/>
            </w14:solidFill>
          </w14:textFill>
        </w:rPr>
        <w:t>谈判响应</w:t>
      </w:r>
      <w:r>
        <w:rPr>
          <w:rFonts w:hint="eastAsia" w:ascii="宋体" w:hAnsi="宋体" w:cs="宋体"/>
          <w:color w:val="000000" w:themeColor="text1"/>
          <w:szCs w:val="24"/>
          <w:lang w:val="en-GB"/>
          <w14:textFill>
            <w14:solidFill>
              <w14:schemeClr w14:val="tx1"/>
            </w14:solidFill>
          </w14:textFill>
        </w:rPr>
        <w:t>文件按照</w:t>
      </w:r>
      <w:r>
        <w:rPr>
          <w:rFonts w:hint="eastAsia" w:ascii="宋体" w:hAnsi="宋体" w:cs="宋体"/>
          <w:color w:val="000000" w:themeColor="text1"/>
          <w:szCs w:val="24"/>
          <w14:textFill>
            <w14:solidFill>
              <w14:schemeClr w14:val="tx1"/>
            </w14:solidFill>
          </w14:textFill>
        </w:rPr>
        <w:t>谈判</w:t>
      </w:r>
      <w:r>
        <w:rPr>
          <w:rFonts w:hint="eastAsia" w:ascii="宋体" w:hAnsi="宋体" w:cs="宋体"/>
          <w:color w:val="000000" w:themeColor="text1"/>
          <w:szCs w:val="24"/>
          <w:lang w:val="en-GB"/>
          <w14:textFill>
            <w14:solidFill>
              <w14:schemeClr w14:val="tx1"/>
            </w14:solidFill>
          </w14:textFill>
        </w:rPr>
        <w:t>文件第六部分格式要求进行签署、盖章。投标人的投标文件未按照</w:t>
      </w:r>
      <w:r>
        <w:rPr>
          <w:rFonts w:hint="eastAsia" w:ascii="宋体" w:hAnsi="宋体" w:cs="宋体"/>
          <w:color w:val="000000" w:themeColor="text1"/>
          <w:szCs w:val="24"/>
          <w14:textFill>
            <w14:solidFill>
              <w14:schemeClr w14:val="tx1"/>
            </w14:solidFill>
          </w14:textFill>
        </w:rPr>
        <w:t>谈判</w:t>
      </w:r>
      <w:r>
        <w:rPr>
          <w:rFonts w:hint="eastAsia" w:ascii="宋体" w:hAnsi="宋体" w:cs="宋体"/>
          <w:color w:val="000000" w:themeColor="text1"/>
          <w:szCs w:val="24"/>
          <w:lang w:val="en-GB"/>
          <w14:textFill>
            <w14:solidFill>
              <w14:schemeClr w14:val="tx1"/>
            </w14:solidFill>
          </w14:textFill>
        </w:rPr>
        <w:t>文件要求签署、盖章的，其投标无效；其中电子投标文件中所须加盖公章部分均采用</w:t>
      </w:r>
      <w:r>
        <w:rPr>
          <w:rFonts w:ascii="宋体" w:hAnsi="宋体" w:cs="宋体"/>
          <w:color w:val="000000" w:themeColor="text1"/>
          <w:szCs w:val="24"/>
          <w:lang w:val="en-GB"/>
          <w14:textFill>
            <w14:solidFill>
              <w14:schemeClr w14:val="tx1"/>
            </w14:solidFill>
          </w14:textFill>
        </w:rPr>
        <w:t>CA</w:t>
      </w:r>
      <w:r>
        <w:rPr>
          <w:rFonts w:hint="eastAsia" w:ascii="宋体" w:hAnsi="宋体" w:cs="宋体"/>
          <w:color w:val="000000" w:themeColor="text1"/>
          <w:szCs w:val="24"/>
          <w:lang w:val="en-GB"/>
          <w14:textFill>
            <w14:solidFill>
              <w14:schemeClr w14:val="tx1"/>
            </w14:solidFill>
          </w14:textFill>
        </w:rPr>
        <w:t>签章，并根据《政府采购项目电子交易管理操作指南</w:t>
      </w:r>
      <w:r>
        <w:rPr>
          <w:rFonts w:ascii="宋体" w:cs="宋体"/>
          <w:color w:val="000000" w:themeColor="text1"/>
          <w:szCs w:val="24"/>
          <w:lang w:val="en-GB"/>
          <w14:textFill>
            <w14:solidFill>
              <w14:schemeClr w14:val="tx1"/>
            </w14:solidFill>
          </w14:textFill>
        </w:rPr>
        <w:t>-</w:t>
      </w:r>
      <w:r>
        <w:rPr>
          <w:rFonts w:hint="eastAsia" w:ascii="宋体" w:hAnsi="宋体" w:cs="宋体"/>
          <w:color w:val="000000" w:themeColor="text1"/>
          <w:szCs w:val="24"/>
          <w:lang w:val="en-GB"/>
          <w14:textFill>
            <w14:solidFill>
              <w14:schemeClr w14:val="tx1"/>
            </w14:solidFill>
          </w14:textFill>
        </w:rPr>
        <w:t>供应商》及本谈判文件规定的格式和顺序编制电子投标文件并进行关联定位。</w:t>
      </w:r>
    </w:p>
    <w:p>
      <w:pPr>
        <w:pStyle w:val="12"/>
        <w:spacing w:line="360" w:lineRule="auto"/>
        <w:ind w:firstLine="482" w:firstLineChars="200"/>
        <w:rPr>
          <w:rFonts w:hAnsi="宋体" w:cs="宋体"/>
          <w:b/>
          <w:bCs/>
          <w:color w:val="000000" w:themeColor="text1"/>
          <w:sz w:val="24"/>
          <w:lang w:val="en-GB"/>
          <w14:textFill>
            <w14:solidFill>
              <w14:schemeClr w14:val="tx1"/>
            </w14:solidFill>
          </w14:textFill>
        </w:rPr>
      </w:pPr>
      <w:r>
        <w:rPr>
          <w:rFonts w:hAnsi="宋体" w:cs="宋体"/>
          <w:b/>
          <w:bCs/>
          <w:color w:val="000000" w:themeColor="text1"/>
          <w:sz w:val="24"/>
          <w:lang w:val="en-GB"/>
          <w14:textFill>
            <w14:solidFill>
              <w14:schemeClr w14:val="tx1"/>
            </w14:solidFill>
          </w14:textFill>
        </w:rPr>
        <w:t xml:space="preserve">4. </w:t>
      </w:r>
      <w:r>
        <w:rPr>
          <w:rFonts w:hint="eastAsia" w:hAnsi="宋体" w:cs="宋体"/>
          <w:b/>
          <w:bCs/>
          <w:color w:val="000000" w:themeColor="text1"/>
          <w:sz w:val="24"/>
          <w:lang w:val="en-GB"/>
          <w14:textFill>
            <w14:solidFill>
              <w14:schemeClr w14:val="tx1"/>
            </w14:solidFill>
          </w14:textFill>
        </w:rPr>
        <w:t>备份投标文件的密封与标志</w:t>
      </w:r>
    </w:p>
    <w:p>
      <w:pPr>
        <w:pStyle w:val="59"/>
        <w:spacing w:before="0"/>
        <w:ind w:firstLine="480"/>
        <w:rPr>
          <w:rFonts w:ascii="宋体" w:cs="宋体"/>
          <w:color w:val="000000" w:themeColor="text1"/>
          <w:szCs w:val="24"/>
          <w:lang w:val="en-GB"/>
          <w14:textFill>
            <w14:solidFill>
              <w14:schemeClr w14:val="tx1"/>
            </w14:solidFill>
          </w14:textFill>
        </w:rPr>
      </w:pPr>
      <w:r>
        <w:rPr>
          <w:rFonts w:ascii="宋体" w:hAnsi="宋体" w:cs="宋体"/>
          <w:color w:val="000000" w:themeColor="text1"/>
          <w:szCs w:val="24"/>
          <w:lang w:val="en-GB"/>
          <w14:textFill>
            <w14:solidFill>
              <w14:schemeClr w14:val="tx1"/>
            </w14:solidFill>
          </w14:textFill>
        </w:rPr>
        <w:t>4.1</w:t>
      </w:r>
      <w:r>
        <w:rPr>
          <w:rFonts w:hint="eastAsia" w:ascii="宋体" w:hAnsi="宋体" w:cs="宋体"/>
          <w:color w:val="000000" w:themeColor="text1"/>
          <w:szCs w:val="24"/>
          <w:lang w:val="en-GB"/>
          <w14:textFill>
            <w14:solidFill>
              <w14:schemeClr w14:val="tx1"/>
            </w14:solidFill>
          </w14:textFill>
        </w:rPr>
        <w:t>备份投标文件须密封包装。没有密封包装的投标文件，将被拒收。</w:t>
      </w:r>
    </w:p>
    <w:p>
      <w:pPr>
        <w:snapToGrid w:val="0"/>
        <w:spacing w:line="360" w:lineRule="auto"/>
        <w:ind w:firstLine="480" w:firstLineChars="200"/>
        <w:rPr>
          <w:rFonts w:ascii="宋体" w:cs="宋体"/>
          <w:color w:val="000000" w:themeColor="text1"/>
          <w:sz w:val="24"/>
          <w:lang w:val="en-GB"/>
          <w14:textFill>
            <w14:solidFill>
              <w14:schemeClr w14:val="tx1"/>
            </w14:solidFill>
          </w14:textFill>
        </w:rPr>
      </w:pPr>
      <w:r>
        <w:rPr>
          <w:rFonts w:ascii="宋体" w:hAnsi="宋体" w:cs="宋体"/>
          <w:color w:val="000000" w:themeColor="text1"/>
          <w:sz w:val="24"/>
          <w:lang w:val="en-GB"/>
          <w14:textFill>
            <w14:solidFill>
              <w14:schemeClr w14:val="tx1"/>
            </w14:solidFill>
          </w14:textFill>
        </w:rPr>
        <w:t>4.2</w:t>
      </w:r>
      <w:r>
        <w:rPr>
          <w:rFonts w:hint="eastAsia" w:ascii="宋体" w:hAnsi="宋体" w:cs="宋体"/>
          <w:color w:val="000000" w:themeColor="text1"/>
          <w:sz w:val="24"/>
          <w:lang w:val="en-GB"/>
          <w14:textFill>
            <w14:solidFill>
              <w14:schemeClr w14:val="tx1"/>
            </w14:solidFill>
          </w14:textFill>
        </w:rPr>
        <w:t>备份投标文件包装封面物应写明项目名称、投标人名称</w:t>
      </w:r>
      <w:r>
        <w:rPr>
          <w:rFonts w:ascii="宋体" w:hAnsi="宋体" w:cs="宋体"/>
          <w:color w:val="000000" w:themeColor="text1"/>
          <w:sz w:val="24"/>
          <w:lang w:val="en-GB"/>
          <w14:textFill>
            <w14:solidFill>
              <w14:schemeClr w14:val="tx1"/>
            </w14:solidFill>
          </w14:textFill>
        </w:rPr>
        <w:t>(</w:t>
      </w:r>
      <w:r>
        <w:rPr>
          <w:rFonts w:hint="eastAsia" w:ascii="宋体" w:hAnsi="宋体" w:cs="宋体"/>
          <w:color w:val="000000" w:themeColor="text1"/>
          <w:sz w:val="24"/>
          <w:lang w:val="en-GB"/>
          <w14:textFill>
            <w14:solidFill>
              <w14:schemeClr w14:val="tx1"/>
            </w14:solidFill>
          </w14:textFill>
        </w:rPr>
        <w:t>联合体投标的，包装物封面需注明联合体投标，并注明联合体成员各方的名称和联合体协议中约定的牵头人的名称</w:t>
      </w:r>
      <w:r>
        <w:rPr>
          <w:rFonts w:ascii="宋体" w:hAnsi="宋体" w:cs="宋体"/>
          <w:color w:val="000000" w:themeColor="text1"/>
          <w:sz w:val="24"/>
          <w:lang w:val="en-GB"/>
          <w14:textFill>
            <w14:solidFill>
              <w14:schemeClr w14:val="tx1"/>
            </w14:solidFill>
          </w14:textFill>
        </w:rPr>
        <w:t>)</w:t>
      </w:r>
      <w:r>
        <w:rPr>
          <w:rFonts w:hint="eastAsia" w:ascii="宋体" w:hAnsi="宋体" w:cs="宋体"/>
          <w:color w:val="000000" w:themeColor="text1"/>
          <w:sz w:val="24"/>
          <w:lang w:val="en-GB"/>
          <w14:textFill>
            <w14:solidFill>
              <w14:schemeClr w14:val="tx1"/>
            </w14:solidFill>
          </w14:textFill>
        </w:rPr>
        <w:t>。</w:t>
      </w:r>
    </w:p>
    <w:p>
      <w:pPr>
        <w:pStyle w:val="59"/>
        <w:spacing w:before="0"/>
        <w:ind w:firstLine="482"/>
        <w:rPr>
          <w:rFonts w:ascii="宋体" w:cs="宋体"/>
          <w:b/>
          <w:bCs/>
          <w:color w:val="000000" w:themeColor="text1"/>
          <w:szCs w:val="24"/>
          <w:lang w:val="en-GB"/>
          <w14:textFill>
            <w14:solidFill>
              <w14:schemeClr w14:val="tx1"/>
            </w14:solidFill>
          </w14:textFill>
        </w:rPr>
      </w:pPr>
      <w:r>
        <w:rPr>
          <w:rFonts w:ascii="宋体" w:hAnsi="宋体" w:cs="宋体"/>
          <w:b/>
          <w:bCs/>
          <w:color w:val="000000" w:themeColor="text1"/>
          <w:szCs w:val="24"/>
          <w:lang w:val="en-GB"/>
          <w14:textFill>
            <w14:solidFill>
              <w14:schemeClr w14:val="tx1"/>
            </w14:solidFill>
          </w14:textFill>
        </w:rPr>
        <w:t xml:space="preserve">5. </w:t>
      </w:r>
      <w:r>
        <w:rPr>
          <w:rFonts w:hint="eastAsia" w:ascii="宋体" w:hAnsi="宋体" w:cs="宋体"/>
          <w:b/>
          <w:bCs/>
          <w:color w:val="000000" w:themeColor="text1"/>
          <w:szCs w:val="24"/>
          <w14:textFill>
            <w14:solidFill>
              <w14:schemeClr w14:val="tx1"/>
            </w14:solidFill>
          </w14:textFill>
        </w:rPr>
        <w:t>谈判响应</w:t>
      </w:r>
      <w:r>
        <w:rPr>
          <w:rFonts w:hint="eastAsia" w:ascii="宋体" w:hAnsi="宋体" w:cs="宋体"/>
          <w:b/>
          <w:bCs/>
          <w:color w:val="000000" w:themeColor="text1"/>
          <w:szCs w:val="24"/>
          <w:lang w:val="en-GB"/>
          <w14:textFill>
            <w14:solidFill>
              <w14:schemeClr w14:val="tx1"/>
            </w14:solidFill>
          </w14:textFill>
        </w:rPr>
        <w:t>文件的上传和递交</w:t>
      </w:r>
    </w:p>
    <w:p>
      <w:pPr>
        <w:pStyle w:val="59"/>
        <w:spacing w:before="0"/>
        <w:ind w:firstLine="480"/>
        <w:rPr>
          <w:rFonts w:ascii="宋体" w:cs="宋体"/>
          <w:color w:val="000000" w:themeColor="text1"/>
          <w:szCs w:val="24"/>
          <w:lang w:val="en-GB"/>
          <w14:textFill>
            <w14:solidFill>
              <w14:schemeClr w14:val="tx1"/>
            </w14:solidFill>
          </w14:textFill>
        </w:rPr>
      </w:pPr>
      <w:r>
        <w:rPr>
          <w:rFonts w:ascii="宋体" w:hAnsi="宋体" w:cs="宋体"/>
          <w:color w:val="000000" w:themeColor="text1"/>
          <w:szCs w:val="24"/>
          <w:lang w:val="en-GB"/>
          <w14:textFill>
            <w14:solidFill>
              <w14:schemeClr w14:val="tx1"/>
            </w14:solidFill>
          </w14:textFill>
        </w:rPr>
        <w:t>5.1</w:t>
      </w:r>
      <w:r>
        <w:rPr>
          <w:rFonts w:hint="eastAsia" w:ascii="宋体" w:hAnsi="宋体" w:cs="宋体"/>
          <w:color w:val="000000" w:themeColor="text1"/>
          <w:szCs w:val="24"/>
          <w:lang w:val="en-GB"/>
          <w14:textFill>
            <w14:solidFill>
              <w14:schemeClr w14:val="tx1"/>
            </w14:solidFill>
          </w14:textFill>
        </w:rPr>
        <w:t>“谈判响应文件”的上传、递交：见</w:t>
      </w:r>
      <w:r>
        <w:rPr>
          <w:rFonts w:hint="eastAsia" w:ascii="宋体" w:hAnsi="宋体" w:cs="宋体"/>
          <w:color w:val="000000" w:themeColor="text1"/>
          <w:szCs w:val="24"/>
          <w14:textFill>
            <w14:solidFill>
              <w14:schemeClr w14:val="tx1"/>
            </w14:solidFill>
          </w14:textFill>
        </w:rPr>
        <w:t>竞争性谈判公告及</w:t>
      </w:r>
      <w:r>
        <w:rPr>
          <w:rFonts w:hint="eastAsia" w:ascii="宋体" w:hAnsi="宋体" w:cs="宋体"/>
          <w:color w:val="000000" w:themeColor="text1"/>
          <w:szCs w:val="24"/>
          <w:lang w:val="en-GB"/>
          <w14:textFill>
            <w14:solidFill>
              <w14:schemeClr w14:val="tx1"/>
            </w14:solidFill>
          </w14:textFill>
        </w:rPr>
        <w:t>《前附表》。▲未传输递交电子投标文件的，投标无效。</w:t>
      </w:r>
    </w:p>
    <w:p>
      <w:pPr>
        <w:pStyle w:val="59"/>
        <w:spacing w:before="0"/>
        <w:ind w:firstLine="480"/>
        <w:rPr>
          <w:rFonts w:ascii="宋体" w:cs="宋体"/>
          <w:color w:val="000000" w:themeColor="text1"/>
          <w:szCs w:val="24"/>
          <w:lang w:val="en-GB"/>
          <w14:textFill>
            <w14:solidFill>
              <w14:schemeClr w14:val="tx1"/>
            </w14:solidFill>
          </w14:textFill>
        </w:rPr>
      </w:pPr>
      <w:r>
        <w:rPr>
          <w:rFonts w:ascii="宋体" w:hAnsi="宋体" w:cs="宋体"/>
          <w:color w:val="000000" w:themeColor="text1"/>
          <w:szCs w:val="24"/>
          <w:lang w:val="en-GB"/>
          <w14:textFill>
            <w14:solidFill>
              <w14:schemeClr w14:val="tx1"/>
            </w14:solidFill>
          </w14:textFill>
        </w:rPr>
        <w:t>5.</w:t>
      </w:r>
      <w:r>
        <w:rPr>
          <w:rFonts w:ascii="宋体" w:hAnsi="宋体" w:cs="宋体"/>
          <w:color w:val="000000" w:themeColor="text1"/>
          <w:szCs w:val="24"/>
          <w14:textFill>
            <w14:solidFill>
              <w14:schemeClr w14:val="tx1"/>
            </w14:solidFill>
          </w14:textFill>
        </w:rPr>
        <w:t>2</w:t>
      </w:r>
      <w:r>
        <w:rPr>
          <w:rFonts w:hint="eastAsia" w:ascii="宋体" w:hAnsi="宋体" w:cs="宋体"/>
          <w:color w:val="000000" w:themeColor="text1"/>
          <w:szCs w:val="24"/>
          <w:lang w:val="en-GB"/>
          <w14:textFill>
            <w14:solidFill>
              <w14:schemeClr w14:val="tx1"/>
            </w14:solidFill>
          </w14:textFill>
        </w:rPr>
        <w:t>投标人应当在投标截止时间将以介质存储的数据电文形式的备份谈判响应文件和纸质备份谈判响应文件分别密封送交到招标公告规定的投标地点。▲未按规定提供相应的备份谈判响应文件，造成项目开评标活动无法进行下去的，投标无效。采购机构将拒绝接受逾期送达的谈判响应文件。</w:t>
      </w:r>
    </w:p>
    <w:p>
      <w:pPr>
        <w:pStyle w:val="12"/>
        <w:spacing w:line="360" w:lineRule="auto"/>
        <w:ind w:firstLine="480" w:firstLineChars="200"/>
        <w:rPr>
          <w:rFonts w:hAnsi="宋体" w:cs="宋体"/>
          <w:color w:val="000000" w:themeColor="text1"/>
          <w:sz w:val="24"/>
          <w:lang w:val="en-GB"/>
          <w14:textFill>
            <w14:solidFill>
              <w14:schemeClr w14:val="tx1"/>
            </w14:solidFill>
          </w14:textFill>
        </w:rPr>
      </w:pPr>
      <w:r>
        <w:rPr>
          <w:rFonts w:hAnsi="宋体" w:cs="宋体"/>
          <w:color w:val="000000" w:themeColor="text1"/>
          <w:sz w:val="24"/>
          <w:lang w:val="en-GB"/>
          <w14:textFill>
            <w14:solidFill>
              <w14:schemeClr w14:val="tx1"/>
            </w14:solidFill>
          </w14:textFill>
        </w:rPr>
        <w:t xml:space="preserve">6. </w:t>
      </w:r>
      <w:r>
        <w:rPr>
          <w:rFonts w:hint="eastAsia" w:hAnsi="宋体" w:cs="宋体"/>
          <w:color w:val="000000" w:themeColor="text1"/>
          <w:sz w:val="24"/>
          <w:lang w:val="en-GB"/>
          <w14:textFill>
            <w14:solidFill>
              <w14:schemeClr w14:val="tx1"/>
            </w14:solidFill>
          </w14:textFill>
        </w:rPr>
        <w:t>投标文件的补充、修改、撤回</w:t>
      </w:r>
    </w:p>
    <w:p>
      <w:pPr>
        <w:pStyle w:val="59"/>
        <w:spacing w:before="0"/>
        <w:ind w:firstLine="480"/>
        <w:rPr>
          <w:rFonts w:ascii="宋体" w:cs="宋体"/>
          <w:color w:val="000000" w:themeColor="text1"/>
          <w:szCs w:val="24"/>
          <w:lang w:val="en-GB"/>
          <w14:textFill>
            <w14:solidFill>
              <w14:schemeClr w14:val="tx1"/>
            </w14:solidFill>
          </w14:textFill>
        </w:rPr>
      </w:pPr>
      <w:r>
        <w:rPr>
          <w:rFonts w:ascii="宋体" w:hAnsi="宋体" w:cs="宋体"/>
          <w:color w:val="000000" w:themeColor="text1"/>
          <w:szCs w:val="24"/>
          <w:lang w:val="en-GB"/>
          <w14:textFill>
            <w14:solidFill>
              <w14:schemeClr w14:val="tx1"/>
            </w14:solidFill>
          </w14:textFill>
        </w:rPr>
        <w:t>6.1</w:t>
      </w:r>
      <w:r>
        <w:rPr>
          <w:rFonts w:hint="eastAsia" w:ascii="宋体" w:hAnsi="宋体" w:cs="宋体"/>
          <w:color w:val="000000" w:themeColor="text1"/>
          <w:szCs w:val="24"/>
          <w:lang w:val="en-GB"/>
          <w14:textFill>
            <w14:solidFill>
              <w14:schemeClr w14:val="tx1"/>
            </w14:solidFill>
          </w14:textFill>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59"/>
        <w:spacing w:before="0"/>
        <w:ind w:firstLine="480"/>
        <w:rPr>
          <w:rFonts w:ascii="宋体" w:cs="宋体"/>
          <w:color w:val="000000" w:themeColor="text1"/>
          <w:szCs w:val="24"/>
          <w:lang w:val="en-GB"/>
          <w14:textFill>
            <w14:solidFill>
              <w14:schemeClr w14:val="tx1"/>
            </w14:solidFill>
          </w14:textFill>
        </w:rPr>
      </w:pPr>
      <w:r>
        <w:rPr>
          <w:rFonts w:ascii="宋体" w:hAnsi="宋体" w:cs="宋体"/>
          <w:color w:val="000000" w:themeColor="text1"/>
          <w:szCs w:val="24"/>
          <w:lang w:val="en-GB"/>
          <w14:textFill>
            <w14:solidFill>
              <w14:schemeClr w14:val="tx1"/>
            </w14:solidFill>
          </w14:textFill>
        </w:rPr>
        <w:t>6.</w:t>
      </w:r>
      <w:r>
        <w:rPr>
          <w:rFonts w:ascii="宋体" w:hAnsi="宋体" w:cs="宋体"/>
          <w:color w:val="000000" w:themeColor="text1"/>
          <w:szCs w:val="24"/>
          <w14:textFill>
            <w14:solidFill>
              <w14:schemeClr w14:val="tx1"/>
            </w14:solidFill>
          </w14:textFill>
        </w:rPr>
        <w:t>2</w:t>
      </w:r>
      <w:r>
        <w:rPr>
          <w:rFonts w:hint="eastAsia" w:ascii="宋体" w:hAnsi="宋体" w:cs="宋体"/>
          <w:color w:val="000000" w:themeColor="text1"/>
          <w:szCs w:val="24"/>
          <w:lang w:val="en-GB"/>
          <w14:textFill>
            <w14:solidFill>
              <w14:schemeClr w14:val="tx1"/>
            </w14:solidFill>
          </w14:textFill>
        </w:rPr>
        <w:t>投标截止时间后，投标供应商不得撤回、修改投标文件。</w:t>
      </w:r>
    </w:p>
    <w:p>
      <w:pPr>
        <w:pStyle w:val="59"/>
        <w:spacing w:before="0"/>
        <w:ind w:firstLine="480"/>
        <w:rPr>
          <w:rFonts w:ascii="宋体" w:cs="宋体"/>
          <w:color w:val="000000" w:themeColor="text1"/>
          <w:szCs w:val="24"/>
          <w:lang w:val="en-GB"/>
          <w14:textFill>
            <w14:solidFill>
              <w14:schemeClr w14:val="tx1"/>
            </w14:solidFill>
          </w14:textFill>
        </w:rPr>
      </w:pPr>
      <w:r>
        <w:rPr>
          <w:rFonts w:ascii="宋体" w:hAnsi="宋体" w:cs="宋体"/>
          <w:color w:val="000000" w:themeColor="text1"/>
          <w:szCs w:val="24"/>
          <w14:textFill>
            <w14:solidFill>
              <w14:schemeClr w14:val="tx1"/>
            </w14:solidFill>
          </w14:textFill>
        </w:rPr>
        <w:t>6.3</w:t>
      </w:r>
      <w:r>
        <w:rPr>
          <w:rFonts w:hint="eastAsia" w:ascii="宋体" w:hAnsi="宋体" w:cs="宋体"/>
          <w:color w:val="000000" w:themeColor="text1"/>
          <w:szCs w:val="24"/>
          <w:lang w:val="en-GB"/>
          <w14:textFill>
            <w14:solidFill>
              <w14:schemeClr w14:val="tx1"/>
            </w14:solidFill>
          </w14:textFill>
        </w:rPr>
        <w:t>在开标后规定的投标有效期内，投标人不能撤销投标文件。</w:t>
      </w:r>
    </w:p>
    <w:p>
      <w:pPr>
        <w:tabs>
          <w:tab w:val="left" w:pos="1898"/>
        </w:tabs>
        <w:autoSpaceDE w:val="0"/>
        <w:autoSpaceDN w:val="0"/>
        <w:adjustRightInd w:val="0"/>
        <w:spacing w:line="360" w:lineRule="auto"/>
        <w:rPr>
          <w:rFonts w:asci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（三）谈判响应文件的有效期</w:t>
      </w:r>
    </w:p>
    <w:p>
      <w:pPr>
        <w:pStyle w:val="7"/>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自谈判响应截止日起</w:t>
      </w:r>
      <w:r>
        <w:rPr>
          <w:rFonts w:ascii="宋体" w:hAnsi="宋体"/>
          <w:color w:val="000000" w:themeColor="text1"/>
          <w:sz w:val="24"/>
          <w:lang w:val="en-GB"/>
          <w14:textFill>
            <w14:solidFill>
              <w14:schemeClr w14:val="tx1"/>
            </w14:solidFill>
          </w14:textFill>
        </w:rPr>
        <w:t>90</w:t>
      </w:r>
      <w:r>
        <w:rPr>
          <w:rFonts w:hint="eastAsia" w:ascii="宋体" w:hAnsi="宋体"/>
          <w:color w:val="000000" w:themeColor="text1"/>
          <w:sz w:val="24"/>
          <w:lang w:val="en-GB"/>
          <w14:textFill>
            <w14:solidFill>
              <w14:schemeClr w14:val="tx1"/>
            </w14:solidFill>
          </w14:textFill>
        </w:rPr>
        <w:t>天谈判响应文件应保持有效。有效期不足的</w:t>
      </w:r>
      <w:r>
        <w:rPr>
          <w:rFonts w:hint="eastAsia" w:ascii="宋体" w:hAnsi="宋体"/>
          <w:color w:val="000000" w:themeColor="text1"/>
          <w:sz w:val="24"/>
          <w14:textFill>
            <w14:solidFill>
              <w14:schemeClr w14:val="tx1"/>
            </w14:solidFill>
          </w14:textFill>
        </w:rPr>
        <w:t>谈判响应</w:t>
      </w:r>
      <w:r>
        <w:rPr>
          <w:rFonts w:hint="eastAsia" w:ascii="宋体" w:hAnsi="宋体"/>
          <w:color w:val="000000" w:themeColor="text1"/>
          <w:sz w:val="24"/>
          <w:lang w:val="en-GB"/>
          <w14:textFill>
            <w14:solidFill>
              <w14:schemeClr w14:val="tx1"/>
            </w14:solidFill>
          </w14:textFill>
        </w:rPr>
        <w:t>文件将被拒绝。</w:t>
      </w:r>
    </w:p>
    <w:p>
      <w:pPr>
        <w:pStyle w:val="7"/>
        <w:numPr>
          <w:ilvl w:val="0"/>
          <w:numId w:val="0"/>
        </w:numPr>
        <w:tabs>
          <w:tab w:val="left" w:pos="454"/>
          <w:tab w:val="left" w:pos="720"/>
          <w:tab w:val="left" w:pos="1200"/>
          <w:tab w:val="clear" w:pos="360"/>
        </w:tabs>
        <w:snapToGrid w:val="0"/>
        <w:spacing w:line="360" w:lineRule="auto"/>
        <w:ind w:left="420" w:leftChars="200"/>
        <w:rPr>
          <w:rFonts w:asci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val="en-GB"/>
          <w14:textFill>
            <w14:solidFill>
              <w14:schemeClr w14:val="tx1"/>
            </w14:solidFill>
          </w14:textFill>
        </w:rPr>
        <w:t>在特殊情况下，采购人可与</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lang w:val="en-GB"/>
          <w14:textFill>
            <w14:solidFill>
              <w14:schemeClr w14:val="tx1"/>
            </w14:solidFill>
          </w14:textFill>
        </w:rPr>
        <w:t>协商延长谈判响应文件的有效期，这种要求和答复均以书面形式进行。</w:t>
      </w:r>
    </w:p>
    <w:p>
      <w:pPr>
        <w:snapToGrid w:val="0"/>
        <w:spacing w:line="360" w:lineRule="auto"/>
        <w:ind w:firstLine="480" w:firstLineChars="200"/>
        <w:jc w:val="left"/>
        <w:outlineLvl w:val="0"/>
        <w:rPr>
          <w:rFonts w:asci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成交供应商的谈判响应文件自谈判之日起至合同履行完毕均应保持有效。</w:t>
      </w:r>
    </w:p>
    <w:p>
      <w:pPr>
        <w:tabs>
          <w:tab w:val="left" w:pos="1418"/>
        </w:tabs>
        <w:autoSpaceDE w:val="0"/>
        <w:autoSpaceDN w:val="0"/>
        <w:adjustRightInd w:val="0"/>
        <w:spacing w:line="360" w:lineRule="auto"/>
        <w:rPr>
          <w:rFonts w:asci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三、谈判保证金</w:t>
      </w:r>
    </w:p>
    <w:p>
      <w:pPr>
        <w:snapToGrid w:val="0"/>
        <w:spacing w:line="360" w:lineRule="auto"/>
        <w:ind w:left="4" w:firstLine="470" w:firstLineChars="196"/>
        <w:jc w:val="left"/>
        <w:rPr>
          <w:rFonts w:ascii="仿宋_GB2312" w:eastAsia="仿宋_GB2312" w:cs="仿宋_GB2312"/>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本项目保证金</w:t>
      </w:r>
      <w:r>
        <w:rPr>
          <w:rFonts w:ascii="宋体"/>
          <w:color w:val="000000" w:themeColor="text1"/>
          <w:kern w:val="0"/>
          <w:sz w:val="24"/>
          <w14:textFill>
            <w14:solidFill>
              <w14:schemeClr w14:val="tx1"/>
            </w14:solidFill>
          </w14:textFill>
        </w:rPr>
        <w:t>0</w:t>
      </w:r>
      <w:r>
        <w:rPr>
          <w:rFonts w:hint="eastAsia" w:ascii="宋体" w:hAnsi="宋体"/>
          <w:color w:val="000000" w:themeColor="text1"/>
          <w:kern w:val="0"/>
          <w:sz w:val="24"/>
          <w14:textFill>
            <w14:solidFill>
              <w14:schemeClr w14:val="tx1"/>
            </w14:solidFill>
          </w14:textFill>
        </w:rPr>
        <w:t>元。</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四、谈判</w:t>
      </w:r>
    </w:p>
    <w:p>
      <w:pPr>
        <w:snapToGrid w:val="0"/>
        <w:spacing w:line="360" w:lineRule="auto"/>
        <w:ind w:firstLine="472" w:firstLineChars="196"/>
        <w:jc w:val="left"/>
        <w:rPr>
          <w:rFonts w:asci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（一）谈判程序</w:t>
      </w:r>
    </w:p>
    <w:p>
      <w:pPr>
        <w:autoSpaceDE w:val="0"/>
        <w:autoSpaceDN w:val="0"/>
        <w:adjustRightInd w:val="0"/>
        <w:spacing w:line="360" w:lineRule="auto"/>
        <w:ind w:firstLine="475" w:firstLineChars="198"/>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、采购组织机构将在“谈判公告”规定的时间和地点进行谈判，谈判采购会议由采购组织机构工作人员主持。</w:t>
      </w:r>
    </w:p>
    <w:p>
      <w:pPr>
        <w:pStyle w:val="12"/>
        <w:snapToGrid w:val="0"/>
        <w:spacing w:line="360" w:lineRule="auto"/>
        <w:ind w:firstLine="480" w:firstLineChars="200"/>
        <w:rPr>
          <w:color w:val="000000" w:themeColor="text1"/>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向各投标人发出电子加密投标文件【开始解密】通知，由投标人按谈判文件规定的时间内自行进行投标文件解密。谈判响应文件的制作和解密应使用同一个数字证书，否则将可能解密失败。</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4</w:t>
      </w:r>
      <w:r>
        <w:rPr>
          <w:rFonts w:hint="eastAsia" w:ascii="宋体" w:hAnsi="宋体" w:cs="宋体"/>
          <w:color w:val="000000" w:themeColor="text1"/>
          <w:sz w:val="24"/>
          <w:szCs w:val="32"/>
          <w14:textFill>
            <w14:solidFill>
              <w14:schemeClr w14:val="tx1"/>
            </w14:solidFill>
          </w14:textFill>
        </w:rPr>
        <w:t>、采购组织机构点击【开启标书信息】，开启标书成功后进入开标流程。</w:t>
      </w:r>
    </w:p>
    <w:p>
      <w:pPr>
        <w:pStyle w:val="12"/>
        <w:snapToGrid w:val="0"/>
        <w:spacing w:line="360" w:lineRule="auto"/>
        <w:ind w:firstLine="480" w:firstLineChars="200"/>
        <w:rPr>
          <w:rFonts w:hAnsi="宋体" w:cs="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r>
        <w:rPr>
          <w:rFonts w:hint="eastAsia" w:hAnsi="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本项目原则上采用电子评审方法，若因政采云平台原因无法读取或电子开评标无法正常进行，采购代理机构将开启所有投标人递交的纸质备份投标文件，以完成开、评标，电子投标文件及以介质存储的数据电文形式的备份投标文件自动失效。</w:t>
      </w:r>
    </w:p>
    <w:p>
      <w:pPr>
        <w:pStyle w:val="12"/>
        <w:snapToGrid w:val="0"/>
        <w:spacing w:line="360" w:lineRule="auto"/>
        <w:ind w:firstLine="480" w:firstLineChars="20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6.</w:t>
      </w:r>
      <w:r>
        <w:rPr>
          <w:rFonts w:hint="eastAsia" w:hAnsi="宋体" w:cs="宋体"/>
          <w:color w:val="000000" w:themeColor="text1"/>
          <w:sz w:val="24"/>
          <w14:textFill>
            <w14:solidFill>
              <w14:schemeClr w14:val="tx1"/>
            </w14:solidFill>
          </w14:textFill>
        </w:rPr>
        <w:t>谈判小组对符合资格的供应商的谈判响应文件进行符合性审查，以确定其是否满足谈判文件的实质性要求。</w:t>
      </w:r>
    </w:p>
    <w:p>
      <w:pPr>
        <w:pStyle w:val="12"/>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7.</w:t>
      </w:r>
      <w:r>
        <w:rPr>
          <w:rFonts w:hint="eastAsia" w:hAnsi="宋体"/>
          <w:color w:val="000000" w:themeColor="text1"/>
          <w:sz w:val="24"/>
          <w14:textFill>
            <w14:solidFill>
              <w14:schemeClr w14:val="tx1"/>
            </w14:solidFill>
          </w14:textFill>
        </w:rPr>
        <w:t>谈判小组对响应文件进行评审，并根据谈判文件规定的程序、评定成交的标准等事项与实质性响应谈判文件要求的供应商进行谈判。未实质性响应谈判文件的响应文件按无效处理；</w:t>
      </w:r>
    </w:p>
    <w:p>
      <w:pPr>
        <w:pStyle w:val="14"/>
        <w:ind w:firstLine="480" w:firstLineChars="200"/>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8.</w:t>
      </w:r>
      <w:r>
        <w:rPr>
          <w:rFonts w:hint="eastAsia" w:hAnsi="宋体"/>
          <w:color w:val="000000" w:themeColor="text1"/>
          <w:szCs w:val="24"/>
          <w14:textFill>
            <w14:solidFill>
              <w14:schemeClr w14:val="tx1"/>
            </w14:solidFill>
          </w14:textFill>
        </w:rPr>
        <w:t>谈判小组所有成员集中与单一供应商分别进行谈判。</w:t>
      </w:r>
      <w:r>
        <w:rPr>
          <w:rFonts w:hint="eastAsia"/>
          <w:color w:val="000000" w:themeColor="text1"/>
          <w:szCs w:val="24"/>
          <w:shd w:val="clear" w:color="auto" w:fill="FFFFFF"/>
          <w14:textFill>
            <w14:solidFill>
              <w14:schemeClr w14:val="tx1"/>
            </w14:solidFill>
          </w14:textFill>
        </w:rPr>
        <w:t>所有参加谈判的供应商均有</w:t>
      </w:r>
      <w:r>
        <w:rPr>
          <w:rFonts w:hint="eastAsia"/>
          <w:b/>
          <w:color w:val="000000" w:themeColor="text1"/>
          <w:szCs w:val="24"/>
          <w:u w:val="single"/>
          <w:shd w:val="clear" w:color="auto" w:fill="FFFFFF"/>
          <w14:textFill>
            <w14:solidFill>
              <w14:schemeClr w14:val="tx1"/>
            </w14:solidFill>
          </w14:textFill>
        </w:rPr>
        <w:t>一</w:t>
      </w:r>
      <w:r>
        <w:rPr>
          <w:rFonts w:hint="eastAsia"/>
          <w:b/>
          <w:color w:val="000000" w:themeColor="text1"/>
          <w:szCs w:val="24"/>
          <w:shd w:val="clear" w:color="auto" w:fill="FFFFFF"/>
          <w14:textFill>
            <w14:solidFill>
              <w14:schemeClr w14:val="tx1"/>
            </w14:solidFill>
          </w14:textFill>
        </w:rPr>
        <w:t>轮</w:t>
      </w:r>
      <w:r>
        <w:rPr>
          <w:rFonts w:hint="eastAsia"/>
          <w:color w:val="000000" w:themeColor="text1"/>
          <w:szCs w:val="24"/>
          <w:shd w:val="clear" w:color="auto" w:fill="FFFFFF"/>
          <w14:textFill>
            <w14:solidFill>
              <w14:schemeClr w14:val="tx1"/>
            </w14:solidFill>
          </w14:textFill>
        </w:rPr>
        <w:t>谈判机会。</w:t>
      </w:r>
      <w:r>
        <w:rPr>
          <w:rFonts w:hint="eastAsia" w:hAnsi="宋体"/>
          <w:color w:val="000000" w:themeColor="text1"/>
          <w:szCs w:val="24"/>
          <w14:textFill>
            <w14:solidFill>
              <w14:schemeClr w14:val="tx1"/>
            </w14:solidFill>
          </w14:textFill>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4"/>
        <w:ind w:firstLine="480" w:firstLineChars="200"/>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10.</w:t>
      </w:r>
      <w:r>
        <w:rPr>
          <w:rFonts w:hint="eastAsia" w:hAnsi="宋体"/>
          <w:color w:val="000000" w:themeColor="text1"/>
          <w:szCs w:val="24"/>
          <w14:textFill>
            <w14:solidFill>
              <w14:schemeClr w14:val="tx1"/>
            </w14:solidFill>
          </w14:textFill>
        </w:rPr>
        <w:t>谈判结束后，</w:t>
      </w:r>
      <w:r>
        <w:rPr>
          <w:rFonts w:hint="eastAsia"/>
          <w:color w:val="000000" w:themeColor="text1"/>
          <w:szCs w:val="24"/>
          <w14:textFill>
            <w14:solidFill>
              <w14:schemeClr w14:val="tx1"/>
            </w14:solidFill>
          </w14:textFill>
        </w:rPr>
        <w:t>谈判小组将</w:t>
      </w:r>
      <w:r>
        <w:rPr>
          <w:rFonts w:hint="eastAsia" w:hAnsi="宋体"/>
          <w:color w:val="000000" w:themeColor="text1"/>
          <w:szCs w:val="24"/>
          <w14:textFill>
            <w14:solidFill>
              <w14:schemeClr w14:val="tx1"/>
            </w14:solidFill>
          </w14:textFill>
        </w:rPr>
        <w:t>要求所有继续参加谈判的供应商在规定时间内提交最后报价，最终报价不得高于初次报价（否则投标无效），超过规定时间提交的报价作无效处理；</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谈判小组</w:t>
      </w:r>
      <w:r>
        <w:rPr>
          <w:rFonts w:hint="eastAsia" w:ascii="宋体" w:hAnsi="宋体"/>
          <w:color w:val="000000" w:themeColor="text1"/>
          <w:kern w:val="0"/>
          <w:sz w:val="24"/>
          <w14:textFill>
            <w14:solidFill>
              <w14:schemeClr w14:val="tx1"/>
            </w14:solidFill>
          </w14:textFill>
        </w:rPr>
        <w:t>编写评审报告</w:t>
      </w:r>
      <w:r>
        <w:rPr>
          <w:rFonts w:hint="eastAsia" w:ascii="宋体" w:hAnsi="宋体"/>
          <w:color w:val="000000" w:themeColor="text1"/>
          <w:sz w:val="24"/>
          <w14:textFill>
            <w14:solidFill>
              <w14:schemeClr w14:val="tx1"/>
            </w14:solidFill>
          </w14:textFill>
        </w:rPr>
        <w:t>（评审报告应按相关规定及时向财政部门申请备案）；</w:t>
      </w:r>
    </w:p>
    <w:p>
      <w:pPr>
        <w:pStyle w:val="14"/>
        <w:ind w:firstLine="480" w:firstLineChars="200"/>
        <w:rPr>
          <w:rFonts w:hAnsi="宋体" w:cs="宋体"/>
          <w:b/>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12.</w:t>
      </w:r>
      <w:r>
        <w:rPr>
          <w:rFonts w:hint="eastAsia" w:hAnsi="宋体"/>
          <w:color w:val="000000" w:themeColor="text1"/>
          <w:szCs w:val="24"/>
          <w14:textFill>
            <w14:solidFill>
              <w14:schemeClr w14:val="tx1"/>
            </w14:solidFill>
          </w14:textFill>
        </w:rPr>
        <w:t>采购组织机构</w:t>
      </w:r>
      <w:r>
        <w:rPr>
          <w:rFonts w:hint="eastAsia" w:hAnsi="宋体" w:cs="宋体"/>
          <w:color w:val="000000" w:themeColor="text1"/>
          <w:szCs w:val="24"/>
          <w14:textFill>
            <w14:solidFill>
              <w14:schemeClr w14:val="tx1"/>
            </w14:solidFill>
          </w14:textFill>
        </w:rPr>
        <w:t>对谈判小组专家成员进行评价；</w:t>
      </w:r>
    </w:p>
    <w:p>
      <w:pPr>
        <w:pStyle w:val="20"/>
        <w:spacing w:before="0" w:beforeAutospacing="0" w:after="0" w:afterAutospacing="0" w:line="360" w:lineRule="auto"/>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13.</w:t>
      </w:r>
      <w:r>
        <w:rPr>
          <w:rFonts w:hint="eastAsia"/>
          <w:color w:val="000000" w:themeColor="text1"/>
          <w14:textFill>
            <w14:solidFill>
              <w14:schemeClr w14:val="tx1"/>
            </w14:solidFill>
          </w14:textFill>
        </w:rPr>
        <w:t>宣布谈判结果，谈判采购会议结束。</w:t>
      </w:r>
    </w:p>
    <w:p>
      <w:pPr>
        <w:snapToGrid w:val="0"/>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（二）澄清问题的形式</w:t>
      </w:r>
    </w:p>
    <w:p>
      <w:pPr>
        <w:snapToGrid w:val="0"/>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谈判人的澄清、说明或者补正应当采用书面形式，并加盖公章，或者由法定代理人或其授权的代表签字，并不得超出谈判响应文件的范围或者改变谈判响应文件的实质性内容。</w:t>
      </w:r>
    </w:p>
    <w:p>
      <w:pPr>
        <w:pStyle w:val="12"/>
        <w:snapToGrid w:val="0"/>
        <w:spacing w:line="360" w:lineRule="auto"/>
        <w:ind w:left="720" w:leftChars="228" w:hanging="241" w:hangingChars="1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（三）错误修正</w:t>
      </w:r>
    </w:p>
    <w:p>
      <w:pPr>
        <w:pStyle w:val="20"/>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谈判响应文件报价出现前后不一致的，除谈判采购文件另有规定外，按照下列规定修正：</w:t>
      </w:r>
    </w:p>
    <w:p>
      <w:pPr>
        <w:pStyle w:val="20"/>
        <w:spacing w:before="0" w:beforeAutospacing="0" w:after="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谈判响应文件中首次报价一览表内容与谈判响应文件中相应内容不一致的，以首次报价一览表为准；</w:t>
      </w:r>
    </w:p>
    <w:p>
      <w:pPr>
        <w:pStyle w:val="20"/>
        <w:spacing w:before="0" w:beforeAutospacing="0" w:after="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大写金额和小写金额不一致的，以大写金额为准；</w:t>
      </w:r>
    </w:p>
    <w:p>
      <w:pPr>
        <w:pStyle w:val="20"/>
        <w:spacing w:before="0" w:beforeAutospacing="0" w:after="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单价金额小数点或者百分比有明显错位的，以首次报价一览表的总价为准，并修改单价；</w:t>
      </w:r>
    </w:p>
    <w:p>
      <w:pPr>
        <w:pStyle w:val="20"/>
        <w:spacing w:before="0" w:beforeAutospacing="0" w:after="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总价金额与按单价汇总金额不一致的，以单价金额计算结果为准。</w:t>
      </w:r>
    </w:p>
    <w:p>
      <w:pPr>
        <w:pStyle w:val="20"/>
        <w:spacing w:before="0" w:beforeAutospacing="0" w:after="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同时出现两种以上不一致的，按照前款规定的顺序修正。修正应当采用书面形式，并加盖公章，或者由法定代表人或其授权的代表签字。修正后的报价经谈判人确认后产生约束力，谈判人不确认的，将终止谈判。</w:t>
      </w:r>
    </w:p>
    <w:p>
      <w:pPr>
        <w:pStyle w:val="20"/>
        <w:spacing w:before="0" w:beforeAutospacing="0" w:after="0" w:afterAutospacing="0" w:line="360" w:lineRule="auto"/>
        <w:ind w:firstLine="361" w:firstLineChars="150"/>
        <w:jc w:val="both"/>
        <w:rPr>
          <w:b/>
          <w:color w:val="000000" w:themeColor="text1"/>
          <w14:textFill>
            <w14:solidFill>
              <w14:schemeClr w14:val="tx1"/>
            </w14:solidFill>
          </w14:textFill>
        </w:rPr>
      </w:pPr>
      <w:r>
        <w:rPr>
          <w:rFonts w:hint="eastAsia"/>
          <w:b/>
          <w:bCs/>
          <w:color w:val="000000" w:themeColor="text1"/>
          <w14:textFill>
            <w14:solidFill>
              <w14:schemeClr w14:val="tx1"/>
            </w14:solidFill>
          </w14:textFill>
        </w:rPr>
        <w:t>（四）</w:t>
      </w:r>
      <w:r>
        <w:rPr>
          <w:rFonts w:hint="eastAsia"/>
          <w:b/>
          <w:color w:val="000000" w:themeColor="text1"/>
          <w14:textFill>
            <w14:solidFill>
              <w14:schemeClr w14:val="tx1"/>
            </w14:solidFill>
          </w14:textFill>
        </w:rPr>
        <w:t>供应商存在下列情况之一的，响应无效，终止谈判</w:t>
      </w:r>
    </w:p>
    <w:p>
      <w:pPr>
        <w:pStyle w:val="20"/>
        <w:adjustRightInd w:val="0"/>
        <w:snapToGrid w:val="0"/>
        <w:spacing w:before="0" w:beforeAutospacing="0" w:after="0" w:afterAutospacing="0" w:line="360" w:lineRule="auto"/>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s="宋体"/>
          <w:color w:val="000000" w:themeColor="text1"/>
          <w:szCs w:val="32"/>
          <w14:textFill>
            <w14:solidFill>
              <w14:schemeClr w14:val="tx1"/>
            </w14:solidFill>
          </w14:textFill>
        </w:rPr>
        <w:t>电子投标文件及纸质备份投标文件在指定页面无法定代表人盖章或签字、未在指定页面盖公章、在指定页面无被授权人签字、未提供法定代表人授权委托书；</w:t>
      </w:r>
      <w:r>
        <w:rPr>
          <w:rFonts w:hint="eastAsia"/>
          <w:color w:val="000000" w:themeColor="text1"/>
          <w14:textFill>
            <w14:solidFill>
              <w14:schemeClr w14:val="tx1"/>
            </w14:solidFill>
          </w14:textFill>
        </w:rPr>
        <w:t>。</w:t>
      </w:r>
    </w:p>
    <w:p>
      <w:pPr>
        <w:pStyle w:val="20"/>
        <w:adjustRightInd w:val="0"/>
        <w:snapToGrid w:val="0"/>
        <w:spacing w:before="0" w:beforeAutospacing="0" w:after="0" w:afterAutospacing="0" w:line="360" w:lineRule="auto"/>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谈判响应文件中报价的货物跟商务与技术内容中的供应货物出现重大偏差的；</w:t>
      </w:r>
    </w:p>
    <w:p>
      <w:pPr>
        <w:pStyle w:val="20"/>
        <w:tabs>
          <w:tab w:val="left" w:pos="7380"/>
        </w:tabs>
        <w:adjustRightInd w:val="0"/>
        <w:snapToGrid w:val="0"/>
        <w:spacing w:before="0" w:beforeAutospacing="0" w:after="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不具备谈判文件中规定的资格要求的。</w:t>
      </w:r>
      <w:r>
        <w:rPr>
          <w:color w:val="000000" w:themeColor="text1"/>
          <w14:textFill>
            <w14:solidFill>
              <w14:schemeClr w14:val="tx1"/>
            </w14:solidFill>
          </w14:textFill>
        </w:rPr>
        <w:tab/>
      </w:r>
    </w:p>
    <w:p>
      <w:pPr>
        <w:pStyle w:val="20"/>
        <w:adjustRightInd w:val="0"/>
        <w:snapToGrid w:val="0"/>
        <w:spacing w:before="0" w:beforeAutospacing="0" w:after="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 xml:space="preserve">  4.</w:t>
      </w:r>
      <w:r>
        <w:rPr>
          <w:rFonts w:hint="eastAsia"/>
          <w:color w:val="000000" w:themeColor="text1"/>
          <w14:textFill>
            <w14:solidFill>
              <w14:schemeClr w14:val="tx1"/>
            </w14:solidFill>
          </w14:textFill>
        </w:rPr>
        <w:t>谈判响应文件含有采购人不能接受的附加条件的。</w:t>
      </w:r>
    </w:p>
    <w:p>
      <w:pPr>
        <w:adjustRightInd w:val="0"/>
        <w:snapToGrid w:val="0"/>
        <w:spacing w:line="360" w:lineRule="auto"/>
        <w:ind w:firstLine="470" w:firstLineChars="196"/>
        <w:rPr>
          <w:rFonts w:ascii="宋体"/>
          <w:bCs/>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谈判代表人</w:t>
      </w:r>
      <w:r>
        <w:rPr>
          <w:rFonts w:hint="eastAsia" w:ascii="宋体" w:hAnsi="宋体"/>
          <w:color w:val="000000" w:themeColor="text1"/>
          <w:sz w:val="24"/>
          <w14:textFill>
            <w14:solidFill>
              <w14:schemeClr w14:val="tx1"/>
            </w14:solidFill>
          </w14:textFill>
        </w:rPr>
        <w:t>未能出具身份证明或与法定代表人授权委托人身份不符的；</w:t>
      </w:r>
    </w:p>
    <w:p>
      <w:pPr>
        <w:pStyle w:val="20"/>
        <w:adjustRightInd w:val="0"/>
        <w:snapToGrid w:val="0"/>
        <w:spacing w:before="0" w:beforeAutospacing="0" w:after="0" w:afterAutospacing="0" w:line="360" w:lineRule="auto"/>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pStyle w:val="20"/>
        <w:adjustRightInd w:val="0"/>
        <w:snapToGrid w:val="0"/>
        <w:spacing w:before="0" w:beforeAutospacing="0" w:after="0" w:afterAutospacing="0" w:line="360" w:lineRule="auto"/>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报价超过谈判文件中规定的预算金额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最高限价。</w:t>
      </w:r>
      <w:r>
        <w:rPr>
          <w:color w:val="000000" w:themeColor="text1"/>
          <w14:textFill>
            <w14:solidFill>
              <w14:schemeClr w14:val="tx1"/>
            </w14:solidFill>
          </w14:textFill>
        </w:rPr>
        <w:t xml:space="preserve"> </w:t>
      </w:r>
    </w:p>
    <w:p>
      <w:pPr>
        <w:pStyle w:val="20"/>
        <w:adjustRightInd w:val="0"/>
        <w:snapToGrid w:val="0"/>
        <w:spacing w:before="0" w:beforeAutospacing="0" w:after="0" w:afterAutospacing="0" w:line="360" w:lineRule="auto"/>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主要性能参数指标负偏离项（含）</w:t>
      </w:r>
      <w:r>
        <w:rPr>
          <w:color w:val="000000" w:themeColor="text1"/>
          <w:u w:val="single"/>
          <w14:textFill>
            <w14:solidFill>
              <w14:schemeClr w14:val="tx1"/>
            </w14:solidFill>
          </w14:textFill>
        </w:rPr>
        <w:t>7</w:t>
      </w:r>
      <w:r>
        <w:rPr>
          <w:rFonts w:hint="eastAsia"/>
          <w:color w:val="000000" w:themeColor="text1"/>
          <w:u w:val="single"/>
          <w14:textFill>
            <w14:solidFill>
              <w14:schemeClr w14:val="tx1"/>
            </w14:solidFill>
          </w14:textFill>
        </w:rPr>
        <w:t>项</w:t>
      </w:r>
      <w:r>
        <w:rPr>
          <w:rFonts w:hint="eastAsia"/>
          <w:color w:val="000000" w:themeColor="text1"/>
          <w14:textFill>
            <w14:solidFill>
              <w14:schemeClr w14:val="tx1"/>
            </w14:solidFill>
          </w14:textFill>
        </w:rPr>
        <w:t>以上的。</w:t>
      </w:r>
    </w:p>
    <w:p>
      <w:pPr>
        <w:tabs>
          <w:tab w:val="left" w:pos="1898"/>
        </w:tabs>
        <w:autoSpaceDE w:val="0"/>
        <w:autoSpaceDN w:val="0"/>
        <w:adjustRightInd w:val="0"/>
        <w:snapToGrid w:val="0"/>
        <w:spacing w:line="360" w:lineRule="auto"/>
        <w:ind w:firstLine="480"/>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9.</w:t>
      </w:r>
      <w:r>
        <w:rPr>
          <w:rFonts w:hint="eastAsia" w:ascii="宋体" w:hAnsi="宋体"/>
          <w:color w:val="000000" w:themeColor="text1"/>
          <w:kern w:val="0"/>
          <w:sz w:val="24"/>
          <w14:textFill>
            <w14:solidFill>
              <w14:schemeClr w14:val="tx1"/>
            </w14:solidFill>
          </w14:textFill>
        </w:rPr>
        <w:t>谈判响应参数未如实填写，完全复制粘贴采购参数的。</w:t>
      </w:r>
    </w:p>
    <w:p>
      <w:pPr>
        <w:tabs>
          <w:tab w:val="left" w:pos="1898"/>
        </w:tabs>
        <w:autoSpaceDE w:val="0"/>
        <w:autoSpaceDN w:val="0"/>
        <w:adjustRightInd w:val="0"/>
        <w:snapToGrid w:val="0"/>
        <w:spacing w:line="360" w:lineRule="auto"/>
        <w:ind w:firstLine="48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10.</w:t>
      </w:r>
      <w:r>
        <w:rPr>
          <w:rFonts w:hint="eastAsia" w:ascii="宋体" w:hAnsi="宋体"/>
          <w:color w:val="000000" w:themeColor="text1"/>
          <w:kern w:val="0"/>
          <w:sz w:val="24"/>
          <w14:textFill>
            <w14:solidFill>
              <w14:schemeClr w14:val="tx1"/>
            </w14:solidFill>
          </w14:textFill>
        </w:rPr>
        <w:t>谈判响应文件提供虚假材料的。</w:t>
      </w:r>
      <w:r>
        <w:rPr>
          <w:rFonts w:ascii="宋体" w:hAnsi="宋体"/>
          <w:color w:val="000000" w:themeColor="text1"/>
          <w:kern w:val="0"/>
          <w:sz w:val="24"/>
          <w14:textFill>
            <w14:solidFill>
              <w14:schemeClr w14:val="tx1"/>
            </w14:solidFill>
          </w14:textFill>
        </w:rPr>
        <w:t xml:space="preserve"> </w:t>
      </w:r>
    </w:p>
    <w:p>
      <w:pPr>
        <w:tabs>
          <w:tab w:val="left" w:pos="1898"/>
        </w:tabs>
        <w:autoSpaceDE w:val="0"/>
        <w:autoSpaceDN w:val="0"/>
        <w:adjustRightInd w:val="0"/>
        <w:snapToGrid w:val="0"/>
        <w:spacing w:line="360" w:lineRule="auto"/>
        <w:ind w:firstLine="480" w:firstLineChars="200"/>
        <w:jc w:val="left"/>
        <w:rPr>
          <w:rFonts w:ascii="宋体"/>
          <w:color w:val="000000" w:themeColor="text1"/>
          <w:sz w:val="24"/>
          <w14:textFill>
            <w14:solidFill>
              <w14:schemeClr w14:val="tx1"/>
            </w14:solidFill>
          </w14:textFill>
        </w:rPr>
      </w:pPr>
      <w:r>
        <w:rPr>
          <w:rFonts w:ascii="宋体" w:hAnsi="宋体"/>
          <w:color w:val="000000" w:themeColor="text1"/>
          <w:kern w:val="0"/>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不同供应商的谈判响应文件由同一单位或者个人编制；</w:t>
      </w:r>
    </w:p>
    <w:p>
      <w:pPr>
        <w:pStyle w:val="20"/>
        <w:spacing w:before="0" w:beforeAutospacing="0" w:after="0"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不同供应商委托同一单位或者个人办理谈判事宜；</w:t>
      </w:r>
    </w:p>
    <w:p>
      <w:pPr>
        <w:pStyle w:val="20"/>
        <w:spacing w:before="0" w:beforeAutospacing="0" w:after="0"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13.</w:t>
      </w:r>
      <w:r>
        <w:rPr>
          <w:rFonts w:hint="eastAsia"/>
          <w:color w:val="000000" w:themeColor="text1"/>
          <w14:textFill>
            <w14:solidFill>
              <w14:schemeClr w14:val="tx1"/>
            </w14:solidFill>
          </w14:textFill>
        </w:rPr>
        <w:t>不同供应商的谈判响应文件载明的项目管理成员或者联系人员为同一人；</w:t>
      </w:r>
    </w:p>
    <w:p>
      <w:pPr>
        <w:pStyle w:val="20"/>
        <w:spacing w:before="0" w:beforeAutospacing="0" w:after="0"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14.</w:t>
      </w:r>
      <w:r>
        <w:rPr>
          <w:rFonts w:hint="eastAsia"/>
          <w:color w:val="000000" w:themeColor="text1"/>
          <w14:textFill>
            <w14:solidFill>
              <w14:schemeClr w14:val="tx1"/>
            </w14:solidFill>
          </w14:textFill>
        </w:rPr>
        <w:t>不同供应商的谈判响应文件异常一致或者报价呈规律性差异；</w:t>
      </w:r>
    </w:p>
    <w:p>
      <w:pPr>
        <w:pStyle w:val="20"/>
        <w:spacing w:before="0" w:beforeAutospacing="0" w:after="0"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15.</w:t>
      </w:r>
      <w:r>
        <w:rPr>
          <w:rFonts w:hint="eastAsia"/>
          <w:color w:val="000000" w:themeColor="text1"/>
          <w14:textFill>
            <w14:solidFill>
              <w14:schemeClr w14:val="tx1"/>
            </w14:solidFill>
          </w14:textFill>
        </w:rPr>
        <w:t>不同供应商的谈判响应文件相互混装；</w:t>
      </w:r>
    </w:p>
    <w:p>
      <w:pPr>
        <w:pStyle w:val="20"/>
        <w:spacing w:before="0" w:beforeAutospacing="0" w:after="0"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16.</w:t>
      </w:r>
      <w:r>
        <w:rPr>
          <w:rFonts w:hint="eastAsia"/>
          <w:color w:val="000000" w:themeColor="text1"/>
          <w14:textFill>
            <w14:solidFill>
              <w14:schemeClr w14:val="tx1"/>
            </w14:solidFill>
          </w14:textFill>
        </w:rPr>
        <w:t>不符合法律、法规和谈判文件中规定的其他实质性要求的（谈判采购文件中打“▲”内容及被拒绝的条款）。</w:t>
      </w:r>
    </w:p>
    <w:p>
      <w:pPr>
        <w:autoSpaceDE w:val="0"/>
        <w:autoSpaceDN w:val="0"/>
        <w:adjustRightInd w:val="0"/>
        <w:spacing w:line="360" w:lineRule="auto"/>
        <w:ind w:left="480"/>
        <w:rPr>
          <w:rFonts w:asci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（五）有下列情况之一的，本次谈判终止</w:t>
      </w:r>
    </w:p>
    <w:p>
      <w:pPr>
        <w:pStyle w:val="20"/>
        <w:spacing w:before="0" w:beforeAutospacing="0" w:after="0" w:afterAutospacing="0" w:line="360" w:lineRule="auto"/>
        <w:ind w:firstLine="600" w:firstLineChars="250"/>
        <w:jc w:val="both"/>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出现影响采购公正的违法、违规行为的；</w:t>
      </w:r>
    </w:p>
    <w:p>
      <w:pPr>
        <w:pStyle w:val="20"/>
        <w:spacing w:before="0" w:beforeAutospacing="0" w:after="0" w:afterAutospacing="0" w:line="360" w:lineRule="auto"/>
        <w:ind w:firstLine="600" w:firstLineChars="250"/>
        <w:jc w:val="both"/>
        <w:rPr>
          <w:b/>
          <w:bCs/>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谈判小组发现谈判文件存在歧义、重大缺陷导致谈判工作无法进行，或者谈判文件内容违反国家有关强制性规定的；</w:t>
      </w:r>
      <w:r>
        <w:rPr>
          <w:color w:val="000000" w:themeColor="text1"/>
          <w14:textFill>
            <w14:solidFill>
              <w14:schemeClr w14:val="tx1"/>
            </w14:solidFill>
          </w14:textFill>
        </w:rPr>
        <w:t xml:space="preserve"> </w:t>
      </w:r>
    </w:p>
    <w:p>
      <w:pPr>
        <w:pStyle w:val="20"/>
        <w:spacing w:before="0" w:beforeAutospacing="0" w:after="0" w:afterAutospacing="0" w:line="360" w:lineRule="auto"/>
        <w:ind w:firstLine="600" w:firstLineChars="250"/>
        <w:jc w:val="both"/>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因重大变故，采购任务取消的；</w:t>
      </w:r>
    </w:p>
    <w:p>
      <w:pPr>
        <w:pStyle w:val="20"/>
        <w:spacing w:before="0" w:beforeAutospacing="0" w:after="0" w:afterAutospacing="0" w:line="360" w:lineRule="auto"/>
        <w:ind w:firstLine="600" w:firstLineChars="250"/>
        <w:jc w:val="both"/>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法律、法规和谈判文件规定的其他导致谈判结果无效的。</w:t>
      </w:r>
    </w:p>
    <w:p>
      <w:pPr>
        <w:pStyle w:val="12"/>
        <w:tabs>
          <w:tab w:val="left" w:pos="630"/>
        </w:tabs>
        <w:snapToGrid w:val="0"/>
        <w:spacing w:line="360" w:lineRule="auto"/>
        <w:ind w:firstLine="472" w:firstLineChars="196"/>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（六）谈判原则和办法</w:t>
      </w:r>
    </w:p>
    <w:p>
      <w:pPr>
        <w:pStyle w:val="12"/>
        <w:snapToGrid w:val="0"/>
        <w:spacing w:line="360" w:lineRule="auto"/>
        <w:ind w:firstLine="600" w:firstLineChars="2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谈判原则。谈判小组必须公平、公正、客观，不带任何倾向性和启发性；不得向外界透露任何与评审有关的内容；任何单位和个人不得干扰、影响评审的正常进行；评审委员会及有关工作人员不得私下与供应商接触。</w:t>
      </w:r>
    </w:p>
    <w:p>
      <w:pPr>
        <w:pStyle w:val="12"/>
        <w:snapToGrid w:val="0"/>
        <w:spacing w:line="360" w:lineRule="auto"/>
        <w:ind w:firstLine="600" w:firstLineChars="25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、定标办法：</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）谈判小组应当从质量和服务均能满足谈判文件实质性响应要求的供应商中，按照报价由低到高的顺序确定成交候选人。</w:t>
      </w:r>
    </w:p>
    <w:p>
      <w:pPr>
        <w:pStyle w:val="20"/>
        <w:spacing w:before="0" w:beforeAutospacing="0" w:after="0" w:afterAutospacing="0" w:line="360" w:lineRule="auto"/>
        <w:ind w:firstLine="600" w:firstLineChars="250"/>
        <w:jc w:val="both"/>
        <w:rPr>
          <w:rFonts w:ascii="仿宋_GB2312" w:hAnsi="仿宋_GB2312" w:eastAsia="仿宋_GB2312" w:cs="仿宋_GB2312"/>
          <w:color w:val="000000" w:themeColor="text1"/>
          <w:kern w:val="2"/>
          <w:shd w:val="clear" w:color="FFFFFF" w:fill="D9D9D9"/>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）如遇相同最低报价，取交货期短者为成交单位；如两者均相同，则在相同最低报价中重新报价，直至产生最低报价者为成交单位。</w:t>
      </w:r>
    </w:p>
    <w:p>
      <w:pPr>
        <w:pStyle w:val="12"/>
        <w:snapToGrid w:val="0"/>
        <w:spacing w:line="360" w:lineRule="auto"/>
        <w:ind w:firstLine="472" w:firstLineChars="196"/>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（七）评审过程的监控</w:t>
      </w:r>
    </w:p>
    <w:p>
      <w:pPr>
        <w:pStyle w:val="20"/>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本项目评审过程实行全程录音、录像监控，政府采购监管部门视情进行现场监督，供应商在评审过程中所进行的试图影响评审结果的不公正活动，可能导致其谈判响应被拒绝。</w:t>
      </w:r>
    </w:p>
    <w:p>
      <w:pPr>
        <w:pStyle w:val="20"/>
        <w:spacing w:before="0" w:beforeAutospacing="0" w:after="0" w:afterAutospacing="0" w:line="360" w:lineRule="auto"/>
        <w:ind w:firstLine="482" w:firstLineChars="200"/>
        <w:jc w:val="both"/>
        <w:rPr>
          <w:color w:val="000000" w:themeColor="text1"/>
          <w14:textFill>
            <w14:solidFill>
              <w14:schemeClr w14:val="tx1"/>
            </w14:solidFill>
          </w14:textFill>
        </w:rPr>
      </w:pPr>
      <w:r>
        <w:rPr>
          <w:rFonts w:hint="eastAsia"/>
          <w:b/>
          <w:color w:val="000000" w:themeColor="text1"/>
          <w14:textFill>
            <w14:solidFill>
              <w14:schemeClr w14:val="tx1"/>
            </w14:solidFill>
          </w14:textFill>
        </w:rPr>
        <w:t>五、谈判结果确定</w:t>
      </w:r>
    </w:p>
    <w:p>
      <w:pPr>
        <w:pStyle w:val="20"/>
        <w:spacing w:before="0" w:beforeAutospacing="0" w:after="0" w:afterAutospacing="0" w:line="360" w:lineRule="auto"/>
        <w:ind w:firstLine="600" w:firstLineChars="250"/>
        <w:jc w:val="both"/>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、确定成交供应商。谈判小组根据采购人的《授权意见确认书》，推荐成交候选供应商或直接确定成交供应商。其中推荐成交候选供应商的，采购组织机构在谈判结束之日起</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个工作日内将评审报告送交采购人，采购人自收到评审报告之日起</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个工作日内在评审报告推荐的成交候选人中按顺序确定成交供应商。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、发布成交结果公告。采购组织机构应当在成交供应商确定后</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个工作日内，在省级以上财政部门指定的政府采购信息发布媒体及相关网站上公告成交结果，并将谈判文件随同公告。</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、发出成交通知书。采购组织机构在发布成交结果同时，向成交供应商发出成交通知书。</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、招标代理费：按照《国家发展改革委关于</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进一步放开建设项目专业服务价格的通知》（发改价格</w:t>
      </w:r>
      <w:r>
        <w:rPr>
          <w:rFonts w:ascii="宋体" w:hAnsi="宋体"/>
          <w:color w:val="000000" w:themeColor="text1"/>
          <w:kern w:val="0"/>
          <w:sz w:val="24"/>
          <w14:textFill>
            <w14:solidFill>
              <w14:schemeClr w14:val="tx1"/>
            </w14:solidFill>
          </w14:textFill>
        </w:rPr>
        <w:t>2015 299</w:t>
      </w:r>
      <w:r>
        <w:rPr>
          <w:rFonts w:hint="eastAsia" w:ascii="宋体" w:hAnsi="宋体"/>
          <w:color w:val="000000" w:themeColor="text1"/>
          <w:kern w:val="0"/>
          <w:sz w:val="24"/>
          <w14:textFill>
            <w14:solidFill>
              <w14:schemeClr w14:val="tx1"/>
            </w14:solidFill>
          </w14:textFill>
        </w:rPr>
        <w:t>号）执行</w:t>
      </w:r>
      <w:r>
        <w:rPr>
          <w:rFonts w:hint="eastAsia" w:ascii="宋体" w:hAnsi="宋体" w:cs="宋体"/>
          <w:color w:val="000000" w:themeColor="text1"/>
          <w:sz w:val="24"/>
          <w:szCs w:val="32"/>
          <w14:textFill>
            <w14:solidFill>
              <w14:schemeClr w14:val="tx1"/>
            </w14:solidFill>
          </w14:textFill>
        </w:rPr>
        <w:t>文件规定的招标费率标准，按下列标准向中标单位收取招标代理费，该费用中标方须在中标通知书发出前一次性付清。</w:t>
      </w:r>
      <w:r>
        <w:rPr>
          <w:rFonts w:hint="eastAsia" w:ascii="宋体" w:hAnsi="宋体"/>
          <w:color w:val="000000" w:themeColor="text1"/>
          <w:kern w:val="0"/>
          <w:sz w:val="24"/>
          <w14:textFill>
            <w14:solidFill>
              <w14:schemeClr w14:val="tx1"/>
            </w14:solidFill>
          </w14:textFill>
        </w:rPr>
        <w:t>（户名：浙江五石中正工程咨询有限公司；账号：</w:t>
      </w:r>
      <w:r>
        <w:rPr>
          <w:rFonts w:ascii="宋体" w:hAnsi="宋体"/>
          <w:color w:val="000000" w:themeColor="text1"/>
          <w:kern w:val="0"/>
          <w:sz w:val="24"/>
          <w14:textFill>
            <w14:solidFill>
              <w14:schemeClr w14:val="tx1"/>
            </w14:solidFill>
          </w14:textFill>
        </w:rPr>
        <w:t>1202003209900014176</w:t>
      </w:r>
      <w:r>
        <w:rPr>
          <w:rFonts w:hint="eastAsia" w:ascii="宋体" w:hAnsi="宋体"/>
          <w:color w:val="000000" w:themeColor="text1"/>
          <w:kern w:val="0"/>
          <w:sz w:val="24"/>
          <w14:textFill>
            <w14:solidFill>
              <w14:schemeClr w14:val="tx1"/>
            </w14:solidFill>
          </w14:textFill>
        </w:rPr>
        <w:t>；开户银行：中国工商银行杭州市潮王路支行）财务电话：</w:t>
      </w:r>
      <w:r>
        <w:rPr>
          <w:rFonts w:ascii="宋体" w:hAnsi="宋体"/>
          <w:color w:val="000000" w:themeColor="text1"/>
          <w:kern w:val="0"/>
          <w:sz w:val="24"/>
          <w14:textFill>
            <w14:solidFill>
              <w14:schemeClr w14:val="tx1"/>
            </w14:solidFill>
          </w14:textFill>
        </w:rPr>
        <w:t>0571-88271625</w:t>
      </w:r>
      <w:r>
        <w:rPr>
          <w:rFonts w:hint="eastAsia" w:ascii="宋体" w:hAnsi="宋体"/>
          <w:color w:val="000000" w:themeColor="text1"/>
          <w:kern w:val="0"/>
          <w:sz w:val="24"/>
          <w14:textFill>
            <w14:solidFill>
              <w14:schemeClr w14:val="tx1"/>
            </w14:solidFill>
          </w14:textFill>
        </w:rPr>
        <w:t>。</w:t>
      </w:r>
    </w:p>
    <w:tbl>
      <w:tblPr>
        <w:tblStyle w:val="23"/>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服务类型、费率、中标金额（万元）</w:t>
            </w:r>
          </w:p>
        </w:tc>
        <w:tc>
          <w:tcPr>
            <w:tcW w:w="1777" w:type="dxa"/>
            <w:vAlign w:val="center"/>
          </w:tcPr>
          <w:p>
            <w:pPr>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货物招标</w:t>
            </w:r>
          </w:p>
        </w:tc>
        <w:tc>
          <w:tcPr>
            <w:tcW w:w="1640" w:type="dxa"/>
            <w:vAlign w:val="center"/>
          </w:tcPr>
          <w:p>
            <w:pPr>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服务招标</w:t>
            </w:r>
          </w:p>
        </w:tc>
        <w:tc>
          <w:tcPr>
            <w:tcW w:w="2119" w:type="dxa"/>
            <w:vAlign w:val="center"/>
          </w:tcPr>
          <w:p>
            <w:pPr>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100</w:t>
            </w:r>
            <w:r>
              <w:rPr>
                <w:rFonts w:hint="eastAsia" w:ascii="宋体" w:hAnsi="宋体" w:cs="宋体"/>
                <w:color w:val="000000" w:themeColor="text1"/>
                <w:sz w:val="24"/>
                <w14:textFill>
                  <w14:solidFill>
                    <w14:schemeClr w14:val="tx1"/>
                  </w14:solidFill>
                </w14:textFill>
              </w:rPr>
              <w:t>以下</w:t>
            </w:r>
          </w:p>
        </w:tc>
        <w:tc>
          <w:tcPr>
            <w:tcW w:w="1777"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1.50%</w:t>
            </w:r>
          </w:p>
        </w:tc>
        <w:tc>
          <w:tcPr>
            <w:tcW w:w="16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1.50%</w:t>
            </w:r>
          </w:p>
        </w:tc>
        <w:tc>
          <w:tcPr>
            <w:tcW w:w="2119"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100-500</w:t>
            </w:r>
          </w:p>
        </w:tc>
        <w:tc>
          <w:tcPr>
            <w:tcW w:w="1777"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1.10%</w:t>
            </w:r>
          </w:p>
        </w:tc>
        <w:tc>
          <w:tcPr>
            <w:tcW w:w="16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0.80%</w:t>
            </w:r>
          </w:p>
        </w:tc>
        <w:tc>
          <w:tcPr>
            <w:tcW w:w="2119"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500-1000</w:t>
            </w:r>
          </w:p>
        </w:tc>
        <w:tc>
          <w:tcPr>
            <w:tcW w:w="1777"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0.80%</w:t>
            </w:r>
          </w:p>
        </w:tc>
        <w:tc>
          <w:tcPr>
            <w:tcW w:w="16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0.45%</w:t>
            </w:r>
          </w:p>
        </w:tc>
        <w:tc>
          <w:tcPr>
            <w:tcW w:w="2119"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1000-5000</w:t>
            </w:r>
          </w:p>
        </w:tc>
        <w:tc>
          <w:tcPr>
            <w:tcW w:w="1777"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0.50%</w:t>
            </w:r>
          </w:p>
        </w:tc>
        <w:tc>
          <w:tcPr>
            <w:tcW w:w="16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0.25%</w:t>
            </w:r>
          </w:p>
        </w:tc>
        <w:tc>
          <w:tcPr>
            <w:tcW w:w="2119"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5000-10000</w:t>
            </w:r>
          </w:p>
        </w:tc>
        <w:tc>
          <w:tcPr>
            <w:tcW w:w="1777"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0.25%</w:t>
            </w:r>
          </w:p>
        </w:tc>
        <w:tc>
          <w:tcPr>
            <w:tcW w:w="16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0.10%</w:t>
            </w:r>
          </w:p>
        </w:tc>
        <w:tc>
          <w:tcPr>
            <w:tcW w:w="2119"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10000-100000</w:t>
            </w:r>
          </w:p>
        </w:tc>
        <w:tc>
          <w:tcPr>
            <w:tcW w:w="1777"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0.05%</w:t>
            </w:r>
          </w:p>
        </w:tc>
        <w:tc>
          <w:tcPr>
            <w:tcW w:w="16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0.05%</w:t>
            </w:r>
          </w:p>
        </w:tc>
        <w:tc>
          <w:tcPr>
            <w:tcW w:w="2119"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100000</w:t>
            </w:r>
            <w:r>
              <w:rPr>
                <w:rFonts w:hint="eastAsia" w:ascii="宋体" w:hAnsi="宋体" w:cs="宋体"/>
                <w:color w:val="000000" w:themeColor="text1"/>
                <w:sz w:val="24"/>
                <w14:textFill>
                  <w14:solidFill>
                    <w14:schemeClr w14:val="tx1"/>
                  </w14:solidFill>
                </w14:textFill>
              </w:rPr>
              <w:t>以上</w:t>
            </w:r>
          </w:p>
        </w:tc>
        <w:tc>
          <w:tcPr>
            <w:tcW w:w="1777"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0.01%</w:t>
            </w:r>
          </w:p>
        </w:tc>
        <w:tc>
          <w:tcPr>
            <w:tcW w:w="1640"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0.01%</w:t>
            </w:r>
          </w:p>
        </w:tc>
        <w:tc>
          <w:tcPr>
            <w:tcW w:w="2119" w:type="dxa"/>
            <w:vAlign w:val="center"/>
          </w:tcPr>
          <w:p>
            <w:pPr>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0.01%</w:t>
            </w:r>
          </w:p>
        </w:tc>
      </w:tr>
    </w:tbl>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六、合同签订及公告</w:t>
      </w:r>
    </w:p>
    <w:p>
      <w:pPr>
        <w:pStyle w:val="11"/>
        <w:ind w:firstLine="482" w:firstLineChars="200"/>
        <w:rPr>
          <w:rFonts w:hAnsi="宋体"/>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（一）</w:t>
      </w:r>
      <w:r>
        <w:rPr>
          <w:rFonts w:hint="eastAsia" w:hAnsi="宋体"/>
          <w:b/>
          <w:color w:val="000000" w:themeColor="text1"/>
          <w:szCs w:val="24"/>
          <w14:textFill>
            <w14:solidFill>
              <w14:schemeClr w14:val="tx1"/>
            </w14:solidFill>
          </w14:textFill>
        </w:rPr>
        <w:t>签订合同</w:t>
      </w:r>
    </w:p>
    <w:p>
      <w:pPr>
        <w:pStyle w:val="11"/>
        <w:ind w:firstLine="480" w:firstLineChars="200"/>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1</w:t>
      </w:r>
      <w:r>
        <w:rPr>
          <w:rFonts w:hint="eastAsia" w:hAnsi="宋体"/>
          <w:color w:val="000000" w:themeColor="text1"/>
          <w:szCs w:val="24"/>
          <w14:textFill>
            <w14:solidFill>
              <w14:schemeClr w14:val="tx1"/>
            </w14:solidFill>
          </w14:textFill>
        </w:rPr>
        <w:t>、采购人应当自成交通知书发出之日起</w:t>
      </w:r>
      <w:r>
        <w:rPr>
          <w:rFonts w:hAnsi="宋体"/>
          <w:color w:val="000000" w:themeColor="text1"/>
          <w:szCs w:val="24"/>
          <w14:textFill>
            <w14:solidFill>
              <w14:schemeClr w14:val="tx1"/>
            </w14:solidFill>
          </w14:textFill>
        </w:rPr>
        <w:t>10</w:t>
      </w:r>
      <w:r>
        <w:rPr>
          <w:rFonts w:hint="eastAsia" w:hAnsi="宋体"/>
          <w:color w:val="000000" w:themeColor="text1"/>
          <w:szCs w:val="24"/>
          <w14:textFill>
            <w14:solidFill>
              <w14:schemeClr w14:val="tx1"/>
            </w14:solidFill>
          </w14:textFill>
        </w:rPr>
        <w:t>个工作日内，</w:t>
      </w:r>
      <w:r>
        <w:rPr>
          <w:rFonts w:hint="eastAsia"/>
          <w:color w:val="000000" w:themeColor="text1"/>
          <w:szCs w:val="24"/>
          <w14:textFill>
            <w14:solidFill>
              <w14:schemeClr w14:val="tx1"/>
            </w14:solidFill>
          </w14:textFill>
        </w:rPr>
        <w:t>按照谈判采购文件确定的合同文本以及采购标的、规格型号、采购金额、采购数量和服务要求等事项签订政府采购合同。</w:t>
      </w:r>
    </w:p>
    <w:p>
      <w:pPr>
        <w:pStyle w:val="20"/>
        <w:spacing w:before="0" w:beforeAutospacing="0" w:after="0" w:afterAutospacing="0" w:line="360" w:lineRule="auto"/>
        <w:ind w:firstLine="600" w:firstLineChars="250"/>
        <w:jc w:val="both"/>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20"/>
        <w:spacing w:before="0" w:beforeAutospacing="0" w:after="0" w:afterAutospacing="0" w:line="360" w:lineRule="auto"/>
        <w:ind w:firstLine="600" w:firstLineChars="250"/>
        <w:jc w:val="both"/>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、成交供应商无故拖延、拒签合同的</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取消成交资格。</w:t>
      </w:r>
    </w:p>
    <w:p>
      <w:pPr>
        <w:pStyle w:val="20"/>
        <w:spacing w:before="0" w:beforeAutospacing="0" w:after="0" w:afterAutospacing="0" w:line="360" w:lineRule="auto"/>
        <w:ind w:firstLine="600" w:firstLineChars="250"/>
        <w:jc w:val="both"/>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0"/>
        <w:spacing w:before="0" w:beforeAutospacing="0" w:after="0" w:afterAutospacing="0" w:line="360" w:lineRule="auto"/>
        <w:ind w:firstLine="600" w:firstLineChars="25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、询问或者质疑事项可能影响成交结果的，采购人应当暂停签订合同，已经签订合同的，应当中止履行合同（成交结果的质疑期为成交结果公告期限届满之日起七个工作日）。</w:t>
      </w:r>
    </w:p>
    <w:p>
      <w:pPr>
        <w:pStyle w:val="20"/>
        <w:spacing w:before="0" w:beforeAutospacing="0" w:after="0" w:afterAutospacing="0" w:line="360" w:lineRule="auto"/>
        <w:ind w:firstLine="602" w:firstLineChars="250"/>
        <w:rPr>
          <w:rFonts w:ascii="仿宋_GB2312" w:hAnsi="仿宋_GB2312" w:eastAsia="仿宋_GB2312" w:cs="仿宋_GB2312"/>
          <w:b/>
          <w:color w:val="000000" w:themeColor="text1"/>
          <w14:textFill>
            <w14:solidFill>
              <w14:schemeClr w14:val="tx1"/>
            </w14:solidFill>
          </w14:textFill>
        </w:rPr>
      </w:pPr>
      <w:r>
        <w:rPr>
          <w:rFonts w:hint="eastAsia"/>
          <w:b/>
          <w:color w:val="000000" w:themeColor="text1"/>
          <w14:textFill>
            <w14:solidFill>
              <w14:schemeClr w14:val="tx1"/>
            </w14:solidFill>
          </w14:textFill>
        </w:rPr>
        <w:t>（二）合同公告及备案</w:t>
      </w:r>
    </w:p>
    <w:p>
      <w:pPr>
        <w:pStyle w:val="11"/>
        <w:ind w:firstLine="480" w:firstLineChars="200"/>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1</w:t>
      </w:r>
      <w:r>
        <w:rPr>
          <w:rFonts w:hint="eastAsia" w:hAnsi="宋体"/>
          <w:color w:val="000000" w:themeColor="text1"/>
          <w:szCs w:val="24"/>
          <w14:textFill>
            <w14:solidFill>
              <w14:schemeClr w14:val="tx1"/>
            </w14:solidFill>
          </w14:textFill>
        </w:rPr>
        <w:t>、采购人应当自政府采购合同签订之日起</w:t>
      </w:r>
      <w:r>
        <w:rPr>
          <w:rFonts w:hAnsi="宋体"/>
          <w:color w:val="000000" w:themeColor="text1"/>
          <w:szCs w:val="24"/>
          <w14:textFill>
            <w14:solidFill>
              <w14:schemeClr w14:val="tx1"/>
            </w14:solidFill>
          </w14:textFill>
        </w:rPr>
        <w:t>2</w:t>
      </w:r>
      <w:r>
        <w:rPr>
          <w:rFonts w:hint="eastAsia" w:hAnsi="宋体"/>
          <w:color w:val="000000" w:themeColor="text1"/>
          <w:szCs w:val="24"/>
          <w14:textFill>
            <w14:solidFill>
              <w14:schemeClr w14:val="tx1"/>
            </w14:solidFill>
          </w14:textFill>
        </w:rPr>
        <w:t>个工作日内，在省级以上财政部门指定的政府采购信息发布媒体及相关网站上公告。</w:t>
      </w:r>
    </w:p>
    <w:p>
      <w:pPr>
        <w:pStyle w:val="11"/>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、采购人应当自政府采购合同签订之日起</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个工作日内，将政府采购合同副本报同级人民政府财政部门备案以及采购组织机构存档。</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numPr>
          <w:ilvl w:val="0"/>
          <w:numId w:val="9"/>
        </w:numPr>
        <w:tabs>
          <w:tab w:val="left" w:pos="8280"/>
        </w:tabs>
        <w:autoSpaceDE w:val="0"/>
        <w:autoSpaceDN w:val="0"/>
        <w:adjustRightInd w:val="0"/>
        <w:spacing w:line="360" w:lineRule="auto"/>
        <w:ind w:right="25"/>
        <w:jc w:val="center"/>
        <w:rPr>
          <w:rFonts w:ascii="宋体" w:cs="宋体"/>
          <w:b/>
          <w:bCs/>
          <w:color w:val="000000" w:themeColor="text1"/>
          <w:kern w:val="0"/>
          <w:sz w:val="24"/>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谈判内容</w:t>
      </w:r>
    </w:p>
    <w:p>
      <w:pPr>
        <w:spacing w:line="360" w:lineRule="auto"/>
        <w:jc w:val="left"/>
        <w:rPr>
          <w:rFonts w:asci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一、招标项目一览表</w:t>
      </w:r>
    </w:p>
    <w:p>
      <w:pPr>
        <w:spacing w:line="360" w:lineRule="auto"/>
        <w:ind w:firstLine="480" w:firstLineChars="200"/>
        <w:jc w:val="left"/>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本次招标共</w:t>
      </w:r>
      <w:r>
        <w:rPr>
          <w:rFonts w:ascii="宋体" w:hAnsi="宋体" w:cs="宋体"/>
          <w:color w:val="000000" w:themeColor="text1"/>
          <w:sz w:val="24"/>
          <w:szCs w:val="32"/>
          <w:u w:val="single"/>
          <w14:textFill>
            <w14:solidFill>
              <w14:schemeClr w14:val="tx1"/>
            </w14:solidFill>
          </w14:textFill>
        </w:rPr>
        <w:t xml:space="preserve"> 1 </w:t>
      </w:r>
      <w:r>
        <w:rPr>
          <w:rFonts w:hint="eastAsia" w:ascii="宋体" w:hAnsi="宋体" w:cs="宋体"/>
          <w:color w:val="000000" w:themeColor="text1"/>
          <w:sz w:val="24"/>
          <w:szCs w:val="32"/>
          <w14:textFill>
            <w14:solidFill>
              <w14:schemeClr w14:val="tx1"/>
            </w14:solidFill>
          </w14:textFill>
        </w:rPr>
        <w:t>个标段，具体内容如下表：</w:t>
      </w:r>
    </w:p>
    <w:tbl>
      <w:tblPr>
        <w:tblStyle w:val="23"/>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025"/>
        <w:gridCol w:w="972"/>
        <w:gridCol w:w="1212"/>
        <w:gridCol w:w="1966"/>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25" w:type="dxa"/>
            <w:vAlign w:val="center"/>
          </w:tcPr>
          <w:p>
            <w:pPr>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标段</w:t>
            </w:r>
          </w:p>
        </w:tc>
        <w:tc>
          <w:tcPr>
            <w:tcW w:w="2025" w:type="dxa"/>
            <w:vAlign w:val="center"/>
          </w:tcPr>
          <w:p>
            <w:pPr>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972" w:type="dxa"/>
            <w:vAlign w:val="center"/>
          </w:tcPr>
          <w:p>
            <w:pPr>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1212" w:type="dxa"/>
            <w:vAlign w:val="center"/>
          </w:tcPr>
          <w:p>
            <w:pPr>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w:t>
            </w:r>
          </w:p>
        </w:tc>
        <w:tc>
          <w:tcPr>
            <w:tcW w:w="1966" w:type="dxa"/>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最高限价</w:t>
            </w:r>
          </w:p>
        </w:tc>
        <w:tc>
          <w:tcPr>
            <w:tcW w:w="2655"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允许进口</w:t>
            </w:r>
            <w:r>
              <w:rPr>
                <w:rFonts w:hint="eastAsia" w:ascii="宋体" w:hAnsi="宋体" w:cs="宋体"/>
                <w:b/>
                <w:bCs/>
                <w:color w:val="000000" w:themeColor="text1"/>
                <w:sz w:val="24"/>
                <w:szCs w:val="32"/>
                <w14:textFill>
                  <w14:solidFill>
                    <w14:schemeClr w14:val="tx1"/>
                  </w14:solidFill>
                </w14:textFill>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625" w:type="dxa"/>
            <w:vAlign w:val="center"/>
          </w:tcPr>
          <w:p>
            <w:pPr>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2025"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荧光定量PCR仪及相关设备采购项目</w:t>
            </w:r>
          </w:p>
        </w:tc>
        <w:tc>
          <w:tcPr>
            <w:tcW w:w="972"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1项</w:t>
            </w:r>
          </w:p>
        </w:tc>
        <w:tc>
          <w:tcPr>
            <w:tcW w:w="1212"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4500万元</w:t>
            </w:r>
          </w:p>
        </w:tc>
        <w:tc>
          <w:tcPr>
            <w:tcW w:w="1966"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4200万元</w:t>
            </w:r>
          </w:p>
        </w:tc>
        <w:tc>
          <w:tcPr>
            <w:tcW w:w="2655"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实时荧光定量PCR仪及全自动医用PCR分析系统、高速冷冻离心机</w:t>
            </w:r>
            <w:r>
              <w:rPr>
                <w:rFonts w:hint="eastAsia" w:ascii="宋体" w:hAnsi="宋体"/>
                <w:color w:val="000000" w:themeColor="text1"/>
                <w:kern w:val="0"/>
                <w:sz w:val="24"/>
                <w14:textFill>
                  <w14:solidFill>
                    <w14:schemeClr w14:val="tx1"/>
                  </w14:solidFill>
                </w14:textFill>
              </w:rPr>
              <w:t>允许进口产品，进口依据：2021—2022年度全省政府采购进口产品统一论证清单第23项、第3项</w:t>
            </w:r>
          </w:p>
        </w:tc>
      </w:tr>
    </w:tbl>
    <w:p>
      <w:pPr>
        <w:numPr>
          <w:ilvl w:val="0"/>
          <w:numId w:val="10"/>
        </w:numPr>
        <w:spacing w:line="240" w:lineRule="atLeast"/>
        <w:rPr>
          <w:rFonts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采购清单及技术需求</w:t>
      </w:r>
    </w:p>
    <w:tbl>
      <w:tblPr>
        <w:tblStyle w:val="23"/>
        <w:tblW w:w="9279" w:type="dxa"/>
        <w:jc w:val="center"/>
        <w:tblLayout w:type="fixed"/>
        <w:tblCellMar>
          <w:top w:w="0" w:type="dxa"/>
          <w:left w:w="0" w:type="dxa"/>
          <w:bottom w:w="0" w:type="dxa"/>
          <w:right w:w="0" w:type="dxa"/>
        </w:tblCellMar>
      </w:tblPr>
      <w:tblGrid>
        <w:gridCol w:w="801"/>
        <w:gridCol w:w="4644"/>
        <w:gridCol w:w="1117"/>
        <w:gridCol w:w="2717"/>
      </w:tblGrid>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4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设备材名称</w:t>
            </w:r>
          </w:p>
        </w:tc>
        <w:tc>
          <w:tcPr>
            <w:tcW w:w="11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数量</w:t>
            </w:r>
          </w:p>
        </w:tc>
        <w:tc>
          <w:tcPr>
            <w:tcW w:w="27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单位</w:t>
            </w:r>
          </w:p>
        </w:tc>
      </w:tr>
      <w:tr>
        <w:tblPrEx>
          <w:tblCellMar>
            <w:top w:w="0" w:type="dxa"/>
            <w:left w:w="0" w:type="dxa"/>
            <w:bottom w:w="0" w:type="dxa"/>
            <w:right w:w="0" w:type="dxa"/>
          </w:tblCellMar>
        </w:tblPrEx>
        <w:trPr>
          <w:jc w:val="center"/>
        </w:trPr>
        <w:tc>
          <w:tcPr>
            <w:tcW w:w="801"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464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实时荧光定量PCR仪</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trHeight w:val="90" w:hRule="atLeast"/>
          <w:jc w:val="center"/>
        </w:trPr>
        <w:tc>
          <w:tcPr>
            <w:tcW w:w="801"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p>
        </w:tc>
        <w:tc>
          <w:tcPr>
            <w:tcW w:w="464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eastAsia="zh-Hans" w:bidi="ar"/>
                <w14:textFill>
                  <w14:solidFill>
                    <w14:schemeClr w14:val="tx1"/>
                  </w14:solidFill>
                </w14:textFill>
              </w:rPr>
            </w:pPr>
            <w:r>
              <w:rPr>
                <w:rFonts w:hint="eastAsia" w:ascii="宋体" w:hAnsi="宋体" w:cs="宋体"/>
                <w:color w:val="000000" w:themeColor="text1"/>
                <w:kern w:val="0"/>
                <w:sz w:val="24"/>
                <w:lang w:eastAsia="zh-Hans"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4644"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实时荧光定量PCR仪</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64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生物安全柜</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ascii="宋体" w:hAnsi="宋体" w:cs="宋体"/>
                <w:color w:val="000000" w:themeColor="text1"/>
                <w:kern w:val="0"/>
                <w:sz w:val="24"/>
                <w:lang w:bidi="ar"/>
                <w14:textFill>
                  <w14:solidFill>
                    <w14:schemeClr w14:val="tx1"/>
                  </w14:solidFill>
                </w14:textFill>
              </w:rPr>
            </w:pPr>
          </w:p>
        </w:tc>
        <w:tc>
          <w:tcPr>
            <w:tcW w:w="464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left"/>
              <w:rPr>
                <w:rFonts w:ascii="宋体" w:hAnsi="宋体" w:cs="宋体"/>
                <w:color w:val="000000" w:themeColor="text1"/>
                <w:sz w:val="24"/>
                <w:lang w:eastAsia="zh-Hans"/>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全自动样本安全处理系统</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464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全自动核酸提取纯化仪</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ascii="宋体" w:hAnsi="宋体" w:cs="宋体"/>
                <w:color w:val="000000" w:themeColor="text1"/>
                <w:kern w:val="0"/>
                <w:sz w:val="24"/>
                <w:lang w:bidi="ar"/>
                <w14:textFill>
                  <w14:solidFill>
                    <w14:schemeClr w14:val="tx1"/>
                  </w14:solidFill>
                </w14:textFill>
              </w:rPr>
            </w:pPr>
          </w:p>
        </w:tc>
        <w:tc>
          <w:tcPr>
            <w:tcW w:w="464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rPr>
                <w:rFonts w:ascii="宋体" w:hAnsi="宋体" w:cs="宋体"/>
                <w:color w:val="000000" w:themeColor="text1"/>
                <w:sz w:val="24"/>
                <w:lang w:eastAsia="zh-Hans"/>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核酸移液平台</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w:t>
            </w:r>
          </w:p>
        </w:tc>
        <w:tc>
          <w:tcPr>
            <w:tcW w:w="464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全自动核酸提取及检测分析系统</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p>
        </w:tc>
        <w:tc>
          <w:tcPr>
            <w:tcW w:w="464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eastAsia="zh-Hans" w:bidi="ar"/>
                <w14:textFill>
                  <w14:solidFill>
                    <w14:schemeClr w14:val="tx1"/>
                  </w14:solidFill>
                </w14:textFill>
              </w:rPr>
            </w:pPr>
            <w:r>
              <w:rPr>
                <w:rFonts w:hint="eastAsia" w:ascii="宋体" w:hAnsi="宋体" w:cs="宋体"/>
                <w:color w:val="000000" w:themeColor="text1"/>
                <w:kern w:val="0"/>
                <w:sz w:val="24"/>
                <w:lang w:eastAsia="zh-Hans"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sz w:val="24"/>
                <w:lang w:eastAsia="zh-Hans"/>
                <w14:textFill>
                  <w14:solidFill>
                    <w14:schemeClr w14:val="tx1"/>
                  </w14:solidFill>
                </w14:textFill>
              </w:rPr>
              <w:t>核酸质谱</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全自动医用PCR分析系统</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全自动样本处理系统</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eastAsia="zh-Hans"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医用冷冻冰箱</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eastAsia="zh-Hans"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医用冷藏冷冻冰箱</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themeColor="text1"/>
                <w:kern w:val="0"/>
                <w:sz w:val="24"/>
                <w:lang w:eastAsia="zh-Hans"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医用冷藏冰箱</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自动拧盖机</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18</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高速冷冻离心机</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16</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themeColor="text1"/>
                <w:kern w:val="0"/>
                <w:sz w:val="24"/>
                <w:lang w:eastAsia="zh-Hans"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台式离心机</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17</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96孔板式离心机（提取板）</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18</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96孔板式离心机（微孔板）</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19</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掌上离心机</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超净工作台</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21</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立式蒸汽灭菌器</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22</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八联管压盖机</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23</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八道移液器</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eastAsia="zh-Hans" w:bidi="ar"/>
                <w14:textFill>
                  <w14:solidFill>
                    <w14:schemeClr w14:val="tx1"/>
                  </w14:solidFill>
                </w14:textFill>
              </w:rPr>
            </w:pPr>
            <w:r>
              <w:rPr>
                <w:rFonts w:hint="eastAsia" w:ascii="宋体" w:hAnsi="宋体" w:cs="宋体"/>
                <w:color w:val="000000" w:themeColor="text1"/>
                <w:kern w:val="0"/>
                <w:sz w:val="24"/>
                <w:lang w:eastAsia="zh-Hans" w:bidi="ar"/>
                <w14:textFill>
                  <w14:solidFill>
                    <w14:schemeClr w14:val="tx1"/>
                  </w14:solidFill>
                </w14:textFill>
              </w:rPr>
              <w:t>把</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单道移液器</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60</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漩涡混合器</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26</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多管漩涡混合器</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27</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空气消毒机</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28</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紫外线消毒车</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29</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电脑</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40</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笔记本电脑</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31</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激光扫描平台</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32</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实验圆凳</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80</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33</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无线冰箱温度传感器</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34</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环境温度湿度传感器</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35</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电热恒温干燥箱</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r>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36</w:t>
            </w:r>
          </w:p>
        </w:tc>
        <w:tc>
          <w:tcPr>
            <w:tcW w:w="4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打印机</w:t>
            </w:r>
          </w:p>
        </w:tc>
        <w:tc>
          <w:tcPr>
            <w:tcW w:w="1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2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r>
    </w:tbl>
    <w:p>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1</w:t>
      </w:r>
      <w:r>
        <w:rPr>
          <w:rFonts w:hint="eastAsia" w:ascii="宋体" w:hAnsi="宋体" w:cs="宋体"/>
          <w:b/>
          <w:bCs/>
          <w:color w:val="000000" w:themeColor="text1"/>
          <w:kern w:val="0"/>
          <w:sz w:val="24"/>
          <w:lang w:eastAsia="zh-Hans" w:bidi="ar"/>
          <w14:textFill>
            <w14:solidFill>
              <w14:schemeClr w14:val="tx1"/>
            </w14:solidFill>
          </w14:textFill>
        </w:rPr>
        <w:t>:a</w:t>
      </w:r>
      <w:r>
        <w:rPr>
          <w:rFonts w:hint="eastAsia" w:ascii="宋体" w:hAnsi="宋体" w:cs="宋体"/>
          <w:b/>
          <w:bCs/>
          <w:color w:val="000000" w:themeColor="text1"/>
          <w:kern w:val="0"/>
          <w:sz w:val="24"/>
          <w:lang w:bidi="ar"/>
          <w14:textFill>
            <w14:solidFill>
              <w14:schemeClr w14:val="tx1"/>
            </w14:solidFill>
          </w14:textFill>
        </w:rPr>
        <w:t>荧光定量PCR仪（25台）允许进口</w:t>
      </w:r>
    </w:p>
    <w:tbl>
      <w:tblPr>
        <w:tblStyle w:val="23"/>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47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绝对定量:病原体检测、转基因检测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相对定量:可同时定量3种以上模板,适于基因表达分析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硬件组成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激发光源，卤钨灯，光源具备时间自我监测程序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加热冷却方式，半导体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机械设计，一体化设计，样品无需移动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荧光检测方式, 实时动态检测，动态显示，可以同时检测四色荧光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荧光检测系统, 通过光学滤镜分光，CCD摄像机成像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滤光系统, 四色滤光片分光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荧光校正方式, 荧光发射滤光器，结合荧光校正软件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试剂定量方式 , Taqman探针、SYBRGREEN1、Taqman MGB探针等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MicroRNA检测, 带microRNA(小RNA)检测模块和软件分析模块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▲2.10</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温度范围,4℃-99.9℃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反应后保存,可降温至4℃保存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软件组成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定量PCR软件, 绝对定量，相对定量，等位基因分析，阴阳性结果自动判定等功能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具有原厂版引物与探针设计软件，可进行Taqman MGB探针的设计及合成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定量PCR性能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检测分辨率, 99.7%置信度下有效分辨5000和10000模板拷贝数的差异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检测灵敏度, 99.7%置信度下检测到≤10个拷贝数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线性范围109以上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温度均一性,</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≤±0.5℃（计时开始30秒后测量的设定/显示温度的均一性）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温度精确性,</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≤±0.25℃（计时开始3分钟后测量的设定/显示温度的误差）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试剂、耗材,开放式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★4.7</w:t>
            </w:r>
          </w:p>
        </w:tc>
        <w:tc>
          <w:tcPr>
            <w:tcW w:w="7470" w:type="dxa"/>
            <w:vAlign w:val="center"/>
          </w:tcPr>
          <w:p>
            <w:pPr>
              <w:spacing w:line="360" w:lineRule="auto"/>
              <w:ind w:left="5" w:hanging="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具有原厂的装机试剂指标，可在99.7%的置信度下有效区分5000和10000模板拷贝数的差异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4.8</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防误差方法,软件支持ROX荧光校正去除实验误差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安装试剂盒</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,有原厂安装试剂盒，在装机时验证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基本试剂盒</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,可提供完备的原厂出产基本试剂盒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基本配置和附件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w:t>
            </w:r>
          </w:p>
        </w:tc>
        <w:tc>
          <w:tcPr>
            <w:tcW w:w="7470"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商用主流计算机工作站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安装试剂盒和纯荧光校正板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47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原装进口</w:t>
            </w:r>
          </w:p>
        </w:tc>
      </w:tr>
    </w:tbl>
    <w:p>
      <w:pPr>
        <w:spacing w:line="360" w:lineRule="auto"/>
        <w:jc w:val="center"/>
        <w:rPr>
          <w:rFonts w:ascii="宋体" w:hAnsi="宋体" w:cs="宋体"/>
          <w:color w:val="000000" w:themeColor="text1"/>
          <w:kern w:val="0"/>
          <w:sz w:val="24"/>
          <w:lang w:bidi="ar"/>
          <w14:textFill>
            <w14:solidFill>
              <w14:schemeClr w14:val="tx1"/>
            </w14:solidFill>
          </w14:textFill>
        </w:rPr>
      </w:pPr>
    </w:p>
    <w:p>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1:b荧光定量PCR仪（25台）允许进口</w:t>
      </w:r>
    </w:p>
    <w:tbl>
      <w:tblPr>
        <w:tblStyle w:val="23"/>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46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绝对定量:病原体检测、转基因检测（有配套转基因检测试剂盒）（与现有试剂配套）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相对定量:可同时定量3种以上模板,适于基因表达分析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硬件组成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激发光源，卤钨灯，光源具备时间自我监测程序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加热冷却方式，半导体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机械设计，一体化设计，样品无需移动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荧光检测方式, 实时动态检测，动态显示，可以同时检测</w:t>
            </w:r>
            <w:r>
              <w:rPr>
                <w:rFonts w:hint="eastAsia" w:ascii="宋体" w:hAnsi="宋体" w:cs="宋体"/>
                <w:color w:val="000000" w:themeColor="text1"/>
                <w:sz w:val="24"/>
                <w:lang w:eastAsia="zh-Hans"/>
                <w14:textFill>
                  <w14:solidFill>
                    <w14:schemeClr w14:val="tx1"/>
                  </w14:solidFill>
                </w14:textFill>
              </w:rPr>
              <w:t>五</w:t>
            </w:r>
            <w:r>
              <w:rPr>
                <w:rFonts w:hint="eastAsia" w:ascii="宋体" w:hAnsi="宋体" w:cs="宋体"/>
                <w:color w:val="000000" w:themeColor="text1"/>
                <w:sz w:val="24"/>
                <w14:textFill>
                  <w14:solidFill>
                    <w14:schemeClr w14:val="tx1"/>
                  </w14:solidFill>
                </w14:textFill>
              </w:rPr>
              <w:t>色荧光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荧光检测系统, 通过光学滤镜分光，CCD摄像机成像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滤光系统, </w:t>
            </w:r>
            <w:r>
              <w:rPr>
                <w:rFonts w:hint="eastAsia" w:ascii="宋体" w:hAnsi="宋体" w:cs="宋体"/>
                <w:color w:val="000000" w:themeColor="text1"/>
                <w:sz w:val="24"/>
                <w:lang w:eastAsia="zh-Hans"/>
                <w14:textFill>
                  <w14:solidFill>
                    <w14:schemeClr w14:val="tx1"/>
                  </w14:solidFill>
                </w14:textFill>
              </w:rPr>
              <w:t>五</w:t>
            </w:r>
            <w:r>
              <w:rPr>
                <w:rFonts w:hint="eastAsia" w:ascii="宋体" w:hAnsi="宋体" w:cs="宋体"/>
                <w:color w:val="000000" w:themeColor="text1"/>
                <w:sz w:val="24"/>
                <w14:textFill>
                  <w14:solidFill>
                    <w14:schemeClr w14:val="tx1"/>
                  </w14:solidFill>
                </w14:textFill>
              </w:rPr>
              <w:t>色滤光片分光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荧光校正方式, 荧光发射滤光器，结合荧光校正软件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试剂定量方式 , Taqman探针、SYBRGREEN1、Taqman MGB探针等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MicroRNA检测, 带microRNA(小RNA)检测模块和软件分析模块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▲2.10</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温度范围,4℃-99.9℃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反应后保存,可降温至4℃保存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软件组成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定量PCR软件, 绝对定量，相对定量，等位基因分析，阴阳性结果自动判定等功能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具有原厂版引物与探针设计软件，可进行Taqman MGB探针的设计及合成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定量PCR性能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检测分辨率, 99.7%置信度下有效分辨5000和10000模板拷贝数的差异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检测灵敏度, 99.7%置信度下检测到≤10个拷贝数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线性范围109以上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温度均一性,</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≤±0.5℃（计时开始30秒后测量的设定/显示温度的均一性）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温度精确性,</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≤±0.25℃（计时开始3分钟后测量的设定/显示温度的误差）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试剂、耗材,开放式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★4.7</w:t>
            </w:r>
          </w:p>
        </w:tc>
        <w:tc>
          <w:tcPr>
            <w:tcW w:w="7460" w:type="dxa"/>
            <w:vAlign w:val="center"/>
          </w:tcPr>
          <w:p>
            <w:pPr>
              <w:spacing w:line="360" w:lineRule="auto"/>
              <w:ind w:left="5" w:hanging="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具有原厂的装机试剂指标，可在99.7%的置信度下有效区分5000和10000模板拷贝数的差异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4.8</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防误差方法,软件支持ROX荧光校正去除实验误差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安装试剂盒</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,有原厂安装试剂盒，在装机时验证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基本试剂盒</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,可提供完备的原厂出产基本试剂盒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基本配置和附件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w:t>
            </w:r>
          </w:p>
        </w:tc>
        <w:tc>
          <w:tcPr>
            <w:tcW w:w="7460"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商用主流计算机工作站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安装试剂盒和纯荧光校正板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46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原装进口</w:t>
            </w:r>
          </w:p>
        </w:tc>
      </w:tr>
    </w:tbl>
    <w:p>
      <w:pPr>
        <w:spacing w:line="360" w:lineRule="auto"/>
        <w:jc w:val="left"/>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2实时荧光定量PCR仪（50台）</w:t>
      </w:r>
    </w:p>
    <w:tbl>
      <w:tblPr>
        <w:tblStyle w:val="23"/>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6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6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样本容量96孔×0.2ml</w:t>
            </w:r>
            <w:r>
              <w:rPr>
                <w:rFonts w:hint="eastAsia" w:ascii="宋体" w:hAnsi="宋体" w:cs="宋体"/>
                <w:color w:val="000000" w:themeColor="text1"/>
                <w:sz w:val="24"/>
                <w:lang w:eastAsia="zh-Hans"/>
                <w14:textFill>
                  <w14:solidFill>
                    <w14:schemeClr w14:val="tx1"/>
                  </w14:solidFill>
                </w14:textFill>
              </w:rPr>
              <w:t>或96孔</w:t>
            </w:r>
            <w:r>
              <w:rPr>
                <w:rFonts w:hint="eastAsia" w:ascii="宋体" w:hAnsi="宋体" w:cs="宋体"/>
                <w:color w:val="000000" w:themeColor="text1"/>
                <w:sz w:val="24"/>
                <w14:textFill>
                  <w14:solidFill>
                    <w14:schemeClr w14:val="tx1"/>
                  </w14:solidFill>
                </w14:textFill>
              </w:rPr>
              <w:t>×0.1ml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6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反应容积：15-100ul。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6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检测通道数：5通道，其中预留1通道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6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荧光检测系统：高灵敏度冷光源CCD检测器，非光电倍增管（PMT）及光电二极管（PD）检测器。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6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光源：采用高亮度长寿命LED光源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6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加热冷却方式为板式加热，采用半导体加热模块。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6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控温模块采用金</w:t>
            </w:r>
            <w:r>
              <w:rPr>
                <w:rFonts w:hint="eastAsia" w:ascii="宋体" w:hAnsi="宋体" w:cs="宋体"/>
                <w:color w:val="000000" w:themeColor="text1"/>
                <w:sz w:val="24"/>
                <w:lang w:eastAsia="zh-Hans"/>
                <w14:textFill>
                  <w14:solidFill>
                    <w14:schemeClr w14:val="tx1"/>
                  </w14:solidFill>
                </w14:textFill>
              </w:rPr>
              <w:t>属</w:t>
            </w:r>
            <w:r>
              <w:rPr>
                <w:rFonts w:hint="eastAsia" w:ascii="宋体" w:hAnsi="宋体" w:cs="宋体"/>
                <w:color w:val="000000" w:themeColor="text1"/>
                <w:sz w:val="24"/>
                <w14:textFill>
                  <w14:solidFill>
                    <w14:schemeClr w14:val="tx1"/>
                  </w14:solidFill>
                </w14:textFill>
              </w:rPr>
              <w:t>材质模块，升降温速度快，温度均一性好。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6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温控范围：0-99.9℃、温度均一性：≤±0.5℃。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6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温度准确性：≤±0.1℃。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6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采用侧底部采光，双光纤光路传导系统，实时传导激发光及检测光，单一探针染料全板扫描无时间差。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6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可检测单拷贝基因。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76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具有梯度设置功能，梯度范围为30-99.9℃，具有touch down PCR、long PCR、具有温度/时间，递增/递减等高级编程功能，有利于优化实验条件。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76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内置统计分析工具和自定义公式编辑工具，数据无需导出，直接在仪器软件中分析完成。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76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设备扁平设计，高度＜30CM，方便层架放置时操作。（提供相关注册证或彩页或操作说明书）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76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可实现一台电脑连接多台PCR仪</w:t>
            </w:r>
          </w:p>
        </w:tc>
      </w:tr>
    </w:tbl>
    <w:p>
      <w:pPr>
        <w:pStyle w:val="2"/>
        <w:spacing w:after="0" w:line="360" w:lineRule="auto"/>
        <w:ind w:firstLine="0" w:firstLineChars="0"/>
        <w:jc w:val="left"/>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3生物安全柜（30台+3台）</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1"/>
        <w:gridCol w:w="1516"/>
        <w:gridCol w:w="58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ID</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详细描述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设备名称</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生物安全柜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设备用途</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检验科、实验室用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主要技术规格</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安全等级</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二级A2(25台)、B2（3台）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气体循环方式</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A2：70%循环，30%外排、B2：100%外排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过滤方式</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进气采用超高效过滤器ULPA，排气采用高效过滤器HEPA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过滤效率</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0"/>
                <w:sz w:val="24"/>
                <w14:textFill>
                  <w14:solidFill>
                    <w14:schemeClr w14:val="tx1"/>
                  </w14:solidFill>
                </w14:textFill>
              </w:rPr>
              <w:t>送风过滤器：99</w:t>
            </w:r>
            <w:r>
              <w:rPr>
                <w:rFonts w:hint="eastAsia" w:ascii="宋体" w:hAnsi="宋体" w:cs="宋体"/>
                <w:b/>
                <w:color w:val="000000" w:themeColor="text1"/>
                <w:spacing w:val="-10"/>
                <w:sz w:val="24"/>
                <w14:textFill>
                  <w14:solidFill>
                    <w14:schemeClr w14:val="tx1"/>
                  </w14:solidFill>
                </w14:textFill>
              </w:rPr>
              <w:t>.</w:t>
            </w:r>
            <w:r>
              <w:rPr>
                <w:rFonts w:hint="eastAsia" w:ascii="宋体" w:hAnsi="宋体" w:cs="宋体"/>
                <w:color w:val="000000" w:themeColor="text1"/>
                <w:spacing w:val="-10"/>
                <w:sz w:val="24"/>
                <w14:textFill>
                  <w14:solidFill>
                    <w14:schemeClr w14:val="tx1"/>
                  </w14:solidFill>
                </w14:textFill>
              </w:rPr>
              <w:t>9995%@ 0</w:t>
            </w:r>
            <w:r>
              <w:rPr>
                <w:rFonts w:hint="eastAsia" w:ascii="宋体" w:hAnsi="宋体" w:cs="宋体"/>
                <w:b/>
                <w:color w:val="000000" w:themeColor="text1"/>
                <w:spacing w:val="-10"/>
                <w:sz w:val="24"/>
                <w14:textFill>
                  <w14:solidFill>
                    <w14:schemeClr w14:val="tx1"/>
                  </w14:solidFill>
                </w14:textFill>
              </w:rPr>
              <w:t>.</w:t>
            </w:r>
            <w:r>
              <w:rPr>
                <w:rFonts w:hint="eastAsia" w:ascii="宋体" w:hAnsi="宋体" w:cs="宋体"/>
                <w:color w:val="000000" w:themeColor="text1"/>
                <w:spacing w:val="-10"/>
                <w:sz w:val="24"/>
                <w14:textFill>
                  <w14:solidFill>
                    <w14:schemeClr w14:val="tx1"/>
                  </w14:solidFill>
                </w14:textFill>
              </w:rPr>
              <w:t>12μm；排风过滤器：99</w:t>
            </w:r>
            <w:r>
              <w:rPr>
                <w:rFonts w:hint="eastAsia" w:ascii="宋体" w:hAnsi="宋体" w:cs="宋体"/>
                <w:b/>
                <w:color w:val="000000" w:themeColor="text1"/>
                <w:spacing w:val="-10"/>
                <w:sz w:val="24"/>
                <w14:textFill>
                  <w14:solidFill>
                    <w14:schemeClr w14:val="tx1"/>
                  </w14:solidFill>
                </w14:textFill>
              </w:rPr>
              <w:t>.</w:t>
            </w:r>
            <w:r>
              <w:rPr>
                <w:rFonts w:hint="eastAsia" w:ascii="宋体" w:hAnsi="宋体" w:cs="宋体"/>
                <w:color w:val="000000" w:themeColor="text1"/>
                <w:spacing w:val="-10"/>
                <w:sz w:val="24"/>
                <w14:textFill>
                  <w14:solidFill>
                    <w14:schemeClr w14:val="tx1"/>
                  </w14:solidFill>
                </w14:textFill>
              </w:rPr>
              <w:t>99％@ 0</w:t>
            </w:r>
            <w:r>
              <w:rPr>
                <w:rFonts w:hint="eastAsia" w:ascii="宋体" w:hAnsi="宋体" w:cs="宋体"/>
                <w:b/>
                <w:color w:val="000000" w:themeColor="text1"/>
                <w:spacing w:val="-10"/>
                <w:sz w:val="24"/>
                <w14:textFill>
                  <w14:solidFill>
                    <w14:schemeClr w14:val="tx1"/>
                  </w14:solidFill>
                </w14:textFill>
              </w:rPr>
              <w:t>.</w:t>
            </w:r>
            <w:r>
              <w:rPr>
                <w:rFonts w:hint="eastAsia" w:ascii="宋体" w:hAnsi="宋体" w:cs="宋体"/>
                <w:color w:val="000000" w:themeColor="text1"/>
                <w:spacing w:val="-10"/>
                <w:sz w:val="24"/>
                <w14:textFill>
                  <w14:solidFill>
                    <w14:schemeClr w14:val="tx1"/>
                  </w14:solidFill>
                </w14:textFill>
              </w:rPr>
              <w:t>3μm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洁净等级</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送风风速</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≥0.31/s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吸入口风速</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≥0.55m/s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照度</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≥900Lux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噪音</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≤63dB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2.10</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紫外灯</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≥20W</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门体</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1、采用防紫外线的钢化玻璃门，门体上沿有气幕保护，防止工作区内外气体交互；</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2、门体手动开启和关闭，以保证断电时能及时关门防护；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工作区域</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1、三面采用不锈钢内壁一体成型、无接缝，外部无裸露螺纹，清洁方便，防止微生物滋生；</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2、凹盘式工作台，防止液体倾洒后外溢；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倾斜角设计</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符合人体工程学原理的10°设计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外形尺寸</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 xml:space="preserve">1680*845*2160mm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操作区尺寸</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1520*620*650mm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显示</w:t>
            </w:r>
          </w:p>
        </w:tc>
        <w:tc>
          <w:tcPr>
            <w:tcW w:w="5896" w:type="dxa"/>
            <w:tcBorders>
              <w:top w:val="single" w:color="auto" w:sz="4" w:space="0"/>
              <w:left w:val="single" w:color="auto" w:sz="4" w:space="0"/>
              <w:bottom w:val="single" w:color="auto" w:sz="4" w:space="0"/>
              <w:right w:val="single" w:color="auto" w:sz="4" w:space="0"/>
            </w:tcBorders>
            <w:vAlign w:val="center"/>
          </w:tcPr>
          <w:p>
            <w:pPr>
              <w:numPr>
                <w:ilvl w:val="0"/>
                <w:numId w:val="11"/>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数字式设定紫外灯开关及运行时间；</w:t>
            </w:r>
          </w:p>
          <w:p>
            <w:pPr>
              <w:numPr>
                <w:ilvl w:val="0"/>
                <w:numId w:val="11"/>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可显示下降气流、流入气流风速和流量可显示紫外灯累计运行时间；</w:t>
            </w:r>
          </w:p>
          <w:p>
            <w:pPr>
              <w:numPr>
                <w:ilvl w:val="0"/>
                <w:numId w:val="11"/>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可显示过滤器剩余寿命；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报警系统</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1、有开门高度警示功能，开门超高或过低均有声光报警提示；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2、有监测气流波动功能，气流波动超过20%有声光报警提示；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3、可设定紫外灯寿命时间，查询累计工作时间，在使用寿命剩余10%时自动提示报警；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★2.18</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联动自锁功能</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只有在荧光灯、风机和玻璃前窗全部关闭的情况下，紫外灯才能开启，防止误触紫外线；抬起前窗玻璃，紫外灯自动关闭，荧光灯自动开启，风机自动开始运行,防止微生物泄漏；门超高时，紫外灯、荧光灯均不能工作,防止操作者在不安全状态下工作。</w:t>
            </w:r>
          </w:p>
        </w:tc>
      </w:tr>
    </w:tbl>
    <w:p>
      <w:pPr>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w:t>
      </w:r>
      <w:r>
        <w:rPr>
          <w:rFonts w:hint="eastAsia" w:ascii="宋体" w:hAnsi="宋体" w:cs="宋体"/>
          <w:b/>
          <w:color w:val="000000" w:themeColor="text1"/>
          <w:sz w:val="24"/>
          <w:lang w:eastAsia="zh-Hans"/>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全自动样本安全处理系统（3台）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6615"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w:t>
            </w:r>
          </w:p>
        </w:tc>
        <w:tc>
          <w:tcPr>
            <w:tcW w:w="6615" w:type="dxa"/>
            <w:vAlign w:val="center"/>
          </w:tcPr>
          <w:p>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w:t>
            </w:r>
          </w:p>
        </w:tc>
        <w:tc>
          <w:tcPr>
            <w:tcW w:w="6615" w:type="dxa"/>
            <w:vAlign w:val="center"/>
          </w:tcPr>
          <w:p>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用于病原体基因检测（有配套基因检测试剂盒）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p>
        </w:tc>
        <w:tc>
          <w:tcPr>
            <w:tcW w:w="6615" w:type="dxa"/>
            <w:vAlign w:val="center"/>
          </w:tcPr>
          <w:p>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功能、配置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6615" w:type="dxa"/>
            <w:vAlign w:val="center"/>
          </w:tcPr>
          <w:p>
            <w:pPr>
              <w:widowControl/>
              <w:spacing w:line="360" w:lineRule="auto"/>
              <w:jc w:val="left"/>
              <w:textAlignment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机器加 HEPA 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6615" w:type="dxa"/>
            <w:vAlign w:val="center"/>
          </w:tcPr>
          <w:p>
            <w:pPr>
              <w:widowControl/>
              <w:spacing w:line="360" w:lineRule="auto"/>
              <w:jc w:val="left"/>
              <w:textAlignment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 N 混一混检模式。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c>
          <w:tcPr>
            <w:tcW w:w="6615" w:type="dxa"/>
            <w:vAlign w:val="center"/>
          </w:tcPr>
          <w:p>
            <w:pPr>
              <w:widowControl/>
              <w:spacing w:line="360" w:lineRule="auto"/>
              <w:jc w:val="left"/>
              <w:textAlignment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高效视觉识别系统，可识别：1、 管内拭子位置，尤其适合十合一、二十混一的混采样本取样。吸头取样时规避拭子位置，避免干涉。2、采血管处理模式时，可识别血清/血浆分层，或者白膜层识别取样。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w:t>
            </w:r>
          </w:p>
        </w:tc>
        <w:tc>
          <w:tcPr>
            <w:tcW w:w="6615" w:type="dxa"/>
            <w:vAlign w:val="center"/>
          </w:tcPr>
          <w:p>
            <w:pPr>
              <w:widowControl/>
              <w:spacing w:line="360" w:lineRule="auto"/>
              <w:jc w:val="left"/>
              <w:textAlignment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 16/24/32/48/96 通道核酸抽提板的样本排列方式， 各品牌 PCR 板/8 联排/单管样本收集，以及标准 SBS 板的样本收集； 兼容大部分核酸抽提试剂盒和核酸提取仪。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p>
        </w:tc>
        <w:tc>
          <w:tcPr>
            <w:tcW w:w="6615" w:type="dxa"/>
          </w:tcPr>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w:t>
            </w:r>
          </w:p>
        </w:tc>
        <w:tc>
          <w:tcPr>
            <w:tcW w:w="6615" w:type="dxa"/>
            <w:vAlign w:val="center"/>
          </w:tcPr>
          <w:p>
            <w:pPr>
              <w:widowControl/>
              <w:spacing w:line="360"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紫外灯灭菌，同时配双层 HEPA 过滤的负压系统，洁净度可达到百级标准。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p>
        </w:tc>
        <w:tc>
          <w:tcPr>
            <w:tcW w:w="6615" w:type="dxa"/>
            <w:vAlign w:val="center"/>
          </w:tcPr>
          <w:p>
            <w:pPr>
              <w:widowControl/>
              <w:spacing w:line="360"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无需输入样品数，设备通过自动识别无样品并停止运行，同时具有暂停和急停功能。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w:t>
            </w:r>
          </w:p>
        </w:tc>
        <w:tc>
          <w:tcPr>
            <w:tcW w:w="6615" w:type="dxa"/>
            <w:vAlign w:val="center"/>
          </w:tcPr>
          <w:p>
            <w:pPr>
              <w:widowControl/>
              <w:spacing w:line="360"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程序操作简单，可选中英文界面。支持在线/远程升级系统，可根据客户要求，在硬件功能可以实现的基础上，远程升级实验流程。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p>
        </w:tc>
        <w:tc>
          <w:tcPr>
            <w:tcW w:w="6615" w:type="dxa"/>
            <w:vAlign w:val="center"/>
          </w:tcPr>
          <w:p>
            <w:pPr>
              <w:widowControl/>
              <w:spacing w:line="360"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批量放置待分配样本和储液耗材后，一键启动设备，单人可操作多台设备。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w:t>
            </w:r>
          </w:p>
        </w:tc>
        <w:tc>
          <w:tcPr>
            <w:tcW w:w="6615" w:type="dxa"/>
            <w:vAlign w:val="center"/>
          </w:tcPr>
          <w:p>
            <w:pPr>
              <w:widowControl/>
              <w:spacing w:line="360"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异常不停机，可自动识别扫码错误；未开盖样品管，错误样品管自动放回原位，继续运行。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w:t>
            </w:r>
          </w:p>
        </w:tc>
        <w:tc>
          <w:tcPr>
            <w:tcW w:w="6615" w:type="dxa"/>
            <w:vAlign w:val="center"/>
          </w:tcPr>
          <w:p>
            <w:pPr>
              <w:widowControl/>
              <w:spacing w:line="360"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配备门锁和门锁感应器，可防止非法进入工作台面，可在任一时间进行暂停，处理异常事件。</w:t>
            </w:r>
          </w:p>
        </w:tc>
      </w:tr>
    </w:tbl>
    <w:p>
      <w:pPr>
        <w:spacing w:line="360" w:lineRule="auto"/>
        <w:jc w:val="left"/>
        <w:rPr>
          <w:rFonts w:ascii="宋体" w:hAnsi="宋体" w:cs="宋体"/>
          <w:b/>
          <w:bCs/>
          <w:color w:val="000000" w:themeColor="text1"/>
          <w:sz w:val="24"/>
          <w:lang w:eastAsia="zh-Hans"/>
          <w14:textFill>
            <w14:solidFill>
              <w14:schemeClr w14:val="tx1"/>
            </w14:solidFill>
          </w14:textFill>
        </w:rPr>
      </w:pPr>
    </w:p>
    <w:p>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w:t>
      </w:r>
      <w:r>
        <w:rPr>
          <w:rFonts w:hint="eastAsia" w:ascii="宋体" w:hAnsi="宋体" w:cs="宋体"/>
          <w:b/>
          <w:bCs/>
          <w:color w:val="000000" w:themeColor="text1"/>
          <w:sz w:val="24"/>
          <w:lang w:eastAsia="zh-Hans"/>
          <w14:textFill>
            <w14:solidFill>
              <w14:schemeClr w14:val="tx1"/>
            </w14:solidFill>
          </w14:textFill>
        </w:rPr>
        <w:t>:全自动核酸提取纯化仪</w:t>
      </w:r>
      <w:r>
        <w:rPr>
          <w:rFonts w:hint="eastAsia" w:ascii="宋体" w:hAnsi="宋体" w:cs="宋体"/>
          <w:b/>
          <w:bCs/>
          <w:color w:val="000000" w:themeColor="text1"/>
          <w:sz w:val="24"/>
          <w14:textFill>
            <w14:solidFill>
              <w14:schemeClr w14:val="tx1"/>
            </w14:solidFill>
          </w14:textFill>
        </w:rPr>
        <w:t>（30台+3台）</w:t>
      </w:r>
    </w:p>
    <w:tbl>
      <w:tblPr>
        <w:tblStyle w:val="23"/>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7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770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w:t>
            </w:r>
          </w:p>
        </w:tc>
        <w:tc>
          <w:tcPr>
            <w:tcW w:w="7700" w:type="dxa"/>
            <w:vAlign w:val="center"/>
          </w:tcPr>
          <w:p>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700" w:type="dxa"/>
            <w:vAlign w:val="center"/>
          </w:tcPr>
          <w:p>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可从咽拭子、血清、血浆、全血、增菌液、组织、干血斑等多种类型的样本中实现全自动、快速提取到所需要的目标核酸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p>
        </w:tc>
        <w:tc>
          <w:tcPr>
            <w:tcW w:w="7700" w:type="dxa"/>
            <w:vAlign w:val="center"/>
          </w:tcPr>
          <w:p>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功能、配置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w:t>
            </w:r>
          </w:p>
        </w:tc>
        <w:tc>
          <w:tcPr>
            <w:tcW w:w="7700" w:type="dxa"/>
            <w:vAlign w:val="center"/>
          </w:tcPr>
          <w:p>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96孔核酸提取纯化仪30台，32孔核酸提取纯化仪3台。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w:t>
            </w:r>
          </w:p>
        </w:tc>
        <w:tc>
          <w:tcPr>
            <w:tcW w:w="7700" w:type="dxa"/>
            <w:vAlign w:val="center"/>
          </w:tcPr>
          <w:p>
            <w:pPr>
              <w:pStyle w:val="3"/>
              <w:widowControl/>
              <w:spacing w:line="360" w:lineRule="auto"/>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振荡混合：六档震荡混合模式，数字化设置混合和磁吸速度，有利于用户根据样本和磁珠情况进行优化调整。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p>
        </w:tc>
        <w:tc>
          <w:tcPr>
            <w:tcW w:w="7700" w:type="dxa"/>
            <w:vAlign w:val="center"/>
          </w:tcPr>
          <w:p>
            <w:pPr>
              <w:pStyle w:val="3"/>
              <w:widowControl/>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污染控制：循环风路、过滤系统和紫外消毒；通过精密运动控制、一次性耗材以及内部杀菌等，严格控制孔间污染及批次间污染，杜绝交叉污染；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w:t>
            </w:r>
          </w:p>
        </w:tc>
        <w:tc>
          <w:tcPr>
            <w:tcW w:w="7700" w:type="dxa"/>
            <w:vAlign w:val="center"/>
          </w:tcPr>
          <w:p>
            <w:pPr>
              <w:pStyle w:val="3"/>
              <w:widowControl/>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操作界面：10 寸中文彩色液晶显示+触控操作；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p>
        </w:tc>
        <w:tc>
          <w:tcPr>
            <w:tcW w:w="7700" w:type="dxa"/>
            <w:vAlign w:val="center"/>
          </w:tcPr>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3.1</w:t>
            </w:r>
          </w:p>
        </w:tc>
        <w:tc>
          <w:tcPr>
            <w:tcW w:w="7700" w:type="dxa"/>
            <w:vAlign w:val="center"/>
          </w:tcPr>
          <w:p>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32孔核酸提取纯化仪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w:t>
            </w:r>
          </w:p>
        </w:tc>
        <w:tc>
          <w:tcPr>
            <w:tcW w:w="770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仪器提供高通量及大容量两种操作模块可供选择，高通量模块配备 96磁头及单孔容量2.2ml的96深孔板；大容量模块配备单孔容量11ml的24孔板。仪器可选配96高通量模块另有插条式设计，可以单条使用（单条8孔）,适合于客户单次样本量较少的情况，降低成本。24大容量模块对应的磁棒套耗材为可插拔式，可实现1-24通量自由组合，插条式和磁棒插拔式设计适合于客户单次样本量较少的情况，降低成本</w:t>
            </w:r>
            <w:r>
              <w:rPr>
                <w:rFonts w:hint="eastAsia" w:ascii="宋体" w:hAnsi="宋体" w:cs="宋体"/>
                <w:color w:val="000000" w:themeColor="text1"/>
                <w:spacing w:val="-9"/>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w:t>
            </w:r>
          </w:p>
        </w:tc>
        <w:tc>
          <w:tcPr>
            <w:tcW w:w="770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仪器温控范围：+10℃ 至+120℃，可加热制冷。提取完成后模块可以自动存储核酸在4℃。避免核酸降解。原厂配备试剂，可以不加热实现病毒核酸的提取，避免气溶胶的产生，避免假阳性情况发生；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3.1.3</w:t>
            </w:r>
          </w:p>
        </w:tc>
        <w:tc>
          <w:tcPr>
            <w:tcW w:w="7700" w:type="dxa"/>
            <w:vAlign w:val="center"/>
          </w:tcPr>
          <w:p>
            <w:pPr>
              <w:pStyle w:val="3"/>
              <w:widowControl/>
              <w:spacing w:line="360" w:lineRule="auto"/>
              <w:ind w:right="11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通量大:</w:t>
            </w:r>
            <w:r>
              <w:rPr>
                <w:rFonts w:hint="eastAsia" w:ascii="宋体" w:hAnsi="宋体" w:cs="宋体"/>
                <w:color w:val="000000" w:themeColor="text1"/>
                <w:spacing w:val="-8"/>
                <w14:textFill>
                  <w14:solidFill>
                    <w14:schemeClr w14:val="tx1"/>
                  </w14:solidFill>
                </w14:textFill>
              </w:rPr>
              <w:t>每次可同时提取 32</w:t>
            </w:r>
            <w:r>
              <w:rPr>
                <w:rFonts w:hint="eastAsia" w:ascii="宋体" w:hAnsi="宋体" w:cs="宋体"/>
                <w:color w:val="000000" w:themeColor="text1"/>
                <w:spacing w:val="-14"/>
                <w14:textFill>
                  <w14:solidFill>
                    <w14:schemeClr w14:val="tx1"/>
                  </w14:solidFill>
                </w14:textFill>
              </w:rPr>
              <w:t>份样品。且最后一整块为提取完成的 32</w:t>
            </w:r>
            <w:r>
              <w:rPr>
                <w:rFonts w:hint="eastAsia" w:ascii="宋体" w:hAnsi="宋体" w:cs="宋体"/>
                <w:color w:val="000000" w:themeColor="text1"/>
                <w14:textFill>
                  <w14:solidFill>
                    <w14:schemeClr w14:val="tx1"/>
                  </w14:solidFill>
                </w14:textFill>
              </w:rPr>
              <w:t>个样本的核酸；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★3.1.4</w:t>
            </w:r>
          </w:p>
        </w:tc>
        <w:tc>
          <w:tcPr>
            <w:tcW w:w="7700" w:type="dxa"/>
            <w:vAlign w:val="center"/>
          </w:tcPr>
          <w:p>
            <w:pPr>
              <w:pStyle w:val="3"/>
              <w:widowControl/>
              <w:spacing w:line="360" w:lineRule="auto"/>
              <w:ind w:right="11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与现用试剂配套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3.1.5</w:t>
            </w:r>
          </w:p>
        </w:tc>
        <w:tc>
          <w:tcPr>
            <w:tcW w:w="7700" w:type="dxa"/>
            <w:vAlign w:val="center"/>
          </w:tcPr>
          <w:p>
            <w:pPr>
              <w:pStyle w:val="3"/>
              <w:widowControl/>
              <w:spacing w:line="360" w:lineRule="auto"/>
              <w:ind w:right="11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新冠核酸提取时间&lt;15分钟/批次</w:t>
            </w:r>
          </w:p>
        </w:tc>
      </w:tr>
    </w:tbl>
    <w:p>
      <w:pPr>
        <w:pStyle w:val="5"/>
        <w:numPr>
          <w:ilvl w:val="0"/>
          <w:numId w:val="0"/>
        </w:numPr>
        <w:spacing w:line="360" w:lineRule="auto"/>
        <w:ind w:right="210"/>
        <w:jc w:val="left"/>
        <w:rPr>
          <w:rFonts w:hAnsi="宋体" w:cs="宋体"/>
          <w:color w:val="000000" w:themeColor="text1"/>
          <w14:textFill>
            <w14:solidFill>
              <w14:schemeClr w14:val="tx1"/>
            </w14:solidFill>
          </w14:textFill>
        </w:rPr>
      </w:pPr>
      <w:bookmarkStart w:id="7" w:name="_Hlk93826050"/>
      <w:r>
        <w:rPr>
          <w:rFonts w:hint="eastAsia" w:hAnsi="宋体" w:cs="宋体"/>
          <w:color w:val="000000" w:themeColor="text1"/>
          <w14:textFill>
            <w14:solidFill>
              <w14:schemeClr w14:val="tx1"/>
            </w14:solidFill>
          </w14:textFill>
        </w:rPr>
        <w:t>6</w:t>
      </w:r>
      <w:r>
        <w:rPr>
          <w:rFonts w:hint="eastAsia" w:hAnsi="宋体" w:cs="宋体"/>
          <w:color w:val="000000" w:themeColor="text1"/>
          <w:lang w:eastAsia="zh-Hans"/>
          <w14:textFill>
            <w14:solidFill>
              <w14:schemeClr w14:val="tx1"/>
            </w14:solidFill>
          </w14:textFill>
        </w:rPr>
        <w:t>核酸移液平台</w:t>
      </w:r>
      <w:bookmarkEnd w:id="7"/>
      <w:r>
        <w:rPr>
          <w:rFonts w:hint="eastAsia" w:hAnsi="宋体" w:cs="宋体"/>
          <w:color w:val="000000" w:themeColor="text1"/>
          <w14:textFill>
            <w14:solidFill>
              <w14:schemeClr w14:val="tx1"/>
            </w14:solidFill>
          </w14:textFill>
        </w:rPr>
        <w:t>（4台）</w:t>
      </w:r>
    </w:p>
    <w:tbl>
      <w:tblPr>
        <w:tblStyle w:val="23"/>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054" w:type="dxa"/>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全自动液体工作站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Hans"/>
                <w14:textFill>
                  <w14:solidFill>
                    <w14:schemeClr w14:val="tx1"/>
                  </w14:solidFill>
                </w14:textFill>
              </w:rPr>
              <w:t>.1</w:t>
            </w:r>
          </w:p>
        </w:tc>
        <w:tc>
          <w:tcPr>
            <w:tcW w:w="8054"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移液精度：200ul分液 5μl CV&lt; 3% ；20ul分液 1μl CV&lt;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8054"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移液准确度：200ul 分液 5μl +/- 2% ；20ul分液 1μl+/- 2%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8054"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微孔板规格：96和384孔板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8054"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分液增量（分辨率）：0.1ul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8054"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分液原理：空气置换式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8054"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机器使用安全低压直流电源，内部无交流强电，确保设备使用安全。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lang w:bidi="en-US"/>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p>
        </w:tc>
        <w:tc>
          <w:tcPr>
            <w:tcW w:w="8054"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移液模块：高精度96道移液模块，可实现8道和96道全自动移液操作。采用柔性无损取放、密封技术，避免冲撞式取放对加样通道的磨损，以延长加样通道的使用寿命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Hans"/>
                <w14:textFill>
                  <w14:solidFill>
                    <w14:schemeClr w14:val="tx1"/>
                  </w14:solidFill>
                </w14:textFill>
              </w:rPr>
              <w:t>.1</w:t>
            </w:r>
          </w:p>
        </w:tc>
        <w:tc>
          <w:tcPr>
            <w:tcW w:w="8054"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板位数：可支持4/6板位，板位上可安装多种类型载架和功能模块，如微孔板、试剂槽、吸头盒载架，温控模块、磁力模块等完成核酸提取所必备的模块。同一板位既可放置深孔/浅孔板，又可放置试剂槽、吸头盒等耗材，无载架类型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Hans"/>
                <w14:textFill>
                  <w14:solidFill>
                    <w14:schemeClr w14:val="tx1"/>
                  </w14:solidFill>
                </w14:textFill>
              </w:rPr>
              <w:t>.2</w:t>
            </w:r>
          </w:p>
        </w:tc>
        <w:tc>
          <w:tcPr>
            <w:tcW w:w="8054"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开放耗材：支持多品牌通用耗材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Hans"/>
                <w14:textFill>
                  <w14:solidFill>
                    <w14:schemeClr w14:val="tx1"/>
                  </w14:solidFill>
                </w14:textFill>
              </w:rPr>
              <w:t>.3</w:t>
            </w:r>
          </w:p>
        </w:tc>
        <w:tc>
          <w:tcPr>
            <w:tcW w:w="8054"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使用触摸平板操作，软硬件分离，可设置任意数量的实验流程，可选全中文操作界面。可使用户自由设置工作站板位信息，设计所需实验流程，支持拖拽式编程方式，软件可在线更新，软件基于Android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Hans"/>
                <w14:textFill>
                  <w14:solidFill>
                    <w14:schemeClr w14:val="tx1"/>
                  </w14:solidFill>
                </w14:textFill>
              </w:rPr>
              <w:t>.4</w:t>
            </w:r>
          </w:p>
        </w:tc>
        <w:tc>
          <w:tcPr>
            <w:tcW w:w="8054"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软件具备友好的编程界面，实现移液细节调节的简单化，用户仅需输入相关数据即可完成细节优化。提供友好的用户界面，利于无专业编程背景的用户进行方法开发。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Hans"/>
                <w14:textFill>
                  <w14:solidFill>
                    <w14:schemeClr w14:val="tx1"/>
                  </w14:solidFill>
                </w14:textFill>
              </w:rPr>
              <w:t>.5</w:t>
            </w:r>
          </w:p>
        </w:tc>
        <w:tc>
          <w:tcPr>
            <w:tcW w:w="8054"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系统软件内置常用耗材数据库，用户可随时对新耗材进行定义，并添加到数据库中。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Hans"/>
                <w14:textFill>
                  <w14:solidFill>
                    <w14:schemeClr w14:val="tx1"/>
                  </w14:solidFill>
                </w14:textFill>
              </w:rPr>
              <w:t>.6</w:t>
            </w:r>
          </w:p>
        </w:tc>
        <w:tc>
          <w:tcPr>
            <w:tcW w:w="8054"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系统软件能自动计算移液的数据，自动计算移液完成前后来源板和目的板的体积，实现一吸多喷等功能，加快实验速度。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Hans"/>
                <w14:textFill>
                  <w14:solidFill>
                    <w14:schemeClr w14:val="tx1"/>
                  </w14:solidFill>
                </w14:textFill>
              </w:rPr>
              <w:t>.7</w:t>
            </w:r>
          </w:p>
        </w:tc>
        <w:tc>
          <w:tcPr>
            <w:tcW w:w="8054" w:type="dxa"/>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系统软件具有逻辑自检功能，能对方法编辑过程中的逻辑错误进行提示，并自动提供解决该错误的建议。</w:t>
            </w:r>
          </w:p>
        </w:tc>
      </w:tr>
    </w:tbl>
    <w:p>
      <w:pPr>
        <w:spacing w:line="360" w:lineRule="auto"/>
        <w:rPr>
          <w:rFonts w:ascii="宋体" w:hAnsi="宋体" w:cs="宋体"/>
          <w:color w:val="000000" w:themeColor="text1"/>
          <w:kern w:val="0"/>
          <w:sz w:val="24"/>
          <w:lang w:bidi="ar"/>
          <w14:textFill>
            <w14:solidFill>
              <w14:schemeClr w14:val="tx1"/>
            </w14:solidFill>
          </w14:textFill>
        </w:rPr>
      </w:pP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7:a全自动核酸提取及检测分析系统（1台）</w:t>
      </w:r>
    </w:p>
    <w:tbl>
      <w:tblPr>
        <w:tblStyle w:val="23"/>
        <w:tblW w:w="56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8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4487" w:type="pct"/>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4487" w:type="pct"/>
            <w:shd w:val="clear" w:color="auto" w:fill="auto"/>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实现全封闭、全自动化检测新型冠状病毒（2019-nCoV），包含样本管开盖、关盖、样本转移、核酸提取、纯化、PCR反应体系配置、荧光PCR检测，全程无需人工干预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4487" w:type="pct"/>
            <w:shd w:val="clear" w:color="auto" w:fill="auto"/>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整个系统由全自动核酸提取仪和实时荧光定量PCR分析仪构成的一个物理上的全封闭系统，两个系统均应分别具有NMPA注册证或一类备案凭证或者整个系统取得NMPA注册证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4487" w:type="pct"/>
            <w:shd w:val="clear" w:color="auto" w:fill="auto"/>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1.设备内置紫外消毒装置</w:t>
            </w:r>
          </w:p>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2.设备具有高效过滤系统</w:t>
            </w:r>
          </w:p>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3.移液泵气密防止滴落设计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4487" w:type="pct"/>
            <w:shd w:val="clear" w:color="auto" w:fill="auto"/>
            <w:noWrap/>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至少包含痰液样本、咽拭子样本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4487" w:type="pct"/>
            <w:shd w:val="clear" w:color="auto" w:fill="auto"/>
            <w:noWrap/>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单套设备2个小时至少可完成48个样本检测，包含样本管开盖、关盖、样本转移、核酸提取、纯化、PCR反应体系配置、荧光PCR检测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4487" w:type="pct"/>
            <w:shd w:val="clear" w:color="auto" w:fill="auto"/>
            <w:noWrap/>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实验室空间有限，放置面积≤0.4 m</w:t>
            </w:r>
            <w:r>
              <w:rPr>
                <w:rFonts w:hint="eastAsia" w:ascii="宋体" w:hAnsi="宋体" w:cs="宋体"/>
                <w:color w:val="000000" w:themeColor="text1"/>
                <w:kern w:val="0"/>
                <w:sz w:val="24"/>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4487" w:type="pct"/>
            <w:shd w:val="clear" w:color="auto" w:fill="auto"/>
            <w:noWrap/>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可实现原管闭管上机，设备自动开、关样本管盖、样本的转移，并具有智能图像识别功能，开关管盖遇到问题可智能预警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4487" w:type="pct"/>
            <w:shd w:val="clear" w:color="auto" w:fill="auto"/>
            <w:noWrap/>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最大样本通量≥48个</w:t>
            </w:r>
          </w:p>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样本处理体积 2~200µL</w:t>
            </w:r>
          </w:p>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提取方式为上吸式纳米磁珠法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4487" w:type="pct"/>
            <w:shd w:val="clear" w:color="auto" w:fill="auto"/>
            <w:noWrap/>
            <w:vAlign w:val="center"/>
          </w:tcPr>
          <w:p>
            <w:pPr>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移液精度</w:t>
            </w:r>
          </w:p>
          <w:p>
            <w:pPr>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1μL : CV≤±5%;</w:t>
            </w:r>
          </w:p>
          <w:p>
            <w:pPr>
              <w:tabs>
                <w:tab w:val="center" w:pos="3719"/>
              </w:tabs>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10μL: CV≤±1%</w:t>
            </w:r>
          </w:p>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20μL: CV≤±0.8%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4487" w:type="pct"/>
            <w:shd w:val="clear" w:color="auto" w:fill="auto"/>
            <w:noWrap/>
            <w:vAlign w:val="center"/>
          </w:tcPr>
          <w:p>
            <w:pPr>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荧光检测通道数≥4个</w:t>
            </w:r>
          </w:p>
          <w:p>
            <w:pPr>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最大检测通量≥48个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p>
        </w:tc>
        <w:tc>
          <w:tcPr>
            <w:tcW w:w="4487" w:type="pct"/>
            <w:shd w:val="clear" w:color="auto" w:fill="auto"/>
            <w:noWrap/>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至少支持甲型流感病毒、乙型流感病毒、呼吸道合胞病毒检测</w:t>
            </w:r>
          </w:p>
        </w:tc>
      </w:tr>
    </w:tbl>
    <w:p>
      <w:pPr>
        <w:pStyle w:val="5"/>
        <w:numPr>
          <w:ilvl w:val="0"/>
          <w:numId w:val="0"/>
        </w:numPr>
        <w:spacing w:line="360" w:lineRule="auto"/>
        <w:ind w:right="210"/>
        <w:jc w:val="left"/>
        <w:rPr>
          <w:rFonts w:hAnsi="宋体" w:cs="宋体"/>
          <w:b w:val="0"/>
          <w:color w:val="000000" w:themeColor="text1"/>
          <w:kern w:val="0"/>
          <w:lang w:bidi="ar"/>
          <w14:textFill>
            <w14:solidFill>
              <w14:schemeClr w14:val="tx1"/>
            </w14:solidFill>
          </w14:textFill>
        </w:rPr>
      </w:pPr>
      <w:r>
        <w:rPr>
          <w:rFonts w:hint="eastAsia" w:hAnsi="宋体" w:cs="宋体"/>
          <w:color w:val="000000" w:themeColor="text1"/>
          <w14:textFill>
            <w14:solidFill>
              <w14:schemeClr w14:val="tx1"/>
            </w14:solidFill>
          </w14:textFill>
        </w:rPr>
        <w:t>7:b全自动核酸提取及检测分析系统（1台）</w:t>
      </w:r>
    </w:p>
    <w:tbl>
      <w:tblPr>
        <w:tblStyle w:val="23"/>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7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7893" w:type="dxa"/>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7893" w:type="dxa"/>
            <w:shd w:val="clear" w:color="auto" w:fill="auto"/>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动完成从核酸提取纯化到扩增、检测的一系列操作步骤，与配套的检测试剂共同使用，在临床上对来源于血清、血浆、全血、痰液、拭子等样本种提取核酸（DNA/RNA），且对被分析物进行定性、定量检测，包括病原体、基因多态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7893" w:type="dxa"/>
            <w:shd w:val="clear" w:color="auto" w:fill="auto"/>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利用磁珠法进行核酸纯化并采用变温实时荧光定量PCR技术，保证结果准确性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7893" w:type="dxa"/>
            <w:shd w:val="clear" w:color="auto" w:fill="auto"/>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设备内置紫外消毒装置，强度不低于400/m2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7893" w:type="dxa"/>
            <w:shd w:val="clear" w:color="auto" w:fill="auto"/>
            <w:noWrap/>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血清、血浆、全血、痰液、拭子等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7893" w:type="dxa"/>
            <w:shd w:val="clear" w:color="auto" w:fill="auto"/>
            <w:noWrap/>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一次性最大上样量为60+5，可以循环上样，连续加载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7893" w:type="dxa"/>
            <w:shd w:val="clear" w:color="auto" w:fill="auto"/>
            <w:noWrap/>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2400mm*900mm*1900mm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7893" w:type="dxa"/>
            <w:shd w:val="clear" w:color="auto" w:fill="auto"/>
            <w:noWrap/>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支持样本独立检测，随来随检，支持急诊检测模式；提纯扩增一体化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7893" w:type="dxa"/>
            <w:shd w:val="clear" w:color="auto" w:fill="auto"/>
            <w:noWrap/>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20个2-8℃冷藏试剂位，支持在线更换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7893" w:type="dxa"/>
            <w:shd w:val="clear" w:color="auto" w:fill="auto"/>
            <w:noWrap/>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41个独立的扩增位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7893" w:type="dxa"/>
            <w:shd w:val="clear" w:color="auto" w:fill="auto"/>
            <w:noWrap/>
            <w:vAlign w:val="center"/>
          </w:tcPr>
          <w:p>
            <w:pPr>
              <w:adjustRightInd w:val="0"/>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自动化条码扫描仪可全自动扫描样本加载仓、 枪头、提取试剂和扩增试剂的条码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shd w:val="clear" w:color="auto" w:fill="auto"/>
            <w:noWrap/>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p>
        </w:tc>
        <w:tc>
          <w:tcPr>
            <w:tcW w:w="7893" w:type="dxa"/>
            <w:shd w:val="clear" w:color="auto" w:fill="auto"/>
            <w:noWrap/>
            <w:vAlign w:val="center"/>
          </w:tcPr>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传染病系列·肿瘤及HPV筛查系列·个性化用药·呼吸道系列·优生优育系列·性病系列检测</w:t>
            </w:r>
          </w:p>
          <w:p>
            <w:pPr>
              <w:widowControl/>
              <w:spacing w:line="360" w:lineRule="auto"/>
              <w:jc w:val="left"/>
              <w:rPr>
                <w:rFonts w:ascii="宋体" w:hAnsi="宋体" w:cs="宋体"/>
                <w:color w:val="000000" w:themeColor="text1"/>
                <w:kern w:val="0"/>
                <w:sz w:val="24"/>
                <w14:textFill>
                  <w14:solidFill>
                    <w14:schemeClr w14:val="tx1"/>
                  </w14:solidFill>
                </w14:textFill>
              </w:rPr>
            </w:pPr>
          </w:p>
        </w:tc>
      </w:tr>
    </w:tbl>
    <w:p>
      <w:pPr>
        <w:pStyle w:val="5"/>
        <w:numPr>
          <w:ilvl w:val="0"/>
          <w:numId w:val="0"/>
        </w:numPr>
        <w:spacing w:line="360" w:lineRule="auto"/>
        <w:ind w:right="210"/>
        <w:jc w:val="left"/>
        <w:rPr>
          <w:rFonts w:hAnsi="宋体" w:cs="宋体"/>
          <w:color w:val="000000" w:themeColor="text1"/>
          <w14:textFill>
            <w14:solidFill>
              <w14:schemeClr w14:val="tx1"/>
            </w14:solidFill>
          </w14:textFill>
        </w:rPr>
      </w:pPr>
      <w:r>
        <w:rPr>
          <w:rFonts w:hint="eastAsia" w:hAnsi="宋体" w:cs="宋体"/>
          <w:color w:val="000000" w:themeColor="text1"/>
          <w:lang w:bidi="ar"/>
          <w14:textFill>
            <w14:solidFill>
              <w14:schemeClr w14:val="tx1"/>
            </w14:solidFill>
          </w14:textFill>
        </w:rPr>
        <w:t xml:space="preserve">8 </w:t>
      </w:r>
      <w:r>
        <w:rPr>
          <w:rFonts w:hint="eastAsia" w:hAnsi="宋体" w:cs="宋体"/>
          <w:color w:val="000000" w:themeColor="text1"/>
          <w:lang w:eastAsia="zh-Hans"/>
          <w14:textFill>
            <w14:solidFill>
              <w14:schemeClr w14:val="tx1"/>
            </w14:solidFill>
          </w14:textFill>
        </w:rPr>
        <w:t>核酸质谱</w:t>
      </w:r>
      <w:r>
        <w:rPr>
          <w:rFonts w:hint="eastAsia" w:hAnsi="宋体" w:cs="宋体"/>
          <w:color w:val="000000" w:themeColor="text1"/>
          <w14:textFill>
            <w14:solidFill>
              <w14:schemeClr w14:val="tx1"/>
            </w14:solidFill>
          </w14:textFill>
        </w:rPr>
        <w:t>（1台）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7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704"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用于同时分析检测多个已知基因变异位点或DNA甲基化标志物。应用包括：1.SNP/INDEL 基因型分析；2.FUSION 融合基因检测；3.CNV基因拷贝数变异分析；4.超高灵敏度体细胞突变精确分析；5.RNA 表达定量分析。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704"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检测范围：可对4-30bp核酸片段进行分子量和拷贝数测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采集速度：384个样本≤90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c>
          <w:tcPr>
            <w:tcW w:w="7704" w:type="dxa"/>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激</w:t>
            </w:r>
            <w:r>
              <w:rPr>
                <w:rFonts w:hint="eastAsia" w:ascii="宋体" w:hAnsi="宋体" w:cs="宋体"/>
                <w:color w:val="000000" w:themeColor="text1"/>
                <w:kern w:val="0"/>
                <w:sz w:val="24"/>
                <w14:textFill>
                  <w14:solidFill>
                    <w14:schemeClr w14:val="tx1"/>
                  </w14:solidFill>
                </w14:textFill>
              </w:rPr>
              <w:t>检测通量：&gt;3000个样本/天；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质谱分辨率：质谱在8500道尔顿(Daltons) 位置，其分辨率(Resolution) 大于 &gt; 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处理能力：每次可处理2张384芯片；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激光器：氮激光器10Hz，波长337nm；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飞行距离：800毫米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软件：全自动实时数据获取和分析，直接提供生物学结果，即SNP位点的核酸组成，如纯合子(AA或CC)或杂合子(AC)，定量基因表达分析。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内置计算机控制机械手，将纳升级液体从PCR样品板，转移到相应的微阵列芯片上，供检测仪阅读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PLEX® SNP 基因型分析系统；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有效性：可以对≥95%的已知SNP和INDEL进行实验设计；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p>
        </w:tc>
        <w:tc>
          <w:tcPr>
            <w:tcW w:w="7704" w:type="dxa"/>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灵敏度：常规试剂检测≥5%低频率体细胞突变，专用试剂检测 &lt;1%低频率体细胞突变；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样品要求：可检测降解到 80bp的 DNA；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CNV 分析：可以进行基因拷贝数变异分析；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等位基因：可以检出纯合子、杂合子及3-4等位 SNPs；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质控分析：对 100-500bp 长度 DNA 待测序样本进行拷贝数质控检测；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w:t>
            </w:r>
          </w:p>
        </w:tc>
        <w:tc>
          <w:tcPr>
            <w:tcW w:w="7704"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检测通量：常规试剂 1-36 个基因型/每个反应；一天检测 ≥100,000个基因型。</w:t>
            </w:r>
          </w:p>
        </w:tc>
      </w:tr>
    </w:tbl>
    <w:p>
      <w:pPr>
        <w:pStyle w:val="5"/>
        <w:numPr>
          <w:ilvl w:val="0"/>
          <w:numId w:val="0"/>
        </w:numPr>
        <w:spacing w:line="360" w:lineRule="auto"/>
        <w:ind w:right="21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9:全自动医用PCR分析系统1台（允许进口）</w:t>
      </w:r>
    </w:p>
    <w:tbl>
      <w:tblPr>
        <w:tblStyle w:val="23"/>
        <w:tblW w:w="840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553"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553"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553"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系统包括仪器与试剂测试条相互作用，在系统内纯化核酸，并通过PCR特异性扩增病原体靶序列，通过专业软件分析PCR产物,报告检测结果</w:t>
            </w:r>
            <w:r>
              <w:rPr>
                <w:rFonts w:hint="eastAsia" w:ascii="宋体" w:hAnsi="宋体" w:cs="宋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553"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7553"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原始样本上机, 无需样本预处理, 无需进行单独核酸提取步骤。操作简便, 只需2分钟左右即可完成加样, 且检测过程中无需额外操作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7553"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所有检测从原始样本到出报告结果可以在70分钟内完成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c>
          <w:tcPr>
            <w:tcW w:w="7553" w:type="dxa"/>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只需要一台仪器, 即可同时完成核酸提取、核酸纯化、PCR扩增、信号检测与结果分析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w:t>
            </w:r>
          </w:p>
        </w:tc>
        <w:tc>
          <w:tcPr>
            <w:tcW w:w="7553"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每种试剂都采用统一的全封闭式设计，生物安全性好; 避免传统开放式PCR方法中交叉污染的问题，无需PCR分区实验室。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w:t>
            </w:r>
          </w:p>
        </w:tc>
        <w:tc>
          <w:tcPr>
            <w:tcW w:w="7553"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可一次性完成至多27种靶标的同时检测, 涵盖病原体种类全面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w:t>
            </w:r>
          </w:p>
        </w:tc>
        <w:tc>
          <w:tcPr>
            <w:tcW w:w="7553"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可同时完成病原体DNA与RNA的检测, 可同时检测病毒,细菌,真菌,原生动物等, 无需分开处理</w:t>
            </w:r>
            <w:r>
              <w:rPr>
                <w:rFonts w:hint="eastAsia" w:ascii="宋体" w:hAnsi="宋体" w:cs="宋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w:t>
            </w:r>
          </w:p>
        </w:tc>
        <w:tc>
          <w:tcPr>
            <w:tcW w:w="7553"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具有≥20种病原体靶标呼吸道感染性病原体核酸检测试剂盒（巢式多重PCR熔解曲线法），可进行流感病毒检测及分型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w:t>
            </w:r>
          </w:p>
        </w:tc>
        <w:tc>
          <w:tcPr>
            <w:tcW w:w="7553"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具有≥22种病原体靶标且包含艰难梭菌的胃肠道感染测试试剂盒（巢式多重PCR熔解曲线法）（单个检测试剂盒</w:t>
            </w:r>
            <w:r>
              <w:rPr>
                <w:rFonts w:hint="eastAsia" w:ascii="宋体" w:hAnsi="宋体" w:cs="宋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w:t>
            </w:r>
          </w:p>
        </w:tc>
        <w:tc>
          <w:tcPr>
            <w:tcW w:w="7553"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有≥14种病原体靶标脑膜炎/脑炎测试试剂盒（巢式多重PCR熔解曲线法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w:t>
            </w:r>
          </w:p>
        </w:tc>
        <w:tc>
          <w:tcPr>
            <w:tcW w:w="7553"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具有持续的试剂开发能力,能够提供后续配套试剂应用.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w:t>
            </w:r>
          </w:p>
        </w:tc>
        <w:tc>
          <w:tcPr>
            <w:tcW w:w="7553"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内参设计于所有种类测试条内。所有实验过程都会自动测试内部参考品，以保证核酸提取及PCR扩增全过程,控制实验结果的准确性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p>
        </w:tc>
        <w:tc>
          <w:tcPr>
            <w:tcW w:w="7553" w:type="dxa"/>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包括两种内参：全程内参(用于监控测试条内所有实验过程)和第二阶段PCR内参(用于监控巢式PCR过程</w:t>
            </w:r>
          </w:p>
        </w:tc>
      </w:tr>
    </w:tbl>
    <w:p>
      <w:pPr>
        <w:spacing w:line="360" w:lineRule="auto"/>
        <w:jc w:val="left"/>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10:全自动样本处理系统（2台）</w:t>
      </w:r>
    </w:p>
    <w:tbl>
      <w:tblPr>
        <w:tblStyle w:val="23"/>
        <w:tblW w:w="862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77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770" w:type="dxa"/>
            <w:vAlign w:val="center"/>
          </w:tcPr>
          <w:p>
            <w:pPr>
              <w:pStyle w:val="62"/>
              <w:spacing w:line="360" w:lineRule="auto"/>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可自动完成加试剂、拧盖、加样、加蛋白酶K功能。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77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可自动完成留样、提取产物分杯、加Mix试剂。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77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批处理通量：≤96个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77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提取试剂深孔板位置≥6个，支持同时放入16人份预封装深孔板*6与支持96人份深孔板*2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770" w:type="dxa"/>
            <w:vAlign w:val="center"/>
          </w:tcPr>
          <w:p>
            <w:pPr>
              <w:pStyle w:val="62"/>
              <w:spacing w:line="360" w:lineRule="auto"/>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6块16人份预封装试剂深孔板处理速度需≤20mins。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770" w:type="dxa"/>
            <w:vAlign w:val="center"/>
          </w:tcPr>
          <w:p>
            <w:pPr>
              <w:pStyle w:val="62"/>
              <w:spacing w:line="360" w:lineRule="auto"/>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支持多规格1.5ml、3ml、5ml、10ml病毒采样管。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★v7</w:t>
            </w:r>
          </w:p>
        </w:tc>
        <w:tc>
          <w:tcPr>
            <w:tcW w:w="7770" w:type="dxa"/>
            <w:vAlign w:val="center"/>
          </w:tcPr>
          <w:p>
            <w:pPr>
              <w:pStyle w:val="62"/>
              <w:spacing w:line="360" w:lineRule="auto"/>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通道数量：2个移液通道，物理空间独立，分别依次开盖加样无交叉污染。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77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实验仓内置紫外消毒灯，自带HEPA高效空气过滤器，无需生物安全柜。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770" w:type="dxa"/>
            <w:vAlign w:val="center"/>
          </w:tcPr>
          <w:p>
            <w:pPr>
              <w:pStyle w:val="62"/>
              <w:spacing w:line="360" w:lineRule="auto"/>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加样重复性：15ul以下：CV≤ 3%；15ul ~50ul：CV≤1.5%；50ul以上：CV≤1%；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770" w:type="dxa"/>
            <w:vAlign w:val="center"/>
          </w:tcPr>
          <w:p>
            <w:pPr>
              <w:pStyle w:val="62"/>
              <w:spacing w:line="360" w:lineRule="auto"/>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PCR耗材</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"8*12 八联管，兼容0.1ml、0.2ml；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770" w:type="dxa"/>
            <w:vAlign w:val="center"/>
          </w:tcPr>
          <w:p>
            <w:pPr>
              <w:pStyle w:val="62"/>
              <w:spacing w:line="360" w:lineRule="auto"/>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加样准确性：15ul以下：相对偏差≤5%；15ul ~50ul：相对偏差≤3%；50ul以上：相对偏差≤1.5%；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777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具有试剂、耗材不足报警提醒，并支持在线添加</w:t>
            </w:r>
          </w:p>
        </w:tc>
      </w:tr>
    </w:tbl>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11:医用冷冻冰箱（6台）</w:t>
      </w:r>
    </w:p>
    <w:tbl>
      <w:tblPr>
        <w:tblStyle w:val="23"/>
        <w:tblW w:w="862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7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775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设备用途:</w:t>
            </w:r>
            <w:r>
              <w:rPr>
                <w:rFonts w:hint="eastAsia" w:ascii="宋体" w:hAnsi="宋体" w:cs="宋体"/>
                <w:color w:val="000000" w:themeColor="text1"/>
                <w:kern w:val="0"/>
                <w:sz w:val="24"/>
                <w14:textFill>
                  <w14:solidFill>
                    <w14:schemeClr w14:val="tx1"/>
                  </w14:solidFill>
                </w14:textFill>
              </w:rPr>
              <w:t>保存血浆、生物制品、疫苗、试剂等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7750" w:type="dxa"/>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w:t>
            </w:r>
          </w:p>
        </w:tc>
        <w:tc>
          <w:tcPr>
            <w:tcW w:w="775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w:t>
            </w:r>
          </w:p>
        </w:tc>
        <w:tc>
          <w:tcPr>
            <w:tcW w:w="775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有效容积</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278L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w:t>
            </w:r>
          </w:p>
        </w:tc>
        <w:tc>
          <w:tcPr>
            <w:tcW w:w="775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采用碳氢制冷剂，无CFC保温层，能耗降低40%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w:t>
            </w:r>
          </w:p>
        </w:tc>
        <w:tc>
          <w:tcPr>
            <w:tcW w:w="775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微电脑控制，温度LED数字显示，箱内温度-20℃～-40℃可调，温度设置程序加密设计，防止他人随意更改箱内温度，存储更加安全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w:t>
            </w:r>
          </w:p>
        </w:tc>
        <w:tc>
          <w:tcPr>
            <w:tcW w:w="775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多种故障报警（高低温报警、传感器报警、断电报警）；两种报警方式（声音蜂鸣报警、红灯亮报警）；开机延时保护功能；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w:t>
            </w:r>
          </w:p>
        </w:tc>
        <w:tc>
          <w:tcPr>
            <w:tcW w:w="775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LED数字温度显示，显示箱内温度、设定温度、可设定高低温报警和箱内温度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w:t>
            </w:r>
          </w:p>
        </w:tc>
        <w:tc>
          <w:tcPr>
            <w:tcW w:w="775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品牌高效碳氢压缩机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w:t>
            </w:r>
          </w:p>
        </w:tc>
        <w:tc>
          <w:tcPr>
            <w:tcW w:w="775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品牌冷凝风机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w:t>
            </w:r>
          </w:p>
        </w:tc>
        <w:tc>
          <w:tcPr>
            <w:tcW w:w="775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双门设计，配备独立门锁扣，便于物品分类存放或多人使用</w:t>
            </w:r>
          </w:p>
        </w:tc>
      </w:tr>
    </w:tbl>
    <w:p>
      <w:pPr>
        <w:spacing w:line="360" w:lineRule="auto"/>
        <w:rPr>
          <w:rFonts w:ascii="宋体" w:hAnsi="宋体" w:cs="宋体"/>
          <w:b/>
          <w:bCs/>
          <w:color w:val="000000" w:themeColor="text1"/>
          <w:kern w:val="0"/>
          <w:sz w:val="24"/>
          <w:lang w:bidi="ar"/>
          <w14:textFill>
            <w14:solidFill>
              <w14:schemeClr w14:val="tx1"/>
            </w14:solidFill>
          </w14:textFill>
        </w:rPr>
      </w:pPr>
    </w:p>
    <w:p>
      <w:pPr>
        <w:spacing w:line="360" w:lineRule="auto"/>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12:医用冷藏冷冻冰箱（10台）</w:t>
      </w:r>
    </w:p>
    <w:tbl>
      <w:tblPr>
        <w:tblStyle w:val="23"/>
        <w:tblW w:w="8600"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7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设备用途:</w:t>
            </w:r>
            <w:r>
              <w:rPr>
                <w:rFonts w:hint="eastAsia" w:ascii="宋体" w:hAnsi="宋体" w:cs="宋体"/>
                <w:color w:val="000000" w:themeColor="text1"/>
                <w:kern w:val="0"/>
                <w:sz w:val="24"/>
                <w14:textFill>
                  <w14:solidFill>
                    <w14:schemeClr w14:val="tx1"/>
                  </w14:solidFill>
                </w14:textFill>
              </w:rPr>
              <w:t>保存血浆、生物制品、疫苗、试剂等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7730" w:type="dxa"/>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有效容积：冷藏≥185L，冷冻≥97L。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箱内温度2-8℃/-10-30℃，微电脑温控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多种故障报警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LED数字温度显示，显示箱内温度、设定温度、可设定高低温报警和箱内温度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品牌高效碳氢压缩机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品牌冷凝风机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在用户当地有售后服务网点</w:t>
            </w:r>
          </w:p>
        </w:tc>
      </w:tr>
    </w:tbl>
    <w:p>
      <w:pPr>
        <w:spacing w:line="360" w:lineRule="auto"/>
        <w:jc w:val="center"/>
        <w:rPr>
          <w:rFonts w:ascii="宋体" w:hAnsi="宋体" w:cs="宋体"/>
          <w:color w:val="000000" w:themeColor="text1"/>
          <w:sz w:val="24"/>
          <w14:textFill>
            <w14:solidFill>
              <w14:schemeClr w14:val="tx1"/>
            </w14:solidFill>
          </w14:textFill>
        </w:rPr>
      </w:pPr>
    </w:p>
    <w:p>
      <w:pPr>
        <w:spacing w:line="360" w:lineRule="auto"/>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13:医用冷藏冰箱（6台）</w:t>
      </w:r>
    </w:p>
    <w:tbl>
      <w:tblPr>
        <w:tblStyle w:val="23"/>
        <w:tblW w:w="861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7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设备用途:</w:t>
            </w:r>
            <w:r>
              <w:rPr>
                <w:rFonts w:hint="eastAsia" w:ascii="宋体" w:hAnsi="宋体" w:cs="宋体"/>
                <w:color w:val="000000" w:themeColor="text1"/>
                <w:kern w:val="0"/>
                <w:sz w:val="24"/>
                <w14:textFill>
                  <w14:solidFill>
                    <w14:schemeClr w14:val="tx1"/>
                  </w14:solidFill>
                </w14:textFill>
              </w:rPr>
              <w:t>保存血浆、生物制品、疫苗、试剂等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7730" w:type="dxa"/>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8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有效容积：冷藏≥185L，冷冻≥97L。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箱内温度2-8，微电脑温控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多种故障报警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LED数字温度显示，显示箱内温度、设定温度、可设定高低温报警和箱内温度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品牌高效碳氢压缩机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8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品牌冷凝风机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w:t>
            </w:r>
          </w:p>
        </w:tc>
        <w:tc>
          <w:tcPr>
            <w:tcW w:w="7730"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在用户当地有售后服务网点</w:t>
            </w:r>
          </w:p>
        </w:tc>
      </w:tr>
    </w:tbl>
    <w:p>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14:自动拧盖机（18台）</w:t>
      </w:r>
    </w:p>
    <w:tbl>
      <w:tblPr>
        <w:tblStyle w:val="23"/>
        <w:tblW w:w="4997"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1.可兼容10mL、5mL等多种规格的螺口样本采样管开盖和关盖操作。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2.标准夹头可兼容18-24mm管盖直径的病毒采样管。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3.红外传感器自动识别采样管位置，自动记录操作数量，可调节拧盖圈数和拧紧力度。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4.感应速度1~5s，开盖速度1~5S，可根据需求进行调整。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5.体积小于150*150*450mm，可放置于生物安全柜内操作。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6.电源：AC220V。</w:t>
            </w:r>
          </w:p>
        </w:tc>
      </w:tr>
    </w:tbl>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lang w:eastAsia="zh-Hans"/>
          <w14:textFill>
            <w14:solidFill>
              <w14:schemeClr w14:val="tx1"/>
            </w14:solidFill>
          </w14:textFill>
        </w:rPr>
        <w:t>15:高速冷冻</w:t>
      </w:r>
      <w:r>
        <w:rPr>
          <w:rFonts w:hint="eastAsia" w:ascii="宋体" w:hAnsi="宋体" w:cs="宋体"/>
          <w:b/>
          <w:color w:val="000000" w:themeColor="text1"/>
          <w:sz w:val="24"/>
          <w14:textFill>
            <w14:solidFill>
              <w14:schemeClr w14:val="tx1"/>
            </w14:solidFill>
          </w14:textFill>
        </w:rPr>
        <w:t>离心机6台（允许进口）</w:t>
      </w:r>
    </w:p>
    <w:tbl>
      <w:tblPr>
        <w:tblStyle w:val="23"/>
        <w:tblW w:w="862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774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w:t>
            </w:r>
          </w:p>
        </w:tc>
        <w:tc>
          <w:tcPr>
            <w:tcW w:w="7740" w:type="dxa"/>
            <w:vAlign w:val="center"/>
          </w:tcPr>
          <w:p>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w:t>
            </w:r>
          </w:p>
        </w:tc>
        <w:tc>
          <w:tcPr>
            <w:tcW w:w="7740" w:type="dxa"/>
            <w:vAlign w:val="center"/>
          </w:tcPr>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用于分子实验室低温离心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w:t>
            </w:r>
          </w:p>
        </w:tc>
        <w:tc>
          <w:tcPr>
            <w:tcW w:w="774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样品混匀，核酸提取等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p>
        </w:tc>
        <w:tc>
          <w:tcPr>
            <w:tcW w:w="7740" w:type="dxa"/>
            <w:vAlign w:val="center"/>
          </w:tcPr>
          <w:p>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功能、配置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▲2.1</w:t>
            </w:r>
          </w:p>
        </w:tc>
        <w:tc>
          <w:tcPr>
            <w:tcW w:w="7740" w:type="dxa"/>
            <w:vAlign w:val="center"/>
          </w:tcPr>
          <w:p>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主要功能：控温台式离心机，离心性能好，降温速度快，转头装卸方便，可单手打开闭合舱门。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p>
        </w:tc>
        <w:tc>
          <w:tcPr>
            <w:tcW w:w="7740" w:type="dxa"/>
          </w:tcPr>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w:t>
            </w:r>
          </w:p>
        </w:tc>
        <w:tc>
          <w:tcPr>
            <w:tcW w:w="774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20"/>
                <w:position w:val="-2"/>
                <w:sz w:val="24"/>
                <w14:textFill>
                  <w14:solidFill>
                    <w14:schemeClr w14:val="tx1"/>
                  </w14:solidFill>
                </w14:textFill>
              </w:rPr>
              <w:t xml:space="preserve">最高转速：≥ 12000rpm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w:t>
            </w:r>
          </w:p>
        </w:tc>
        <w:tc>
          <w:tcPr>
            <w:tcW w:w="774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20"/>
                <w:position w:val="-2"/>
                <w:sz w:val="24"/>
                <w14:textFill>
                  <w14:solidFill>
                    <w14:schemeClr w14:val="tx1"/>
                  </w14:solidFill>
                </w14:textFill>
              </w:rPr>
              <w:t>最大离心力：≥15830xg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w:t>
            </w:r>
          </w:p>
        </w:tc>
        <w:tc>
          <w:tcPr>
            <w:tcW w:w="7740" w:type="dxa"/>
            <w:vAlign w:val="center"/>
          </w:tcPr>
          <w:p>
            <w:pPr>
              <w:pStyle w:val="63"/>
              <w:spacing w:line="360" w:lineRule="auto"/>
              <w:ind w:firstLine="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20"/>
                <w:position w:val="-2"/>
                <w:sz w:val="24"/>
                <w14:textFill>
                  <w14:solidFill>
                    <w14:schemeClr w14:val="tx1"/>
                  </w14:solidFill>
                </w14:textFill>
              </w:rPr>
              <w:t>最大容量: ≥4×100mL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w:t>
            </w:r>
          </w:p>
        </w:tc>
        <w:tc>
          <w:tcPr>
            <w:tcW w:w="774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20"/>
                <w:position w:val="-2"/>
                <w:sz w:val="24"/>
                <w14:textFill>
                  <w14:solidFill>
                    <w14:schemeClr w14:val="tx1"/>
                  </w14:solidFill>
                </w14:textFill>
              </w:rPr>
              <w:t>温度设定范围：-10℃至+40℃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3.2.5</w:t>
            </w:r>
          </w:p>
        </w:tc>
        <w:tc>
          <w:tcPr>
            <w:tcW w:w="774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20"/>
                <w:position w:val="-2"/>
                <w:sz w:val="24"/>
                <w14:textFill>
                  <w14:solidFill>
                    <w14:schemeClr w14:val="tx1"/>
                  </w14:solidFill>
                </w14:textFill>
              </w:rPr>
              <w:t>加减速控制：9级加速, 10级减速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3.2.6</w:t>
            </w:r>
          </w:p>
        </w:tc>
        <w:tc>
          <w:tcPr>
            <w:tcW w:w="774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20"/>
                <w:position w:val="-2"/>
                <w:sz w:val="24"/>
                <w14:textFill>
                  <w14:solidFill>
                    <w14:schemeClr w14:val="tx1"/>
                  </w14:solidFill>
                </w14:textFill>
              </w:rPr>
              <w:t>转头锁定系统：转头自锁，具有转头自动锁定装置，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3.2.7</w:t>
            </w:r>
          </w:p>
        </w:tc>
        <w:tc>
          <w:tcPr>
            <w:tcW w:w="7740" w:type="dxa"/>
            <w:vAlign w:val="center"/>
          </w:tcPr>
          <w:p>
            <w:pPr>
              <w:pStyle w:val="63"/>
              <w:spacing w:line="360" w:lineRule="auto"/>
              <w:ind w:firstLine="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20"/>
                <w:position w:val="-2"/>
                <w:sz w:val="24"/>
                <w14:textFill>
                  <w14:solidFill>
                    <w14:schemeClr w14:val="tx1"/>
                  </w14:solidFill>
                </w14:textFill>
              </w:rPr>
              <w:t>生物安全性保证：可以单手操作，无需旋盖及搭扣，并可以确保密封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3.2.8</w:t>
            </w:r>
          </w:p>
        </w:tc>
        <w:tc>
          <w:tcPr>
            <w:tcW w:w="774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20"/>
                <w:position w:val="-2"/>
                <w:sz w:val="24"/>
                <w14:textFill>
                  <w14:solidFill>
                    <w14:schemeClr w14:val="tx1"/>
                  </w14:solidFill>
                </w14:textFill>
              </w:rPr>
              <w:t>驱动系统：</w:t>
            </w:r>
            <w:r>
              <w:rPr>
                <w:rFonts w:hint="eastAsia" w:ascii="宋体" w:hAnsi="宋体" w:cs="宋体"/>
                <w:color w:val="000000" w:themeColor="text1"/>
                <w:sz w:val="24"/>
                <w14:textFill>
                  <w14:solidFill>
                    <w14:schemeClr w14:val="tx1"/>
                  </w14:solidFill>
                </w14:textFill>
              </w:rPr>
              <w:t>无碳刷大力矩电机直接驱动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3.2.9</w:t>
            </w:r>
          </w:p>
        </w:tc>
        <w:tc>
          <w:tcPr>
            <w:tcW w:w="7740" w:type="dxa"/>
            <w:vAlign w:val="center"/>
          </w:tcPr>
          <w:p>
            <w:pPr>
              <w:pStyle w:val="63"/>
              <w:spacing w:line="360" w:lineRule="auto"/>
              <w:ind w:firstLine="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20"/>
                <w:position w:val="-2"/>
                <w:sz w:val="24"/>
                <w14:textFill>
                  <w14:solidFill>
                    <w14:schemeClr w14:val="tx1"/>
                  </w14:solidFill>
                </w14:textFill>
              </w:rPr>
              <w:t>程序：6个快捷程序可一键调用，并具有1个快捷预冷程序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3.2.10</w:t>
            </w:r>
          </w:p>
        </w:tc>
        <w:tc>
          <w:tcPr>
            <w:tcW w:w="774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20"/>
                <w:position w:val="-2"/>
                <w:sz w:val="24"/>
                <w14:textFill>
                  <w14:solidFill>
                    <w14:schemeClr w14:val="tx1"/>
                  </w14:solidFill>
                </w14:textFill>
              </w:rPr>
              <w:t>运行时间控制:0-9小时59分钟；并具有瞬时离心及连续离心方式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3.2.11</w:t>
            </w:r>
          </w:p>
        </w:tc>
        <w:tc>
          <w:tcPr>
            <w:tcW w:w="7740" w:type="dxa"/>
            <w:vAlign w:val="center"/>
          </w:tcPr>
          <w:p>
            <w:pPr>
              <w:pStyle w:val="63"/>
              <w:spacing w:line="360" w:lineRule="auto"/>
              <w:ind w:firstLine="0"/>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kern w:val="20"/>
                <w:position w:val="-2"/>
                <w:sz w:val="24"/>
                <w14:textFill>
                  <w14:solidFill>
                    <w14:schemeClr w14:val="tx1"/>
                  </w14:solidFill>
                </w14:textFill>
              </w:rPr>
              <w:t>控制系统：微电脑控制, 数字液晶显示；可以同时显示设定和实际温度、速度、时间；可简单快捷设定运行条件和运行参数；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3.2.12</w:t>
            </w:r>
          </w:p>
        </w:tc>
        <w:tc>
          <w:tcPr>
            <w:tcW w:w="7740" w:type="dxa"/>
            <w:vAlign w:val="center"/>
          </w:tcPr>
          <w:p>
            <w:pPr>
              <w:pStyle w:val="63"/>
              <w:spacing w:line="360" w:lineRule="auto"/>
              <w:ind w:firstLine="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20"/>
                <w:position w:val="-2"/>
                <w:sz w:val="24"/>
                <w14:textFill>
                  <w14:solidFill>
                    <w14:schemeClr w14:val="tx1"/>
                  </w14:solidFill>
                </w14:textFill>
              </w:rPr>
              <w:t>自动性能：可选择在离心结束之后自动开盖；可选择在离心结束时声音提醒功能</w:t>
            </w:r>
          </w:p>
        </w:tc>
      </w:tr>
    </w:tbl>
    <w:p>
      <w:pPr>
        <w:pStyle w:val="63"/>
        <w:spacing w:line="360" w:lineRule="auto"/>
        <w:ind w:firstLine="0"/>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16:台式离心机（10台）</w:t>
      </w:r>
    </w:p>
    <w:tbl>
      <w:tblPr>
        <w:tblStyle w:val="23"/>
        <w:tblW w:w="8630"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72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72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最高转速12000rpm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72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最大离心力25830g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72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最大容量：196支5/7mL采血管、148支9/10 mL采血管、96支15mL锥形管、40支50mL锥形管、6个微孔板；4 x 1000 mL生物离心瓶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72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制冷型否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72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显示器明亮的LCD按钮用户界面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72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计时器加减计数选项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72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另加转头（可以离心15ml试管）</w:t>
            </w:r>
          </w:p>
        </w:tc>
      </w:tr>
    </w:tbl>
    <w:p>
      <w:pPr>
        <w:pStyle w:val="4"/>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17、96孔板式离心机（提取板）4台</w:t>
      </w:r>
    </w:p>
    <w:tbl>
      <w:tblPr>
        <w:tblStyle w:val="23"/>
        <w:tblW w:w="8640"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72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72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最高转速≥2800rpm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72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最大相对离心力≥600xg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72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最大容量：≥2块标准PCR微孔板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72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定时范围：≥15S~1min59S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72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直流无刷电机，支持开盖自动停机功能，支持点动功能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72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配置：主机一台（可放置2块96孔标准PCR板）</w:t>
            </w:r>
          </w:p>
        </w:tc>
      </w:tr>
    </w:tbl>
    <w:p>
      <w:pPr>
        <w:spacing w:line="360" w:lineRule="auto"/>
        <w:rPr>
          <w:rFonts w:ascii="宋体" w:hAnsi="宋体" w:cs="宋体"/>
          <w:b/>
          <w:bCs/>
          <w:color w:val="000000" w:themeColor="text1"/>
          <w:kern w:val="0"/>
          <w:sz w:val="24"/>
          <w:lang w:bidi="ar"/>
          <w14:textFill>
            <w14:solidFill>
              <w14:schemeClr w14:val="tx1"/>
            </w14:solidFill>
          </w14:textFill>
        </w:rPr>
      </w:pPr>
    </w:p>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18、96 孔板式离心机</w:t>
      </w:r>
      <w:r>
        <w:rPr>
          <w:rFonts w:hint="eastAsia" w:ascii="宋体" w:hAnsi="宋体" w:cs="宋体"/>
          <w:color w:val="000000" w:themeColor="text1"/>
          <w:kern w:val="0"/>
          <w:sz w:val="24"/>
          <w:lang w:bidi="ar"/>
          <w14:textFill>
            <w14:solidFill>
              <w14:schemeClr w14:val="tx1"/>
            </w14:solidFill>
          </w14:textFill>
        </w:rPr>
        <w:t>（微孔板）6台</w:t>
      </w:r>
    </w:p>
    <w:tbl>
      <w:tblPr>
        <w:tblStyle w:val="23"/>
        <w:tblW w:w="8650"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7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7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73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时间范围 1s~99s（可点动离心）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73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转速 2500 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73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最大离心力 500 xg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73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容量 2x96孔PCR板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73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最大噪声：≤48dB</w:t>
            </w:r>
          </w:p>
        </w:tc>
      </w:tr>
    </w:tbl>
    <w:p>
      <w:pPr>
        <w:spacing w:line="360" w:lineRule="auto"/>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19掌上离心机（12台）</w:t>
      </w:r>
    </w:p>
    <w:tbl>
      <w:tblPr>
        <w:tblStyle w:val="23"/>
        <w:tblW w:w="8660"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76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76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转速：4000转/分(4K)，6000转/分(6K)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76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相对离心力：2000g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76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样品处理量：6×1.5ml/0.5ml/0.2ml , 2×8×0.2ml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76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最大噪声：≤48dB</w:t>
            </w:r>
          </w:p>
        </w:tc>
      </w:tr>
    </w:tbl>
    <w:p>
      <w:pPr>
        <w:spacing w:line="360" w:lineRule="auto"/>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20超净工作台（3台）</w:t>
      </w:r>
    </w:p>
    <w:tbl>
      <w:tblPr>
        <w:tblStyle w:val="23"/>
        <w:tblW w:w="8660"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77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77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双人单面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77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垂直气流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77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过滤效率≥99.99％@ 0.3μm；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77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洁净等级≥100级；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77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平均风数0.2-0.4m/s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77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照度≥300Lx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77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可设定紫外灯开关及运行时间，可显示各种参数等；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77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门关闭时，风机和照明灯自动关闭，紫外灯开启；门开启时，紫外灯关闭，保障使用者的安全。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77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台面优质304不锈钢，便于消毒、清洁。</w:t>
            </w:r>
          </w:p>
        </w:tc>
      </w:tr>
    </w:tbl>
    <w:p>
      <w:pPr>
        <w:spacing w:line="360" w:lineRule="auto"/>
        <w:rPr>
          <w:rFonts w:ascii="宋体" w:hAnsi="宋体" w:cs="宋体"/>
          <w:b/>
          <w:bCs/>
          <w:color w:val="000000" w:themeColor="text1"/>
          <w:kern w:val="0"/>
          <w:sz w:val="24"/>
          <w:lang w:bidi="ar"/>
          <w14:textFill>
            <w14:solidFill>
              <w14:schemeClr w14:val="tx1"/>
            </w14:solidFill>
          </w14:textFill>
        </w:rPr>
      </w:pP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21:立式灭菌器（10台）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4134"/>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sz w:val="24"/>
                <w:lang w:eastAsia="zh-Hans"/>
                <w14:textFill>
                  <w14:solidFill>
                    <w14:schemeClr w14:val="tx1"/>
                  </w14:solidFill>
                </w14:textFill>
              </w:rPr>
              <w:t>序号</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p>
        </w:tc>
        <w:tc>
          <w:tcPr>
            <w:tcW w:w="4134" w:type="dxa"/>
            <w:vAlign w:val="center"/>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立式灭菌器参数</w:t>
            </w:r>
          </w:p>
        </w:tc>
        <w:tc>
          <w:tcPr>
            <w:tcW w:w="3388" w:type="dxa"/>
            <w:vAlign w:val="center"/>
          </w:tcPr>
          <w:p>
            <w:pPr>
              <w:jc w:val="center"/>
              <w:rPr>
                <w:rFonts w:ascii="宋体" w:hAnsi="宋体" w:cs="宋体"/>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设计压力</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0.28Mpa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设计温度</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额定工作压力</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0.22Mpa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灭菌温度选择</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105～136℃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温度显示精度</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动态脉冲排气次数:</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0～99次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动态脉冲排气温度</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灭菌时间范围</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0～999分钟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电源及功率</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220V/50Hz，3.2KW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容积</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灭菌室尺寸</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l-GR"/>
                <w14:textFill>
                  <w14:solidFill>
                    <w14:schemeClr w14:val="tx1"/>
                  </w14:solidFill>
                </w14:textFill>
              </w:rPr>
              <w:t>Φ</w:t>
            </w:r>
            <w:r>
              <w:rPr>
                <w:rFonts w:hint="eastAsia" w:ascii="宋体" w:hAnsi="宋体" w:cs="宋体"/>
                <w:color w:val="000000" w:themeColor="text1"/>
                <w:sz w:val="24"/>
                <w14:textFill>
                  <w14:solidFill>
                    <w14:schemeClr w14:val="tx1"/>
                  </w14:solidFill>
                </w14:textFill>
              </w:rPr>
              <w:t>386*700mm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外形尺寸</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546*630*1100mm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重量</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腔体和门材料</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SUS304不锈钢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2个不锈钢消毒提篮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打印机模块</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针对有灭菌数据查看、记录、存档等需求的用户，可选配打印机模块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p>
        </w:tc>
        <w:tc>
          <w:tcPr>
            <w:tcW w:w="4134" w:type="dxa"/>
            <w:vAlign w:val="center"/>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安全性</w:t>
            </w:r>
          </w:p>
        </w:tc>
        <w:tc>
          <w:tcPr>
            <w:tcW w:w="3388" w:type="dxa"/>
            <w:vAlign w:val="center"/>
          </w:tcPr>
          <w:p>
            <w:pPr>
              <w:jc w:val="center"/>
              <w:rPr>
                <w:rFonts w:ascii="宋体" w:hAnsi="宋体" w:cs="宋体"/>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超压自动泄压的安全阀</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超过设定压力，安全阀打开释放压力。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p>
        </w:tc>
        <w:tc>
          <w:tcPr>
            <w:tcW w:w="4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超温自动保护装置</w:t>
            </w:r>
          </w:p>
        </w:tc>
        <w:tc>
          <w:tcPr>
            <w:tcW w:w="338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超过设定温度，系统自动切断电源。</w:t>
            </w:r>
          </w:p>
        </w:tc>
      </w:tr>
    </w:tbl>
    <w:p>
      <w:pPr>
        <w:spacing w:line="360" w:lineRule="auto"/>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22:八联管压盖机（5台）</w:t>
      </w:r>
    </w:p>
    <w:tbl>
      <w:tblPr>
        <w:tblStyle w:val="23"/>
        <w:tblW w:w="862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6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60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一次按压管数8－96个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60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按压时间:3秒/次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60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停留时间:2秒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60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峰值压力:300kg</w:t>
            </w:r>
          </w:p>
        </w:tc>
      </w:tr>
    </w:tbl>
    <w:p>
      <w:pPr>
        <w:pStyle w:val="29"/>
        <w:spacing w:line="360" w:lineRule="auto"/>
        <w:rPr>
          <w:rFonts w:ascii="宋体" w:hAnsi="宋体" w:cs="宋体"/>
          <w:b/>
          <w:bCs/>
          <w:color w:val="000000" w:themeColor="text1"/>
          <w:kern w:val="0"/>
          <w:lang w:bidi="ar"/>
          <w14:textFill>
            <w14:solidFill>
              <w14:schemeClr w14:val="tx1"/>
            </w14:solidFill>
          </w14:textFill>
        </w:rPr>
      </w:pPr>
    </w:p>
    <w:p>
      <w:pPr>
        <w:spacing w:line="360" w:lineRule="auto"/>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23:八道移液器（24把）</w:t>
      </w:r>
    </w:p>
    <w:tbl>
      <w:tblPr>
        <w:tblStyle w:val="23"/>
        <w:tblW w:w="8640"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6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6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八道可调移液器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6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量程0.5–10 μl、10–100 μl、30–300 μl等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6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可分次添加移液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6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61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按实际需求提供不同规格的移液器</w:t>
            </w:r>
          </w:p>
        </w:tc>
      </w:tr>
    </w:tbl>
    <w:p>
      <w:pPr>
        <w:spacing w:line="360" w:lineRule="auto"/>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24单道移液器（60台）</w:t>
      </w:r>
    </w:p>
    <w:tbl>
      <w:tblPr>
        <w:tblStyle w:val="23"/>
        <w:tblW w:w="8660"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7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6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63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单道可调移液器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63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量程1-10ul、10-100ul、20-200ul、100-1000ul等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63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可分次添加移液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63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630"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按实际需求提供不同规格的移液器</w:t>
            </w:r>
          </w:p>
        </w:tc>
      </w:tr>
    </w:tbl>
    <w:p>
      <w:pPr>
        <w:spacing w:line="360" w:lineRule="auto"/>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25:漩涡混合器（12台）</w:t>
      </w:r>
    </w:p>
    <w:tbl>
      <w:tblPr>
        <w:tblStyle w:val="23"/>
        <w:tblW w:w="8903"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810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10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电源：220V    功率：40W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10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转速：2400转/分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10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工作台直径： ￠100mm耐磨橡胶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8100"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外型尺寸： ￠120+100mm</w:t>
            </w:r>
          </w:p>
        </w:tc>
      </w:tr>
    </w:tbl>
    <w:p>
      <w:pPr>
        <w:spacing w:line="360" w:lineRule="auto"/>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26:多管漩涡混合器（20台）</w:t>
      </w:r>
    </w:p>
    <w:tbl>
      <w:tblPr>
        <w:tblStyle w:val="23"/>
        <w:tblW w:w="889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807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077"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一键式旋钮操作模式，简单易用。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077"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1min ~ 99h59min范围内任意设定定时时间，运行结束后自动发出提示音。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077"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多种海绵试管架可选，用途广泛。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8077"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软启动，加速均匀，有效避免样品飞溅。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8077"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直流无刷电机驱动，速度精确、长寿命、免保养。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8077"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最多可以一次处理50个试验样品，让实验高效快捷。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8077"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操作面板简洁，微处理器精确控制，LED实时显示速度和时间。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8077"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人性化的程序设计，内置点动和定时两种操作模式。</w:t>
            </w:r>
          </w:p>
        </w:tc>
      </w:tr>
    </w:tbl>
    <w:p>
      <w:pPr>
        <w:spacing w:line="360" w:lineRule="auto"/>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27:空气消毒机（15台）</w:t>
      </w:r>
    </w:p>
    <w:tbl>
      <w:tblPr>
        <w:tblStyle w:val="23"/>
        <w:tblW w:w="889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807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输入功率:430VA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循环风量:         1300m³/h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定时时间:         0-24h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消毒容积:         120m³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机外紫外线泄露:   ≤1µw/cm²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工作噪音:         ≤50dB(A)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紫外线杀菌灯寿命: ≥8000h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机内紫外线强度:   ≥13800µw/cm²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负氧离子释放量：  ≥6*106No.m³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控制方式:         线控、 遥控、程控</w:t>
            </w:r>
          </w:p>
        </w:tc>
      </w:tr>
    </w:tbl>
    <w:p>
      <w:pPr>
        <w:spacing w:line="360" w:lineRule="auto"/>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28:紫外线消毒车（20台）</w:t>
      </w:r>
    </w:p>
    <w:tbl>
      <w:tblPr>
        <w:tblStyle w:val="23"/>
        <w:tblW w:w="889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807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定时              0-120min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材质              碳钢喷塑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输入功率          160VA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紫外线灯管功率    30W*2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紫外线波长        253.7nm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灯管寿命          ≥5000h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灯管辐照强度      ≥107μw/cm2  （单支灯管）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频率              50Hz±10%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807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灯臂角度          0-180°调节</w:t>
            </w:r>
          </w:p>
        </w:tc>
      </w:tr>
    </w:tbl>
    <w:p>
      <w:pPr>
        <w:spacing w:line="360" w:lineRule="auto"/>
        <w:rPr>
          <w:rFonts w:ascii="宋体" w:cs="宋体"/>
          <w:b/>
          <w:bCs/>
          <w:color w:val="000000" w:themeColor="text1"/>
          <w:sz w:val="24"/>
          <w:szCs w:val="32"/>
          <w14:textFill>
            <w14:solidFill>
              <w14:schemeClr w14:val="tx1"/>
            </w14:solidFill>
          </w14:textFill>
        </w:rPr>
      </w:pPr>
      <w:r>
        <w:rPr>
          <w:rFonts w:hint="eastAsia" w:ascii="宋体" w:hAnsi="宋体"/>
          <w:b/>
          <w:bCs/>
          <w:color w:val="000000" w:themeColor="text1"/>
          <w:sz w:val="24"/>
          <w14:textFill>
            <w14:solidFill>
              <w14:schemeClr w14:val="tx1"/>
            </w14:solidFill>
          </w14:textFill>
        </w:rPr>
        <w:t>三、</w:t>
      </w:r>
      <w:r>
        <w:rPr>
          <w:rFonts w:hint="eastAsia" w:ascii="宋体" w:hAnsi="宋体" w:cs="宋体"/>
          <w:b/>
          <w:bCs/>
          <w:color w:val="000000" w:themeColor="text1"/>
          <w:sz w:val="24"/>
          <w:szCs w:val="32"/>
          <w14:textFill>
            <w14:solidFill>
              <w14:schemeClr w14:val="tx1"/>
            </w14:solidFill>
          </w14:textFill>
        </w:rPr>
        <w:t>商务需求</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、应详细说明维保条款和临床</w:t>
      </w:r>
      <w:r>
        <w:rPr>
          <w:rFonts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维修培训内容（注明保修年限、培训地点及时间、保修是否包含模块等），保修期后维修不收取维修费</w:t>
      </w:r>
      <w:r>
        <w:rPr>
          <w:rFonts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差旅费、只收取配件费，同时保修期后维修必须先维修后付款，同时注明出保后购买保修服务的价格（例：产品总价的</w:t>
      </w:r>
      <w:r>
        <w:rPr>
          <w:rFonts w:ascii="宋体" w:hAnsi="宋体" w:cs="宋体"/>
          <w:color w:val="000000" w:themeColor="text1"/>
          <w:sz w:val="24"/>
          <w:szCs w:val="32"/>
          <w14:textFill>
            <w14:solidFill>
              <w14:schemeClr w14:val="tx1"/>
            </w14:solidFill>
          </w14:textFill>
        </w:rPr>
        <w:t>5%</w:t>
      </w:r>
      <w:r>
        <w:rPr>
          <w:rFonts w:hint="eastAsia" w:ascii="宋体" w:hAnsi="宋体" w:cs="宋体"/>
          <w:color w:val="000000" w:themeColor="text1"/>
          <w:sz w:val="24"/>
          <w:szCs w:val="32"/>
          <w14:textFill>
            <w14:solidFill>
              <w14:schemeClr w14:val="tx1"/>
            </w14:solidFill>
          </w14:textFill>
        </w:rPr>
        <w:t>等）；</w:t>
      </w:r>
      <w:r>
        <w:rPr>
          <w:rFonts w:hint="eastAsia" w:ascii="宋体" w:hAnsi="宋体"/>
          <w:color w:val="000000" w:themeColor="text1"/>
          <w:sz w:val="24"/>
          <w14:textFill>
            <w14:solidFill>
              <w14:schemeClr w14:val="tx1"/>
            </w14:solidFill>
          </w14:textFill>
        </w:rPr>
        <w:t>设备验收合格后免费保修≥3年</w:t>
      </w:r>
      <w:r>
        <w:rPr>
          <w:rFonts w:hint="eastAsia" w:ascii="宋体" w:hAnsi="宋体" w:cs="宋体"/>
          <w:color w:val="000000" w:themeColor="text1"/>
          <w:sz w:val="24"/>
          <w:szCs w:val="32"/>
          <w14:textFill>
            <w14:solidFill>
              <w14:schemeClr w14:val="tx1"/>
            </w14:solidFill>
          </w14:textFill>
        </w:rPr>
        <w:t>。</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、常用配件和耗品：价格清单（详细标明各种相关配件和耗品的型号、价格、注册证号，耗材价格作为重要参考依据，务必详细说明），无耗材报价的默认为该仪器无需耗材。</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3</w:t>
      </w:r>
      <w:r>
        <w:rPr>
          <w:rFonts w:hint="eastAsia" w:ascii="宋体" w:hAnsi="宋体" w:cs="宋体"/>
          <w:color w:val="000000" w:themeColor="text1"/>
          <w:sz w:val="24"/>
          <w:szCs w:val="32"/>
          <w14:textFill>
            <w14:solidFill>
              <w14:schemeClr w14:val="tx1"/>
            </w14:solidFill>
          </w14:textFill>
        </w:rPr>
        <w:t>、提供医院要求的最新机型和软件，免费提供软件升级，及时提供新功能和新技术的安装和临床应用。</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4</w:t>
      </w:r>
      <w:r>
        <w:rPr>
          <w:rFonts w:hint="eastAsia" w:ascii="宋体" w:hAnsi="宋体" w:cs="宋体"/>
          <w:color w:val="000000" w:themeColor="text1"/>
          <w:sz w:val="24"/>
          <w:szCs w:val="32"/>
          <w14:textFill>
            <w14:solidFill>
              <w14:schemeClr w14:val="tx1"/>
            </w14:solidFill>
          </w14:textFill>
        </w:rPr>
        <w:t>、列出全套设备的详细配置清单（包括所有组成部分的规格型号及分项报价、对应的注册证号）。</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5</w:t>
      </w:r>
      <w:r>
        <w:rPr>
          <w:rFonts w:hint="eastAsia" w:ascii="宋体" w:hAnsi="宋体" w:cs="宋体"/>
          <w:color w:val="000000" w:themeColor="text1"/>
          <w:sz w:val="24"/>
          <w:szCs w:val="32"/>
          <w14:textFill>
            <w14:solidFill>
              <w14:schemeClr w14:val="tx1"/>
            </w14:solidFill>
          </w14:textFill>
        </w:rPr>
        <w:t>、上述配置中未提及的，与该系统配套的所有硬件、软件及功能模块请单独报价，如不作特殊说明，则视同包含该型号产品厂方最新发布的所有功能软件和所有选配件。</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6</w:t>
      </w:r>
      <w:r>
        <w:rPr>
          <w:rFonts w:hint="eastAsia" w:ascii="宋体" w:hAnsi="宋体" w:cs="宋体"/>
          <w:color w:val="000000" w:themeColor="text1"/>
          <w:sz w:val="24"/>
          <w:szCs w:val="32"/>
          <w14:textFill>
            <w14:solidFill>
              <w14:schemeClr w14:val="tx1"/>
            </w14:solidFill>
          </w14:textFill>
        </w:rPr>
        <w:t>、验收时需提供投标机型的原始</w:t>
      </w:r>
      <w:r>
        <w:rPr>
          <w:rFonts w:ascii="宋体" w:hAnsi="宋体" w:cs="宋体"/>
          <w:color w:val="000000" w:themeColor="text1"/>
          <w:sz w:val="24"/>
          <w:szCs w:val="32"/>
          <w14:textFill>
            <w14:solidFill>
              <w14:schemeClr w14:val="tx1"/>
            </w14:solidFill>
          </w14:textFill>
        </w:rPr>
        <w:t>DATASHEET</w:t>
      </w:r>
      <w:r>
        <w:rPr>
          <w:rFonts w:hint="eastAsia" w:ascii="宋体" w:hAnsi="宋体" w:cs="宋体"/>
          <w:color w:val="000000" w:themeColor="text1"/>
          <w:sz w:val="24"/>
          <w:szCs w:val="32"/>
          <w14:textFill>
            <w14:solidFill>
              <w14:schemeClr w14:val="tx1"/>
            </w14:solidFill>
          </w14:textFill>
        </w:rPr>
        <w:t>。</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7</w:t>
      </w:r>
      <w:r>
        <w:rPr>
          <w:rFonts w:hint="eastAsia" w:ascii="宋体" w:hAnsi="宋体" w:cs="宋体"/>
          <w:color w:val="000000" w:themeColor="text1"/>
          <w:sz w:val="24"/>
          <w:szCs w:val="32"/>
          <w14:textFill>
            <w14:solidFill>
              <w14:schemeClr w14:val="tx1"/>
            </w14:solidFill>
          </w14:textFill>
        </w:rPr>
        <w:t>、验收时需提供该设备的海关报关单、商检证书、中文操作规程、中文说明书（含维修手册）、装箱单、中文标识和原厂出厂中文检测报告。</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8</w:t>
      </w:r>
      <w:r>
        <w:rPr>
          <w:rFonts w:hint="eastAsia" w:ascii="宋体" w:hAnsi="宋体" w:cs="宋体"/>
          <w:color w:val="000000" w:themeColor="text1"/>
          <w:sz w:val="24"/>
          <w:szCs w:val="32"/>
          <w14:textFill>
            <w14:solidFill>
              <w14:schemeClr w14:val="tx1"/>
            </w14:solidFill>
          </w14:textFill>
        </w:rPr>
        <w:t>、保修期结束后保证所提供仪器十年的零配件供应和维修服务（提供报修后</w:t>
      </w:r>
      <w:r>
        <w:rPr>
          <w:rFonts w:ascii="宋体" w:hAnsi="宋体" w:cs="宋体"/>
          <w:color w:val="000000" w:themeColor="text1"/>
          <w:sz w:val="24"/>
          <w:szCs w:val="32"/>
          <w14:textFill>
            <w14:solidFill>
              <w14:schemeClr w14:val="tx1"/>
            </w14:solidFill>
          </w14:textFill>
        </w:rPr>
        <w:t>24</w:t>
      </w:r>
      <w:r>
        <w:rPr>
          <w:rFonts w:hint="eastAsia" w:ascii="宋体" w:hAnsi="宋体" w:cs="宋体"/>
          <w:color w:val="000000" w:themeColor="text1"/>
          <w:sz w:val="24"/>
          <w:szCs w:val="32"/>
          <w14:textFill>
            <w14:solidFill>
              <w14:schemeClr w14:val="tx1"/>
            </w14:solidFill>
          </w14:textFill>
        </w:rPr>
        <w:t>小时内工程师上门常规付费服务）。</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9</w:t>
      </w:r>
      <w:r>
        <w:rPr>
          <w:rFonts w:hint="eastAsia" w:ascii="宋体" w:hAnsi="宋体" w:cs="宋体"/>
          <w:color w:val="000000" w:themeColor="text1"/>
          <w:sz w:val="24"/>
          <w:szCs w:val="32"/>
          <w14:textFill>
            <w14:solidFill>
              <w14:schemeClr w14:val="tx1"/>
            </w14:solidFill>
          </w14:textFill>
        </w:rPr>
        <w:t>、首次计量检测费用由供应商承担，同时供应商按成本价提供后续计量服务。</w:t>
      </w:r>
    </w:p>
    <w:p>
      <w:pPr>
        <w:widowControl/>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10</w:t>
      </w:r>
      <w:r>
        <w:rPr>
          <w:rFonts w:hint="eastAsia" w:ascii="宋体" w:hAnsi="宋体" w:cs="宋体"/>
          <w:color w:val="000000" w:themeColor="text1"/>
          <w:sz w:val="24"/>
          <w:szCs w:val="32"/>
          <w14:textFill>
            <w14:solidFill>
              <w14:schemeClr w14:val="tx1"/>
            </w14:solidFill>
          </w14:textFill>
        </w:rPr>
        <w:t>、付款方式为：合同签订后支付合同总金额的3</w:t>
      </w:r>
      <w:r>
        <w:rPr>
          <w:rFonts w:ascii="宋体" w:hAnsi="宋体" w:cs="宋体"/>
          <w:color w:val="000000" w:themeColor="text1"/>
          <w:sz w:val="24"/>
          <w:szCs w:val="32"/>
          <w14:textFill>
            <w14:solidFill>
              <w14:schemeClr w14:val="tx1"/>
            </w14:solidFill>
          </w14:textFill>
        </w:rPr>
        <w:t>0%</w:t>
      </w:r>
      <w:r>
        <w:rPr>
          <w:rFonts w:hint="eastAsia" w:ascii="宋体" w:hAnsi="宋体" w:cs="宋体"/>
          <w:color w:val="000000" w:themeColor="text1"/>
          <w:sz w:val="24"/>
          <w:szCs w:val="32"/>
          <w14:textFill>
            <w14:solidFill>
              <w14:schemeClr w14:val="tx1"/>
            </w14:solidFill>
          </w14:textFill>
        </w:rPr>
        <w:t>，货到安装调试验收合格并收到所有证件资料后付清余款。同时在付款之前要求乙方开出相应金额发票给甲方，以便付款。</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11</w:t>
      </w:r>
      <w:r>
        <w:rPr>
          <w:rFonts w:hint="eastAsia" w:ascii="宋体" w:hAnsi="宋体" w:cs="宋体"/>
          <w:color w:val="000000" w:themeColor="text1"/>
          <w:sz w:val="24"/>
          <w:szCs w:val="32"/>
          <w14:textFill>
            <w14:solidFill>
              <w14:schemeClr w14:val="tx1"/>
            </w14:solidFill>
          </w14:textFill>
        </w:rPr>
        <w:t>、中标后供应商承诺提供的产品生产日期应是一年内（合同签订日期开始倒推</w:t>
      </w: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年）生产的原装全新未曾使用的产品。</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12</w:t>
      </w:r>
      <w:r>
        <w:rPr>
          <w:rFonts w:hint="eastAsia" w:ascii="宋体" w:hAnsi="宋体" w:cs="宋体"/>
          <w:color w:val="000000" w:themeColor="text1"/>
          <w:sz w:val="24"/>
          <w:szCs w:val="32"/>
          <w14:textFill>
            <w14:solidFill>
              <w14:schemeClr w14:val="tx1"/>
            </w14:solidFill>
          </w14:textFill>
        </w:rPr>
        <w:t>、交货期及地点：2022年2月下旬之前按院方要求货到指定地点并完成安装调试。（根据基地施工情况及疫情可适当调整）</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13</w:t>
      </w:r>
      <w:r>
        <w:rPr>
          <w:rFonts w:hint="eastAsia" w:ascii="宋体" w:hAnsi="宋体" w:cs="宋体"/>
          <w:color w:val="000000" w:themeColor="text1"/>
          <w:sz w:val="24"/>
          <w:szCs w:val="32"/>
          <w14:textFill>
            <w14:solidFill>
              <w14:schemeClr w14:val="tx1"/>
            </w14:solidFill>
          </w14:textFill>
        </w:rPr>
        <w:t>、厂家提供</w:t>
      </w:r>
      <w:r>
        <w:rPr>
          <w:rFonts w:ascii="宋体" w:hAnsi="宋体" w:cs="宋体"/>
          <w:color w:val="000000" w:themeColor="text1"/>
          <w:sz w:val="24"/>
          <w:szCs w:val="32"/>
          <w14:textFill>
            <w14:solidFill>
              <w14:schemeClr w14:val="tx1"/>
            </w14:solidFill>
          </w14:textFill>
        </w:rPr>
        <w:t>24</w:t>
      </w:r>
      <w:r>
        <w:rPr>
          <w:rFonts w:hint="eastAsia" w:ascii="宋体" w:hAnsi="宋体" w:cs="宋体"/>
          <w:color w:val="000000" w:themeColor="text1"/>
          <w:sz w:val="24"/>
          <w:szCs w:val="32"/>
          <w14:textFill>
            <w14:solidFill>
              <w14:schemeClr w14:val="tx1"/>
            </w14:solidFill>
          </w14:textFill>
        </w:rPr>
        <w:t>小时在线服务，一般故障</w:t>
      </w:r>
      <w:r>
        <w:rPr>
          <w:rFonts w:ascii="宋体" w:hAnsi="宋体" w:cs="宋体"/>
          <w:color w:val="000000" w:themeColor="text1"/>
          <w:sz w:val="24"/>
          <w:szCs w:val="32"/>
          <w14:textFill>
            <w14:solidFill>
              <w14:schemeClr w14:val="tx1"/>
            </w14:solidFill>
          </w14:textFill>
        </w:rPr>
        <w:t>24</w:t>
      </w:r>
      <w:r>
        <w:rPr>
          <w:rFonts w:hint="eastAsia" w:ascii="宋体" w:hAnsi="宋体" w:cs="宋体"/>
          <w:color w:val="000000" w:themeColor="text1"/>
          <w:sz w:val="24"/>
          <w:szCs w:val="32"/>
          <w14:textFill>
            <w14:solidFill>
              <w14:schemeClr w14:val="tx1"/>
            </w14:solidFill>
          </w14:textFill>
        </w:rPr>
        <w:t>小时内修复；如需更换配件，应在</w:t>
      </w:r>
      <w:r>
        <w:rPr>
          <w:rFonts w:ascii="宋体" w:hAnsi="宋体" w:cs="宋体"/>
          <w:color w:val="000000" w:themeColor="text1"/>
          <w:sz w:val="24"/>
          <w:szCs w:val="32"/>
          <w14:textFill>
            <w14:solidFill>
              <w14:schemeClr w14:val="tx1"/>
            </w14:solidFill>
          </w14:textFill>
        </w:rPr>
        <w:t>72</w:t>
      </w:r>
      <w:r>
        <w:rPr>
          <w:rFonts w:hint="eastAsia" w:ascii="宋体" w:hAnsi="宋体" w:cs="宋体"/>
          <w:color w:val="000000" w:themeColor="text1"/>
          <w:sz w:val="24"/>
          <w:szCs w:val="32"/>
          <w14:textFill>
            <w14:solidFill>
              <w14:schemeClr w14:val="tx1"/>
            </w14:solidFill>
          </w14:textFill>
        </w:rPr>
        <w:t>小时内解决问题，如不能解决，厂家需提供备用机供用户使用。</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14</w:t>
      </w:r>
      <w:r>
        <w:rPr>
          <w:rFonts w:hint="eastAsia" w:ascii="宋体" w:hAnsi="宋体" w:cs="宋体"/>
          <w:color w:val="000000" w:themeColor="text1"/>
          <w:sz w:val="24"/>
          <w:szCs w:val="32"/>
          <w14:textFill>
            <w14:solidFill>
              <w14:schemeClr w14:val="tx1"/>
            </w14:solidFill>
          </w14:textFill>
        </w:rPr>
        <w:t>、仪器安装后若发现主要参数与标书响应不符，应无条件退货，供应商承担全部责任。</w:t>
      </w:r>
    </w:p>
    <w:p>
      <w:pPr>
        <w:spacing w:line="360" w:lineRule="auto"/>
        <w:rPr>
          <w:rFonts w:asci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四、其他</w:t>
      </w:r>
    </w:p>
    <w:p>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本项目中标（成交）供应商应在政府采购云平台（</w:t>
      </w:r>
      <w:r>
        <w:rPr>
          <w:rFonts w:ascii="宋体" w:hAnsi="宋体" w:cs="宋体"/>
          <w:color w:val="000000" w:themeColor="text1"/>
          <w:sz w:val="24"/>
          <w:szCs w:val="32"/>
          <w14:textFill>
            <w14:solidFill>
              <w14:schemeClr w14:val="tx1"/>
            </w14:solidFill>
          </w14:textFill>
        </w:rPr>
        <w:t>https://www.zcy.gov.cn/</w:t>
      </w:r>
      <w:r>
        <w:rPr>
          <w:rFonts w:hint="eastAsia" w:ascii="宋体" w:hAnsi="宋体" w:cs="宋体"/>
          <w:color w:val="000000" w:themeColor="text1"/>
          <w:sz w:val="24"/>
          <w:szCs w:val="32"/>
          <w14:textFill>
            <w14:solidFill>
              <w14:schemeClr w14:val="tx1"/>
            </w14:solidFill>
          </w14:textFill>
        </w:rPr>
        <w:t>）上注册成为“政采云正式供应商”，如不按要求注册的，采购方有权延期发布中标（成交）通知书和中标（成交）公告，后果由供应商自行承担。</w:t>
      </w:r>
    </w:p>
    <w:p>
      <w:pPr>
        <w:rPr>
          <w:color w:val="000000" w:themeColor="text1"/>
          <w14:textFill>
            <w14:solidFill>
              <w14:schemeClr w14:val="tx1"/>
            </w14:solidFill>
          </w14:textFill>
        </w:rPr>
      </w:pPr>
    </w:p>
    <w:p>
      <w:pPr>
        <w:pStyle w:val="21"/>
        <w:rPr>
          <w:color w:val="000000" w:themeColor="text1"/>
          <w:lang w:val="en-US"/>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b/>
          <w:color w:val="000000" w:themeColor="text1"/>
          <w:kern w:val="0"/>
          <w:sz w:val="36"/>
          <w14:textFill>
            <w14:solidFill>
              <w14:schemeClr w14:val="tx1"/>
            </w14:solidFill>
          </w14:textFill>
        </w:rPr>
      </w:pPr>
    </w:p>
    <w:p>
      <w:pPr>
        <w:pStyle w:val="3"/>
        <w:rPr>
          <w:color w:val="000000" w:themeColor="text1"/>
          <w14:textFill>
            <w14:solidFill>
              <w14:schemeClr w14:val="tx1"/>
            </w14:solidFill>
          </w14:textFill>
        </w:rPr>
      </w:pPr>
    </w:p>
    <w:p>
      <w:pPr>
        <w:pStyle w:val="2"/>
        <w:ind w:firstLine="24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9"/>
        <w:rPr>
          <w:color w:val="000000" w:themeColor="text1"/>
          <w14:textFill>
            <w14:solidFill>
              <w14:schemeClr w14:val="tx1"/>
            </w14:solidFill>
          </w14:textFill>
        </w:rPr>
      </w:pPr>
    </w:p>
    <w:p>
      <w:pPr>
        <w:pStyle w:val="29"/>
        <w:rPr>
          <w:color w:val="000000" w:themeColor="text1"/>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firstLine="1446" w:firstLineChars="400"/>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firstLine="1446" w:firstLineChars="400"/>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firstLine="1446" w:firstLineChars="400"/>
        <w:rPr>
          <w:rFonts w:ascii="宋体"/>
          <w:b/>
          <w:color w:val="000000" w:themeColor="text1"/>
          <w:kern w:val="0"/>
          <w:sz w:val="36"/>
          <w14:textFill>
            <w14:solidFill>
              <w14:schemeClr w14:val="tx1"/>
            </w14:solidFill>
          </w14:textFill>
        </w:rPr>
      </w:pPr>
      <w:r>
        <w:rPr>
          <w:rFonts w:hint="eastAsia" w:ascii="宋体"/>
          <w:b/>
          <w:color w:val="000000" w:themeColor="text1"/>
          <w:kern w:val="0"/>
          <w:sz w:val="36"/>
          <w14:textFill>
            <w14:solidFill>
              <w14:schemeClr w14:val="tx1"/>
            </w14:solidFill>
          </w14:textFill>
        </w:rPr>
        <w:t>第四章</w:t>
      </w:r>
      <w:r>
        <w:rPr>
          <w:rFonts w:ascii="宋体"/>
          <w:b/>
          <w:color w:val="000000" w:themeColor="text1"/>
          <w:kern w:val="0"/>
          <w:sz w:val="36"/>
          <w14:textFill>
            <w14:solidFill>
              <w14:schemeClr w14:val="tx1"/>
            </w14:solidFill>
          </w14:textFill>
        </w:rPr>
        <w:t xml:space="preserve">  </w:t>
      </w:r>
      <w:r>
        <w:rPr>
          <w:rFonts w:hint="eastAsia" w:ascii="宋体"/>
          <w:b/>
          <w:color w:val="000000" w:themeColor="text1"/>
          <w:kern w:val="0"/>
          <w:sz w:val="36"/>
          <w14:textFill>
            <w14:solidFill>
              <w14:schemeClr w14:val="tx1"/>
            </w14:solidFill>
          </w14:textFill>
        </w:rPr>
        <w:t>政府采购合同主要条款指引</w:t>
      </w:r>
    </w:p>
    <w:p>
      <w:pPr>
        <w:pStyle w:val="12"/>
        <w:snapToGrid w:val="0"/>
        <w:spacing w:line="360" w:lineRule="auto"/>
        <w:jc w:val="left"/>
        <w:rPr>
          <w:rFonts w:hAnsi="宋体"/>
          <w:color w:val="000000" w:themeColor="text1"/>
          <w:sz w:val="24"/>
          <w14:textFill>
            <w14:solidFill>
              <w14:schemeClr w14:val="tx1"/>
            </w14:solidFill>
          </w14:textFill>
        </w:rPr>
      </w:pP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spacing w:line="360" w:lineRule="auto"/>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甲方：</w:t>
      </w:r>
      <w:r>
        <w:rPr>
          <w:rFonts w:hint="eastAsia" w:ascii="宋体" w:hAnsi="宋体" w:cs="宋体"/>
          <w:b/>
          <w:bCs/>
          <w:color w:val="000000" w:themeColor="text1"/>
          <w:sz w:val="24"/>
          <w:szCs w:val="32"/>
          <w14:textFill>
            <w14:solidFill>
              <w14:schemeClr w14:val="tx1"/>
            </w14:solidFill>
          </w14:textFill>
        </w:rPr>
        <w:t>台州恩泽医疗中心（集团）</w:t>
      </w:r>
      <w:r>
        <w:rPr>
          <w:rFonts w:hint="eastAsia" w:ascii="宋体" w:hAnsi="宋体" w:cs="宋体"/>
          <w:color w:val="000000" w:themeColor="text1"/>
          <w:sz w:val="24"/>
          <w:szCs w:val="32"/>
          <w14:textFill>
            <w14:solidFill>
              <w14:schemeClr w14:val="tx1"/>
            </w14:solidFill>
          </w14:textFill>
        </w:rPr>
        <w:t>（以下简称甲方）</w:t>
      </w:r>
    </w:p>
    <w:p>
      <w:pPr>
        <w:spacing w:line="360" w:lineRule="auto"/>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乙方：</w:t>
      </w:r>
      <w:r>
        <w:rPr>
          <w:rFonts w:ascii="宋体" w:hAnsi="宋体" w:cs="宋体"/>
          <w:b/>
          <w:bCs/>
          <w:color w:val="000000" w:themeColor="text1"/>
          <w:sz w:val="24"/>
          <w:szCs w:val="32"/>
          <w:u w:val="single"/>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（以下简称乙方）</w:t>
      </w:r>
    </w:p>
    <w:p>
      <w:pPr>
        <w:spacing w:line="360" w:lineRule="auto"/>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合同签约地：浙江省台州市</w:t>
      </w:r>
    </w:p>
    <w:p>
      <w:pPr>
        <w:spacing w:line="360" w:lineRule="auto"/>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合同编号：</w:t>
      </w:r>
    </w:p>
    <w:p>
      <w:pPr>
        <w:spacing w:line="360" w:lineRule="auto"/>
        <w:jc w:val="center"/>
        <w:rPr>
          <w:rFonts w:asci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第一章</w:t>
      </w:r>
      <w:r>
        <w:rPr>
          <w:rFonts w:ascii="宋体" w:hAnsi="宋体" w:cs="宋体"/>
          <w:b/>
          <w:bCs/>
          <w:color w:val="000000" w:themeColor="text1"/>
          <w:sz w:val="24"/>
          <w:szCs w:val="32"/>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总</w:t>
      </w:r>
      <w:r>
        <w:rPr>
          <w:rFonts w:ascii="宋体" w:hAnsi="宋体" w:cs="宋体"/>
          <w:b/>
          <w:bCs/>
          <w:color w:val="000000" w:themeColor="text1"/>
          <w:sz w:val="24"/>
          <w:szCs w:val="32"/>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则</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、根据招标情况和评标标准，确定乙方为中标人。根据招标处理办法，甲乙双方本着平等互惠、友好合作的原则，特签订本合同。</w:t>
      </w:r>
    </w:p>
    <w:p>
      <w:pPr>
        <w:spacing w:line="360" w:lineRule="auto"/>
        <w:jc w:val="center"/>
        <w:rPr>
          <w:rFonts w:asci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第二章</w:t>
      </w:r>
      <w:r>
        <w:rPr>
          <w:rFonts w:ascii="宋体" w:hAnsi="宋体" w:cs="宋体"/>
          <w:b/>
          <w:bCs/>
          <w:color w:val="000000" w:themeColor="text1"/>
          <w:sz w:val="24"/>
          <w:szCs w:val="32"/>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标</w:t>
      </w:r>
      <w:r>
        <w:rPr>
          <w:rFonts w:ascii="宋体" w:hAnsi="宋体" w:cs="宋体"/>
          <w:b/>
          <w:bCs/>
          <w:color w:val="000000" w:themeColor="text1"/>
          <w:sz w:val="24"/>
          <w:szCs w:val="32"/>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的</w:t>
      </w:r>
      <w:r>
        <w:rPr>
          <w:rFonts w:ascii="宋体" w:hAnsi="宋体" w:cs="宋体"/>
          <w:b/>
          <w:bCs/>
          <w:color w:val="000000" w:themeColor="text1"/>
          <w:sz w:val="24"/>
          <w:szCs w:val="32"/>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物</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、商品的名称、品牌、规格型号、产地、数量、价格等</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24"/>
        <w:gridCol w:w="696"/>
        <w:gridCol w:w="1176"/>
        <w:gridCol w:w="696"/>
        <w:gridCol w:w="696"/>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56"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序号</w:t>
            </w:r>
          </w:p>
        </w:tc>
        <w:tc>
          <w:tcPr>
            <w:tcW w:w="1524"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商品名称</w:t>
            </w:r>
          </w:p>
        </w:tc>
        <w:tc>
          <w:tcPr>
            <w:tcW w:w="696"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品牌</w:t>
            </w:r>
          </w:p>
        </w:tc>
        <w:tc>
          <w:tcPr>
            <w:tcW w:w="1176"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规格型号</w:t>
            </w:r>
          </w:p>
        </w:tc>
        <w:tc>
          <w:tcPr>
            <w:tcW w:w="696"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产地</w:t>
            </w:r>
          </w:p>
        </w:tc>
        <w:tc>
          <w:tcPr>
            <w:tcW w:w="696"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数量</w:t>
            </w:r>
          </w:p>
        </w:tc>
        <w:tc>
          <w:tcPr>
            <w:tcW w:w="1236"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单价</w:t>
            </w:r>
          </w:p>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（万元）</w:t>
            </w:r>
          </w:p>
        </w:tc>
        <w:tc>
          <w:tcPr>
            <w:tcW w:w="1236"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总价</w:t>
            </w:r>
          </w:p>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56" w:type="dxa"/>
            <w:vAlign w:val="center"/>
          </w:tcPr>
          <w:p>
            <w:pPr>
              <w:jc w:val="center"/>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w:t>
            </w:r>
          </w:p>
        </w:tc>
        <w:tc>
          <w:tcPr>
            <w:tcW w:w="1524" w:type="dxa"/>
            <w:vAlign w:val="center"/>
          </w:tcPr>
          <w:p>
            <w:pPr>
              <w:jc w:val="center"/>
              <w:rPr>
                <w:rFonts w:ascii="宋体" w:cs="宋体"/>
                <w:color w:val="000000" w:themeColor="text1"/>
                <w:sz w:val="24"/>
                <w:szCs w:val="32"/>
                <w14:textFill>
                  <w14:solidFill>
                    <w14:schemeClr w14:val="tx1"/>
                  </w14:solidFill>
                </w14:textFill>
              </w:rPr>
            </w:pPr>
          </w:p>
        </w:tc>
        <w:tc>
          <w:tcPr>
            <w:tcW w:w="696" w:type="dxa"/>
            <w:vAlign w:val="center"/>
          </w:tcPr>
          <w:p>
            <w:pPr>
              <w:jc w:val="center"/>
              <w:rPr>
                <w:rFonts w:ascii="宋体" w:cs="宋体"/>
                <w:color w:val="000000" w:themeColor="text1"/>
                <w:sz w:val="24"/>
                <w:szCs w:val="32"/>
                <w14:textFill>
                  <w14:solidFill>
                    <w14:schemeClr w14:val="tx1"/>
                  </w14:solidFill>
                </w14:textFill>
              </w:rPr>
            </w:pPr>
          </w:p>
        </w:tc>
        <w:tc>
          <w:tcPr>
            <w:tcW w:w="1176" w:type="dxa"/>
            <w:vAlign w:val="center"/>
          </w:tcPr>
          <w:p>
            <w:pPr>
              <w:jc w:val="center"/>
              <w:rPr>
                <w:rFonts w:ascii="宋体" w:cs="宋体"/>
                <w:color w:val="000000" w:themeColor="text1"/>
                <w:sz w:val="24"/>
                <w:szCs w:val="32"/>
                <w14:textFill>
                  <w14:solidFill>
                    <w14:schemeClr w14:val="tx1"/>
                  </w14:solidFill>
                </w14:textFill>
              </w:rPr>
            </w:pPr>
          </w:p>
        </w:tc>
        <w:tc>
          <w:tcPr>
            <w:tcW w:w="696" w:type="dxa"/>
            <w:vAlign w:val="center"/>
          </w:tcPr>
          <w:p>
            <w:pPr>
              <w:jc w:val="center"/>
              <w:rPr>
                <w:rFonts w:ascii="宋体" w:cs="宋体"/>
                <w:color w:val="000000" w:themeColor="text1"/>
                <w:sz w:val="24"/>
                <w:szCs w:val="32"/>
                <w14:textFill>
                  <w14:solidFill>
                    <w14:schemeClr w14:val="tx1"/>
                  </w14:solidFill>
                </w14:textFill>
              </w:rPr>
            </w:pPr>
          </w:p>
        </w:tc>
        <w:tc>
          <w:tcPr>
            <w:tcW w:w="696" w:type="dxa"/>
            <w:vAlign w:val="center"/>
          </w:tcPr>
          <w:p>
            <w:pPr>
              <w:jc w:val="center"/>
              <w:rPr>
                <w:rFonts w:ascii="宋体" w:cs="宋体"/>
                <w:color w:val="000000" w:themeColor="text1"/>
                <w:sz w:val="24"/>
                <w:szCs w:val="32"/>
                <w14:textFill>
                  <w14:solidFill>
                    <w14:schemeClr w14:val="tx1"/>
                  </w14:solidFill>
                </w14:textFill>
              </w:rPr>
            </w:pPr>
          </w:p>
        </w:tc>
        <w:tc>
          <w:tcPr>
            <w:tcW w:w="1236" w:type="dxa"/>
            <w:vAlign w:val="center"/>
          </w:tcPr>
          <w:p>
            <w:pPr>
              <w:jc w:val="center"/>
              <w:rPr>
                <w:rFonts w:ascii="宋体" w:cs="宋体"/>
                <w:color w:val="000000" w:themeColor="text1"/>
                <w:sz w:val="24"/>
                <w:szCs w:val="32"/>
                <w14:textFill>
                  <w14:solidFill>
                    <w14:schemeClr w14:val="tx1"/>
                  </w14:solidFill>
                </w14:textFill>
              </w:rPr>
            </w:pPr>
          </w:p>
        </w:tc>
        <w:tc>
          <w:tcPr>
            <w:tcW w:w="1236" w:type="dxa"/>
            <w:vAlign w:val="center"/>
          </w:tcPr>
          <w:p>
            <w:pPr>
              <w:jc w:val="center"/>
              <w:rPr>
                <w:rFonts w:ascii="宋体" w:cs="宋体"/>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56"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p>
        </w:tc>
        <w:tc>
          <w:tcPr>
            <w:tcW w:w="1524"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p>
        </w:tc>
        <w:tc>
          <w:tcPr>
            <w:tcW w:w="696"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p>
        </w:tc>
        <w:tc>
          <w:tcPr>
            <w:tcW w:w="1176"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p>
        </w:tc>
        <w:tc>
          <w:tcPr>
            <w:tcW w:w="696"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p>
        </w:tc>
        <w:tc>
          <w:tcPr>
            <w:tcW w:w="696"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p>
        </w:tc>
        <w:tc>
          <w:tcPr>
            <w:tcW w:w="1236"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p>
        </w:tc>
        <w:tc>
          <w:tcPr>
            <w:tcW w:w="1236" w:type="dxa"/>
            <w:vAlign w:val="center"/>
          </w:tcPr>
          <w:p>
            <w:pPr>
              <w:jc w:val="cente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8116" w:type="dxa"/>
            <w:gridSpan w:val="8"/>
            <w:vAlign w:val="center"/>
          </w:tcPr>
          <w:p>
            <w:pPr>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合计人民币（大写）：</w:t>
            </w:r>
            <w:r>
              <w:rPr>
                <w:rFonts w:ascii="宋体" w:hAnsi="宋体" w:cs="宋体"/>
                <w:color w:val="000000" w:themeColor="text1"/>
                <w:sz w:val="24"/>
                <w:szCs w:val="32"/>
                <w:u w:val="single"/>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元整。</w:t>
            </w:r>
          </w:p>
        </w:tc>
      </w:tr>
    </w:tbl>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、以上合同总价包含产品到达甲方并能正常使用所需的一切费用。</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3</w:t>
      </w:r>
      <w:r>
        <w:rPr>
          <w:rFonts w:hint="eastAsia" w:ascii="宋体" w:hAnsi="宋体" w:cs="宋体"/>
          <w:color w:val="000000" w:themeColor="text1"/>
          <w:sz w:val="24"/>
          <w:szCs w:val="32"/>
          <w14:textFill>
            <w14:solidFill>
              <w14:schemeClr w14:val="tx1"/>
            </w14:solidFill>
          </w14:textFill>
        </w:rPr>
        <w:t>、配置要求详见配置清单。</w:t>
      </w:r>
    </w:p>
    <w:p>
      <w:pPr>
        <w:spacing w:line="360" w:lineRule="auto"/>
        <w:jc w:val="center"/>
        <w:rPr>
          <w:rFonts w:asci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第三章</w:t>
      </w:r>
      <w:r>
        <w:rPr>
          <w:rFonts w:ascii="宋体" w:hAnsi="宋体" w:cs="宋体"/>
          <w:b/>
          <w:bCs/>
          <w:color w:val="000000" w:themeColor="text1"/>
          <w:sz w:val="24"/>
          <w:szCs w:val="32"/>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付款方式</w:t>
      </w:r>
    </w:p>
    <w:p>
      <w:pPr>
        <w:spacing w:line="360" w:lineRule="auto"/>
        <w:ind w:firstLine="480" w:firstLineChars="200"/>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合同签订前中标单位向采购单位缴纳合同金额</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履约保证金，履约保证金在项目通过验收并正常运行时间达到</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年后无息退还。（履约保证金可采用保函、担保、转账、银行支票等形式）</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、合同签订后支付合同总金额的3</w:t>
      </w:r>
      <w:r>
        <w:rPr>
          <w:rFonts w:ascii="宋体" w:hAnsi="宋体" w:cs="宋体"/>
          <w:color w:val="000000" w:themeColor="text1"/>
          <w:sz w:val="24"/>
          <w:szCs w:val="32"/>
          <w14:textFill>
            <w14:solidFill>
              <w14:schemeClr w14:val="tx1"/>
            </w14:solidFill>
          </w14:textFill>
        </w:rPr>
        <w:t>0%</w:t>
      </w:r>
      <w:r>
        <w:rPr>
          <w:rFonts w:hint="eastAsia" w:ascii="宋体" w:hAnsi="宋体" w:cs="宋体"/>
          <w:color w:val="000000" w:themeColor="text1"/>
          <w:sz w:val="24"/>
          <w:szCs w:val="32"/>
          <w14:textFill>
            <w14:solidFill>
              <w14:schemeClr w14:val="tx1"/>
            </w14:solidFill>
          </w14:textFill>
        </w:rPr>
        <w:t>，货到安装调试验收合格并收到所有证件资料后付清余款。同时在付款之前要求乙方开出相应金额发票给甲方，以便付款。</w:t>
      </w:r>
    </w:p>
    <w:p>
      <w:pPr>
        <w:spacing w:line="360" w:lineRule="auto"/>
        <w:jc w:val="center"/>
        <w:rPr>
          <w:rFonts w:asci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第四章</w:t>
      </w:r>
      <w:r>
        <w:rPr>
          <w:rFonts w:ascii="宋体" w:hAnsi="宋体" w:cs="宋体"/>
          <w:b/>
          <w:bCs/>
          <w:color w:val="000000" w:themeColor="text1"/>
          <w:sz w:val="24"/>
          <w:szCs w:val="32"/>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交货时间、地点</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、乙方在合同签订后</w:t>
      </w:r>
      <w:r>
        <w:rPr>
          <w:rFonts w:hint="eastAsia" w:ascii="宋体" w:hAnsi="宋体"/>
          <w:bCs/>
          <w:color w:val="000000" w:themeColor="text1"/>
          <w:sz w:val="24"/>
          <w14:textFill>
            <w14:solidFill>
              <w14:schemeClr w14:val="tx1"/>
            </w14:solidFill>
          </w14:textFill>
        </w:rPr>
        <w:t>2022年  月  日前</w:t>
      </w:r>
      <w:r>
        <w:rPr>
          <w:rFonts w:hint="eastAsia" w:ascii="宋体" w:hAnsi="宋体" w:cs="宋体"/>
          <w:color w:val="000000" w:themeColor="text1"/>
          <w:sz w:val="24"/>
          <w:szCs w:val="32"/>
          <w14:textFill>
            <w14:solidFill>
              <w14:schemeClr w14:val="tx1"/>
            </w14:solidFill>
          </w14:textFill>
        </w:rPr>
        <w:t>把货物送到医院，如发生由于乙方原因产生的逾期到货，乙方应按照逾期到货部分价款的每天</w:t>
      </w:r>
      <w:r>
        <w:rPr>
          <w:rFonts w:ascii="宋体" w:hAnsi="宋体" w:cs="宋体"/>
          <w:color w:val="000000" w:themeColor="text1"/>
          <w:sz w:val="24"/>
          <w:szCs w:val="32"/>
          <w14:textFill>
            <w14:solidFill>
              <w14:schemeClr w14:val="tx1"/>
            </w14:solidFill>
          </w14:textFill>
        </w:rPr>
        <w:t>0.3%</w:t>
      </w:r>
      <w:r>
        <w:rPr>
          <w:rFonts w:hint="eastAsia" w:ascii="宋体" w:hAnsi="宋体" w:cs="宋体"/>
          <w:color w:val="000000" w:themeColor="text1"/>
          <w:sz w:val="24"/>
          <w:szCs w:val="32"/>
          <w14:textFill>
            <w14:solidFill>
              <w14:schemeClr w14:val="tx1"/>
            </w14:solidFill>
          </w14:textFill>
        </w:rPr>
        <w:t>向甲方付违约金。（因基地施工情况或疫情影响，可适当调整到货时间）</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、交货地点：甲方指定地点。</w:t>
      </w:r>
    </w:p>
    <w:p>
      <w:pPr>
        <w:spacing w:line="360" w:lineRule="auto"/>
        <w:jc w:val="center"/>
        <w:rPr>
          <w:rFonts w:asci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第五章</w:t>
      </w:r>
      <w:r>
        <w:rPr>
          <w:rFonts w:ascii="宋体" w:hAnsi="宋体" w:cs="宋体"/>
          <w:b/>
          <w:bCs/>
          <w:color w:val="000000" w:themeColor="text1"/>
          <w:sz w:val="24"/>
          <w:szCs w:val="32"/>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货物包装、到货及安装验收</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、乙方应在货物发运前对其进行满足运输距离、防潮、防震、防锈和防破损装卸等符合该货物国家相关规范及本身运输需要的要求包装，以保证货物安全运达甲方指定地点。</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、乙方应在货物发送前</w:t>
      </w:r>
      <w:r>
        <w:rPr>
          <w:rFonts w:ascii="宋体" w:hAnsi="宋体" w:cs="宋体"/>
          <w:color w:val="000000" w:themeColor="text1"/>
          <w:sz w:val="24"/>
          <w:szCs w:val="32"/>
          <w14:textFill>
            <w14:solidFill>
              <w14:schemeClr w14:val="tx1"/>
            </w14:solidFill>
          </w14:textFill>
        </w:rPr>
        <w:t>48</w:t>
      </w:r>
      <w:r>
        <w:rPr>
          <w:rFonts w:hint="eastAsia" w:ascii="宋体" w:hAnsi="宋体" w:cs="宋体"/>
          <w:color w:val="000000" w:themeColor="text1"/>
          <w:sz w:val="24"/>
          <w:szCs w:val="32"/>
          <w14:textFill>
            <w14:solidFill>
              <w14:schemeClr w14:val="tx1"/>
            </w14:solidFill>
          </w14:textFill>
        </w:rPr>
        <w:t>小时通知甲方发货信息；货物到后，乙方负责在经甲方电话或书面通知后</w:t>
      </w:r>
      <w:r>
        <w:rPr>
          <w:rFonts w:ascii="宋体" w:hAnsi="宋体" w:cs="宋体"/>
          <w:color w:val="000000" w:themeColor="text1"/>
          <w:sz w:val="24"/>
          <w:szCs w:val="32"/>
          <w14:textFill>
            <w14:solidFill>
              <w14:schemeClr w14:val="tx1"/>
            </w14:solidFill>
          </w14:textFill>
        </w:rPr>
        <w:t>3</w:t>
      </w:r>
      <w:r>
        <w:rPr>
          <w:rFonts w:hint="eastAsia" w:ascii="宋体" w:hAnsi="宋体" w:cs="宋体"/>
          <w:color w:val="000000" w:themeColor="text1"/>
          <w:sz w:val="24"/>
          <w:szCs w:val="32"/>
          <w14:textFill>
            <w14:solidFill>
              <w14:schemeClr w14:val="tx1"/>
            </w14:solidFill>
          </w14:textFill>
        </w:rPr>
        <w:t>个工作日内派工程师到院安装，如超过时间，每天按货物总价的</w:t>
      </w:r>
      <w:r>
        <w:rPr>
          <w:rFonts w:ascii="宋体" w:hAnsi="宋体" w:cs="宋体"/>
          <w:color w:val="000000" w:themeColor="text1"/>
          <w:sz w:val="24"/>
          <w:szCs w:val="32"/>
          <w14:textFill>
            <w14:solidFill>
              <w14:schemeClr w14:val="tx1"/>
            </w14:solidFill>
          </w14:textFill>
        </w:rPr>
        <w:t>0.3%</w:t>
      </w:r>
      <w:r>
        <w:rPr>
          <w:rFonts w:hint="eastAsia" w:ascii="宋体" w:hAnsi="宋体" w:cs="宋体"/>
          <w:color w:val="000000" w:themeColor="text1"/>
          <w:sz w:val="24"/>
          <w:szCs w:val="32"/>
          <w14:textFill>
            <w14:solidFill>
              <w14:schemeClr w14:val="tx1"/>
            </w14:solidFill>
          </w14:textFill>
        </w:rPr>
        <w:t>作为违约金付给甲方。</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3</w:t>
      </w:r>
      <w:r>
        <w:rPr>
          <w:rFonts w:hint="eastAsia" w:ascii="宋体" w:hAnsi="宋体" w:cs="宋体"/>
          <w:color w:val="000000" w:themeColor="text1"/>
          <w:sz w:val="24"/>
          <w:szCs w:val="32"/>
          <w14:textFill>
            <w14:solidFill>
              <w14:schemeClr w14:val="tx1"/>
            </w14:solidFill>
          </w14:textFill>
        </w:rPr>
        <w:t>、设备验收规定</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）双方工作人员清点到货设备品名、数量、产地、规格型号、中文标识及合法证件等。</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r>
        <w:rPr>
          <w:rFonts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甲乙双方应按照合同及投标文件和承诺书对配置、功能以及其他相关数据测试方面进行一一验收。同时要求乙方提供海关报关单（如是进口设备）、商检证书（如是进口设备）、中文出厂检测报告、中文操作规程等文件资料用于验收。</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r>
        <w:rPr>
          <w:rFonts w:ascii="宋体" w:hAnsi="宋体" w:cs="宋体"/>
          <w:color w:val="000000" w:themeColor="text1"/>
          <w:sz w:val="24"/>
          <w:szCs w:val="32"/>
          <w14:textFill>
            <w14:solidFill>
              <w14:schemeClr w14:val="tx1"/>
            </w14:solidFill>
          </w14:textFill>
        </w:rPr>
        <w:t>3</w:t>
      </w:r>
      <w:r>
        <w:rPr>
          <w:rFonts w:hint="eastAsia" w:ascii="宋体" w:hAnsi="宋体" w:cs="宋体"/>
          <w:color w:val="000000" w:themeColor="text1"/>
          <w:sz w:val="24"/>
          <w:szCs w:val="32"/>
          <w14:textFill>
            <w14:solidFill>
              <w14:schemeClr w14:val="tx1"/>
            </w14:solidFill>
          </w14:textFill>
        </w:rPr>
        <w:t>）对技术复杂的货物，甲方应邀请国家认可的专业检测机构或质控机构参与验收，并由其出具质量检测报告。</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r>
        <w:rPr>
          <w:rFonts w:ascii="宋体" w:hAnsi="宋体" w:cs="宋体"/>
          <w:color w:val="000000" w:themeColor="text1"/>
          <w:sz w:val="24"/>
          <w:szCs w:val="32"/>
          <w14:textFill>
            <w14:solidFill>
              <w14:schemeClr w14:val="tx1"/>
            </w14:solidFill>
          </w14:textFill>
        </w:rPr>
        <w:t>4</w:t>
      </w:r>
      <w:r>
        <w:rPr>
          <w:rFonts w:hint="eastAsia" w:ascii="宋体" w:hAnsi="宋体" w:cs="宋体"/>
          <w:color w:val="000000" w:themeColor="text1"/>
          <w:sz w:val="24"/>
          <w:szCs w:val="32"/>
          <w14:textFill>
            <w14:solidFill>
              <w14:schemeClr w14:val="tx1"/>
            </w14:solidFill>
          </w14:textFill>
        </w:rPr>
        <w:t>）货物安装验收合格后，甲乙双方在验收报告上签字确认，货物安装调试工作完成。如有产生验收费用，则由乙方负责。</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4</w:t>
      </w:r>
      <w:r>
        <w:rPr>
          <w:rFonts w:hint="eastAsia" w:ascii="宋体" w:hAnsi="宋体" w:cs="宋体"/>
          <w:color w:val="000000" w:themeColor="text1"/>
          <w:sz w:val="24"/>
          <w:szCs w:val="32"/>
          <w14:textFill>
            <w14:solidFill>
              <w14:schemeClr w14:val="tx1"/>
            </w14:solidFill>
          </w14:textFill>
        </w:rPr>
        <w:t>、乙方需对设备的合法性负全责（包括进货渠道、合法证件、购货发票等）。</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5</w:t>
      </w:r>
      <w:r>
        <w:rPr>
          <w:rFonts w:hint="eastAsia" w:ascii="宋体" w:hAnsi="宋体" w:cs="宋体"/>
          <w:color w:val="000000" w:themeColor="text1"/>
          <w:sz w:val="24"/>
          <w:szCs w:val="32"/>
          <w14:textFill>
            <w14:solidFill>
              <w14:schemeClr w14:val="tx1"/>
            </w14:solidFill>
          </w14:textFill>
        </w:rPr>
        <w:t>、乙方应保证所提供的货物或其任何一部分均不会侵犯任何第三方的知识产权；设备所含的软件甲方具有永久使用权。</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6</w:t>
      </w:r>
      <w:r>
        <w:rPr>
          <w:rFonts w:hint="eastAsia" w:ascii="宋体" w:hAnsi="宋体" w:cs="宋体"/>
          <w:color w:val="000000" w:themeColor="text1"/>
          <w:sz w:val="24"/>
          <w:szCs w:val="32"/>
          <w14:textFill>
            <w14:solidFill>
              <w14:schemeClr w14:val="tx1"/>
            </w14:solidFill>
          </w14:textFill>
        </w:rPr>
        <w:t>、乙方保证所交付的货物的所有权完全属于乙方且无任何抵押、查封等产权瑕疵。</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7</w:t>
      </w:r>
      <w:r>
        <w:rPr>
          <w:rFonts w:hint="eastAsia" w:ascii="宋体" w:hAnsi="宋体" w:cs="宋体"/>
          <w:color w:val="000000" w:themeColor="text1"/>
          <w:sz w:val="24"/>
          <w:szCs w:val="32"/>
          <w14:textFill>
            <w14:solidFill>
              <w14:schemeClr w14:val="tx1"/>
            </w14:solidFill>
          </w14:textFill>
        </w:rPr>
        <w:t>、乙方提供所有软件的备份光盘、</w:t>
      </w:r>
      <w:r>
        <w:rPr>
          <w:rFonts w:ascii="宋体" w:hAnsi="宋体" w:cs="宋体"/>
          <w:color w:val="000000" w:themeColor="text1"/>
          <w:sz w:val="24"/>
          <w:szCs w:val="32"/>
          <w14:textFill>
            <w14:solidFill>
              <w14:schemeClr w14:val="tx1"/>
            </w14:solidFill>
          </w14:textFill>
        </w:rPr>
        <w:t>License</w:t>
      </w:r>
      <w:r>
        <w:rPr>
          <w:rFonts w:hint="eastAsia" w:ascii="宋体" w:hAnsi="宋体" w:cs="宋体"/>
          <w:color w:val="000000" w:themeColor="text1"/>
          <w:sz w:val="24"/>
          <w:szCs w:val="32"/>
          <w14:textFill>
            <w14:solidFill>
              <w14:schemeClr w14:val="tx1"/>
            </w14:solidFill>
          </w14:textFill>
        </w:rPr>
        <w:t>及所有口令信息，同时提供这些软件安装、调试及相关维护所需要的所有硬件和软件工具。不能提供上述内容的，则需到甲方现场提供所有软件终身免费安装（含硬件更换后软件重新安装调试）、调试、维护服务。</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8</w:t>
      </w:r>
      <w:r>
        <w:rPr>
          <w:rFonts w:hint="eastAsia" w:ascii="宋体" w:hAnsi="宋体" w:cs="宋体"/>
          <w:color w:val="000000" w:themeColor="text1"/>
          <w:sz w:val="24"/>
          <w:szCs w:val="32"/>
          <w14:textFill>
            <w14:solidFill>
              <w14:schemeClr w14:val="tx1"/>
            </w14:solidFill>
          </w14:textFill>
        </w:rPr>
        <w:t>、首次计量检测费用由乙方承担，同时乙方按成本价提供后续计量服务。</w:t>
      </w:r>
    </w:p>
    <w:p>
      <w:pPr>
        <w:spacing w:line="360" w:lineRule="auto"/>
        <w:jc w:val="center"/>
        <w:rPr>
          <w:rFonts w:asci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第六章</w:t>
      </w:r>
      <w:r>
        <w:rPr>
          <w:rFonts w:ascii="宋体" w:hAnsi="宋体" w:cs="宋体"/>
          <w:b/>
          <w:bCs/>
          <w:color w:val="000000" w:themeColor="text1"/>
          <w:sz w:val="24"/>
          <w:szCs w:val="32"/>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质量保证及售后服务</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乙方保证本合同所供应的商品是最新生产的未曾使用过的符合国家技术规格和质量标准的出厂原装合格产品，同时该商品的所有技术性能应符合投标文件所响应条款。如发生所供商品与合同不符或者技术性能与投标文件不符等问题，甲方有权退货，并且由乙方赔偿因退货而给甲方造成的损失（赔偿金额为不少于合同总金额的</w:t>
      </w:r>
      <w:r>
        <w:rPr>
          <w:rFonts w:ascii="宋体" w:hAnsi="宋体" w:cs="宋体"/>
          <w:color w:val="000000" w:themeColor="text1"/>
          <w:sz w:val="24"/>
          <w:szCs w:val="32"/>
          <w14:textFill>
            <w14:solidFill>
              <w14:schemeClr w14:val="tx1"/>
            </w14:solidFill>
          </w14:textFill>
        </w:rPr>
        <w:t>10%</w:t>
      </w:r>
      <w:r>
        <w:rPr>
          <w:rFonts w:hint="eastAsia" w:ascii="宋体" w:hAnsi="宋体" w:cs="宋体"/>
          <w:color w:val="000000" w:themeColor="text1"/>
          <w:sz w:val="24"/>
          <w:szCs w:val="32"/>
          <w14:textFill>
            <w14:solidFill>
              <w14:schemeClr w14:val="tx1"/>
            </w14:solidFill>
          </w14:textFill>
        </w:rPr>
        <w:t>）。</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、乙方提供的货物在质保期内因货物本身的质量问题发生故障，乙方应负责免费更换。对达不到技术要求者，根据实际情况，经双方协商，可按以下办法处理：</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）更换：由乙方承担所发生的全部费用。</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r>
        <w:rPr>
          <w:rFonts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）贬值处理：由甲乙双方合议定价。</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r>
        <w:rPr>
          <w:rFonts w:ascii="宋体" w:hAnsi="宋体" w:cs="宋体"/>
          <w:color w:val="000000" w:themeColor="text1"/>
          <w:sz w:val="24"/>
          <w:szCs w:val="32"/>
          <w14:textFill>
            <w14:solidFill>
              <w14:schemeClr w14:val="tx1"/>
            </w14:solidFill>
          </w14:textFill>
        </w:rPr>
        <w:t>3</w:t>
      </w:r>
      <w:r>
        <w:rPr>
          <w:rFonts w:hint="eastAsia" w:ascii="宋体" w:hAnsi="宋体" w:cs="宋体"/>
          <w:color w:val="000000" w:themeColor="text1"/>
          <w:sz w:val="24"/>
          <w:szCs w:val="32"/>
          <w14:textFill>
            <w14:solidFill>
              <w14:schemeClr w14:val="tx1"/>
            </w14:solidFill>
          </w14:textFill>
        </w:rPr>
        <w:t>）退货处理：乙方应退还甲方支付的合同款，同时应承担该货物的直接费用（包括运输、保险、检验、货款利息及银行手续费等）</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3</w:t>
      </w:r>
      <w:r>
        <w:rPr>
          <w:rFonts w:hint="eastAsia" w:ascii="宋体" w:hAnsi="宋体" w:cs="宋体"/>
          <w:color w:val="000000" w:themeColor="text1"/>
          <w:sz w:val="24"/>
          <w:szCs w:val="32"/>
          <w14:textFill>
            <w14:solidFill>
              <w14:schemeClr w14:val="tx1"/>
            </w14:solidFill>
          </w14:textFill>
        </w:rPr>
        <w:t>、在质保期内，乙方应对货物出现的质量及安全问题负责处理解决并承担一切费用。</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4</w:t>
      </w:r>
      <w:r>
        <w:rPr>
          <w:rFonts w:hint="eastAsia" w:ascii="宋体" w:hAnsi="宋体" w:cs="宋体"/>
          <w:color w:val="000000" w:themeColor="text1"/>
          <w:sz w:val="24"/>
          <w:szCs w:val="32"/>
          <w14:textFill>
            <w14:solidFill>
              <w14:schemeClr w14:val="tx1"/>
            </w14:solidFill>
          </w14:textFill>
        </w:rPr>
        <w:t>、质保期：在乙方货到安装调试验收合格并移交所有证件资料后开始计算质保期；全套设备免费保修</w:t>
      </w:r>
      <w:r>
        <w:rPr>
          <w:rFonts w:ascii="宋体" w:hAnsi="宋体" w:cs="宋体"/>
          <w:color w:val="000000" w:themeColor="text1"/>
          <w:sz w:val="24"/>
          <w:szCs w:val="32"/>
          <w:u w:val="single"/>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年（包含所有部件（消耗品除外））；质保期内每年进行</w:t>
      </w:r>
      <w:r>
        <w:rPr>
          <w:rFonts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次免费维护（不包括维修）；质保期外，终身维修，维修只收配件成本费，维修配件提供时间不少于十年；在质保期内保证开机率大于等于</w:t>
      </w:r>
      <w:r>
        <w:rPr>
          <w:rFonts w:ascii="宋体" w:hAnsi="宋体" w:cs="宋体"/>
          <w:color w:val="000000" w:themeColor="text1"/>
          <w:sz w:val="24"/>
          <w:szCs w:val="32"/>
          <w14:textFill>
            <w14:solidFill>
              <w14:schemeClr w14:val="tx1"/>
            </w14:solidFill>
          </w14:textFill>
        </w:rPr>
        <w:t>95%</w:t>
      </w:r>
      <w:r>
        <w:rPr>
          <w:rFonts w:hint="eastAsia" w:ascii="宋体" w:hAnsi="宋体" w:cs="宋体"/>
          <w:color w:val="000000" w:themeColor="text1"/>
          <w:sz w:val="24"/>
          <w:szCs w:val="32"/>
          <w14:textFill>
            <w14:solidFill>
              <w14:schemeClr w14:val="tx1"/>
            </w14:solidFill>
          </w14:textFill>
        </w:rPr>
        <w:t>（按工作日每超出开机率要求时间一天，保修时间相应延长十天），接到电话报修响应并到达医院时间小于</w:t>
      </w:r>
      <w:r>
        <w:rPr>
          <w:rFonts w:ascii="宋体" w:hAnsi="宋体" w:cs="宋体"/>
          <w:color w:val="000000" w:themeColor="text1"/>
          <w:sz w:val="24"/>
          <w:szCs w:val="32"/>
          <w14:textFill>
            <w14:solidFill>
              <w14:schemeClr w14:val="tx1"/>
            </w14:solidFill>
          </w14:textFill>
        </w:rPr>
        <w:t>24</w:t>
      </w:r>
      <w:r>
        <w:rPr>
          <w:rFonts w:hint="eastAsia" w:ascii="宋体" w:hAnsi="宋体" w:cs="宋体"/>
          <w:color w:val="000000" w:themeColor="text1"/>
          <w:sz w:val="24"/>
          <w:szCs w:val="32"/>
          <w14:textFill>
            <w14:solidFill>
              <w14:schemeClr w14:val="tx1"/>
            </w14:solidFill>
          </w14:textFill>
        </w:rPr>
        <w:t>小时。</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5</w:t>
      </w:r>
      <w:r>
        <w:rPr>
          <w:rFonts w:hint="eastAsia" w:ascii="宋体" w:hAnsi="宋体" w:cs="宋体"/>
          <w:color w:val="000000" w:themeColor="text1"/>
          <w:sz w:val="24"/>
          <w:szCs w:val="32"/>
          <w14:textFill>
            <w14:solidFill>
              <w14:schemeClr w14:val="tx1"/>
            </w14:solidFill>
          </w14:textFill>
        </w:rPr>
        <w:t>、乙方派出人员在提供安装验收和维修维护等所有服务中，应遵守甲方规章制度，不得泄漏甲方一切需要保密的信息或数据（包括但不限于病人信息、医院信息等），同时工作中须符合甲方院感要求；另需提供到甲方服务人员的健康证明、资质文件、培训记录等。</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6</w:t>
      </w:r>
      <w:r>
        <w:rPr>
          <w:rFonts w:hint="eastAsia" w:ascii="宋体" w:hAnsi="宋体" w:cs="宋体"/>
          <w:color w:val="000000" w:themeColor="text1"/>
          <w:sz w:val="24"/>
          <w:szCs w:val="32"/>
          <w14:textFill>
            <w14:solidFill>
              <w14:schemeClr w14:val="tx1"/>
            </w14:solidFill>
          </w14:textFill>
        </w:rPr>
        <w:t>、乙方在为甲方提供安装调试、维修维护及其他任何服务中，应负责乙方委派或派出人员的安全生产管理责任，并承担委派或派出人员在甲方服务期间因患病、意外伤害及其他原因导致损失的所有费用。</w:t>
      </w:r>
    </w:p>
    <w:p>
      <w:pPr>
        <w:spacing w:line="360" w:lineRule="auto"/>
        <w:jc w:val="center"/>
        <w:rPr>
          <w:rFonts w:asci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第七章</w:t>
      </w:r>
      <w:r>
        <w:rPr>
          <w:rFonts w:ascii="宋体" w:hAnsi="宋体" w:cs="宋体"/>
          <w:b/>
          <w:bCs/>
          <w:color w:val="000000" w:themeColor="text1"/>
          <w:sz w:val="24"/>
          <w:szCs w:val="32"/>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技术支持、培训</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、技术支持</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甲乙双方签订合同后，货到之前，乙方派遣工程技术人员免费进行场地设计及现场指导，并且乙方承诺为甲方免费提供软件升级，及时提供设备新功能和临床应用的资料。</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、设备安装以后，乙方负责对甲方操作人员、维修人员进行技术培训。</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）乙方对甲方的操作人员进行现场操作培训直到甲方操作人员熟练掌握使用该设备各种性能为止，并提供详细的操作手册、电子版使用操作规程以及电子版培训资料。</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r>
        <w:rPr>
          <w:rFonts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乙方对甲方的设备维修人员进行现场培训，使甲方人员能对设备进行日常的维修保养以及一般故障进行维修，同时为甲方维修人员提供详细的维修图纸及维修手册、故障代码表、维修密码及软件备份、电子版维护保养规程等。</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r>
        <w:rPr>
          <w:rFonts w:ascii="宋体" w:hAnsi="宋体" w:cs="宋体"/>
          <w:color w:val="000000" w:themeColor="text1"/>
          <w:sz w:val="24"/>
          <w:szCs w:val="32"/>
          <w14:textFill>
            <w14:solidFill>
              <w14:schemeClr w14:val="tx1"/>
            </w14:solidFill>
          </w14:textFill>
        </w:rPr>
        <w:t>3</w:t>
      </w:r>
      <w:r>
        <w:rPr>
          <w:rFonts w:hint="eastAsia" w:ascii="宋体" w:hAnsi="宋体" w:cs="宋体"/>
          <w:color w:val="000000" w:themeColor="text1"/>
          <w:sz w:val="24"/>
          <w:szCs w:val="32"/>
          <w14:textFill>
            <w14:solidFill>
              <w14:schemeClr w14:val="tx1"/>
            </w14:solidFill>
          </w14:textFill>
        </w:rPr>
        <w:t>）其他乙方在投标文件或承诺书中有响应的培训内容按响应条款执行。</w:t>
      </w:r>
    </w:p>
    <w:p>
      <w:pPr>
        <w:spacing w:line="360" w:lineRule="auto"/>
        <w:jc w:val="center"/>
        <w:rPr>
          <w:rFonts w:asci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第八章</w:t>
      </w:r>
      <w:r>
        <w:rPr>
          <w:rFonts w:ascii="宋体" w:hAnsi="宋体" w:cs="宋体"/>
          <w:b/>
          <w:bCs/>
          <w:color w:val="000000" w:themeColor="text1"/>
          <w:sz w:val="24"/>
          <w:szCs w:val="32"/>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合同的修改变更与解除</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、对本合同及其附件变更或解除，必须合同双方签署书面协议才能生效。</w:t>
      </w:r>
    </w:p>
    <w:p>
      <w:pPr>
        <w:spacing w:line="360" w:lineRule="auto"/>
        <w:jc w:val="center"/>
        <w:rPr>
          <w:rFonts w:asci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第九章</w:t>
      </w:r>
      <w:r>
        <w:rPr>
          <w:rFonts w:ascii="宋体" w:hAnsi="宋体" w:cs="宋体"/>
          <w:b/>
          <w:bCs/>
          <w:color w:val="000000" w:themeColor="text1"/>
          <w:sz w:val="24"/>
          <w:szCs w:val="32"/>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违约责任</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、对一方的违约行为或合同执行中给对方造成的损失，责任方的赔偿额不高于实际的损失额度或本合同的总金额。</w:t>
      </w:r>
    </w:p>
    <w:p>
      <w:pPr>
        <w:spacing w:line="360" w:lineRule="auto"/>
        <w:jc w:val="center"/>
        <w:rPr>
          <w:rFonts w:asci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第十章</w:t>
      </w:r>
      <w:r>
        <w:rPr>
          <w:rFonts w:ascii="宋体" w:hAnsi="宋体" w:cs="宋体"/>
          <w:b/>
          <w:bCs/>
          <w:color w:val="000000" w:themeColor="text1"/>
          <w:sz w:val="24"/>
          <w:szCs w:val="32"/>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争议的解决</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、本合同一式陆份（甲方二份、乙方二份、招标代理机构一份、台州市政府采购监管处一份），具有同等法律效力，双方签字盖章后生效。</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、凡有关本合同或执行本合同而发生的一切争议，应通过友好协商解决，如协商不成，则应申请甲方所在地法院裁决。</w:t>
      </w:r>
    </w:p>
    <w:p>
      <w:pPr>
        <w:spacing w:line="360" w:lineRule="auto"/>
        <w:jc w:val="center"/>
        <w:rPr>
          <w:rFonts w:asci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第十一章</w:t>
      </w:r>
      <w:r>
        <w:rPr>
          <w:rFonts w:ascii="宋体" w:hAnsi="宋体" w:cs="宋体"/>
          <w:b/>
          <w:bCs/>
          <w:color w:val="000000" w:themeColor="text1"/>
          <w:sz w:val="24"/>
          <w:szCs w:val="32"/>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其</w:t>
      </w:r>
      <w:r>
        <w:rPr>
          <w:rFonts w:ascii="宋体" w:hAnsi="宋体" w:cs="宋体"/>
          <w:b/>
          <w:bCs/>
          <w:color w:val="000000" w:themeColor="text1"/>
          <w:sz w:val="24"/>
          <w:szCs w:val="32"/>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它</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、在合同有效期内，任何一方因不可抗力事件导致不能履行合同，则合同履行期可延长；不可抗力延续</w:t>
      </w:r>
      <w:r>
        <w:rPr>
          <w:rFonts w:ascii="宋体" w:hAnsi="宋体" w:cs="宋体"/>
          <w:color w:val="000000" w:themeColor="text1"/>
          <w:sz w:val="24"/>
          <w:szCs w:val="32"/>
          <w14:textFill>
            <w14:solidFill>
              <w14:schemeClr w14:val="tx1"/>
            </w14:solidFill>
          </w14:textFill>
        </w:rPr>
        <w:t>120</w:t>
      </w:r>
      <w:r>
        <w:rPr>
          <w:rFonts w:hint="eastAsia" w:ascii="宋体" w:hAnsi="宋体" w:cs="宋体"/>
          <w:color w:val="000000" w:themeColor="text1"/>
          <w:sz w:val="24"/>
          <w:szCs w:val="32"/>
          <w14:textFill>
            <w14:solidFill>
              <w14:schemeClr w14:val="tx1"/>
            </w14:solidFill>
          </w14:textFill>
        </w:rPr>
        <w:t>天以上，双方应友好协商是否解除合同。</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、本合同未尽事宜，可另行签订《补充协议》，《补充协议》与本合同具有同等法律效力。</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3</w:t>
      </w:r>
      <w:r>
        <w:rPr>
          <w:rFonts w:hint="eastAsia" w:ascii="宋体" w:hAnsi="宋体" w:cs="宋体"/>
          <w:color w:val="000000" w:themeColor="text1"/>
          <w:sz w:val="24"/>
          <w:szCs w:val="32"/>
          <w14:textFill>
            <w14:solidFill>
              <w14:schemeClr w14:val="tx1"/>
            </w14:solidFill>
          </w14:textFill>
        </w:rPr>
        <w:t>、本合同未涉及到的内容以</w:t>
      </w:r>
      <w:r>
        <w:rPr>
          <w:rFonts w:hint="eastAsia" w:ascii="宋体" w:hAnsi="宋体" w:cs="宋体"/>
          <w:b/>
          <w:bCs/>
          <w:color w:val="000000" w:themeColor="text1"/>
          <w:sz w:val="24"/>
          <w:szCs w:val="32"/>
          <w:u w:val="single"/>
          <w14:textFill>
            <w14:solidFill>
              <w14:schemeClr w14:val="tx1"/>
            </w14:solidFill>
          </w14:textFill>
        </w:rPr>
        <w:t>编号：ZJWS2022-JJ12</w:t>
      </w:r>
      <w:r>
        <w:rPr>
          <w:rFonts w:hint="eastAsia" w:ascii="宋体" w:hAnsi="宋体" w:cs="宋体"/>
          <w:color w:val="000000" w:themeColor="text1"/>
          <w:sz w:val="24"/>
          <w:szCs w:val="32"/>
          <w14:textFill>
            <w14:solidFill>
              <w14:schemeClr w14:val="tx1"/>
            </w14:solidFill>
          </w14:textFill>
        </w:rPr>
        <w:t>项目中的招投标文件和承诺书为准。</w:t>
      </w:r>
    </w:p>
    <w:p>
      <w:pP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4</w:t>
      </w:r>
      <w:r>
        <w:rPr>
          <w:rFonts w:hint="eastAsia" w:ascii="宋体" w:hAnsi="宋体" w:cs="宋体"/>
          <w:color w:val="000000" w:themeColor="text1"/>
          <w:sz w:val="24"/>
          <w:szCs w:val="32"/>
          <w14:textFill>
            <w14:solidFill>
              <w14:schemeClr w14:val="tx1"/>
            </w14:solidFill>
          </w14:textFill>
        </w:rPr>
        <w:t>、若合同签定、执行过程中，乙方有违反国家法律法规或医院廉洁自律方面规章制度的行为，则本合同自动作废。</w:t>
      </w:r>
    </w:p>
    <w:p>
      <w:pPr>
        <w:spacing w:line="360" w:lineRule="auto"/>
        <w:jc w:val="left"/>
        <w:rPr>
          <w:rFonts w:ascii="宋体" w:cs="宋体"/>
          <w:color w:val="000000" w:themeColor="text1"/>
          <w:sz w:val="24"/>
          <w:szCs w:val="32"/>
          <w14:textFill>
            <w14:solidFill>
              <w14:schemeClr w14:val="tx1"/>
            </w14:solidFill>
          </w14:textFill>
        </w:rPr>
      </w:pPr>
    </w:p>
    <w:p>
      <w:pPr>
        <w:spacing w:line="360" w:lineRule="auto"/>
        <w:jc w:val="left"/>
        <w:rPr>
          <w:rFonts w:ascii="宋体" w:cs="宋体"/>
          <w:color w:val="000000" w:themeColor="text1"/>
          <w:sz w:val="24"/>
          <w:szCs w:val="32"/>
          <w14:textFill>
            <w14:solidFill>
              <w14:schemeClr w14:val="tx1"/>
            </w14:solidFill>
          </w14:textFill>
        </w:rPr>
      </w:pPr>
    </w:p>
    <w:p>
      <w:pPr>
        <w:spacing w:line="360" w:lineRule="auto"/>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甲</w:t>
      </w:r>
      <w:r>
        <w:rPr>
          <w:rFonts w:ascii="宋体" w:hAnsi="宋体" w:cs="宋体"/>
          <w:color w:val="000000" w:themeColor="text1"/>
          <w:sz w:val="24"/>
          <w:szCs w:val="32"/>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方：</w:t>
      </w:r>
      <w:r>
        <w:rPr>
          <w:rFonts w:ascii="宋体" w:hAnsi="宋体" w:cs="宋体"/>
          <w:color w:val="000000" w:themeColor="text1"/>
          <w:sz w:val="24"/>
          <w:szCs w:val="32"/>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乙</w:t>
      </w:r>
      <w:r>
        <w:rPr>
          <w:rFonts w:ascii="宋体" w:hAnsi="宋体" w:cs="宋体"/>
          <w:color w:val="000000" w:themeColor="text1"/>
          <w:sz w:val="24"/>
          <w:szCs w:val="32"/>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方：</w:t>
      </w:r>
    </w:p>
    <w:p>
      <w:pPr>
        <w:spacing w:line="360" w:lineRule="auto"/>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签字盖章：</w:t>
      </w:r>
      <w:r>
        <w:rPr>
          <w:rFonts w:ascii="宋体" w:hAnsi="宋体" w:cs="宋体"/>
          <w:color w:val="000000" w:themeColor="text1"/>
          <w:sz w:val="24"/>
          <w:szCs w:val="32"/>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签字盖章：</w:t>
      </w:r>
      <w:r>
        <w:rPr>
          <w:rFonts w:ascii="宋体" w:hAnsi="宋体" w:cs="宋体"/>
          <w:color w:val="000000" w:themeColor="text1"/>
          <w:sz w:val="24"/>
          <w:szCs w:val="32"/>
          <w14:textFill>
            <w14:solidFill>
              <w14:schemeClr w14:val="tx1"/>
            </w14:solidFill>
          </w14:textFill>
        </w:rPr>
        <w:t xml:space="preserve"> </w:t>
      </w:r>
    </w:p>
    <w:p>
      <w:pPr>
        <w:spacing w:line="360" w:lineRule="auto"/>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开户银行：</w:t>
      </w:r>
      <w:r>
        <w:rPr>
          <w:rFonts w:ascii="宋体" w:hAnsi="宋体" w:cs="宋体"/>
          <w:color w:val="000000" w:themeColor="text1"/>
          <w:sz w:val="24"/>
          <w:szCs w:val="32"/>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开户银行：（必填）</w:t>
      </w:r>
    </w:p>
    <w:p>
      <w:pPr>
        <w:spacing w:line="360" w:lineRule="auto"/>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银行账号：</w:t>
      </w:r>
      <w:r>
        <w:rPr>
          <w:rFonts w:ascii="宋体" w:hAnsi="宋体" w:cs="宋体"/>
          <w:color w:val="000000" w:themeColor="text1"/>
          <w:sz w:val="24"/>
          <w:szCs w:val="32"/>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银行账号：（必填）</w:t>
      </w:r>
    </w:p>
    <w:p>
      <w:pPr>
        <w:spacing w:line="360" w:lineRule="auto"/>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日</w:t>
      </w:r>
      <w:r>
        <w:rPr>
          <w:rFonts w:ascii="宋体" w:hAnsi="宋体" w:cs="宋体"/>
          <w:color w:val="000000" w:themeColor="text1"/>
          <w:sz w:val="24"/>
          <w:szCs w:val="32"/>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期：</w:t>
      </w:r>
      <w:r>
        <w:rPr>
          <w:rFonts w:ascii="宋体" w:hAnsi="宋体" w:cs="宋体"/>
          <w:color w:val="000000" w:themeColor="text1"/>
          <w:sz w:val="24"/>
          <w:szCs w:val="32"/>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日</w:t>
      </w:r>
      <w:r>
        <w:rPr>
          <w:rFonts w:ascii="宋体" w:hAnsi="宋体" w:cs="宋体"/>
          <w:color w:val="000000" w:themeColor="text1"/>
          <w:sz w:val="24"/>
          <w:szCs w:val="32"/>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期：</w:t>
      </w:r>
      <w:r>
        <w:rPr>
          <w:rFonts w:ascii="宋体" w:hAnsi="宋体" w:cs="宋体"/>
          <w:color w:val="000000" w:themeColor="text1"/>
          <w:sz w:val="24"/>
          <w:szCs w:val="32"/>
          <w14:textFill>
            <w14:solidFill>
              <w14:schemeClr w14:val="tx1"/>
            </w14:solidFill>
          </w14:textFill>
        </w:rPr>
        <w:t xml:space="preserve"> </w:t>
      </w:r>
    </w:p>
    <w:p>
      <w:pPr>
        <w:spacing w:line="360" w:lineRule="auto"/>
        <w:ind w:firstLine="480" w:firstLineChars="200"/>
        <w:jc w:val="left"/>
        <w:rPr>
          <w:rFonts w:ascii="宋体" w:cs="宋体"/>
          <w:color w:val="000000" w:themeColor="text1"/>
          <w:sz w:val="24"/>
          <w:szCs w:val="32"/>
          <w14:textFill>
            <w14:solidFill>
              <w14:schemeClr w14:val="tx1"/>
            </w14:solidFill>
          </w14:textFill>
        </w:rPr>
      </w:pPr>
    </w:p>
    <w:p>
      <w:pPr>
        <w:spacing w:line="360" w:lineRule="auto"/>
        <w:ind w:firstLine="480" w:firstLineChars="200"/>
        <w:jc w:val="left"/>
        <w:rPr>
          <w:rFonts w:ascii="宋体" w:cs="宋体"/>
          <w:color w:val="000000" w:themeColor="text1"/>
          <w:sz w:val="24"/>
          <w:szCs w:val="32"/>
          <w14:textFill>
            <w14:solidFill>
              <w14:schemeClr w14:val="tx1"/>
            </w14:solidFill>
          </w14:textFill>
        </w:rPr>
      </w:pPr>
    </w:p>
    <w:p>
      <w:pPr>
        <w:spacing w:line="360" w:lineRule="auto"/>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鉴证方（鉴证章）：</w:t>
      </w:r>
    </w:p>
    <w:p>
      <w:pPr>
        <w:spacing w:line="360" w:lineRule="auto"/>
        <w:jc w:val="left"/>
        <w:rPr>
          <w:rFonts w:asci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日</w:t>
      </w:r>
      <w:r>
        <w:rPr>
          <w:rFonts w:ascii="宋体" w:hAnsi="宋体" w:cs="宋体"/>
          <w:color w:val="000000" w:themeColor="text1"/>
          <w:sz w:val="24"/>
          <w:szCs w:val="32"/>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期：</w:t>
      </w:r>
    </w:p>
    <w:p>
      <w:pPr>
        <w:spacing w:line="360" w:lineRule="auto"/>
        <w:jc w:val="left"/>
        <w:rPr>
          <w:rFonts w:ascii="宋体" w:cs="宋体"/>
          <w:color w:val="000000" w:themeColor="text1"/>
          <w:sz w:val="24"/>
          <w:szCs w:val="32"/>
          <w14:textFill>
            <w14:solidFill>
              <w14:schemeClr w14:val="tx1"/>
            </w14:solidFill>
          </w14:textFill>
        </w:rPr>
      </w:pPr>
    </w:p>
    <w:p>
      <w:pPr>
        <w:spacing w:line="360" w:lineRule="auto"/>
        <w:jc w:val="left"/>
        <w:rPr>
          <w:rFonts w:ascii="宋体" w:cs="宋体"/>
          <w:color w:val="000000" w:themeColor="text1"/>
          <w:sz w:val="24"/>
          <w:szCs w:val="32"/>
          <w14:textFill>
            <w14:solidFill>
              <w14:schemeClr w14:val="tx1"/>
            </w14:solidFill>
          </w14:textFill>
        </w:rPr>
      </w:pPr>
    </w:p>
    <w:p>
      <w:pPr>
        <w:spacing w:line="360" w:lineRule="auto"/>
        <w:jc w:val="left"/>
        <w:rPr>
          <w:rFonts w:ascii="宋体" w:cs="宋体"/>
          <w:color w:val="000000" w:themeColor="text1"/>
          <w:sz w:val="24"/>
          <w:szCs w:val="32"/>
          <w14:textFill>
            <w14:solidFill>
              <w14:schemeClr w14:val="tx1"/>
            </w14:solidFill>
          </w14:textFill>
        </w:rPr>
      </w:pPr>
    </w:p>
    <w:p>
      <w:pPr>
        <w:spacing w:line="360" w:lineRule="auto"/>
        <w:jc w:val="left"/>
        <w:rPr>
          <w:rFonts w:ascii="宋体" w:cs="宋体"/>
          <w:color w:val="000000" w:themeColor="text1"/>
          <w:sz w:val="24"/>
          <w:szCs w:val="32"/>
          <w14:textFill>
            <w14:solidFill>
              <w14:schemeClr w14:val="tx1"/>
            </w14:solidFill>
          </w14:textFill>
        </w:rPr>
      </w:pPr>
    </w:p>
    <w:p>
      <w:pPr>
        <w:spacing w:line="360" w:lineRule="auto"/>
        <w:jc w:val="left"/>
        <w:rPr>
          <w:rFonts w:ascii="宋体" w:cs="宋体"/>
          <w:color w:val="000000" w:themeColor="text1"/>
          <w:sz w:val="24"/>
          <w:szCs w:val="32"/>
          <w14:textFill>
            <w14:solidFill>
              <w14:schemeClr w14:val="tx1"/>
            </w14:solidFill>
          </w14:textFill>
        </w:rPr>
      </w:pPr>
    </w:p>
    <w:p>
      <w:pPr>
        <w:spacing w:line="360" w:lineRule="auto"/>
        <w:jc w:val="left"/>
        <w:rPr>
          <w:rFonts w:ascii="宋体" w:cs="宋体"/>
          <w:color w:val="000000" w:themeColor="text1"/>
          <w:sz w:val="24"/>
          <w:szCs w:val="32"/>
          <w14:textFill>
            <w14:solidFill>
              <w14:schemeClr w14:val="tx1"/>
            </w14:solidFill>
          </w14:textFill>
        </w:rPr>
      </w:pPr>
    </w:p>
    <w:p>
      <w:pPr>
        <w:spacing w:line="360" w:lineRule="auto"/>
        <w:jc w:val="left"/>
        <w:rPr>
          <w:rFonts w:ascii="宋体" w:cs="宋体"/>
          <w:color w:val="000000" w:themeColor="text1"/>
          <w:sz w:val="24"/>
          <w:szCs w:val="32"/>
          <w14:textFill>
            <w14:solidFill>
              <w14:schemeClr w14:val="tx1"/>
            </w14:solidFill>
          </w14:textFill>
        </w:rPr>
      </w:pPr>
    </w:p>
    <w:p>
      <w:pPr>
        <w:pStyle w:val="2"/>
        <w:ind w:firstLine="240"/>
        <w:rPr>
          <w:color w:val="000000" w:themeColor="text1"/>
          <w14:textFill>
            <w14:solidFill>
              <w14:schemeClr w14:val="tx1"/>
            </w14:solidFill>
          </w14:textFill>
        </w:rPr>
      </w:pPr>
    </w:p>
    <w:p>
      <w:pPr>
        <w:pStyle w:val="21"/>
        <w:rPr>
          <w:rFonts w:ascii="宋体" w:eastAsia="宋体" w:cs="宋体"/>
          <w:color w:val="000000" w:themeColor="text1"/>
          <w:sz w:val="24"/>
          <w:szCs w:val="32"/>
          <w14:textFill>
            <w14:solidFill>
              <w14:schemeClr w14:val="tx1"/>
            </w14:solidFill>
          </w14:textFill>
        </w:rPr>
      </w:pPr>
    </w:p>
    <w:p>
      <w:pPr>
        <w:rPr>
          <w:rFonts w:ascii="宋体" w:cs="宋体"/>
          <w:color w:val="000000" w:themeColor="text1"/>
          <w:sz w:val="24"/>
          <w:szCs w:val="32"/>
          <w14:textFill>
            <w14:solidFill>
              <w14:schemeClr w14:val="tx1"/>
            </w14:solidFill>
          </w14:textFill>
        </w:rPr>
      </w:pPr>
    </w:p>
    <w:p>
      <w:pPr>
        <w:pStyle w:val="21"/>
        <w:rPr>
          <w:rFonts w:ascii="宋体" w:eastAsia="宋体" w:cs="宋体"/>
          <w:color w:val="000000" w:themeColor="text1"/>
          <w:sz w:val="24"/>
          <w:szCs w:val="32"/>
          <w14:textFill>
            <w14:solidFill>
              <w14:schemeClr w14:val="tx1"/>
            </w14:solidFill>
          </w14:textFill>
        </w:rPr>
      </w:pPr>
    </w:p>
    <w:p>
      <w:pPr>
        <w:rPr>
          <w:rFonts w:ascii="宋体" w:cs="宋体"/>
          <w:color w:val="000000" w:themeColor="text1"/>
          <w:sz w:val="24"/>
          <w:szCs w:val="32"/>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center"/>
        <w:rPr>
          <w:rFonts w:ascii="宋体"/>
          <w:b/>
          <w:color w:val="000000" w:themeColor="text1"/>
          <w:kern w:val="0"/>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第五章</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谈判响应文件格式附件</w:t>
      </w:r>
    </w:p>
    <w:p>
      <w:pPr>
        <w:spacing w:line="360" w:lineRule="auto"/>
        <w:rPr>
          <w:rFonts w:asci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附件</w:t>
      </w:r>
      <w:r>
        <w:rPr>
          <w:rFonts w:ascii="宋体" w:hAnsi="宋体"/>
          <w:b/>
          <w:color w:val="000000" w:themeColor="text1"/>
          <w:kern w:val="0"/>
          <w:sz w:val="28"/>
          <w:szCs w:val="28"/>
          <w14:textFill>
            <w14:solidFill>
              <w14:schemeClr w14:val="tx1"/>
            </w14:solidFill>
          </w14:textFill>
        </w:rPr>
        <w:t xml:space="preserve">1                              </w:t>
      </w:r>
      <w:r>
        <w:rPr>
          <w:rFonts w:hint="eastAsia" w:ascii="宋体" w:hAnsi="宋体"/>
          <w:b/>
          <w:color w:val="000000" w:themeColor="text1"/>
          <w:kern w:val="0"/>
          <w:sz w:val="28"/>
          <w:szCs w:val="28"/>
          <w14:textFill>
            <w14:solidFill>
              <w14:schemeClr w14:val="tx1"/>
            </w14:solidFill>
          </w14:textFill>
        </w:rPr>
        <w:t>　　　</w:t>
      </w:r>
      <w:r>
        <w:rPr>
          <w:rFonts w:ascii="宋体" w:hAnsi="宋体"/>
          <w:b/>
          <w:color w:val="000000" w:themeColor="text1"/>
          <w:kern w:val="0"/>
          <w:sz w:val="28"/>
          <w:szCs w:val="28"/>
          <w14:textFill>
            <w14:solidFill>
              <w14:schemeClr w14:val="tx1"/>
            </w14:solidFill>
          </w14:textFill>
        </w:rPr>
        <w:t xml:space="preserve">         </w:t>
      </w:r>
      <w:r>
        <w:rPr>
          <w:rFonts w:ascii="宋体" w:hAnsi="宋体"/>
          <w:b/>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kern w:val="0"/>
          <w:sz w:val="28"/>
          <w:szCs w:val="28"/>
          <w14:textFill>
            <w14:solidFill>
              <w14:schemeClr w14:val="tx1"/>
            </w14:solidFill>
          </w14:textFill>
        </w:rPr>
        <w:t>本</w:t>
      </w:r>
    </w:p>
    <w:p>
      <w:pPr>
        <w:snapToGrid w:val="0"/>
        <w:spacing w:line="360" w:lineRule="auto"/>
        <w:rPr>
          <w:rFonts w:asci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                  </w:t>
      </w:r>
    </w:p>
    <w:p>
      <w:pPr>
        <w:spacing w:line="360" w:lineRule="auto"/>
        <w:ind w:right="-110"/>
        <w:jc w:val="center"/>
        <w:rPr>
          <w:rFonts w:asci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项目名称</w:t>
      </w:r>
    </w:p>
    <w:p>
      <w:pPr>
        <w:spacing w:line="360" w:lineRule="auto"/>
        <w:ind w:right="-108" w:firstLine="1800" w:firstLineChars="50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ascii="宋体" w:hAnsi="宋体"/>
          <w:color w:val="000000" w:themeColor="text1"/>
          <w:sz w:val="36"/>
          <w:szCs w:val="36"/>
          <w:u w:val="single"/>
          <w14:textFill>
            <w14:solidFill>
              <w14:schemeClr w14:val="tx1"/>
            </w14:solidFill>
          </w14:textFill>
        </w:rPr>
        <w:t xml:space="preserve">            </w:t>
      </w:r>
    </w:p>
    <w:p>
      <w:pPr>
        <w:spacing w:line="360" w:lineRule="auto"/>
        <w:ind w:right="-108"/>
        <w:jc w:val="center"/>
        <w:rPr>
          <w:rFonts w:ascii="宋体"/>
          <w:b/>
          <w:color w:val="000000" w:themeColor="text1"/>
          <w:spacing w:val="40"/>
          <w:sz w:val="24"/>
          <w14:textFill>
            <w14:solidFill>
              <w14:schemeClr w14:val="tx1"/>
            </w14:solidFill>
          </w14:textFill>
        </w:rPr>
      </w:pPr>
    </w:p>
    <w:p>
      <w:pPr>
        <w:spacing w:line="360" w:lineRule="auto"/>
        <w:ind w:right="-108"/>
        <w:jc w:val="center"/>
        <w:rPr>
          <w:rFonts w:asci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谈</w:t>
      </w:r>
    </w:p>
    <w:p>
      <w:pPr>
        <w:spacing w:line="360" w:lineRule="auto"/>
        <w:ind w:right="-108"/>
        <w:jc w:val="center"/>
        <w:rPr>
          <w:rFonts w:asci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判</w:t>
      </w:r>
    </w:p>
    <w:p>
      <w:pPr>
        <w:spacing w:line="360" w:lineRule="auto"/>
        <w:ind w:right="-108"/>
        <w:jc w:val="center"/>
        <w:rPr>
          <w:rFonts w:asci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响</w:t>
      </w:r>
    </w:p>
    <w:p>
      <w:pPr>
        <w:spacing w:line="360" w:lineRule="auto"/>
        <w:ind w:right="-108"/>
        <w:jc w:val="center"/>
        <w:rPr>
          <w:rFonts w:asci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应</w:t>
      </w:r>
    </w:p>
    <w:p>
      <w:pPr>
        <w:spacing w:line="360" w:lineRule="auto"/>
        <w:ind w:right="-108"/>
        <w:jc w:val="center"/>
        <w:rPr>
          <w:rFonts w:asci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文</w:t>
      </w:r>
    </w:p>
    <w:p>
      <w:pPr>
        <w:spacing w:line="360" w:lineRule="auto"/>
        <w:ind w:right="-108"/>
        <w:jc w:val="center"/>
        <w:rPr>
          <w:rFonts w:ascii="宋体"/>
          <w:b/>
          <w:color w:val="000000" w:themeColor="text1"/>
          <w:spacing w:val="40"/>
          <w:sz w:val="48"/>
          <w:szCs w:val="48"/>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件</w:t>
      </w:r>
    </w:p>
    <w:p>
      <w:pPr>
        <w:spacing w:line="360" w:lineRule="auto"/>
        <w:ind w:right="532"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单位全称（公章）：</w:t>
      </w:r>
    </w:p>
    <w:p>
      <w:pPr>
        <w:spacing w:line="360" w:lineRule="auto"/>
        <w:ind w:right="532"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地</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址：</w:t>
      </w:r>
    </w:p>
    <w:p>
      <w:pPr>
        <w:spacing w:line="360" w:lineRule="auto"/>
        <w:ind w:right="532"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时</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间：</w:t>
      </w:r>
    </w:p>
    <w:p>
      <w:pPr>
        <w:pStyle w:val="21"/>
        <w:rPr>
          <w:rFonts w:ascii="宋体" w:eastAsia="宋体"/>
          <w:color w:val="000000" w:themeColor="text1"/>
          <w:sz w:val="32"/>
          <w:szCs w:val="32"/>
          <w14:textFill>
            <w14:solidFill>
              <w14:schemeClr w14:val="tx1"/>
            </w14:solidFill>
          </w14:textFill>
        </w:rPr>
      </w:pPr>
    </w:p>
    <w:p>
      <w:pPr>
        <w:rPr>
          <w:rFonts w:ascii="宋体"/>
          <w:color w:val="000000" w:themeColor="text1"/>
          <w:sz w:val="32"/>
          <w:szCs w:val="32"/>
          <w14:textFill>
            <w14:solidFill>
              <w14:schemeClr w14:val="tx1"/>
            </w14:solidFill>
          </w14:textFill>
        </w:rPr>
      </w:pPr>
    </w:p>
    <w:p>
      <w:pPr>
        <w:pStyle w:val="21"/>
        <w:rPr>
          <w:rFonts w:ascii="宋体" w:eastAsia="宋体"/>
          <w:color w:val="000000" w:themeColor="text1"/>
          <w:sz w:val="32"/>
          <w:szCs w:val="32"/>
          <w14:textFill>
            <w14:solidFill>
              <w14:schemeClr w14:val="tx1"/>
            </w14:solidFill>
          </w14:textFill>
        </w:rPr>
      </w:pPr>
    </w:p>
    <w:p>
      <w:pPr>
        <w:rPr>
          <w:rFonts w:ascii="宋体"/>
          <w:color w:val="000000" w:themeColor="text1"/>
          <w:sz w:val="32"/>
          <w:szCs w:val="32"/>
          <w14:textFill>
            <w14:solidFill>
              <w14:schemeClr w14:val="tx1"/>
            </w14:solidFill>
          </w14:textFill>
        </w:rPr>
      </w:pPr>
    </w:p>
    <w:p>
      <w:pPr>
        <w:pStyle w:val="21"/>
        <w:rPr>
          <w:color w:val="000000" w:themeColor="text1"/>
          <w14:textFill>
            <w14:solidFill>
              <w14:schemeClr w14:val="tx1"/>
            </w14:solidFill>
          </w14:textFill>
        </w:rPr>
      </w:pPr>
    </w:p>
    <w:p>
      <w:pPr>
        <w:snapToGrid w:val="0"/>
        <w:spacing w:line="360" w:lineRule="auto"/>
        <w:jc w:val="center"/>
        <w:rPr>
          <w:rFonts w:asci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谈判响应文件目录</w:t>
      </w:r>
    </w:p>
    <w:p>
      <w:pPr>
        <w:snapToGrid w:val="0"/>
        <w:spacing w:line="360" w:lineRule="auto"/>
        <w:ind w:firstLine="422" w:firstLineChars="150"/>
        <w:rPr>
          <w:rFonts w:asci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第一部分：资格证明部分</w:t>
      </w:r>
    </w:p>
    <w:p>
      <w:pPr>
        <w:numPr>
          <w:ilvl w:val="0"/>
          <w:numId w:val="12"/>
        </w:numPr>
        <w:snapToGrid w:val="0"/>
        <w:spacing w:line="360" w:lineRule="auto"/>
        <w:ind w:firstLine="470" w:firstLineChars="196"/>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谈判声明书（附件</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p>
      <w:pPr>
        <w:numPr>
          <w:ilvl w:val="0"/>
          <w:numId w:val="12"/>
        </w:numPr>
        <w:snapToGrid w:val="0"/>
        <w:spacing w:line="360" w:lineRule="auto"/>
        <w:ind w:firstLine="470" w:firstLineChars="196"/>
        <w:rPr>
          <w:rFonts w:asci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授权委托书（附件</w:t>
      </w:r>
      <w:r>
        <w:rPr>
          <w:rFonts w:ascii="宋体" w:hAnsi="宋体" w:cs="宋体"/>
          <w:bCs/>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w:t>
      </w:r>
    </w:p>
    <w:p>
      <w:pPr>
        <w:snapToGrid w:val="0"/>
        <w:spacing w:line="360" w:lineRule="auto"/>
        <w:ind w:firstLine="470" w:firstLineChars="196"/>
        <w:rPr>
          <w:rFonts w:ascii="宋体"/>
          <w:color w:val="000000" w:themeColor="text1"/>
          <w:kern w:val="0"/>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法人或者其他组织的营业执照等证明文件，自然人的身份证明</w:t>
      </w:r>
    </w:p>
    <w:p>
      <w:pPr>
        <w:snapToGrid w:val="0"/>
        <w:spacing w:line="360" w:lineRule="auto"/>
        <w:ind w:firstLine="480" w:firstLineChars="200"/>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w:t>
      </w:r>
      <w:r>
        <w:rPr>
          <w:rFonts w:hint="eastAsia"/>
          <w:color w:val="000000" w:themeColor="text1"/>
          <w:sz w:val="24"/>
          <w14:textFill>
            <w14:solidFill>
              <w14:schemeClr w14:val="tx1"/>
            </w14:solidFill>
          </w14:textFill>
        </w:rPr>
        <w:t>财务状况报告，依法缴纳税收和社会保障资金的相关材料</w:t>
      </w:r>
    </w:p>
    <w:p>
      <w:pPr>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具备履行合同所必需的设备和专业技术能力的证明材料</w:t>
      </w:r>
    </w:p>
    <w:p>
      <w:pPr>
        <w:snapToGrid w:val="0"/>
        <w:spacing w:line="360" w:lineRule="auto"/>
        <w:ind w:firstLine="470" w:firstLineChars="196"/>
        <w:rPr>
          <w:rFonts w:ascii="宋体" w:cs="宋体"/>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本项目要求的特定资质证书</w:t>
      </w:r>
    </w:p>
    <w:p>
      <w:pPr>
        <w:snapToGrid w:val="0"/>
        <w:spacing w:line="360" w:lineRule="auto"/>
        <w:ind w:firstLine="422" w:firstLineChars="150"/>
        <w:rPr>
          <w:rFonts w:asci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第二部分：商务与技术</w:t>
      </w:r>
      <w:r>
        <w:rPr>
          <w:rFonts w:hint="eastAsia" w:ascii="宋体" w:hAnsi="宋体" w:cs="宋体"/>
          <w:b/>
          <w:bCs/>
          <w:color w:val="000000" w:themeColor="text1"/>
          <w:sz w:val="28"/>
          <w:szCs w:val="28"/>
          <w14:textFill>
            <w14:solidFill>
              <w14:schemeClr w14:val="tx1"/>
            </w14:solidFill>
          </w14:textFill>
        </w:rPr>
        <w:t>部分</w:t>
      </w:r>
    </w:p>
    <w:p>
      <w:pPr>
        <w:snapToGrid w:val="0"/>
        <w:spacing w:line="360" w:lineRule="auto"/>
        <w:ind w:firstLine="480" w:firstLineChars="200"/>
        <w:rPr>
          <w:rFonts w:ascii="宋体" w:cs="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供应商情况介绍（附件</w:t>
      </w: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w:t>
      </w:r>
    </w:p>
    <w:p>
      <w:pPr>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、项目组织实施方案</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可视情选用附件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、附件</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 </w:t>
      </w:r>
    </w:p>
    <w:p>
      <w:pPr>
        <w:snapToGrid w:val="0"/>
        <w:spacing w:line="360" w:lineRule="auto"/>
        <w:ind w:firstLine="470" w:firstLineChars="196"/>
        <w:rPr>
          <w:rFonts w:ascii="宋体" w:cs="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、响应产品技术规格资料</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可视情选用附件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w:t>
      </w:r>
    </w:p>
    <w:p>
      <w:pPr>
        <w:snapToGrid w:val="0"/>
        <w:spacing w:line="360" w:lineRule="auto"/>
        <w:ind w:firstLine="470" w:firstLineChars="196"/>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、商务及技术响应表</w:t>
      </w:r>
      <w:r>
        <w:rPr>
          <w:rFonts w:hint="eastAsia" w:ascii="宋体" w:hAnsi="宋体" w:cs="宋体"/>
          <w:color w:val="000000" w:themeColor="text1"/>
          <w:sz w:val="24"/>
          <w14:textFill>
            <w14:solidFill>
              <w14:schemeClr w14:val="tx1"/>
            </w14:solidFill>
          </w14:textFill>
        </w:rPr>
        <w:t>（可视情选用附件</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70" w:firstLineChars="196"/>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、证书一览表（附件</w:t>
      </w:r>
      <w:r>
        <w:rPr>
          <w:rFonts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w:t>
      </w:r>
    </w:p>
    <w:p>
      <w:pPr>
        <w:snapToGrid w:val="0"/>
        <w:spacing w:line="360" w:lineRule="auto"/>
        <w:ind w:firstLine="470" w:firstLineChars="196"/>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类似项目业绩一览表</w:t>
      </w:r>
      <w:r>
        <w:rPr>
          <w:rFonts w:hint="eastAsia" w:ascii="宋体" w:hAnsi="宋体" w:cs="宋体"/>
          <w:color w:val="000000" w:themeColor="text1"/>
          <w:kern w:val="0"/>
          <w:sz w:val="24"/>
          <w14:textFill>
            <w14:solidFill>
              <w14:schemeClr w14:val="tx1"/>
            </w14:solidFill>
          </w14:textFill>
        </w:rPr>
        <w:t>（附件</w:t>
      </w:r>
      <w:r>
        <w:rPr>
          <w:rFonts w:ascii="宋体" w:hAnsi="宋体" w:cs="宋体"/>
          <w:color w:val="000000" w:themeColor="text1"/>
          <w:kern w:val="0"/>
          <w:sz w:val="24"/>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w:t>
      </w:r>
    </w:p>
    <w:p>
      <w:pPr>
        <w:snapToGrid w:val="0"/>
        <w:spacing w:line="360" w:lineRule="auto"/>
        <w:ind w:firstLine="470" w:firstLineChars="196"/>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售后服务措施及承诺</w:t>
      </w:r>
      <w:r>
        <w:rPr>
          <w:rFonts w:hint="eastAsia" w:ascii="宋体" w:hAnsi="宋体" w:cs="宋体"/>
          <w:color w:val="000000" w:themeColor="text1"/>
          <w:kern w:val="0"/>
          <w:sz w:val="24"/>
          <w14:textFill>
            <w14:solidFill>
              <w14:schemeClr w14:val="tx1"/>
            </w14:solidFill>
          </w14:textFill>
        </w:rPr>
        <w:t>（可视情选用附件</w:t>
      </w:r>
      <w:r>
        <w:rPr>
          <w:rFonts w:ascii="宋体" w:hAnsi="宋体" w:cs="宋体"/>
          <w:color w:val="000000" w:themeColor="text1"/>
          <w:kern w:val="0"/>
          <w:sz w:val="24"/>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w:t>
      </w:r>
    </w:p>
    <w:p>
      <w:pPr>
        <w:spacing w:line="360" w:lineRule="auto"/>
        <w:ind w:right="-108" w:firstLine="422" w:firstLineChars="150"/>
        <w:rPr>
          <w:rFonts w:ascii="宋体" w:cs="宋体"/>
          <w:color w:val="000000" w:themeColor="text1"/>
          <w:sz w:val="24"/>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第三部分</w:t>
      </w:r>
      <w:r>
        <w:rPr>
          <w:rFonts w:ascii="宋体" w:hAnsi="宋体" w:cs="宋体"/>
          <w:b/>
          <w:bCs/>
          <w:color w:val="000000" w:themeColor="text1"/>
          <w:kern w:val="0"/>
          <w:sz w:val="28"/>
          <w:szCs w:val="28"/>
          <w14:textFill>
            <w14:solidFill>
              <w14:schemeClr w14:val="tx1"/>
            </w14:solidFill>
          </w14:textFill>
        </w:rPr>
        <w:t xml:space="preserve"> </w:t>
      </w:r>
      <w:r>
        <w:rPr>
          <w:rFonts w:hint="eastAsia" w:ascii="宋体" w:hAnsi="宋体" w:cs="宋体"/>
          <w:b/>
          <w:bCs/>
          <w:color w:val="000000" w:themeColor="text1"/>
          <w:kern w:val="0"/>
          <w:sz w:val="28"/>
          <w:szCs w:val="28"/>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报价</w:t>
      </w:r>
      <w:r>
        <w:rPr>
          <w:rFonts w:hint="eastAsia" w:ascii="宋体" w:hAnsi="宋体" w:cs="宋体"/>
          <w:b/>
          <w:bCs/>
          <w:color w:val="000000" w:themeColor="text1"/>
          <w:sz w:val="28"/>
          <w:szCs w:val="28"/>
          <w14:textFill>
            <w14:solidFill>
              <w14:schemeClr w14:val="tx1"/>
            </w14:solidFill>
          </w14:textFill>
        </w:rPr>
        <w:t>部分</w:t>
      </w:r>
    </w:p>
    <w:p>
      <w:pPr>
        <w:snapToGrid w:val="0"/>
        <w:spacing w:line="360" w:lineRule="auto"/>
        <w:ind w:firstLine="420" w:firstLineChars="175"/>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首次报价一览表</w:t>
      </w:r>
      <w:r>
        <w:rPr>
          <w:rFonts w:hint="eastAsia" w:ascii="宋体" w:hAnsi="宋体"/>
          <w:color w:val="000000" w:themeColor="text1"/>
          <w:sz w:val="24"/>
          <w14:textFill>
            <w14:solidFill>
              <w14:schemeClr w14:val="tx1"/>
            </w14:solidFill>
          </w14:textFill>
        </w:rPr>
        <w:t>（附件</w:t>
      </w: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w:t>
      </w:r>
    </w:p>
    <w:p>
      <w:pPr>
        <w:pStyle w:val="13"/>
        <w:snapToGrid w:val="0"/>
        <w:spacing w:line="360" w:lineRule="auto"/>
        <w:ind w:firstLine="420" w:firstLineChars="175"/>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、报价明细表（附件</w:t>
      </w:r>
      <w:r>
        <w:rPr>
          <w:rFonts w:hAnsi="宋体"/>
          <w:color w:val="000000" w:themeColor="text1"/>
          <w14:textFill>
            <w14:solidFill>
              <w14:schemeClr w14:val="tx1"/>
            </w14:solidFill>
          </w14:textFill>
        </w:rPr>
        <w:t>13</w:t>
      </w:r>
      <w:r>
        <w:rPr>
          <w:rFonts w:hint="eastAsia" w:hAnsi="宋体"/>
          <w:color w:val="000000" w:themeColor="text1"/>
          <w14:textFill>
            <w14:solidFill>
              <w14:schemeClr w14:val="tx1"/>
            </w14:solidFill>
          </w14:textFill>
        </w:rPr>
        <w:t>）；</w:t>
      </w:r>
    </w:p>
    <w:p>
      <w:pPr>
        <w:spacing w:line="360" w:lineRule="auto"/>
        <w:ind w:right="-108" w:firstLine="422" w:firstLineChars="150"/>
        <w:rPr>
          <w:rFonts w:ascii="宋体" w:cs="宋体"/>
          <w:color w:val="000000" w:themeColor="text1"/>
          <w:sz w:val="24"/>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第四部分</w:t>
      </w:r>
      <w:r>
        <w:rPr>
          <w:rFonts w:ascii="宋体" w:hAnsi="宋体" w:cs="宋体"/>
          <w:b/>
          <w:bCs/>
          <w:color w:val="000000" w:themeColor="text1"/>
          <w:kern w:val="0"/>
          <w:sz w:val="28"/>
          <w:szCs w:val="28"/>
          <w14:textFill>
            <w14:solidFill>
              <w14:schemeClr w14:val="tx1"/>
            </w14:solidFill>
          </w14:textFill>
        </w:rPr>
        <w:t xml:space="preserve"> </w:t>
      </w:r>
      <w:r>
        <w:rPr>
          <w:rFonts w:hint="eastAsia" w:ascii="宋体" w:hAnsi="宋体" w:cs="宋体"/>
          <w:b/>
          <w:bCs/>
          <w:color w:val="000000" w:themeColor="text1"/>
          <w:kern w:val="0"/>
          <w:sz w:val="28"/>
          <w:szCs w:val="28"/>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其他</w:t>
      </w:r>
      <w:r>
        <w:rPr>
          <w:rFonts w:hint="eastAsia" w:ascii="宋体" w:hAnsi="宋体" w:cs="宋体"/>
          <w:b/>
          <w:bCs/>
          <w:color w:val="000000" w:themeColor="text1"/>
          <w:sz w:val="28"/>
          <w:szCs w:val="28"/>
          <w14:textFill>
            <w14:solidFill>
              <w14:schemeClr w14:val="tx1"/>
            </w14:solidFill>
          </w14:textFill>
        </w:rPr>
        <w:t>部分</w:t>
      </w:r>
    </w:p>
    <w:p>
      <w:pPr>
        <w:snapToGrid w:val="0"/>
        <w:spacing w:line="360" w:lineRule="auto"/>
        <w:ind w:firstLine="480" w:firstLineChars="200"/>
        <w:rPr>
          <w:rFonts w:ascii="宋体" w:cs="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、针对竞争性谈判，响应供应商认为其他需要说明的；</w:t>
      </w:r>
    </w:p>
    <w:p>
      <w:pPr>
        <w:snapToGrid w:val="0"/>
        <w:spacing w:line="360" w:lineRule="auto"/>
        <w:ind w:left="420" w:leftChars="200" w:firstLine="48" w:firstLineChars="20"/>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（以上内容具体描述详见“第二章</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供应商须知”中“二、谈判响应文件”的组成说明）</w:t>
      </w:r>
    </w:p>
    <w:p>
      <w:pPr>
        <w:snapToGrid w:val="0"/>
        <w:spacing w:line="360" w:lineRule="auto"/>
        <w:rPr>
          <w:rFonts w:ascii="宋体"/>
          <w:color w:val="000000" w:themeColor="text1"/>
          <w:kern w:val="0"/>
          <w:sz w:val="24"/>
          <w14:textFill>
            <w14:solidFill>
              <w14:schemeClr w14:val="tx1"/>
            </w14:solidFill>
          </w14:textFill>
        </w:rPr>
      </w:pPr>
    </w:p>
    <w:p>
      <w:pPr>
        <w:snapToGrid w:val="0"/>
        <w:spacing w:line="360" w:lineRule="auto"/>
        <w:rPr>
          <w:rFonts w:ascii="宋体"/>
          <w:color w:val="000000" w:themeColor="text1"/>
          <w:kern w:val="0"/>
          <w:sz w:val="24"/>
          <w14:textFill>
            <w14:solidFill>
              <w14:schemeClr w14:val="tx1"/>
            </w14:solidFill>
          </w14:textFill>
        </w:rPr>
      </w:pPr>
    </w:p>
    <w:p>
      <w:pPr>
        <w:pStyle w:val="3"/>
        <w:spacing w:line="360" w:lineRule="auto"/>
        <w:rPr>
          <w:color w:val="000000" w:themeColor="text1"/>
          <w14:textFill>
            <w14:solidFill>
              <w14:schemeClr w14:val="tx1"/>
            </w14:solidFill>
          </w14:textFill>
        </w:rPr>
      </w:pPr>
    </w:p>
    <w:p>
      <w:pPr>
        <w:pStyle w:val="2"/>
        <w:ind w:firstLine="240"/>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rPr>
          <w:rFonts w:asci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2</w:t>
      </w:r>
    </w:p>
    <w:p>
      <w:pPr>
        <w:adjustRightInd w:val="0"/>
        <w:snapToGrid w:val="0"/>
        <w:spacing w:line="360" w:lineRule="auto"/>
        <w:ind w:right="480"/>
        <w:jc w:val="center"/>
        <w:rPr>
          <w:rFonts w:ascii="宋体"/>
          <w:b/>
          <w:color w:val="000000" w:themeColor="text1"/>
          <w:kern w:val="0"/>
          <w:sz w:val="32"/>
          <w:szCs w:val="32"/>
          <w:lang w:val="zh-CN"/>
          <w14:textFill>
            <w14:solidFill>
              <w14:schemeClr w14:val="tx1"/>
            </w14:solidFill>
          </w14:textFill>
        </w:rPr>
      </w:pPr>
      <w:r>
        <w:rPr>
          <w:rFonts w:hint="eastAsia" w:ascii="宋体" w:hAnsi="宋体"/>
          <w:b/>
          <w:color w:val="000000" w:themeColor="text1"/>
          <w:kern w:val="0"/>
          <w:sz w:val="32"/>
          <w:szCs w:val="32"/>
          <w:lang w:val="zh-CN"/>
          <w14:textFill>
            <w14:solidFill>
              <w14:schemeClr w14:val="tx1"/>
            </w14:solidFill>
          </w14:textFill>
        </w:rPr>
        <w:t>谈判声明书</w:t>
      </w:r>
    </w:p>
    <w:p>
      <w:pPr>
        <w:snapToGrid w:val="0"/>
        <w:spacing w:line="360" w:lineRule="auto"/>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浙江五石中正工程咨询有限公司：</w:t>
      </w:r>
    </w:p>
    <w:p>
      <w:pPr>
        <w:snapToGrid w:val="0"/>
        <w:spacing w:line="360" w:lineRule="auto"/>
        <w:ind w:firstLine="480" w:firstLineChars="200"/>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（供应商名称）系中华人民共和国合法企业，经营地址。</w:t>
      </w:r>
    </w:p>
    <w:p>
      <w:pPr>
        <w:snapToGrid w:val="0"/>
        <w:spacing w:line="360" w:lineRule="auto"/>
        <w:ind w:firstLine="480" w:firstLineChars="200"/>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姓名</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）系（</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供应商名称</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竞争性谈判项目名称</w:t>
      </w:r>
      <w:r>
        <w:rPr>
          <w:rFonts w:hint="eastAsia" w:ascii="宋体" w:hAnsi="宋体" w:cs="宋体"/>
          <w:color w:val="000000" w:themeColor="text1"/>
          <w:kern w:val="0"/>
          <w:sz w:val="24"/>
          <w14:textFill>
            <w14:solidFill>
              <w14:schemeClr w14:val="tx1"/>
            </w14:solidFill>
          </w14:textFill>
        </w:rPr>
        <w:t>）（编号为××）的谈判，为此，我公司就本次谈判有关事项郑重声明如下：</w:t>
      </w:r>
    </w:p>
    <w:p>
      <w:pPr>
        <w:numPr>
          <w:ilvl w:val="0"/>
          <w:numId w:val="13"/>
        </w:numPr>
        <w:snapToGrid w:val="0"/>
        <w:spacing w:line="360" w:lineRule="auto"/>
        <w:ind w:firstLine="480" w:firstLineChars="200"/>
        <w:rPr>
          <w:rFonts w:ascii="宋体" w:cs="宋体"/>
          <w:b/>
          <w:color w:val="000000" w:themeColor="text1"/>
          <w:kern w:val="0"/>
          <w:sz w:val="24"/>
          <w14:textFill>
            <w14:solidFill>
              <w14:schemeClr w14:val="tx1"/>
            </w14:solidFill>
          </w14:textFill>
        </w:rPr>
      </w:pPr>
      <w:r>
        <w:rPr>
          <w:rFonts w:hint="eastAsia" w:ascii="Arial" w:hAnsi="Arial"/>
          <w:color w:val="000000" w:themeColor="text1"/>
          <w:sz w:val="24"/>
          <w14:textFill>
            <w14:solidFill>
              <w14:schemeClr w14:val="tx1"/>
            </w14:solidFill>
          </w14:textFill>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13"/>
        </w:numPr>
        <w:snapToGrid w:val="0"/>
        <w:spacing w:line="360" w:lineRule="auto"/>
        <w:ind w:firstLine="480" w:firstLineChars="200"/>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在参与谈判响应前已详细审查了谈判文件和所有相关资料，我方完全明白并认为此谈判采购文件没有倾向性，也没有存在排斥潜在供应商的内容，我方同意谈判采购文件的相关条款，放弃对谈判采购文件提出误解和质疑的一切权利。</w:t>
      </w:r>
    </w:p>
    <w:p>
      <w:pPr>
        <w:numPr>
          <w:ilvl w:val="255"/>
          <w:numId w:val="0"/>
        </w:numPr>
        <w:snapToGrid w:val="0"/>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color w:val="000000" w:themeColor="text1"/>
          <w:kern w:val="0"/>
          <w:sz w:val="24"/>
          <w:lang w:val="af-ZA"/>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公司谈判响应的</w:t>
      </w:r>
      <w:r>
        <w:rPr>
          <w:rFonts w:hint="eastAsia" w:ascii="宋体" w:hAnsi="宋体"/>
          <w:color w:val="000000" w:themeColor="text1"/>
          <w:kern w:val="0"/>
          <w:sz w:val="24"/>
          <w:lang w:val="af-ZA"/>
          <w14:textFill>
            <w14:solidFill>
              <w14:schemeClr w14:val="tx1"/>
            </w14:solidFill>
          </w14:textFill>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我方的总</w:t>
      </w:r>
      <w:r>
        <w:rPr>
          <w:rFonts w:hint="eastAsia" w:ascii="宋体" w:hAnsi="宋体"/>
          <w:color w:val="000000" w:themeColor="text1"/>
          <w:kern w:val="0"/>
          <w:sz w:val="24"/>
          <w:lang w:val="af-ZA"/>
          <w14:textFill>
            <w14:solidFill>
              <w14:schemeClr w14:val="tx1"/>
            </w14:solidFill>
          </w14:textFill>
        </w:rPr>
        <w:t>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ascii="宋体" w:hAnsi="宋体" w:cs="宋体"/>
          <w:color w:val="000000" w:themeColor="text1"/>
          <w:kern w:val="0"/>
          <w:sz w:val="24"/>
          <w:lang w:val="af-ZA"/>
          <w14:textFill>
            <w14:solidFill>
              <w14:schemeClr w14:val="tx1"/>
            </w14:solidFill>
          </w14:textFill>
        </w:rPr>
        <w:t>5</w:t>
      </w:r>
      <w:r>
        <w:rPr>
          <w:rFonts w:hint="eastAsia" w:ascii="宋体" w:hAnsi="宋体" w:cs="宋体"/>
          <w:color w:val="000000" w:themeColor="text1"/>
          <w:kern w:val="0"/>
          <w:sz w:val="24"/>
          <w:lang w:val="af-ZA"/>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pPr>
        <w:snapToGrid w:val="0"/>
        <w:spacing w:line="360" w:lineRule="auto"/>
        <w:ind w:firstLine="480" w:firstLineChars="200"/>
        <w:rPr>
          <w:rFonts w:ascii="宋体" w:cs="仿宋_GB2312"/>
          <w:color w:val="000000" w:themeColor="text1"/>
          <w:kern w:val="0"/>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60" w:lineRule="auto"/>
        <w:ind w:firstLine="4680" w:firstLineChars="1950"/>
        <w:rPr>
          <w:rFonts w:ascii="宋体" w:cs="仿宋_GB2312"/>
          <w:color w:val="000000" w:themeColor="text1"/>
          <w:kern w:val="0"/>
          <w:sz w:val="24"/>
          <w:lang w:val="zh-CN"/>
          <w14:textFill>
            <w14:solidFill>
              <w14:schemeClr w14:val="tx1"/>
            </w14:solidFill>
          </w14:textFill>
        </w:rPr>
      </w:pPr>
      <w:r>
        <w:rPr>
          <w:rFonts w:ascii="宋体" w:hAnsi="宋体" w:cs="仿宋_GB2312"/>
          <w:color w:val="000000" w:themeColor="text1"/>
          <w:kern w:val="0"/>
          <w:sz w:val="24"/>
          <w:lang w:val="zh-CN"/>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供应商名称</w:t>
      </w:r>
      <w:r>
        <w:rPr>
          <w:rFonts w:ascii="宋体" w:hAnsi="宋体" w:cs="仿宋_GB2312"/>
          <w:color w:val="000000" w:themeColor="text1"/>
          <w:kern w:val="0"/>
          <w:sz w:val="24"/>
          <w:lang w:val="zh-CN"/>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公章</w:t>
      </w:r>
      <w:r>
        <w:rPr>
          <w:rFonts w:ascii="宋体" w:hAnsi="宋体" w:cs="仿宋_GB2312"/>
          <w:color w:val="000000" w:themeColor="text1"/>
          <w:kern w:val="0"/>
          <w:sz w:val="24"/>
          <w:lang w:val="zh-CN"/>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w:t>
      </w:r>
    </w:p>
    <w:p>
      <w:pPr>
        <w:adjustRightInd w:val="0"/>
        <w:snapToGrid w:val="0"/>
        <w:spacing w:line="360" w:lineRule="auto"/>
        <w:rPr>
          <w:rFonts w:ascii="宋体" w:cs="仿宋_GB2312"/>
          <w:color w:val="000000" w:themeColor="text1"/>
          <w:kern w:val="0"/>
          <w:sz w:val="24"/>
          <w:lang w:val="zh-CN"/>
          <w14:textFill>
            <w14:solidFill>
              <w14:schemeClr w14:val="tx1"/>
            </w14:solidFill>
          </w14:textFill>
        </w:rPr>
      </w:pPr>
      <w:r>
        <w:rPr>
          <w:rFonts w:ascii="宋体" w:hAnsi="宋体" w:cs="仿宋_GB2312"/>
          <w:color w:val="000000" w:themeColor="text1"/>
          <w:kern w:val="0"/>
          <w:sz w:val="24"/>
          <w:lang w:val="zh-CN"/>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法定代表人或授权委托人</w:t>
      </w:r>
      <w:r>
        <w:rPr>
          <w:rFonts w:ascii="宋体" w:hAnsi="宋体" w:cs="仿宋_GB2312"/>
          <w:color w:val="000000" w:themeColor="text1"/>
          <w:kern w:val="0"/>
          <w:sz w:val="24"/>
          <w:lang w:val="zh-CN"/>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签字</w:t>
      </w:r>
      <w:r>
        <w:rPr>
          <w:rFonts w:ascii="宋体" w:hAnsi="宋体" w:cs="仿宋_GB2312"/>
          <w:color w:val="000000" w:themeColor="text1"/>
          <w:kern w:val="0"/>
          <w:sz w:val="24"/>
          <w:lang w:val="zh-CN"/>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w:t>
      </w:r>
    </w:p>
    <w:p>
      <w:pPr>
        <w:adjustRightInd w:val="0"/>
        <w:snapToGrid w:val="0"/>
        <w:spacing w:line="360" w:lineRule="auto"/>
        <w:ind w:right="480"/>
        <w:jc w:val="center"/>
        <w:rPr>
          <w:rFonts w:ascii="宋体" w:cs="仿宋_GB2312"/>
          <w:color w:val="000000" w:themeColor="text1"/>
          <w:kern w:val="0"/>
          <w:sz w:val="24"/>
          <w:lang w:val="zh-CN"/>
          <w14:textFill>
            <w14:solidFill>
              <w14:schemeClr w14:val="tx1"/>
            </w14:solidFill>
          </w14:textFill>
        </w:rPr>
      </w:pPr>
      <w:r>
        <w:rPr>
          <w:rFonts w:ascii="宋体" w:hAnsi="宋体" w:cs="仿宋_GB2312"/>
          <w:color w:val="000000" w:themeColor="text1"/>
          <w:kern w:val="0"/>
          <w:sz w:val="24"/>
          <w:lang w:val="zh-CN"/>
          <w14:textFill>
            <w14:solidFill>
              <w14:schemeClr w14:val="tx1"/>
            </w14:solidFill>
          </w14:textFill>
        </w:rPr>
        <w:t xml:space="preserve">                                  </w:t>
      </w:r>
      <w:r>
        <w:rPr>
          <w:rFonts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日期：</w:t>
      </w:r>
      <w:r>
        <w:rPr>
          <w:rFonts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年</w:t>
      </w:r>
      <w:r>
        <w:rPr>
          <w:rFonts w:ascii="宋体" w:hAnsi="宋体" w:cs="仿宋_GB2312"/>
          <w:color w:val="000000" w:themeColor="text1"/>
          <w:kern w:val="0"/>
          <w:sz w:val="24"/>
          <w:lang w:val="zh-CN"/>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月</w:t>
      </w:r>
      <w:r>
        <w:rPr>
          <w:rFonts w:ascii="宋体" w:hAnsi="宋体" w:cs="仿宋_GB2312"/>
          <w:color w:val="000000" w:themeColor="text1"/>
          <w:kern w:val="0"/>
          <w:sz w:val="24"/>
          <w:lang w:val="zh-CN"/>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日</w:t>
      </w:r>
    </w:p>
    <w:p>
      <w:pPr>
        <w:adjustRightInd w:val="0"/>
        <w:snapToGrid w:val="0"/>
        <w:spacing w:line="360" w:lineRule="auto"/>
        <w:ind w:right="480"/>
        <w:rPr>
          <w:rFonts w:asci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3</w:t>
      </w:r>
    </w:p>
    <w:p>
      <w:pPr>
        <w:spacing w:line="360" w:lineRule="auto"/>
        <w:ind w:firstLine="321" w:firstLineChars="100"/>
        <w:jc w:val="center"/>
        <w:rPr>
          <w:rFonts w:ascii="Calibri" w:hAnsi="Calibri"/>
          <w:b/>
          <w:color w:val="000000" w:themeColor="text1"/>
          <w:sz w:val="32"/>
          <w:szCs w:val="32"/>
          <w:lang w:val="zh-CN"/>
          <w14:textFill>
            <w14:solidFill>
              <w14:schemeClr w14:val="tx1"/>
            </w14:solidFill>
          </w14:textFill>
        </w:rPr>
      </w:pPr>
      <w:r>
        <w:rPr>
          <w:rFonts w:hint="eastAsia" w:ascii="Calibri" w:hAnsi="Calibri"/>
          <w:b/>
          <w:color w:val="000000" w:themeColor="text1"/>
          <w:sz w:val="32"/>
          <w:szCs w:val="32"/>
          <w:lang w:val="zh-CN"/>
          <w14:textFill>
            <w14:solidFill>
              <w14:schemeClr w14:val="tx1"/>
            </w14:solidFill>
          </w14:textFill>
        </w:rPr>
        <w:t>授权委托书</w:t>
      </w:r>
    </w:p>
    <w:p>
      <w:pPr>
        <w:pStyle w:val="12"/>
        <w:spacing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浙江五石中正工程咨询有限公司：</w:t>
      </w:r>
    </w:p>
    <w:p>
      <w:pPr>
        <w:pStyle w:val="12"/>
        <w:spacing w:line="360" w:lineRule="auto"/>
        <w:ind w:left="240" w:hanging="240" w:hangingChars="1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（供应商全称）</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（法定代表人</w:t>
      </w:r>
      <w:r>
        <w:rPr>
          <w:rFonts w:hint="eastAsia" w:ascii="Arial" w:hAnsi="Arial" w:cs="Arial"/>
          <w:color w:val="000000" w:themeColor="text1"/>
          <w:sz w:val="24"/>
          <w:u w:val="single"/>
          <w14:textFill>
            <w14:solidFill>
              <w14:schemeClr w14:val="tx1"/>
            </w14:solidFill>
          </w14:textFill>
        </w:rPr>
        <w:t>或营业执照中单位负责人</w:t>
      </w:r>
      <w:r>
        <w:rPr>
          <w:rFonts w:hint="eastAsia" w:hAnsi="宋体"/>
          <w:color w:val="000000" w:themeColor="text1"/>
          <w:sz w:val="24"/>
          <w:u w:val="single"/>
          <w14:textFill>
            <w14:solidFill>
              <w14:schemeClr w14:val="tx1"/>
            </w14:solidFill>
          </w14:textFill>
        </w:rPr>
        <w:t>姓名）</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授权</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（全权代表姓名）</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为全权代表，参加贵单位组织的</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项目的采购活动，并代表我方全权办理针对上述项目的谈判、签约等具体事务和签署相关文件。我方对全权代表的签字事项负全部责任。</w:t>
      </w:r>
    </w:p>
    <w:p>
      <w:pPr>
        <w:pStyle w:val="12"/>
        <w:spacing w:line="360" w:lineRule="auto"/>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12"/>
        <w:spacing w:line="360" w:lineRule="auto"/>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供应商全称（公章）：</w:t>
      </w:r>
      <w:r>
        <w:rPr>
          <w:rFonts w:ascii="宋体"/>
          <w:color w:val="000000" w:themeColor="text1"/>
          <w:sz w:val="24"/>
          <w14:textFill>
            <w14:solidFill>
              <w14:schemeClr w14:val="tx1"/>
            </w14:solidFill>
          </w14:textFill>
        </w:rPr>
        <w:t xml:space="preserve">                              </w:t>
      </w:r>
      <w:r>
        <w:rPr>
          <w:rFonts w:hint="eastAsia" w:ascii="宋体"/>
          <w:color w:val="000000" w:themeColor="text1"/>
          <w:sz w:val="24"/>
          <w14:textFill>
            <w14:solidFill>
              <w14:schemeClr w14:val="tx1"/>
            </w14:solidFill>
          </w14:textFill>
        </w:rPr>
        <w:t>日期：</w:t>
      </w:r>
    </w:p>
    <w:p>
      <w:pPr>
        <w:spacing w:line="360" w:lineRule="auto"/>
        <w:rPr>
          <w:color w:val="000000" w:themeColor="text1"/>
          <w:sz w:val="24"/>
          <w14:textFill>
            <w14:solidFill>
              <w14:schemeClr w14:val="tx1"/>
            </w14:solidFill>
          </w14:textFill>
        </w:rPr>
      </w:pPr>
    </w:p>
    <w:p>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vAlign w:val="center"/>
          </w:tcPr>
          <w:p>
            <w:pPr>
              <w:spacing w:line="360" w:lineRule="auto"/>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法定代表身份证复印件粘帖处</w:t>
            </w:r>
          </w:p>
        </w:tc>
      </w:tr>
    </w:tbl>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法定代表人姓名：</w:t>
      </w:r>
      <w:r>
        <w:rPr>
          <w:rFonts w:ascii="宋体"/>
          <w:color w:val="000000" w:themeColor="text1"/>
          <w:sz w:val="24"/>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b/>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全权代表身份证复印件粘帖处</w:t>
            </w:r>
          </w:p>
        </w:tc>
      </w:tr>
    </w:tbl>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全权代表姓名：</w:t>
      </w:r>
      <w:r>
        <w:rPr>
          <w:rFonts w:ascii="宋体"/>
          <w:color w:val="000000" w:themeColor="text1"/>
          <w:sz w:val="24"/>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职务：</w:t>
      </w:r>
      <w:r>
        <w:rPr>
          <w:rFonts w:ascii="宋体"/>
          <w:color w:val="000000" w:themeColor="text1"/>
          <w:sz w:val="24"/>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napToGrid w:val="0"/>
        <w:spacing w:line="360" w:lineRule="auto"/>
        <w:rPr>
          <w:rFonts w:ascii="宋体"/>
          <w:color w:val="000000" w:themeColor="text1"/>
          <w:kern w:val="0"/>
          <w:sz w:val="24"/>
          <w14:textFill>
            <w14:solidFill>
              <w14:schemeClr w14:val="tx1"/>
            </w14:solidFill>
          </w14:textFill>
        </w:rPr>
      </w:pPr>
    </w:p>
    <w:p>
      <w:pPr>
        <w:pStyle w:val="48"/>
        <w:shd w:val="clear" w:color="auto" w:fill="FFFFFF"/>
        <w:spacing w:before="0" w:beforeAutospacing="0" w:after="0" w:afterAutospacing="0" w:line="360" w:lineRule="auto"/>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附件</w:t>
      </w:r>
      <w:r>
        <w:rPr>
          <w:b/>
          <w:color w:val="000000" w:themeColor="text1"/>
          <w:sz w:val="28"/>
          <w14:textFill>
            <w14:solidFill>
              <w14:schemeClr w14:val="tx1"/>
            </w14:solidFill>
          </w14:textFill>
        </w:rPr>
        <w:t>4</w:t>
      </w:r>
      <w:r>
        <w:rPr>
          <w:rFonts w:hint="eastAsia"/>
          <w:b/>
          <w:color w:val="000000" w:themeColor="text1"/>
          <w:sz w:val="28"/>
          <w14:textFill>
            <w14:solidFill>
              <w14:schemeClr w14:val="tx1"/>
            </w14:solidFill>
          </w14:textFill>
        </w:rPr>
        <w:t>：</w:t>
      </w:r>
      <w:r>
        <w:rPr>
          <w:b/>
          <w:color w:val="000000" w:themeColor="text1"/>
          <w:sz w:val="28"/>
          <w14:textFill>
            <w14:solidFill>
              <w14:schemeClr w14:val="tx1"/>
            </w14:solidFill>
          </w14:textFill>
        </w:rPr>
        <w:t xml:space="preserve">       </w:t>
      </w:r>
    </w:p>
    <w:p>
      <w:pPr>
        <w:pStyle w:val="48"/>
        <w:shd w:val="clear" w:color="auto" w:fill="FFFFFF"/>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b/>
          <w:color w:val="000000" w:themeColor="text1"/>
          <w:sz w:val="32"/>
          <w:szCs w:val="32"/>
          <w14:textFill>
            <w14:solidFill>
              <w14:schemeClr w14:val="tx1"/>
            </w14:solidFill>
          </w14:textFill>
        </w:rPr>
        <w:t xml:space="preserve">  </w:t>
      </w:r>
      <w:r>
        <w:rPr>
          <w:rFonts w:hint="eastAsia"/>
          <w:b/>
          <w:color w:val="000000" w:themeColor="text1"/>
          <w:sz w:val="32"/>
          <w:szCs w:val="32"/>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p>
    <w:p>
      <w:pPr>
        <w:pStyle w:val="48"/>
        <w:shd w:val="clear" w:color="auto" w:fill="FFFFFF"/>
        <w:spacing w:before="0" w:beforeAutospacing="0" w:after="0" w:afterAutospacing="0" w:line="360" w:lineRule="auto"/>
        <w:jc w:val="center"/>
        <w:rPr>
          <w:rFonts w:eastAsia="微软雅黑"/>
          <w:color w:val="000000" w:themeColor="text1"/>
          <w:sz w:val="36"/>
          <w:szCs w:val="36"/>
          <w14:textFill>
            <w14:solidFill>
              <w14:schemeClr w14:val="tx1"/>
            </w14:solidFill>
          </w14:textFill>
        </w:rPr>
      </w:pP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48"/>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企业名称</w:t>
            </w:r>
          </w:p>
        </w:tc>
        <w:tc>
          <w:tcPr>
            <w:tcW w:w="3979" w:type="dxa"/>
            <w:gridSpan w:val="6"/>
          </w:tcPr>
          <w:p>
            <w:pPr>
              <w:pStyle w:val="48"/>
              <w:shd w:val="clear" w:color="auto" w:fill="FFFFFF"/>
              <w:spacing w:before="0" w:beforeAutospacing="0" w:after="0" w:afterAutospacing="0" w:line="360" w:lineRule="auto"/>
              <w:rPr>
                <w:bCs/>
                <w:color w:val="000000" w:themeColor="text1"/>
                <w14:textFill>
                  <w14:solidFill>
                    <w14:schemeClr w14:val="tx1"/>
                  </w14:solidFill>
                </w14:textFill>
              </w:rPr>
            </w:pPr>
          </w:p>
        </w:tc>
        <w:tc>
          <w:tcPr>
            <w:tcW w:w="2001" w:type="dxa"/>
            <w:gridSpan w:val="3"/>
          </w:tcPr>
          <w:p>
            <w:pPr>
              <w:pStyle w:val="48"/>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法人代表</w:t>
            </w:r>
          </w:p>
        </w:tc>
        <w:tc>
          <w:tcPr>
            <w:tcW w:w="2151" w:type="dxa"/>
            <w:gridSpan w:val="2"/>
          </w:tcPr>
          <w:p>
            <w:pPr>
              <w:pStyle w:val="48"/>
              <w:shd w:val="clear" w:color="auto" w:fill="FFFFFF"/>
              <w:spacing w:before="0" w:beforeAutospacing="0" w:after="0" w:afterAutospacing="0"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地址</w:t>
            </w:r>
          </w:p>
        </w:tc>
        <w:tc>
          <w:tcPr>
            <w:tcW w:w="3979" w:type="dxa"/>
            <w:gridSpan w:val="6"/>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2001" w:type="dxa"/>
            <w:gridSpan w:val="3"/>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企业性质</w:t>
            </w:r>
          </w:p>
        </w:tc>
        <w:tc>
          <w:tcPr>
            <w:tcW w:w="2151" w:type="dxa"/>
            <w:gridSpan w:val="2"/>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股东姓名</w:t>
            </w:r>
          </w:p>
        </w:tc>
        <w:tc>
          <w:tcPr>
            <w:tcW w:w="701" w:type="dxa"/>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910" w:type="dxa"/>
            <w:gridSpan w:val="2"/>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股权结构（</w:t>
            </w:r>
            <w:r>
              <w:rPr>
                <w:bCs/>
                <w:color w:val="000000" w:themeColor="text1"/>
                <w:spacing w:val="16"/>
                <w14:textFill>
                  <w14:solidFill>
                    <w14:schemeClr w14:val="tx1"/>
                  </w14:solidFill>
                </w14:textFill>
              </w:rPr>
              <w:t>%</w:t>
            </w:r>
            <w:r>
              <w:rPr>
                <w:rFonts w:hint="eastAsia"/>
                <w:bCs/>
                <w:color w:val="000000" w:themeColor="text1"/>
                <w:spacing w:val="16"/>
                <w14:textFill>
                  <w14:solidFill>
                    <w14:schemeClr w14:val="tx1"/>
                  </w14:solidFill>
                </w14:textFill>
              </w:rPr>
              <w:t>）</w:t>
            </w:r>
          </w:p>
        </w:tc>
        <w:tc>
          <w:tcPr>
            <w:tcW w:w="2368" w:type="dxa"/>
            <w:gridSpan w:val="3"/>
          </w:tcPr>
          <w:p>
            <w:pPr>
              <w:widowControl/>
              <w:spacing w:line="360" w:lineRule="auto"/>
              <w:jc w:val="left"/>
              <w:rPr>
                <w:rFonts w:ascii="宋体" w:cs="宋体"/>
                <w:bCs/>
                <w:color w:val="000000" w:themeColor="text1"/>
                <w:spacing w:val="16"/>
                <w:kern w:val="0"/>
                <w:sz w:val="24"/>
                <w14:textFill>
                  <w14:solidFill>
                    <w14:schemeClr w14:val="tx1"/>
                  </w14:solidFill>
                </w14:textFill>
              </w:rPr>
            </w:pPr>
          </w:p>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2001" w:type="dxa"/>
            <w:gridSpan w:val="3"/>
          </w:tcPr>
          <w:p>
            <w:pPr>
              <w:pStyle w:val="48"/>
              <w:shd w:val="clear" w:color="auto" w:fill="FFFFFF"/>
              <w:spacing w:before="0" w:beforeAutospacing="0" w:after="0" w:afterAutospacing="0" w:line="360" w:lineRule="auto"/>
              <w:ind w:left="10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股东关系</w:t>
            </w:r>
          </w:p>
        </w:tc>
        <w:tc>
          <w:tcPr>
            <w:tcW w:w="2151" w:type="dxa"/>
            <w:gridSpan w:val="2"/>
          </w:tcPr>
          <w:p>
            <w:pPr>
              <w:pStyle w:val="48"/>
              <w:shd w:val="clear" w:color="auto" w:fill="FFFFFF"/>
              <w:spacing w:before="0" w:beforeAutospacing="0" w:after="0" w:afterAutospacing="0" w:line="360" w:lineRule="auto"/>
              <w:ind w:left="107"/>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联系人</w:t>
            </w:r>
            <w:r>
              <w:rPr>
                <w:rFonts w:hint="eastAsia"/>
                <w:bCs/>
                <w:color w:val="000000" w:themeColor="text1"/>
                <w:spacing w:val="27"/>
                <w14:textFill>
                  <w14:solidFill>
                    <w14:schemeClr w14:val="tx1"/>
                  </w14:solidFill>
                </w14:textFill>
              </w:rPr>
              <w:t>姓名</w:t>
            </w:r>
          </w:p>
        </w:tc>
        <w:tc>
          <w:tcPr>
            <w:tcW w:w="701" w:type="dxa"/>
            <w:vMerge w:val="restart"/>
            <w:tcBorders>
              <w:top w:val="nil"/>
            </w:tcBorders>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910" w:type="dxa"/>
            <w:gridSpan w:val="2"/>
            <w:tcBorders>
              <w:top w:val="nil"/>
            </w:tcBorders>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固定电话</w:t>
            </w:r>
          </w:p>
        </w:tc>
        <w:tc>
          <w:tcPr>
            <w:tcW w:w="2368" w:type="dxa"/>
            <w:gridSpan w:val="3"/>
            <w:tcBorders>
              <w:top w:val="nil"/>
            </w:tcBorders>
          </w:tcPr>
          <w:p>
            <w:pPr>
              <w:widowControl/>
              <w:spacing w:line="360" w:lineRule="auto"/>
              <w:jc w:val="left"/>
              <w:rPr>
                <w:rFonts w:ascii="宋体" w:cs="宋体"/>
                <w:bCs/>
                <w:color w:val="000000" w:themeColor="text1"/>
                <w:spacing w:val="16"/>
                <w:kern w:val="0"/>
                <w:sz w:val="24"/>
                <w14:textFill>
                  <w14:solidFill>
                    <w14:schemeClr w14:val="tx1"/>
                  </w14:solidFill>
                </w14:textFill>
              </w:rPr>
            </w:pPr>
          </w:p>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2001" w:type="dxa"/>
            <w:gridSpan w:val="3"/>
            <w:vMerge w:val="restart"/>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传真</w:t>
            </w:r>
          </w:p>
        </w:tc>
        <w:tc>
          <w:tcPr>
            <w:tcW w:w="2151" w:type="dxa"/>
            <w:gridSpan w:val="2"/>
            <w:vMerge w:val="restart"/>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Pr>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p>
        </w:tc>
        <w:tc>
          <w:tcPr>
            <w:tcW w:w="701" w:type="dxa"/>
            <w:vMerge w:val="continue"/>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910" w:type="dxa"/>
            <w:gridSpan w:val="2"/>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手机</w:t>
            </w:r>
          </w:p>
        </w:tc>
        <w:tc>
          <w:tcPr>
            <w:tcW w:w="2368" w:type="dxa"/>
            <w:gridSpan w:val="3"/>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2001" w:type="dxa"/>
            <w:gridSpan w:val="3"/>
            <w:vMerge w:val="continue"/>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2151" w:type="dxa"/>
            <w:gridSpan w:val="2"/>
            <w:vMerge w:val="continue"/>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1.</w:t>
            </w:r>
          </w:p>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w:t>
            </w:r>
          </w:p>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业</w:t>
            </w:r>
          </w:p>
          <w:p>
            <w:pPr>
              <w:pStyle w:val="48"/>
              <w:shd w:val="clear" w:color="auto" w:fill="FFFFFF"/>
              <w:spacing w:before="0" w:beforeAutospacing="0" w:after="0" w:afterAutospacing="0" w:line="360" w:lineRule="auto"/>
              <w:ind w:left="107"/>
              <w:rPr>
                <w:bCs/>
                <w:color w:val="000000" w:themeColor="text1"/>
                <w:spacing w:val="27"/>
                <w14:textFill>
                  <w14:solidFill>
                    <w14:schemeClr w14:val="tx1"/>
                  </w14:solidFill>
                </w14:textFill>
              </w:rPr>
            </w:pPr>
            <w:r>
              <w:rPr>
                <w:rFonts w:hint="eastAsia"/>
                <w:bCs/>
                <w:color w:val="000000" w:themeColor="text1"/>
                <w:spacing w:val="27"/>
                <w14:textFill>
                  <w14:solidFill>
                    <w14:schemeClr w14:val="tx1"/>
                  </w14:solidFill>
                </w14:textFill>
              </w:rPr>
              <w:t>概</w:t>
            </w:r>
          </w:p>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况</w:t>
            </w:r>
          </w:p>
        </w:tc>
        <w:tc>
          <w:tcPr>
            <w:tcW w:w="701" w:type="dxa"/>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职工人数</w:t>
            </w:r>
          </w:p>
        </w:tc>
        <w:tc>
          <w:tcPr>
            <w:tcW w:w="910" w:type="dxa"/>
            <w:gridSpan w:val="2"/>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1163" w:type="dxa"/>
          </w:tcPr>
          <w:p>
            <w:pPr>
              <w:pStyle w:val="48"/>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8"/>
                <w14:textFill>
                  <w14:solidFill>
                    <w14:schemeClr w14:val="tx1"/>
                  </w14:solidFill>
                </w14:textFill>
              </w:rPr>
              <w:t>具备大专以</w:t>
            </w:r>
            <w:r>
              <w:rPr>
                <w:rFonts w:hint="eastAsia"/>
                <w:bCs/>
                <w:color w:val="000000" w:themeColor="text1"/>
                <w:spacing w:val="12"/>
                <w14:textFill>
                  <w14:solidFill>
                    <w14:schemeClr w14:val="tx1"/>
                  </w14:solidFill>
                </w14:textFill>
              </w:rPr>
              <w:t>上学历人数</w:t>
            </w:r>
          </w:p>
        </w:tc>
        <w:tc>
          <w:tcPr>
            <w:tcW w:w="1205" w:type="dxa"/>
            <w:gridSpan w:val="2"/>
          </w:tcPr>
          <w:p>
            <w:pPr>
              <w:widowControl/>
              <w:spacing w:line="360" w:lineRule="auto"/>
              <w:jc w:val="left"/>
              <w:rPr>
                <w:rFonts w:ascii="宋体" w:cs="宋体"/>
                <w:bCs/>
                <w:color w:val="000000" w:themeColor="text1"/>
                <w:spacing w:val="16"/>
                <w:kern w:val="0"/>
                <w:sz w:val="24"/>
                <w14:textFill>
                  <w14:solidFill>
                    <w14:schemeClr w14:val="tx1"/>
                  </w14:solidFill>
                </w14:textFill>
              </w:rPr>
            </w:pPr>
          </w:p>
          <w:p>
            <w:pPr>
              <w:widowControl/>
              <w:spacing w:line="360" w:lineRule="auto"/>
              <w:jc w:val="left"/>
              <w:rPr>
                <w:rFonts w:ascii="宋体" w:cs="宋体"/>
                <w:bCs/>
                <w:color w:val="000000" w:themeColor="text1"/>
                <w:spacing w:val="16"/>
                <w:kern w:val="0"/>
                <w:sz w:val="24"/>
                <w14:textFill>
                  <w14:solidFill>
                    <w14:schemeClr w14:val="tx1"/>
                  </w14:solidFill>
                </w14:textFill>
              </w:rPr>
            </w:pPr>
          </w:p>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2001" w:type="dxa"/>
            <w:gridSpan w:val="3"/>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65"/>
                <w14:textFill>
                  <w14:solidFill>
                    <w14:schemeClr w14:val="tx1"/>
                  </w14:solidFill>
                </w14:textFill>
              </w:rPr>
              <w:t>国家授予技</w:t>
            </w:r>
            <w:r>
              <w:rPr>
                <w:rFonts w:hint="eastAsia"/>
                <w:bCs/>
                <w:color w:val="000000" w:themeColor="text1"/>
                <w:spacing w:val="12"/>
                <w14:textFill>
                  <w14:solidFill>
                    <w14:schemeClr w14:val="tx1"/>
                  </w14:solidFill>
                </w14:textFill>
              </w:rPr>
              <w:t>术职称人数</w:t>
            </w:r>
          </w:p>
        </w:tc>
        <w:tc>
          <w:tcPr>
            <w:tcW w:w="2151" w:type="dxa"/>
            <w:gridSpan w:val="2"/>
          </w:tcPr>
          <w:p>
            <w:pPr>
              <w:widowControl/>
              <w:spacing w:line="360" w:lineRule="auto"/>
              <w:jc w:val="left"/>
              <w:rPr>
                <w:rFonts w:ascii="宋体" w:cs="宋体"/>
                <w:bCs/>
                <w:color w:val="000000" w:themeColor="text1"/>
                <w:spacing w:val="16"/>
                <w:kern w:val="0"/>
                <w:sz w:val="24"/>
                <w14:textFill>
                  <w14:solidFill>
                    <w14:schemeClr w14:val="tx1"/>
                  </w14:solidFill>
                </w14:textFill>
              </w:rPr>
            </w:pPr>
          </w:p>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p>
        </w:tc>
        <w:tc>
          <w:tcPr>
            <w:tcW w:w="701" w:type="dxa"/>
          </w:tcPr>
          <w:p>
            <w:pPr>
              <w:pStyle w:val="48"/>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占地面积</w:t>
            </w:r>
          </w:p>
        </w:tc>
        <w:tc>
          <w:tcPr>
            <w:tcW w:w="910" w:type="dxa"/>
            <w:gridSpan w:val="2"/>
          </w:tcPr>
          <w:p>
            <w:pPr>
              <w:pStyle w:val="48"/>
              <w:shd w:val="clear" w:color="auto" w:fill="FFFFFF"/>
              <w:spacing w:before="0" w:beforeAutospacing="0" w:after="0" w:afterAutospacing="0" w:line="360" w:lineRule="auto"/>
              <w:rPr>
                <w:bCs/>
                <w:color w:val="000000" w:themeColor="text1"/>
                <w14:textFill>
                  <w14:solidFill>
                    <w14:schemeClr w14:val="tx1"/>
                  </w14:solidFill>
                </w14:textFill>
              </w:rPr>
            </w:pPr>
          </w:p>
        </w:tc>
        <w:tc>
          <w:tcPr>
            <w:tcW w:w="1163" w:type="dxa"/>
          </w:tcPr>
          <w:p>
            <w:pPr>
              <w:pStyle w:val="48"/>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建筑面积</w:t>
            </w:r>
          </w:p>
        </w:tc>
        <w:tc>
          <w:tcPr>
            <w:tcW w:w="1205" w:type="dxa"/>
            <w:gridSpan w:val="2"/>
          </w:tcPr>
          <w:p>
            <w:pPr>
              <w:pStyle w:val="48"/>
              <w:shd w:val="clear" w:color="auto" w:fill="FFFFFF"/>
              <w:spacing w:before="0" w:beforeAutospacing="0" w:after="0" w:afterAutospacing="0"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平方米</w:t>
            </w:r>
            <w:r>
              <w:rPr>
                <w:bCs/>
                <w:color w:val="000000" w:themeColor="text1"/>
                <w14:textFill>
                  <w14:solidFill>
                    <w14:schemeClr w14:val="tx1"/>
                  </w14:solidFill>
                </w14:textFill>
              </w:rPr>
              <w:t xml:space="preserve"> </w:t>
            </w:r>
          </w:p>
          <w:p>
            <w:pPr>
              <w:pStyle w:val="48"/>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□自有□租賃</w:t>
            </w:r>
          </w:p>
        </w:tc>
        <w:tc>
          <w:tcPr>
            <w:tcW w:w="2001" w:type="dxa"/>
            <w:gridSpan w:val="3"/>
          </w:tcPr>
          <w:p>
            <w:pPr>
              <w:pStyle w:val="48"/>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生产经营场所及场所的设施与设备</w:t>
            </w:r>
          </w:p>
        </w:tc>
        <w:tc>
          <w:tcPr>
            <w:tcW w:w="2151" w:type="dxa"/>
            <w:gridSpan w:val="2"/>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p>
        </w:tc>
        <w:tc>
          <w:tcPr>
            <w:tcW w:w="701" w:type="dxa"/>
          </w:tcPr>
          <w:p>
            <w:pPr>
              <w:pStyle w:val="48"/>
              <w:shd w:val="clear" w:color="auto" w:fill="FFFFFF"/>
              <w:spacing w:before="0" w:beforeAutospacing="0" w:after="0" w:afterAutospacing="0" w:line="360" w:lineRule="auto"/>
              <w:ind w:left="2"/>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注册资金</w:t>
            </w:r>
          </w:p>
        </w:tc>
        <w:tc>
          <w:tcPr>
            <w:tcW w:w="910" w:type="dxa"/>
            <w:gridSpan w:val="2"/>
          </w:tcPr>
          <w:p>
            <w:pPr>
              <w:pStyle w:val="48"/>
              <w:shd w:val="clear" w:color="auto" w:fill="FFFFFF"/>
              <w:spacing w:before="0" w:beforeAutospacing="0" w:after="0" w:afterAutospacing="0" w:line="360" w:lineRule="auto"/>
              <w:ind w:left="2"/>
              <w:rPr>
                <w:bCs/>
                <w:color w:val="000000" w:themeColor="text1"/>
                <w14:textFill>
                  <w14:solidFill>
                    <w14:schemeClr w14:val="tx1"/>
                  </w14:solidFill>
                </w14:textFill>
              </w:rPr>
            </w:pPr>
          </w:p>
        </w:tc>
        <w:tc>
          <w:tcPr>
            <w:tcW w:w="1163" w:type="dxa"/>
          </w:tcPr>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注册发证</w:t>
            </w:r>
            <w:r>
              <w:rPr>
                <w:rFonts w:hint="eastAsia"/>
                <w:bCs/>
                <w:color w:val="000000" w:themeColor="text1"/>
                <w:spacing w:val="27"/>
                <w14:textFill>
                  <w14:solidFill>
                    <w14:schemeClr w14:val="tx1"/>
                  </w14:solidFill>
                </w14:textFill>
              </w:rPr>
              <w:t>机关</w:t>
            </w:r>
          </w:p>
        </w:tc>
        <w:tc>
          <w:tcPr>
            <w:tcW w:w="3206" w:type="dxa"/>
            <w:gridSpan w:val="5"/>
          </w:tcPr>
          <w:p>
            <w:pPr>
              <w:widowControl/>
              <w:spacing w:line="360" w:lineRule="auto"/>
              <w:jc w:val="left"/>
              <w:rPr>
                <w:rFonts w:ascii="宋体" w:cs="宋体"/>
                <w:bCs/>
                <w:color w:val="000000" w:themeColor="text1"/>
                <w:kern w:val="0"/>
                <w:sz w:val="24"/>
                <w14:textFill>
                  <w14:solidFill>
                    <w14:schemeClr w14:val="tx1"/>
                  </w14:solidFill>
                </w14:textFill>
              </w:rPr>
            </w:pPr>
          </w:p>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p>
        </w:tc>
        <w:tc>
          <w:tcPr>
            <w:tcW w:w="1218" w:type="dxa"/>
          </w:tcPr>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公司成</w:t>
            </w:r>
            <w:r>
              <w:rPr>
                <w:rFonts w:hint="eastAsia"/>
                <w:bCs/>
                <w:color w:val="000000" w:themeColor="text1"/>
                <w:spacing w:val="12"/>
                <w14:textFill>
                  <w14:solidFill>
                    <w14:schemeClr w14:val="tx1"/>
                  </w14:solidFill>
                </w14:textFill>
              </w:rPr>
              <w:t>立时间</w:t>
            </w:r>
          </w:p>
        </w:tc>
        <w:tc>
          <w:tcPr>
            <w:tcW w:w="933" w:type="dxa"/>
          </w:tcPr>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p>
        </w:tc>
        <w:tc>
          <w:tcPr>
            <w:tcW w:w="701" w:type="dxa"/>
          </w:tcPr>
          <w:p>
            <w:pPr>
              <w:pStyle w:val="48"/>
              <w:shd w:val="clear" w:color="auto" w:fill="FFFFFF"/>
              <w:spacing w:before="0" w:beforeAutospacing="0" w:after="0" w:afterAutospacing="0" w:line="360" w:lineRule="auto"/>
              <w:ind w:left="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核准经营范围</w:t>
            </w:r>
          </w:p>
        </w:tc>
        <w:tc>
          <w:tcPr>
            <w:tcW w:w="7430" w:type="dxa"/>
            <w:gridSpan w:val="10"/>
          </w:tcPr>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p>
        </w:tc>
        <w:tc>
          <w:tcPr>
            <w:tcW w:w="8131" w:type="dxa"/>
            <w:gridSpan w:val="11"/>
          </w:tcPr>
          <w:p>
            <w:pPr>
              <w:pStyle w:val="48"/>
              <w:shd w:val="clear" w:color="auto" w:fill="FFFFFF"/>
              <w:spacing w:before="0" w:beforeAutospacing="0" w:after="0" w:afterAutospacing="0" w:line="360" w:lineRule="auto"/>
              <w:rPr>
                <w:bCs/>
                <w:color w:val="000000" w:themeColor="text1"/>
                <w:spacing w:val="13"/>
                <w14:textFill>
                  <w14:solidFill>
                    <w14:schemeClr w14:val="tx1"/>
                  </w14:solidFill>
                </w14:textFill>
              </w:rPr>
            </w:pPr>
            <w:r>
              <w:rPr>
                <w:rFonts w:hint="eastAsia"/>
                <w:bCs/>
                <w:color w:val="000000" w:themeColor="text1"/>
                <w:spacing w:val="13"/>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p>
          <w:p>
            <w:pPr>
              <w:pStyle w:val="48"/>
              <w:shd w:val="clear" w:color="auto" w:fill="FFFFFF"/>
              <w:spacing w:before="0" w:beforeAutospacing="0" w:after="0" w:afterAutospacing="0" w:line="360" w:lineRule="auto"/>
              <w:ind w:left="107"/>
              <w:rPr>
                <w:bCs/>
                <w:color w:val="000000" w:themeColor="text1"/>
                <w:spacing w:val="16"/>
                <w14:textFill>
                  <w14:solidFill>
                    <w14:schemeClr w14:val="tx1"/>
                  </w14:solidFill>
                </w14:textFill>
              </w:rPr>
            </w:pPr>
            <w:r>
              <w:rPr>
                <w:rFonts w:hint="eastAsia"/>
                <w:bCs/>
                <w:color w:val="000000" w:themeColor="text1"/>
                <w14:textFill>
                  <w14:solidFill>
                    <w14:schemeClr w14:val="tx1"/>
                  </w14:solidFill>
                </w14:textFill>
              </w:rPr>
              <w:t>企</w:t>
            </w:r>
            <w:r>
              <w:rPr>
                <w:rFonts w:hint="eastAsia"/>
                <w:bCs/>
                <w:color w:val="000000" w:themeColor="text1"/>
                <w:spacing w:val="12"/>
                <w14:textFill>
                  <w14:solidFill>
                    <w14:schemeClr w14:val="tx1"/>
                  </w14:solidFill>
                </w14:textFill>
              </w:rPr>
              <w:t>业有关资质获证情况</w:t>
            </w:r>
          </w:p>
        </w:tc>
        <w:tc>
          <w:tcPr>
            <w:tcW w:w="1553" w:type="dxa"/>
            <w:gridSpan w:val="2"/>
            <w:vMerge w:val="restart"/>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产品生产许可证情况</w:t>
            </w:r>
            <w:r>
              <w:rPr>
                <w:rFonts w:hint="eastAsia"/>
                <w:bCs/>
                <w:color w:val="000000" w:themeColor="text1"/>
                <w:spacing w:val="41"/>
                <w14:textFill>
                  <w14:solidFill>
                    <w14:schemeClr w14:val="tx1"/>
                  </w14:solidFill>
                </w14:textFill>
              </w:rPr>
              <w:t>（对需获得生产许可证的</w:t>
            </w:r>
            <w:r>
              <w:rPr>
                <w:rFonts w:hint="eastAsia"/>
                <w:bCs/>
                <w:color w:val="000000" w:themeColor="text1"/>
                <w:spacing w:val="11"/>
                <w14:textFill>
                  <w14:solidFill>
                    <w14:schemeClr w14:val="tx1"/>
                  </w14:solidFill>
                </w14:textFill>
              </w:rPr>
              <w:t>产品要填写此栏）</w:t>
            </w:r>
          </w:p>
        </w:tc>
        <w:tc>
          <w:tcPr>
            <w:tcW w:w="1333" w:type="dxa"/>
            <w:gridSpan w:val="3"/>
          </w:tcPr>
          <w:p>
            <w:pPr>
              <w:pStyle w:val="48"/>
              <w:shd w:val="clear" w:color="auto" w:fill="FFFFFF"/>
              <w:spacing w:before="0" w:beforeAutospacing="0" w:after="0" w:afterAutospacing="0" w:line="360" w:lineRule="auto"/>
              <w:ind w:right="-78" w:rightChars="-3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产品名称</w:t>
            </w:r>
          </w:p>
        </w:tc>
        <w:tc>
          <w:tcPr>
            <w:tcW w:w="1418" w:type="dxa"/>
            <w:gridSpan w:val="2"/>
          </w:tcPr>
          <w:p>
            <w:pPr>
              <w:pStyle w:val="48"/>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发证机关</w:t>
            </w:r>
          </w:p>
        </w:tc>
        <w:tc>
          <w:tcPr>
            <w:tcW w:w="1276" w:type="dxa"/>
          </w:tcPr>
          <w:p>
            <w:pPr>
              <w:pStyle w:val="48"/>
              <w:shd w:val="clear" w:color="auto" w:fill="FFFFFF"/>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编号</w:t>
            </w:r>
          </w:p>
        </w:tc>
        <w:tc>
          <w:tcPr>
            <w:tcW w:w="1618" w:type="dxa"/>
            <w:gridSpan w:val="2"/>
          </w:tcPr>
          <w:p>
            <w:pPr>
              <w:pStyle w:val="48"/>
              <w:shd w:val="clear" w:color="auto" w:fill="FFFFFF"/>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发证时间</w:t>
            </w:r>
          </w:p>
        </w:tc>
        <w:tc>
          <w:tcPr>
            <w:tcW w:w="933" w:type="dxa"/>
          </w:tcPr>
          <w:p>
            <w:pPr>
              <w:pStyle w:val="48"/>
              <w:shd w:val="clear" w:color="auto" w:fill="FFFFFF"/>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48"/>
              <w:shd w:val="clear" w:color="auto" w:fill="FFFFFF"/>
              <w:spacing w:before="0" w:beforeAutospacing="0" w:after="0" w:afterAutospacing="0" w:line="360" w:lineRule="auto"/>
              <w:ind w:left="107"/>
              <w:rPr>
                <w:bCs/>
                <w:color w:val="000000" w:themeColor="text1"/>
                <w14:textFill>
                  <w14:solidFill>
                    <w14:schemeClr w14:val="tx1"/>
                  </w14:solidFill>
                </w14:textFill>
              </w:rPr>
            </w:pPr>
          </w:p>
        </w:tc>
        <w:tc>
          <w:tcPr>
            <w:tcW w:w="1553" w:type="dxa"/>
            <w:gridSpan w:val="2"/>
            <w:vMerge w:val="continue"/>
          </w:tcPr>
          <w:p>
            <w:pPr>
              <w:pStyle w:val="48"/>
              <w:shd w:val="clear" w:color="auto" w:fill="FFFFFF"/>
              <w:spacing w:before="0" w:beforeAutospacing="0" w:after="0" w:afterAutospacing="0" w:line="360" w:lineRule="auto"/>
              <w:rPr>
                <w:bCs/>
                <w:color w:val="000000" w:themeColor="text1"/>
                <w14:textFill>
                  <w14:solidFill>
                    <w14:schemeClr w14:val="tx1"/>
                  </w14:solidFill>
                </w14:textFill>
              </w:rPr>
            </w:pPr>
          </w:p>
        </w:tc>
        <w:tc>
          <w:tcPr>
            <w:tcW w:w="1333" w:type="dxa"/>
            <w:gridSpan w:val="3"/>
          </w:tcPr>
          <w:p>
            <w:pPr>
              <w:pStyle w:val="48"/>
              <w:shd w:val="clear" w:color="auto" w:fill="FFFFFF"/>
              <w:spacing w:before="0" w:beforeAutospacing="0" w:after="0" w:afterAutospacing="0" w:line="360" w:lineRule="auto"/>
              <w:rPr>
                <w:bCs/>
                <w:color w:val="000000" w:themeColor="text1"/>
                <w14:textFill>
                  <w14:solidFill>
                    <w14:schemeClr w14:val="tx1"/>
                  </w14:solidFill>
                </w14:textFill>
              </w:rPr>
            </w:pPr>
          </w:p>
        </w:tc>
        <w:tc>
          <w:tcPr>
            <w:tcW w:w="1418" w:type="dxa"/>
            <w:gridSpan w:val="2"/>
          </w:tcPr>
          <w:p>
            <w:pPr>
              <w:pStyle w:val="48"/>
              <w:shd w:val="clear" w:color="auto" w:fill="FFFFFF"/>
              <w:spacing w:before="0" w:beforeAutospacing="0" w:after="0" w:afterAutospacing="0" w:line="360" w:lineRule="auto"/>
              <w:rPr>
                <w:bCs/>
                <w:color w:val="000000" w:themeColor="text1"/>
                <w14:textFill>
                  <w14:solidFill>
                    <w14:schemeClr w14:val="tx1"/>
                  </w14:solidFill>
                </w14:textFill>
              </w:rPr>
            </w:pPr>
          </w:p>
        </w:tc>
        <w:tc>
          <w:tcPr>
            <w:tcW w:w="1276" w:type="dxa"/>
          </w:tcPr>
          <w:p>
            <w:pPr>
              <w:pStyle w:val="48"/>
              <w:shd w:val="clear" w:color="auto" w:fill="FFFFFF"/>
              <w:spacing w:before="0" w:beforeAutospacing="0" w:after="0" w:afterAutospacing="0" w:line="360" w:lineRule="auto"/>
              <w:rPr>
                <w:bCs/>
                <w:color w:val="000000" w:themeColor="text1"/>
                <w14:textFill>
                  <w14:solidFill>
                    <w14:schemeClr w14:val="tx1"/>
                  </w14:solidFill>
                </w14:textFill>
              </w:rPr>
            </w:pPr>
          </w:p>
        </w:tc>
        <w:tc>
          <w:tcPr>
            <w:tcW w:w="2551" w:type="dxa"/>
            <w:gridSpan w:val="3"/>
          </w:tcPr>
          <w:p>
            <w:pPr>
              <w:pStyle w:val="48"/>
              <w:shd w:val="clear" w:color="auto" w:fill="FFFFFF"/>
              <w:spacing w:before="0" w:beforeAutospacing="0" w:after="0" w:afterAutospacing="0"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48"/>
              <w:shd w:val="clear" w:color="auto" w:fill="FFFFFF"/>
              <w:spacing w:before="0" w:beforeAutospacing="0" w:after="0" w:afterAutospacing="0" w:line="360" w:lineRule="auto"/>
              <w:ind w:left="107"/>
              <w:rPr>
                <w:bCs/>
                <w:color w:val="000000" w:themeColor="text1"/>
                <w:spacing w:val="16"/>
                <w14:textFill>
                  <w14:solidFill>
                    <w14:schemeClr w14:val="tx1"/>
                  </w14:solidFill>
                </w14:textFill>
              </w:rPr>
            </w:pPr>
          </w:p>
        </w:tc>
        <w:tc>
          <w:tcPr>
            <w:tcW w:w="1553" w:type="dxa"/>
            <w:gridSpan w:val="2"/>
          </w:tcPr>
          <w:p>
            <w:pPr>
              <w:pStyle w:val="48"/>
              <w:shd w:val="clear" w:color="auto" w:fill="FFFFFF"/>
              <w:spacing w:before="0" w:beforeAutospacing="0" w:after="0" w:afterAutospacing="0" w:line="360" w:lineRule="auto"/>
              <w:ind w:right="-107" w:rightChars="-51"/>
              <w:rPr>
                <w:bCs/>
                <w:color w:val="000000" w:themeColor="text1"/>
                <w:spacing w:val="41"/>
                <w14:textFill>
                  <w14:solidFill>
                    <w14:schemeClr w14:val="tx1"/>
                  </w14:solidFill>
                </w14:textFill>
              </w:rPr>
            </w:pPr>
            <w:r>
              <w:rPr>
                <w:rFonts w:hint="eastAsia"/>
                <w:bCs/>
                <w:color w:val="000000" w:themeColor="text1"/>
                <w:spacing w:val="41"/>
                <w14:textFill>
                  <w14:solidFill>
                    <w14:schemeClr w14:val="tx1"/>
                  </w14:solidFill>
                </w14:textFill>
              </w:rPr>
              <w:t>企业通过质量体系、环保</w:t>
            </w:r>
            <w:r>
              <w:rPr>
                <w:rFonts w:hint="eastAsia"/>
                <w:bCs/>
                <w:color w:val="000000" w:themeColor="text1"/>
                <w:spacing w:val="11"/>
                <w14:textFill>
                  <w14:solidFill>
                    <w14:schemeClr w14:val="tx1"/>
                  </w14:solidFill>
                </w14:textFill>
              </w:rPr>
              <w:t>体系、计量等认证情况</w:t>
            </w:r>
          </w:p>
        </w:tc>
        <w:tc>
          <w:tcPr>
            <w:tcW w:w="6578" w:type="dxa"/>
            <w:gridSpan w:val="9"/>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48"/>
              <w:shd w:val="clear" w:color="auto" w:fill="FFFFFF"/>
              <w:spacing w:before="0" w:beforeAutospacing="0" w:after="0" w:afterAutospacing="0" w:line="360" w:lineRule="auto"/>
              <w:ind w:left="107"/>
              <w:rPr>
                <w:bCs/>
                <w:color w:val="000000" w:themeColor="text1"/>
                <w:spacing w:val="27"/>
                <w14:textFill>
                  <w14:solidFill>
                    <w14:schemeClr w14:val="tx1"/>
                  </w14:solidFill>
                </w14:textFill>
              </w:rPr>
            </w:pPr>
          </w:p>
        </w:tc>
        <w:tc>
          <w:tcPr>
            <w:tcW w:w="1553" w:type="dxa"/>
            <w:gridSpan w:val="2"/>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0"/>
                <w14:textFill>
                  <w14:solidFill>
                    <w14:schemeClr w14:val="tx1"/>
                  </w14:solidFill>
                </w14:textFill>
              </w:rPr>
              <w:t>企业获得专利情况</w:t>
            </w:r>
          </w:p>
        </w:tc>
        <w:tc>
          <w:tcPr>
            <w:tcW w:w="6578" w:type="dxa"/>
            <w:gridSpan w:val="9"/>
          </w:tcPr>
          <w:p>
            <w:pPr>
              <w:pStyle w:val="4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bl>
    <w:p>
      <w:pPr>
        <w:pStyle w:val="48"/>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pPr>
        <w:pStyle w:val="48"/>
        <w:shd w:val="clear" w:color="auto" w:fill="FFFFFF"/>
        <w:spacing w:before="0" w:beforeAutospacing="0" w:after="0" w:afterAutospacing="0" w:line="360" w:lineRule="auto"/>
        <w:ind w:firstLine="424" w:firstLineChars="202"/>
        <w:rPr>
          <w:color w:val="000000" w:themeColor="text1"/>
          <w14:textFill>
            <w14:solidFill>
              <w14:schemeClr w14:val="tx1"/>
            </w14:solidFill>
          </w14:textFill>
        </w:rPr>
      </w:pPr>
      <w:r>
        <w:rPr>
          <w:rFonts w:ascii="仿宋_GB2312" w:eastAsia="仿宋_GB2312"/>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ascii="宋体" w:hAnsi="宋体"/>
          <w:color w:val="000000" w:themeColor="text1"/>
          <w:sz w:val="24"/>
          <w:u w:val="single"/>
          <w14:textFill>
            <w14:solidFill>
              <w14:schemeClr w14:val="tx1"/>
            </w14:solidFill>
          </w14:textFill>
        </w:rPr>
        <w:t xml:space="preserve">                       </w:t>
      </w:r>
    </w:p>
    <w:p>
      <w:pPr>
        <w:spacing w:line="360" w:lineRule="auto"/>
        <w:ind w:firstLine="424" w:firstLineChars="177"/>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ascii="宋体" w:hAnsi="宋体"/>
          <w:color w:val="000000" w:themeColor="text1"/>
          <w:sz w:val="24"/>
          <w:u w:val="single"/>
          <w14:textFill>
            <w14:solidFill>
              <w14:schemeClr w14:val="tx1"/>
            </w14:solidFill>
          </w14:textFill>
        </w:rPr>
        <w:t xml:space="preserve">                           </w:t>
      </w:r>
    </w:p>
    <w:p>
      <w:pPr>
        <w:spacing w:line="360" w:lineRule="auto"/>
        <w:ind w:firstLine="424" w:firstLineChars="177"/>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u w:val="single"/>
          <w14:textFill>
            <w14:solidFill>
              <w14:schemeClr w14:val="tx1"/>
            </w14:solidFill>
          </w14:textFill>
        </w:rPr>
        <w:t xml:space="preserve">                                </w:t>
      </w:r>
    </w:p>
    <w:p>
      <w:pPr>
        <w:pStyle w:val="48"/>
        <w:shd w:val="clear" w:color="auto" w:fill="FFFFFF"/>
        <w:spacing w:before="0" w:beforeAutospacing="0" w:after="0" w:afterAutospacing="0" w:line="360" w:lineRule="auto"/>
        <w:ind w:firstLine="424" w:firstLineChars="177"/>
        <w:rPr>
          <w:b/>
          <w:color w:val="000000" w:themeColor="text1"/>
          <w:sz w:val="28"/>
          <w14:textFill>
            <w14:solidFill>
              <w14:schemeClr w14:val="tx1"/>
            </w14:solidFill>
          </w14:textFill>
        </w:rPr>
      </w:pPr>
      <w:r>
        <w:rPr>
          <w:rFonts w:hint="eastAsia"/>
          <w:color w:val="000000" w:themeColor="text1"/>
          <w14:textFill>
            <w14:solidFill>
              <w14:schemeClr w14:val="tx1"/>
            </w14:solidFill>
          </w14:textFill>
        </w:rPr>
        <w:t>日</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期：</w:t>
      </w:r>
      <w:r>
        <w:rPr>
          <w:color w:val="000000" w:themeColor="text1"/>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shd w:val="clear" w:color="FFFFFF" w:fill="D9D9D9"/>
          <w14:textFill>
            <w14:solidFill>
              <w14:schemeClr w14:val="tx1"/>
            </w14:solidFill>
          </w14:textFill>
        </w:rPr>
      </w:pPr>
    </w:p>
    <w:p>
      <w:pPr>
        <w:pStyle w:val="21"/>
        <w:rPr>
          <w:color w:val="000000" w:themeColor="text1"/>
          <w14:textFill>
            <w14:solidFill>
              <w14:schemeClr w14:val="tx1"/>
            </w14:solidFill>
          </w14:textFill>
        </w:rPr>
      </w:pPr>
    </w:p>
    <w:p>
      <w:pPr>
        <w:snapToGrid w:val="0"/>
        <w:spacing w:line="360" w:lineRule="auto"/>
        <w:rPr>
          <w:rFonts w:ascii="宋体"/>
          <w:b/>
          <w:color w:val="000000" w:themeColor="text1"/>
          <w:sz w:val="32"/>
          <w:szCs w:val="32"/>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5</w:t>
      </w:r>
      <w:r>
        <w:rPr>
          <w:rFonts w:hint="eastAsia" w:ascii="宋体" w:hAnsi="宋体"/>
          <w:b/>
          <w:color w:val="000000" w:themeColor="text1"/>
          <w:sz w:val="28"/>
          <w14:textFill>
            <w14:solidFill>
              <w14:schemeClr w14:val="tx1"/>
            </w14:solidFill>
          </w14:textFill>
        </w:rPr>
        <w:t>：</w:t>
      </w:r>
    </w:p>
    <w:p>
      <w:pPr>
        <w:snapToGrid w:val="0"/>
        <w:spacing w:line="360" w:lineRule="auto"/>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p>
      <w:pPr>
        <w:snapToGrid w:val="0"/>
        <w:spacing w:line="360" w:lineRule="auto"/>
        <w:ind w:firstLine="2400" w:firstLineChars="10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line="360" w:lineRule="auto"/>
              <w:rPr>
                <w:rFonts w:asci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line="360" w:lineRule="auto"/>
              <w:rPr>
                <w:rFonts w:asci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line="360" w:lineRule="auto"/>
              <w:rPr>
                <w:rFonts w:asci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3"/>
              <w:snapToGrid w:val="0"/>
              <w:spacing w:line="360" w:lineRule="auto"/>
              <w:ind w:left="5250"/>
              <w:rPr>
                <w:rFonts w:hAnsi="宋体"/>
                <w:b/>
                <w:color w:val="000000" w:themeColor="text1"/>
                <w:kern w:val="4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3"/>
              <w:snapToGrid w:val="0"/>
              <w:spacing w:line="360" w:lineRule="auto"/>
              <w:ind w:left="5250"/>
              <w:rPr>
                <w:rFonts w:hAnsi="宋体"/>
                <w:b/>
                <w:color w:val="000000" w:themeColor="text1"/>
                <w:kern w:val="4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3"/>
              <w:spacing w:line="360" w:lineRule="auto"/>
              <w:ind w:left="5250"/>
              <w:rPr>
                <w:rFonts w:hAnsi="宋体"/>
                <w:color w:val="000000" w:themeColor="text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olor w:val="000000" w:themeColor="text1"/>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line="360" w:lineRule="auto"/>
              <w:rPr>
                <w:rFonts w:asci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line="360" w:lineRule="auto"/>
              <w:rPr>
                <w:rFonts w:asci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line="360" w:lineRule="auto"/>
              <w:rPr>
                <w:rFonts w:asci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tcBorders>
          </w:tcPr>
          <w:p>
            <w:pPr>
              <w:snapToGrid w:val="0"/>
              <w:spacing w:line="360" w:lineRule="auto"/>
              <w:rPr>
                <w:rFonts w:ascii="宋体"/>
                <w:b/>
                <w:color w:val="000000" w:themeColor="text1"/>
                <w:kern w:val="44"/>
                <w:sz w:val="24"/>
                <w:szCs w:val="20"/>
                <w14:textFill>
                  <w14:solidFill>
                    <w14:schemeClr w14:val="tx1"/>
                  </w14:solidFill>
                </w14:textFill>
              </w:rPr>
            </w:pPr>
          </w:p>
        </w:tc>
      </w:tr>
    </w:tbl>
    <w:p>
      <w:pPr>
        <w:spacing w:line="360" w:lineRule="auto"/>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7"/>
        <w:rPr>
          <w:rFonts w:ascii="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在填写时，如本表格不适合供应商的实际情况，可根据本表格式自行划表填写。</w:t>
      </w:r>
    </w:p>
    <w:p>
      <w:pPr>
        <w:pStyle w:val="46"/>
        <w:spacing w:line="360" w:lineRule="auto"/>
        <w:ind w:left="424" w:left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附人员证书复印件；</w:t>
      </w:r>
    </w:p>
    <w:p>
      <w:pPr>
        <w:pStyle w:val="46"/>
        <w:spacing w:line="360" w:lineRule="auto"/>
        <w:ind w:left="424" w:hanging="424" w:hangingChars="202"/>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出具上述人员在本单位服务的外部证明，如：谈判截止日之前六个月以内的代缴个税税单、参加社会保险的《投保单》或《社会保险参保人员证明》等。</w:t>
      </w:r>
    </w:p>
    <w:p>
      <w:pPr>
        <w:snapToGrid w:val="0"/>
        <w:spacing w:line="360" w:lineRule="auto"/>
        <w:jc w:val="left"/>
        <w:rPr>
          <w:rFonts w:ascii="宋体"/>
          <w:color w:val="000000" w:themeColor="text1"/>
          <w:sz w:val="24"/>
          <w:szCs w:val="20"/>
          <w14:textFill>
            <w14:solidFill>
              <w14:schemeClr w14:val="tx1"/>
            </w14:solidFill>
          </w14:textFill>
        </w:rPr>
      </w:pPr>
    </w:p>
    <w:p>
      <w:pPr>
        <w:spacing w:line="360" w:lineRule="auto"/>
        <w:ind w:left="420"/>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ascii="宋体" w:hAnsi="宋体"/>
          <w:color w:val="000000" w:themeColor="text1"/>
          <w:sz w:val="24"/>
          <w:u w:val="single"/>
          <w14:textFill>
            <w14:solidFill>
              <w14:schemeClr w14:val="tx1"/>
            </w14:solidFill>
          </w14:textFill>
        </w:rPr>
        <w:t xml:space="preserve">                      </w:t>
      </w:r>
    </w:p>
    <w:p>
      <w:pPr>
        <w:spacing w:line="360" w:lineRule="auto"/>
        <w:ind w:left="42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u w:val="single"/>
          <w14:textFill>
            <w14:solidFill>
              <w14:schemeClr w14:val="tx1"/>
            </w14:solidFill>
          </w14:textFill>
        </w:rPr>
        <w:t xml:space="preserve">                                </w:t>
      </w:r>
    </w:p>
    <w:p>
      <w:pPr>
        <w:pStyle w:val="21"/>
        <w:rPr>
          <w:rFonts w:ascii="宋体" w:eastAsia="宋体"/>
          <w:color w:val="000000" w:themeColor="text1"/>
          <w:sz w:val="24"/>
          <w:u w:val="single"/>
          <w14:textFill>
            <w14:solidFill>
              <w14:schemeClr w14:val="tx1"/>
            </w14:solidFill>
          </w14:textFill>
        </w:rPr>
      </w:pPr>
    </w:p>
    <w:p>
      <w:pPr>
        <w:rPr>
          <w:rFonts w:ascii="宋体"/>
          <w:color w:val="000000" w:themeColor="text1"/>
          <w:sz w:val="24"/>
          <w:u w:val="single"/>
          <w14:textFill>
            <w14:solidFill>
              <w14:schemeClr w14:val="tx1"/>
            </w14:solidFill>
          </w14:textFill>
        </w:rPr>
      </w:pPr>
    </w:p>
    <w:p>
      <w:pPr>
        <w:pStyle w:val="21"/>
        <w:rPr>
          <w:rFonts w:ascii="宋体" w:eastAsia="宋体"/>
          <w:color w:val="000000" w:themeColor="text1"/>
          <w:sz w:val="24"/>
          <w:u w:val="single"/>
          <w14:textFill>
            <w14:solidFill>
              <w14:schemeClr w14:val="tx1"/>
            </w14:solidFill>
          </w14:textFill>
        </w:rPr>
      </w:pPr>
    </w:p>
    <w:p>
      <w:pPr>
        <w:rPr>
          <w:rFonts w:ascii="宋体"/>
          <w:color w:val="000000" w:themeColor="text1"/>
          <w:sz w:val="24"/>
          <w:u w:val="single"/>
          <w14:textFill>
            <w14:solidFill>
              <w14:schemeClr w14:val="tx1"/>
            </w14:solidFill>
          </w14:textFill>
        </w:rPr>
      </w:pPr>
    </w:p>
    <w:p>
      <w:pPr>
        <w:pStyle w:val="21"/>
        <w:rPr>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6</w:t>
      </w:r>
      <w:r>
        <w:rPr>
          <w:rFonts w:hint="eastAsia" w:ascii="宋体" w:hAnsi="宋体"/>
          <w:b/>
          <w:color w:val="000000" w:themeColor="text1"/>
          <w:sz w:val="28"/>
          <w14:textFill>
            <w14:solidFill>
              <w14:schemeClr w14:val="tx1"/>
            </w14:solidFill>
          </w14:textFill>
        </w:rPr>
        <w:t>：</w:t>
      </w:r>
    </w:p>
    <w:p>
      <w:pPr>
        <w:spacing w:line="360" w:lineRule="auto"/>
        <w:ind w:right="-10"/>
        <w:jc w:val="center"/>
        <w:rPr>
          <w:rFonts w:asci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项目负责人资格情况表</w:t>
      </w:r>
    </w:p>
    <w:p>
      <w:pPr>
        <w:spacing w:line="360" w:lineRule="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采购项目：</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pPr>
              <w:autoSpaceDE w:val="0"/>
              <w:autoSpaceDN w:val="0"/>
              <w:adjustRightInd w:val="0"/>
              <w:snapToGrid w:val="0"/>
              <w:spacing w:line="360" w:lineRule="auto"/>
              <w:jc w:val="center"/>
              <w:rPr>
                <w:rFonts w:asci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tcBorders>
            <w:vAlign w:val="center"/>
          </w:tcPr>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p>
        </w:tc>
        <w:tc>
          <w:tcPr>
            <w:tcW w:w="3685" w:type="dxa"/>
            <w:tcBorders>
              <w:top w:val="single" w:color="auto" w:sz="12" w:space="0"/>
              <w:right w:val="single" w:color="auto" w:sz="12" w:space="0"/>
            </w:tcBorders>
            <w:vAlign w:val="center"/>
          </w:tcPr>
          <w:p>
            <w:pPr>
              <w:autoSpaceDE w:val="0"/>
              <w:autoSpaceDN w:val="0"/>
              <w:adjustRightInd w:val="0"/>
              <w:snapToGrid w:val="0"/>
              <w:spacing w:line="360" w:lineRule="auto"/>
              <w:jc w:val="center"/>
              <w:rPr>
                <w:rFonts w:asci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vAlign w:val="center"/>
          </w:tcPr>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p>
        </w:tc>
        <w:tc>
          <w:tcPr>
            <w:tcW w:w="3685" w:type="dxa"/>
            <w:vMerge w:val="restart"/>
            <w:tcBorders>
              <w:right w:val="single" w:color="auto" w:sz="12" w:space="0"/>
            </w:tcBorders>
            <w:vAlign w:val="center"/>
          </w:tcPr>
          <w:p>
            <w:pPr>
              <w:autoSpaceDE w:val="0"/>
              <w:autoSpaceDN w:val="0"/>
              <w:adjustRightInd w:val="0"/>
              <w:snapToGrid w:val="0"/>
              <w:spacing w:line="360" w:lineRule="auto"/>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vAlign w:val="center"/>
          </w:tcPr>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vAlign w:val="center"/>
          </w:tcPr>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vAlign w:val="center"/>
          </w:tcPr>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vAlign w:val="center"/>
          </w:tcPr>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vAlign w:val="center"/>
          </w:tcPr>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vAlign w:val="center"/>
          </w:tcPr>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974" w:type="dxa"/>
            <w:tcBorders>
              <w:left w:val="single" w:color="auto" w:sz="12" w:space="0"/>
              <w:bottom w:val="single" w:color="auto" w:sz="12" w:space="0"/>
            </w:tcBorders>
            <w:vAlign w:val="center"/>
          </w:tcPr>
          <w:p>
            <w:pPr>
              <w:autoSpaceDE w:val="0"/>
              <w:autoSpaceDN w:val="0"/>
              <w:adjustRightInd w:val="0"/>
              <w:snapToGrid w:val="0"/>
              <w:spacing w:line="360" w:lineRule="auto"/>
              <w:jc w:val="center"/>
              <w:rPr>
                <w:rFonts w:asci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6652" w:type="dxa"/>
            <w:gridSpan w:val="2"/>
            <w:tcBorders>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color w:val="000000" w:themeColor="text1"/>
                <w:lang w:val="zh-CN"/>
                <w14:textFill>
                  <w14:solidFill>
                    <w14:schemeClr w14:val="tx1"/>
                  </w14:solidFill>
                </w14:textFill>
              </w:rPr>
            </w:pPr>
          </w:p>
        </w:tc>
      </w:tr>
    </w:tbl>
    <w:p>
      <w:pPr>
        <w:spacing w:line="360" w:lineRule="auto"/>
        <w:ind w:left="420"/>
        <w:rPr>
          <w:rFonts w:ascii="宋体"/>
          <w:color w:val="000000" w:themeColor="text1"/>
          <w:sz w:val="24"/>
          <w14:textFill>
            <w14:solidFill>
              <w14:schemeClr w14:val="tx1"/>
            </w14:solidFill>
          </w14:textFill>
        </w:rPr>
      </w:pPr>
    </w:p>
    <w:p>
      <w:pPr>
        <w:spacing w:line="360" w:lineRule="auto"/>
        <w:ind w:left="420"/>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ascii="宋体" w:hAnsi="宋体"/>
          <w:color w:val="000000" w:themeColor="text1"/>
          <w:sz w:val="24"/>
          <w:u w:val="single"/>
          <w14:textFill>
            <w14:solidFill>
              <w14:schemeClr w14:val="tx1"/>
            </w14:solidFill>
          </w14:textFill>
        </w:rPr>
        <w:t xml:space="preserve">                      </w:t>
      </w:r>
    </w:p>
    <w:p>
      <w:pPr>
        <w:spacing w:line="360" w:lineRule="auto"/>
        <w:ind w:left="42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rFonts w:asci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u w:val="single"/>
          <w14:textFill>
            <w14:solidFill>
              <w14:schemeClr w14:val="tx1"/>
            </w14:solidFill>
          </w14:textFill>
        </w:rPr>
        <w:t xml:space="preserve">                                </w:t>
      </w:r>
    </w:p>
    <w:p>
      <w:pPr>
        <w:spacing w:line="360" w:lineRule="auto"/>
        <w:rPr>
          <w:rFonts w:ascii="宋体"/>
          <w:b/>
          <w:color w:val="000000" w:themeColor="text1"/>
          <w:sz w:val="28"/>
          <w14:textFill>
            <w14:solidFill>
              <w14:schemeClr w14:val="tx1"/>
            </w14:solidFill>
          </w14:textFill>
        </w:rPr>
      </w:pPr>
    </w:p>
    <w:p>
      <w:pPr>
        <w:spacing w:line="360" w:lineRule="auto"/>
        <w:rPr>
          <w:rFonts w:asci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7</w:t>
      </w:r>
      <w:r>
        <w:rPr>
          <w:rFonts w:hint="eastAsia" w:ascii="宋体" w:hAnsi="宋体"/>
          <w:b/>
          <w:color w:val="000000" w:themeColor="text1"/>
          <w:sz w:val="28"/>
          <w14:textFill>
            <w14:solidFill>
              <w14:schemeClr w14:val="tx1"/>
            </w14:solidFill>
          </w14:textFill>
        </w:rPr>
        <w:t>：</w:t>
      </w:r>
    </w:p>
    <w:p>
      <w:pPr>
        <w:spacing w:line="360" w:lineRule="auto"/>
        <w:ind w:left="480"/>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供货清单</w:t>
      </w:r>
      <w:r>
        <w:rPr>
          <w:rFonts w:ascii="宋体" w:hAnsi="宋体"/>
          <w:b/>
          <w:color w:val="000000" w:themeColor="text1"/>
          <w:sz w:val="32"/>
          <w:szCs w:val="32"/>
          <w14:textFill>
            <w14:solidFill>
              <w14:schemeClr w14:val="tx1"/>
            </w14:solidFill>
          </w14:textFill>
        </w:rPr>
        <w:t xml:space="preserve"> </w:t>
      </w:r>
    </w:p>
    <w:p>
      <w:pPr>
        <w:spacing w:line="360" w:lineRule="auto"/>
        <w:ind w:left="480"/>
        <w:rPr>
          <w:rFonts w:ascii="宋体"/>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项目编号：</w:t>
      </w:r>
      <w:r>
        <w:rPr>
          <w:rFonts w:ascii="宋体" w:hAnsi="宋体"/>
          <w:color w:val="000000" w:themeColor="text1"/>
          <w:sz w:val="24"/>
          <w:u w:val="single"/>
          <w14:textFill>
            <w14:solidFill>
              <w14:schemeClr w14:val="tx1"/>
            </w14:solidFill>
          </w14:textFill>
        </w:rPr>
        <w:t xml:space="preserve">                </w:t>
      </w:r>
    </w:p>
    <w:p>
      <w:pPr>
        <w:spacing w:line="360" w:lineRule="auto"/>
        <w:ind w:left="420"/>
        <w:rPr>
          <w:rFonts w:ascii="宋体"/>
          <w:color w:val="000000" w:themeColor="text1"/>
          <w:sz w:val="24"/>
          <w14:textFill>
            <w14:solidFill>
              <w14:schemeClr w14:val="tx1"/>
            </w14:solidFill>
          </w14:textFill>
        </w:rPr>
      </w:pPr>
    </w:p>
    <w:tbl>
      <w:tblPr>
        <w:tblStyle w:val="2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pPr>
              <w:spacing w:line="360" w:lineRule="auto"/>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460" w:type="dxa"/>
            <w:vAlign w:val="center"/>
          </w:tcPr>
          <w:p>
            <w:pPr>
              <w:tabs>
                <w:tab w:val="left" w:pos="8280"/>
              </w:tabs>
              <w:autoSpaceDE w:val="0"/>
              <w:autoSpaceDN w:val="0"/>
              <w:adjustRightInd w:val="0"/>
              <w:spacing w:line="360" w:lineRule="auto"/>
              <w:ind w:right="25"/>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品牌、产地</w:t>
            </w:r>
          </w:p>
        </w:tc>
        <w:tc>
          <w:tcPr>
            <w:tcW w:w="1559" w:type="dxa"/>
            <w:vAlign w:val="center"/>
          </w:tcPr>
          <w:p>
            <w:pPr>
              <w:spacing w:line="360" w:lineRule="auto"/>
              <w:ind w:left="52"/>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型号规格</w:t>
            </w:r>
          </w:p>
        </w:tc>
        <w:tc>
          <w:tcPr>
            <w:tcW w:w="851" w:type="dxa"/>
            <w:vAlign w:val="center"/>
          </w:tcPr>
          <w:p>
            <w:pPr>
              <w:spacing w:line="360" w:lineRule="auto"/>
              <w:ind w:left="152"/>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992" w:type="dxa"/>
            <w:vAlign w:val="center"/>
          </w:tcPr>
          <w:p>
            <w:pPr>
              <w:spacing w:line="360" w:lineRule="auto"/>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992" w:type="dxa"/>
            <w:vAlign w:val="center"/>
          </w:tcPr>
          <w:p>
            <w:pPr>
              <w:spacing w:line="360" w:lineRule="auto"/>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709" w:type="dxa"/>
            <w:vAlign w:val="center"/>
          </w:tcPr>
          <w:p>
            <w:pPr>
              <w:spacing w:line="360" w:lineRule="auto"/>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pPr>
              <w:spacing w:line="360" w:lineRule="auto"/>
              <w:jc w:val="center"/>
              <w:rPr>
                <w:rFonts w:ascii="宋体"/>
                <w:color w:val="000000" w:themeColor="text1"/>
                <w:sz w:val="24"/>
                <w14:textFill>
                  <w14:solidFill>
                    <w14:schemeClr w14:val="tx1"/>
                  </w14:solidFill>
                </w14:textFill>
              </w:rPr>
            </w:pPr>
          </w:p>
        </w:tc>
        <w:tc>
          <w:tcPr>
            <w:tcW w:w="1460" w:type="dxa"/>
            <w:vAlign w:val="center"/>
          </w:tcPr>
          <w:p>
            <w:pPr>
              <w:spacing w:line="360" w:lineRule="auto"/>
              <w:jc w:val="center"/>
              <w:rPr>
                <w:rFonts w:ascii="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color w:val="000000" w:themeColor="text1"/>
                <w:sz w:val="24"/>
                <w14:textFill>
                  <w14:solidFill>
                    <w14:schemeClr w14:val="tx1"/>
                  </w14:solidFill>
                </w14:textFill>
              </w:rPr>
            </w:pPr>
          </w:p>
        </w:tc>
        <w:tc>
          <w:tcPr>
            <w:tcW w:w="851"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pPr>
              <w:spacing w:line="360" w:lineRule="auto"/>
              <w:jc w:val="center"/>
              <w:rPr>
                <w:rFonts w:ascii="宋体"/>
                <w:color w:val="000000" w:themeColor="text1"/>
                <w:sz w:val="24"/>
                <w14:textFill>
                  <w14:solidFill>
                    <w14:schemeClr w14:val="tx1"/>
                  </w14:solidFill>
                </w14:textFill>
              </w:rPr>
            </w:pPr>
          </w:p>
        </w:tc>
        <w:tc>
          <w:tcPr>
            <w:tcW w:w="1460" w:type="dxa"/>
            <w:vAlign w:val="center"/>
          </w:tcPr>
          <w:p>
            <w:pPr>
              <w:spacing w:line="360" w:lineRule="auto"/>
              <w:jc w:val="center"/>
              <w:rPr>
                <w:rFonts w:ascii="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color w:val="000000" w:themeColor="text1"/>
                <w:sz w:val="24"/>
                <w14:textFill>
                  <w14:solidFill>
                    <w14:schemeClr w14:val="tx1"/>
                  </w14:solidFill>
                </w14:textFill>
              </w:rPr>
            </w:pPr>
          </w:p>
        </w:tc>
        <w:tc>
          <w:tcPr>
            <w:tcW w:w="851"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color w:val="000000" w:themeColor="text1"/>
                <w:sz w:val="24"/>
                <w14:textFill>
                  <w14:solidFill>
                    <w14:schemeClr w14:val="tx1"/>
                  </w14:solidFill>
                </w14:textFill>
              </w:rPr>
            </w:pPr>
          </w:p>
        </w:tc>
        <w:tc>
          <w:tcPr>
            <w:tcW w:w="1460" w:type="dxa"/>
            <w:vAlign w:val="center"/>
          </w:tcPr>
          <w:p>
            <w:pPr>
              <w:spacing w:line="360" w:lineRule="auto"/>
              <w:jc w:val="center"/>
              <w:rPr>
                <w:rFonts w:ascii="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color w:val="000000" w:themeColor="text1"/>
                <w:sz w:val="24"/>
                <w14:textFill>
                  <w14:solidFill>
                    <w14:schemeClr w14:val="tx1"/>
                  </w14:solidFill>
                </w14:textFill>
              </w:rPr>
            </w:pPr>
          </w:p>
        </w:tc>
        <w:tc>
          <w:tcPr>
            <w:tcW w:w="851"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color w:val="000000" w:themeColor="text1"/>
                <w:sz w:val="24"/>
                <w14:textFill>
                  <w14:solidFill>
                    <w14:schemeClr w14:val="tx1"/>
                  </w14:solidFill>
                </w14:textFill>
              </w:rPr>
            </w:pPr>
          </w:p>
        </w:tc>
        <w:tc>
          <w:tcPr>
            <w:tcW w:w="1460" w:type="dxa"/>
            <w:vAlign w:val="center"/>
          </w:tcPr>
          <w:p>
            <w:pPr>
              <w:spacing w:line="360" w:lineRule="auto"/>
              <w:jc w:val="center"/>
              <w:rPr>
                <w:rFonts w:ascii="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color w:val="000000" w:themeColor="text1"/>
                <w:sz w:val="24"/>
                <w14:textFill>
                  <w14:solidFill>
                    <w14:schemeClr w14:val="tx1"/>
                  </w14:solidFill>
                </w14:textFill>
              </w:rPr>
            </w:pPr>
          </w:p>
        </w:tc>
        <w:tc>
          <w:tcPr>
            <w:tcW w:w="851"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pPr>
              <w:spacing w:line="360" w:lineRule="auto"/>
              <w:jc w:val="center"/>
              <w:rPr>
                <w:rFonts w:ascii="宋体"/>
                <w:color w:val="000000" w:themeColor="text1"/>
                <w:sz w:val="24"/>
                <w14:textFill>
                  <w14:solidFill>
                    <w14:schemeClr w14:val="tx1"/>
                  </w14:solidFill>
                </w14:textFill>
              </w:rPr>
            </w:pPr>
          </w:p>
        </w:tc>
        <w:tc>
          <w:tcPr>
            <w:tcW w:w="1460" w:type="dxa"/>
            <w:vAlign w:val="center"/>
          </w:tcPr>
          <w:p>
            <w:pPr>
              <w:spacing w:line="360" w:lineRule="auto"/>
              <w:jc w:val="center"/>
              <w:rPr>
                <w:rFonts w:ascii="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color w:val="000000" w:themeColor="text1"/>
                <w:sz w:val="24"/>
                <w14:textFill>
                  <w14:solidFill>
                    <w14:schemeClr w14:val="tx1"/>
                  </w14:solidFill>
                </w14:textFill>
              </w:rPr>
            </w:pPr>
          </w:p>
        </w:tc>
        <w:tc>
          <w:tcPr>
            <w:tcW w:w="851"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pPr>
              <w:spacing w:line="360" w:lineRule="auto"/>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合计人民币：大写</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小写</w:t>
            </w:r>
          </w:p>
        </w:tc>
      </w:tr>
    </w:tbl>
    <w:p>
      <w:pPr>
        <w:spacing w:line="360" w:lineRule="auto"/>
        <w:ind w:left="420"/>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要求：</w:t>
      </w:r>
      <w:r>
        <w:rPr>
          <w:rFonts w:ascii="宋体" w:hAnsi="宋体"/>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本表中的名称、数量应与报价明细表中相对应的报价名称、数量一致。</w:t>
      </w:r>
    </w:p>
    <w:p>
      <w:pPr>
        <w:spacing w:line="360" w:lineRule="auto"/>
        <w:ind w:left="420"/>
        <w:rPr>
          <w:rFonts w:ascii="宋体"/>
          <w:color w:val="000000" w:themeColor="text1"/>
          <w:sz w:val="24"/>
          <w14:textFill>
            <w14:solidFill>
              <w14:schemeClr w14:val="tx1"/>
            </w14:solidFill>
          </w14:textFill>
        </w:rPr>
      </w:pPr>
    </w:p>
    <w:p>
      <w:pPr>
        <w:spacing w:line="360" w:lineRule="auto"/>
        <w:ind w:left="420"/>
        <w:rPr>
          <w:rFonts w:ascii="宋体"/>
          <w:color w:val="000000" w:themeColor="text1"/>
          <w:sz w:val="24"/>
          <w14:textFill>
            <w14:solidFill>
              <w14:schemeClr w14:val="tx1"/>
            </w14:solidFill>
          </w14:textFill>
        </w:rPr>
      </w:pPr>
    </w:p>
    <w:p>
      <w:pPr>
        <w:spacing w:line="360" w:lineRule="auto"/>
        <w:ind w:left="420"/>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ascii="宋体" w:hAnsi="宋体"/>
          <w:color w:val="000000" w:themeColor="text1"/>
          <w:sz w:val="24"/>
          <w:u w:val="single"/>
          <w14:textFill>
            <w14:solidFill>
              <w14:schemeClr w14:val="tx1"/>
            </w14:solidFill>
          </w14:textFill>
        </w:rPr>
        <w:t xml:space="preserve">                      </w:t>
      </w:r>
    </w:p>
    <w:p>
      <w:pPr>
        <w:spacing w:line="360" w:lineRule="auto"/>
        <w:ind w:left="42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u w:val="single"/>
          <w14:textFill>
            <w14:solidFill>
              <w14:schemeClr w14:val="tx1"/>
            </w14:solidFill>
          </w14:textFill>
        </w:rPr>
        <w:t xml:space="preserve">                                </w:t>
      </w:r>
    </w:p>
    <w:p>
      <w:pPr>
        <w:pStyle w:val="3"/>
        <w:spacing w:line="360" w:lineRule="auto"/>
        <w:rPr>
          <w:rFonts w:ascii="宋体"/>
          <w:color w:val="000000" w:themeColor="text1"/>
          <w:u w:val="single"/>
          <w14:textFill>
            <w14:solidFill>
              <w14:schemeClr w14:val="tx1"/>
            </w14:solidFill>
          </w14:textFill>
        </w:rPr>
      </w:pPr>
    </w:p>
    <w:p>
      <w:pPr>
        <w:spacing w:line="360" w:lineRule="auto"/>
        <w:rPr>
          <w:rFonts w:ascii="宋体"/>
          <w:b/>
          <w:color w:val="000000" w:themeColor="text1"/>
          <w:sz w:val="28"/>
          <w14:textFill>
            <w14:solidFill>
              <w14:schemeClr w14:val="tx1"/>
            </w14:solidFill>
          </w14:textFill>
        </w:rPr>
      </w:pPr>
    </w:p>
    <w:p>
      <w:pPr>
        <w:pStyle w:val="3"/>
        <w:rPr>
          <w:color w:val="000000" w:themeColor="text1"/>
          <w14:textFill>
            <w14:solidFill>
              <w14:schemeClr w14:val="tx1"/>
            </w14:solidFill>
          </w14:textFill>
        </w:rPr>
      </w:pPr>
    </w:p>
    <w:p>
      <w:pPr>
        <w:spacing w:line="360" w:lineRule="auto"/>
        <w:rPr>
          <w:rFonts w:asci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8</w:t>
      </w:r>
      <w:r>
        <w:rPr>
          <w:rFonts w:hint="eastAsia" w:ascii="宋体" w:hAnsi="宋体"/>
          <w:b/>
          <w:color w:val="000000" w:themeColor="text1"/>
          <w:sz w:val="28"/>
          <w14:textFill>
            <w14:solidFill>
              <w14:schemeClr w14:val="tx1"/>
            </w14:solidFill>
          </w14:textFill>
        </w:rPr>
        <w:t>：</w:t>
      </w:r>
    </w:p>
    <w:p>
      <w:pPr>
        <w:pStyle w:val="12"/>
        <w:adjustRightInd w:val="0"/>
        <w:snapToGrid w:val="0"/>
        <w:spacing w:line="360" w:lineRule="auto"/>
        <w:jc w:val="center"/>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商务及技术响应表</w:t>
      </w:r>
    </w:p>
    <w:p>
      <w:pPr>
        <w:pStyle w:val="12"/>
        <w:adjustRightInd w:val="0"/>
        <w:snapToGrid w:val="0"/>
        <w:spacing w:line="360" w:lineRule="auto"/>
        <w:jc w:val="left"/>
        <w:rPr>
          <w:rFonts w:hAnsi="宋体" w:cs="Arial"/>
          <w:b/>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jc w:val="center"/>
              <w:rPr>
                <w:rFonts w:hAnsi="宋体" w:cs="宋体"/>
                <w:bCs/>
                <w:color w:val="000000" w:themeColor="text1"/>
                <w:spacing w:val="10"/>
                <w:kern w:val="0"/>
                <w:sz w:val="24"/>
                <w14:textFill>
                  <w14:solidFill>
                    <w14:schemeClr w14:val="tx1"/>
                  </w14:solidFill>
                </w14:textFill>
              </w:rPr>
            </w:pPr>
            <w:r>
              <w:rPr>
                <w:rFonts w:hint="eastAsia" w:hAnsi="宋体" w:cs="宋体"/>
                <w:bCs/>
                <w:color w:val="000000" w:themeColor="text1"/>
                <w:spacing w:val="10"/>
                <w:kern w:val="0"/>
                <w:sz w:val="24"/>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jc w:val="center"/>
              <w:rPr>
                <w:rFonts w:hAnsi="宋体" w:cs="宋体"/>
                <w:bCs/>
                <w:color w:val="000000" w:themeColor="text1"/>
                <w:spacing w:val="10"/>
                <w:kern w:val="0"/>
                <w:sz w:val="24"/>
                <w14:textFill>
                  <w14:solidFill>
                    <w14:schemeClr w14:val="tx1"/>
                  </w14:solidFill>
                </w14:textFill>
              </w:rPr>
            </w:pPr>
            <w:r>
              <w:rPr>
                <w:rFonts w:hint="eastAsia" w:hAnsi="宋体" w:cs="宋体"/>
                <w:bCs/>
                <w:color w:val="000000" w:themeColor="text1"/>
                <w:spacing w:val="10"/>
                <w:kern w:val="0"/>
                <w:sz w:val="24"/>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jc w:val="center"/>
              <w:rPr>
                <w:rFonts w:hAnsi="宋体" w:cs="宋体"/>
                <w:bCs/>
                <w:color w:val="000000" w:themeColor="text1"/>
                <w:spacing w:val="10"/>
                <w:kern w:val="0"/>
                <w:sz w:val="24"/>
                <w14:textFill>
                  <w14:solidFill>
                    <w14:schemeClr w14:val="tx1"/>
                  </w14:solidFill>
                </w14:textFill>
              </w:rPr>
            </w:pPr>
            <w:r>
              <w:rPr>
                <w:rFonts w:hint="eastAsia" w:hAnsi="宋体" w:cs="宋体"/>
                <w:bCs/>
                <w:color w:val="000000" w:themeColor="text1"/>
                <w:spacing w:val="10"/>
                <w:kern w:val="0"/>
                <w:sz w:val="24"/>
                <w14:textFill>
                  <w14:solidFill>
                    <w14:schemeClr w14:val="tx1"/>
                  </w14:solidFill>
                </w14:textFill>
              </w:rPr>
              <w:t>谈判文件产品技术要求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jc w:val="center"/>
              <w:rPr>
                <w:rFonts w:hAnsi="宋体" w:cs="宋体"/>
                <w:bCs/>
                <w:color w:val="000000" w:themeColor="text1"/>
                <w:spacing w:val="10"/>
                <w:kern w:val="0"/>
                <w:sz w:val="24"/>
                <w14:textFill>
                  <w14:solidFill>
                    <w14:schemeClr w14:val="tx1"/>
                  </w14:solidFill>
                </w14:textFill>
              </w:rPr>
            </w:pPr>
            <w:r>
              <w:rPr>
                <w:rFonts w:hint="eastAsia" w:hAnsi="宋体" w:cs="宋体"/>
                <w:bCs/>
                <w:color w:val="000000" w:themeColor="text1"/>
                <w:spacing w:val="10"/>
                <w:kern w:val="0"/>
                <w:sz w:val="24"/>
                <w14:textFill>
                  <w14:solidFill>
                    <w14:schemeClr w14:val="tx1"/>
                  </w14:solidFill>
                </w14:textFill>
              </w:rPr>
              <w:t>谈判响应文件产品技术响应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jc w:val="center"/>
              <w:rPr>
                <w:rFonts w:hAnsi="宋体" w:cs="宋体"/>
                <w:bCs/>
                <w:color w:val="000000" w:themeColor="text1"/>
                <w:spacing w:val="10"/>
                <w:kern w:val="0"/>
                <w:sz w:val="24"/>
                <w14:textFill>
                  <w14:solidFill>
                    <w14:schemeClr w14:val="tx1"/>
                  </w14:solidFill>
                </w14:textFill>
              </w:rPr>
            </w:pPr>
            <w:r>
              <w:rPr>
                <w:rFonts w:hint="eastAsia" w:hAnsi="宋体" w:cs="宋体"/>
                <w:bCs/>
                <w:color w:val="000000" w:themeColor="text1"/>
                <w:spacing w:val="10"/>
                <w:kern w:val="0"/>
                <w:sz w:val="24"/>
                <w14:textFill>
                  <w14:solidFill>
                    <w14:schemeClr w14:val="tx1"/>
                  </w14:solidFill>
                </w14:textFill>
              </w:rPr>
              <w:t>偏离情况</w:t>
            </w:r>
          </w:p>
        </w:tc>
      </w:tr>
      <w:tr>
        <w:tblPrEx>
          <w:tblCellMar>
            <w:top w:w="0" w:type="dxa"/>
            <w:left w:w="108" w:type="dxa"/>
            <w:bottom w:w="0" w:type="dxa"/>
            <w:right w:w="108" w:type="dxa"/>
          </w:tblCellMar>
        </w:tblPrEx>
        <w:trPr>
          <w:trHeight w:val="142" w:hRule="atLeast"/>
        </w:trPr>
        <w:tc>
          <w:tcPr>
            <w:tcW w:w="120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snapToGrid w:val="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售后服务保障要求</w:t>
            </w: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154" w:hRule="atLeast"/>
        </w:trPr>
        <w:tc>
          <w:tcPr>
            <w:tcW w:w="1202" w:type="dxa"/>
            <w:vMerge w:val="continue"/>
            <w:tcBorders>
              <w:left w:val="single" w:color="auto" w:sz="4" w:space="0"/>
              <w:right w:val="single" w:color="auto" w:sz="4" w:space="0"/>
            </w:tcBorders>
            <w:vAlign w:val="center"/>
          </w:tcPr>
          <w:p>
            <w:pPr>
              <w:widowControl/>
              <w:spacing w:line="360" w:lineRule="auto"/>
              <w:jc w:val="center"/>
              <w:rPr>
                <w:rFonts w:ascii="宋体" w:cs="宋体"/>
                <w:color w:val="000000" w:themeColor="text1"/>
                <w:kern w:val="0"/>
                <w:sz w:val="24"/>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snapToGrid w:val="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服务期</w:t>
            </w: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272" w:hRule="atLeast"/>
        </w:trPr>
        <w:tc>
          <w:tcPr>
            <w:tcW w:w="1202" w:type="dxa"/>
            <w:vMerge w:val="continue"/>
            <w:tcBorders>
              <w:left w:val="single" w:color="auto" w:sz="4" w:space="0"/>
              <w:right w:val="single" w:color="auto" w:sz="4" w:space="0"/>
            </w:tcBorders>
            <w:vAlign w:val="center"/>
          </w:tcPr>
          <w:p>
            <w:pPr>
              <w:widowControl/>
              <w:spacing w:line="360" w:lineRule="auto"/>
              <w:jc w:val="center"/>
              <w:rPr>
                <w:rFonts w:ascii="宋体" w:cs="宋体"/>
                <w:color w:val="000000" w:themeColor="text1"/>
                <w:kern w:val="0"/>
                <w:sz w:val="24"/>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snapToGrid w:val="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交货和服务</w:t>
            </w:r>
          </w:p>
          <w:p>
            <w:pPr>
              <w:snapToGrid w:val="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时间及地点</w:t>
            </w: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124" w:hRule="atLeast"/>
        </w:trPr>
        <w:tc>
          <w:tcPr>
            <w:tcW w:w="1202" w:type="dxa"/>
            <w:vMerge w:val="continue"/>
            <w:tcBorders>
              <w:left w:val="single" w:color="auto" w:sz="4" w:space="0"/>
              <w:right w:val="single" w:color="auto" w:sz="4" w:space="0"/>
            </w:tcBorders>
            <w:vAlign w:val="center"/>
          </w:tcPr>
          <w:p>
            <w:pPr>
              <w:widowControl/>
              <w:spacing w:line="360" w:lineRule="auto"/>
              <w:jc w:val="center"/>
              <w:rPr>
                <w:rFonts w:ascii="宋体" w:cs="宋体"/>
                <w:color w:val="000000" w:themeColor="text1"/>
                <w:kern w:val="0"/>
                <w:sz w:val="24"/>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snapToGrid w:val="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付款条件</w:t>
            </w: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159" w:hRule="atLeast"/>
        </w:trPr>
        <w:tc>
          <w:tcPr>
            <w:tcW w:w="120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themeColor="text1"/>
                <w:kern w:val="0"/>
                <w:sz w:val="24"/>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000000" w:themeColor="text1"/>
                <w:sz w:val="24"/>
                <w14:textFill>
                  <w14:solidFill>
                    <w14:schemeClr w14:val="tx1"/>
                  </w14:solidFill>
                </w14:textFill>
              </w:rPr>
            </w:pPr>
            <w:r>
              <w:rPr>
                <w:rFonts w:ascii="宋体"/>
                <w:color w:val="000000" w:themeColor="text1"/>
                <w:sz w:val="24"/>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jc w:val="center"/>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jc w:val="center"/>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产品品牌型号</w:t>
            </w:r>
          </w:p>
        </w:tc>
        <w:tc>
          <w:tcPr>
            <w:tcW w:w="2160"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jc w:val="center"/>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谈判文件产品技术要求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jc w:val="center"/>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谈判响应文件产品技术响应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jc w:val="center"/>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000000" w:themeColor="text1"/>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themeColor="text1"/>
                <w:kern w:val="0"/>
                <w:sz w:val="24"/>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themeColor="text1"/>
                <w:kern w:val="0"/>
                <w:sz w:val="24"/>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themeColor="text1"/>
                <w:kern w:val="0"/>
                <w:sz w:val="24"/>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themeColor="text1"/>
                <w:kern w:val="0"/>
                <w:sz w:val="24"/>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themeColor="text1"/>
                <w:kern w:val="0"/>
                <w:sz w:val="24"/>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themeColor="text1"/>
                <w:kern w:val="0"/>
                <w:sz w:val="24"/>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spacing w:val="20"/>
                <w:sz w:val="24"/>
                <w14:textFill>
                  <w14:solidFill>
                    <w14:schemeClr w14:val="tx1"/>
                  </w14:solidFill>
                </w14:textFill>
              </w:rPr>
            </w:pPr>
          </w:p>
        </w:tc>
      </w:tr>
    </w:tbl>
    <w:p>
      <w:pPr>
        <w:pStyle w:val="12"/>
        <w:adjustRightInd w:val="0"/>
        <w:snapToGrid w:val="0"/>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备注：供应商在填写其中的“谈判响应文件产品技术响应”内容时，必须对照本谈判文件“产品技术要求”中各指标项逐条说明，写出各谈判产品的具体参数响应内容，不得以“符合”或“满足”等词语作简单回答或者完全复制本项目采购需求中参数内容，否则谈判小组有权视其谈判响应文件未响应谈判文件要求。</w:t>
      </w:r>
    </w:p>
    <w:p>
      <w:pPr>
        <w:spacing w:line="360" w:lineRule="auto"/>
        <w:ind w:firstLine="424" w:firstLineChars="177"/>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ascii="宋体" w:hAnsi="宋体"/>
          <w:color w:val="000000" w:themeColor="text1"/>
          <w:sz w:val="24"/>
          <w:u w:val="single"/>
          <w14:textFill>
            <w14:solidFill>
              <w14:schemeClr w14:val="tx1"/>
            </w14:solidFill>
          </w14:textFill>
        </w:rPr>
        <w:t xml:space="preserve">                       </w:t>
      </w:r>
    </w:p>
    <w:p>
      <w:pPr>
        <w:spacing w:line="360" w:lineRule="auto"/>
        <w:ind w:firstLine="424" w:firstLineChars="177"/>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ascii="宋体" w:hAnsi="宋体"/>
          <w:color w:val="000000" w:themeColor="text1"/>
          <w:sz w:val="24"/>
          <w:u w:val="single"/>
          <w14:textFill>
            <w14:solidFill>
              <w14:schemeClr w14:val="tx1"/>
            </w14:solidFill>
          </w14:textFill>
        </w:rPr>
        <w:t xml:space="preserve">                          </w:t>
      </w:r>
    </w:p>
    <w:p>
      <w:pPr>
        <w:spacing w:line="360" w:lineRule="auto"/>
        <w:ind w:firstLine="424" w:firstLineChars="177"/>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u w:val="single"/>
          <w14:textFill>
            <w14:solidFill>
              <w14:schemeClr w14:val="tx1"/>
            </w14:solidFill>
          </w14:textFill>
        </w:rPr>
        <w:t xml:space="preserve">                             </w:t>
      </w:r>
    </w:p>
    <w:p>
      <w:pPr>
        <w:pStyle w:val="48"/>
        <w:shd w:val="clear" w:color="auto" w:fill="FFFFFF"/>
        <w:spacing w:before="0" w:beforeAutospacing="0" w:after="0" w:afterAutospacing="0" w:line="360" w:lineRule="auto"/>
        <w:ind w:firstLine="424" w:firstLineChars="177"/>
        <w:rPr>
          <w:b/>
          <w:color w:val="000000" w:themeColor="text1"/>
          <w:sz w:val="28"/>
          <w14:textFill>
            <w14:solidFill>
              <w14:schemeClr w14:val="tx1"/>
            </w14:solidFill>
          </w14:textFill>
        </w:rPr>
      </w:pPr>
      <w:r>
        <w:rPr>
          <w:rFonts w:hint="eastAsia"/>
          <w:color w:val="000000" w:themeColor="text1"/>
          <w14:textFill>
            <w14:solidFill>
              <w14:schemeClr w14:val="tx1"/>
            </w14:solidFill>
          </w14:textFill>
        </w:rPr>
        <w:t>日</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期：</w:t>
      </w:r>
      <w:r>
        <w:rPr>
          <w:color w:val="000000" w:themeColor="text1"/>
          <w:u w:val="single"/>
          <w14:textFill>
            <w14:solidFill>
              <w14:schemeClr w14:val="tx1"/>
            </w14:solidFill>
          </w14:textFill>
        </w:rPr>
        <w:t xml:space="preserve">                            </w:t>
      </w:r>
    </w:p>
    <w:p>
      <w:pPr>
        <w:snapToGrid w:val="0"/>
        <w:spacing w:line="360" w:lineRule="auto"/>
        <w:rPr>
          <w:rFonts w:asci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9</w:t>
      </w:r>
      <w:r>
        <w:rPr>
          <w:rFonts w:hint="eastAsia" w:ascii="宋体" w:hAnsi="宋体"/>
          <w:b/>
          <w:color w:val="000000" w:themeColor="text1"/>
          <w:sz w:val="28"/>
          <w14:textFill>
            <w14:solidFill>
              <w14:schemeClr w14:val="tx1"/>
            </w14:solidFill>
          </w14:textFill>
        </w:rPr>
        <w:t>：</w:t>
      </w:r>
    </w:p>
    <w:p>
      <w:pPr>
        <w:pStyle w:val="47"/>
        <w:spacing w:line="360" w:lineRule="auto"/>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证书一览表</w:t>
      </w:r>
    </w:p>
    <w:p>
      <w:pPr>
        <w:pStyle w:val="47"/>
        <w:spacing w:line="360" w:lineRule="auto"/>
        <w:jc w:val="center"/>
        <w:rPr>
          <w:rFonts w:ascii="宋体" w:cs="Arial"/>
          <w:color w:val="000000" w:themeColor="text1"/>
          <w:sz w:val="28"/>
          <w:szCs w:val="28"/>
          <w14:textFill>
            <w14:solidFill>
              <w14:schemeClr w14:val="tx1"/>
            </w14:solidFill>
          </w14:textFill>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7"/>
              <w:spacing w:line="360" w:lineRule="auto"/>
              <w:jc w:val="center"/>
              <w:rPr>
                <w:rFonts w:asci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证书名称</w:t>
            </w:r>
          </w:p>
        </w:tc>
        <w:tc>
          <w:tcPr>
            <w:tcW w:w="2258" w:type="dxa"/>
            <w:tcBorders>
              <w:top w:val="double" w:color="auto" w:sz="4" w:space="0"/>
            </w:tcBorders>
          </w:tcPr>
          <w:p>
            <w:pPr>
              <w:pStyle w:val="47"/>
              <w:spacing w:line="360" w:lineRule="auto"/>
              <w:jc w:val="center"/>
              <w:rPr>
                <w:rFonts w:asci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发证单位</w:t>
            </w:r>
          </w:p>
        </w:tc>
        <w:tc>
          <w:tcPr>
            <w:tcW w:w="2260" w:type="dxa"/>
            <w:tcBorders>
              <w:top w:val="double" w:color="auto" w:sz="4" w:space="0"/>
            </w:tcBorders>
          </w:tcPr>
          <w:p>
            <w:pPr>
              <w:pStyle w:val="47"/>
              <w:spacing w:line="360" w:lineRule="auto"/>
              <w:jc w:val="center"/>
              <w:rPr>
                <w:rFonts w:asci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证书等级</w:t>
            </w:r>
          </w:p>
        </w:tc>
        <w:tc>
          <w:tcPr>
            <w:tcW w:w="2047" w:type="dxa"/>
            <w:tcBorders>
              <w:top w:val="double" w:color="auto" w:sz="4" w:space="0"/>
              <w:right w:val="single" w:color="auto" w:sz="4" w:space="0"/>
            </w:tcBorders>
          </w:tcPr>
          <w:p>
            <w:pPr>
              <w:pStyle w:val="47"/>
              <w:spacing w:line="360" w:lineRule="auto"/>
              <w:jc w:val="center"/>
              <w:rPr>
                <w:rFonts w:asci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c>
          <w:tcPr>
            <w:tcW w:w="2258" w:type="dxa"/>
          </w:tcPr>
          <w:p>
            <w:pPr>
              <w:pStyle w:val="47"/>
              <w:spacing w:line="360" w:lineRule="auto"/>
              <w:jc w:val="center"/>
              <w:rPr>
                <w:rFonts w:ascii="宋体" w:cs="Arial"/>
                <w:color w:val="000000" w:themeColor="text1"/>
                <w:szCs w:val="21"/>
                <w14:textFill>
                  <w14:solidFill>
                    <w14:schemeClr w14:val="tx1"/>
                  </w14:solidFill>
                </w14:textFill>
              </w:rPr>
            </w:pPr>
          </w:p>
        </w:tc>
        <w:tc>
          <w:tcPr>
            <w:tcW w:w="2260" w:type="dxa"/>
          </w:tcPr>
          <w:p>
            <w:pPr>
              <w:pStyle w:val="47"/>
              <w:spacing w:line="360" w:lineRule="auto"/>
              <w:jc w:val="center"/>
              <w:rPr>
                <w:rFonts w:ascii="宋体" w:cs="Arial"/>
                <w:color w:val="000000" w:themeColor="text1"/>
                <w:szCs w:val="21"/>
                <w14:textFill>
                  <w14:solidFill>
                    <w14:schemeClr w14:val="tx1"/>
                  </w14:solidFill>
                </w14:textFill>
              </w:rPr>
            </w:pPr>
          </w:p>
        </w:tc>
        <w:tc>
          <w:tcPr>
            <w:tcW w:w="2047" w:type="dxa"/>
            <w:tcBorders>
              <w:right w:val="sing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c>
          <w:tcPr>
            <w:tcW w:w="2258" w:type="dxa"/>
          </w:tcPr>
          <w:p>
            <w:pPr>
              <w:pStyle w:val="47"/>
              <w:spacing w:line="360" w:lineRule="auto"/>
              <w:jc w:val="center"/>
              <w:rPr>
                <w:rFonts w:ascii="宋体" w:cs="Arial"/>
                <w:color w:val="000000" w:themeColor="text1"/>
                <w:szCs w:val="21"/>
                <w14:textFill>
                  <w14:solidFill>
                    <w14:schemeClr w14:val="tx1"/>
                  </w14:solidFill>
                </w14:textFill>
              </w:rPr>
            </w:pPr>
          </w:p>
        </w:tc>
        <w:tc>
          <w:tcPr>
            <w:tcW w:w="2260" w:type="dxa"/>
          </w:tcPr>
          <w:p>
            <w:pPr>
              <w:pStyle w:val="47"/>
              <w:spacing w:line="360" w:lineRule="auto"/>
              <w:jc w:val="center"/>
              <w:rPr>
                <w:rFonts w:ascii="宋体" w:cs="Arial"/>
                <w:color w:val="000000" w:themeColor="text1"/>
                <w:szCs w:val="21"/>
                <w14:textFill>
                  <w14:solidFill>
                    <w14:schemeClr w14:val="tx1"/>
                  </w14:solidFill>
                </w14:textFill>
              </w:rPr>
            </w:pPr>
          </w:p>
        </w:tc>
        <w:tc>
          <w:tcPr>
            <w:tcW w:w="2047" w:type="dxa"/>
            <w:tcBorders>
              <w:right w:val="sing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c>
          <w:tcPr>
            <w:tcW w:w="2258" w:type="dxa"/>
          </w:tcPr>
          <w:p>
            <w:pPr>
              <w:pStyle w:val="47"/>
              <w:spacing w:line="360" w:lineRule="auto"/>
              <w:jc w:val="center"/>
              <w:rPr>
                <w:rFonts w:ascii="宋体" w:cs="Arial"/>
                <w:color w:val="000000" w:themeColor="text1"/>
                <w:szCs w:val="21"/>
                <w14:textFill>
                  <w14:solidFill>
                    <w14:schemeClr w14:val="tx1"/>
                  </w14:solidFill>
                </w14:textFill>
              </w:rPr>
            </w:pPr>
          </w:p>
        </w:tc>
        <w:tc>
          <w:tcPr>
            <w:tcW w:w="2260" w:type="dxa"/>
          </w:tcPr>
          <w:p>
            <w:pPr>
              <w:pStyle w:val="47"/>
              <w:spacing w:line="360" w:lineRule="auto"/>
              <w:jc w:val="center"/>
              <w:rPr>
                <w:rFonts w:ascii="宋体" w:cs="Arial"/>
                <w:color w:val="000000" w:themeColor="text1"/>
                <w:szCs w:val="21"/>
                <w14:textFill>
                  <w14:solidFill>
                    <w14:schemeClr w14:val="tx1"/>
                  </w14:solidFill>
                </w14:textFill>
              </w:rPr>
            </w:pPr>
          </w:p>
        </w:tc>
        <w:tc>
          <w:tcPr>
            <w:tcW w:w="2047" w:type="dxa"/>
            <w:tcBorders>
              <w:right w:val="sing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c>
          <w:tcPr>
            <w:tcW w:w="2258" w:type="dxa"/>
          </w:tcPr>
          <w:p>
            <w:pPr>
              <w:pStyle w:val="47"/>
              <w:spacing w:line="360" w:lineRule="auto"/>
              <w:jc w:val="center"/>
              <w:rPr>
                <w:rFonts w:ascii="宋体" w:cs="Arial"/>
                <w:color w:val="000000" w:themeColor="text1"/>
                <w:szCs w:val="21"/>
                <w14:textFill>
                  <w14:solidFill>
                    <w14:schemeClr w14:val="tx1"/>
                  </w14:solidFill>
                </w14:textFill>
              </w:rPr>
            </w:pPr>
          </w:p>
        </w:tc>
        <w:tc>
          <w:tcPr>
            <w:tcW w:w="2260" w:type="dxa"/>
          </w:tcPr>
          <w:p>
            <w:pPr>
              <w:pStyle w:val="47"/>
              <w:spacing w:line="360" w:lineRule="auto"/>
              <w:jc w:val="center"/>
              <w:rPr>
                <w:rFonts w:ascii="宋体" w:cs="Arial"/>
                <w:color w:val="000000" w:themeColor="text1"/>
                <w:szCs w:val="21"/>
                <w14:textFill>
                  <w14:solidFill>
                    <w14:schemeClr w14:val="tx1"/>
                  </w14:solidFill>
                </w14:textFill>
              </w:rPr>
            </w:pPr>
          </w:p>
        </w:tc>
        <w:tc>
          <w:tcPr>
            <w:tcW w:w="2047" w:type="dxa"/>
            <w:tcBorders>
              <w:right w:val="sing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c>
          <w:tcPr>
            <w:tcW w:w="2258" w:type="dxa"/>
          </w:tcPr>
          <w:p>
            <w:pPr>
              <w:pStyle w:val="47"/>
              <w:spacing w:line="360" w:lineRule="auto"/>
              <w:jc w:val="center"/>
              <w:rPr>
                <w:rFonts w:ascii="宋体" w:cs="Arial"/>
                <w:color w:val="000000" w:themeColor="text1"/>
                <w:szCs w:val="21"/>
                <w14:textFill>
                  <w14:solidFill>
                    <w14:schemeClr w14:val="tx1"/>
                  </w14:solidFill>
                </w14:textFill>
              </w:rPr>
            </w:pPr>
          </w:p>
        </w:tc>
        <w:tc>
          <w:tcPr>
            <w:tcW w:w="2260" w:type="dxa"/>
          </w:tcPr>
          <w:p>
            <w:pPr>
              <w:pStyle w:val="47"/>
              <w:spacing w:line="360" w:lineRule="auto"/>
              <w:jc w:val="center"/>
              <w:rPr>
                <w:rFonts w:ascii="宋体" w:cs="Arial"/>
                <w:color w:val="000000" w:themeColor="text1"/>
                <w:szCs w:val="21"/>
                <w14:textFill>
                  <w14:solidFill>
                    <w14:schemeClr w14:val="tx1"/>
                  </w14:solidFill>
                </w14:textFill>
              </w:rPr>
            </w:pPr>
          </w:p>
        </w:tc>
        <w:tc>
          <w:tcPr>
            <w:tcW w:w="2047" w:type="dxa"/>
            <w:tcBorders>
              <w:right w:val="sing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c>
          <w:tcPr>
            <w:tcW w:w="2258" w:type="dxa"/>
          </w:tcPr>
          <w:p>
            <w:pPr>
              <w:pStyle w:val="47"/>
              <w:spacing w:line="360" w:lineRule="auto"/>
              <w:jc w:val="center"/>
              <w:rPr>
                <w:rFonts w:ascii="宋体" w:cs="Arial"/>
                <w:color w:val="000000" w:themeColor="text1"/>
                <w:szCs w:val="21"/>
                <w14:textFill>
                  <w14:solidFill>
                    <w14:schemeClr w14:val="tx1"/>
                  </w14:solidFill>
                </w14:textFill>
              </w:rPr>
            </w:pPr>
          </w:p>
        </w:tc>
        <w:tc>
          <w:tcPr>
            <w:tcW w:w="2260" w:type="dxa"/>
          </w:tcPr>
          <w:p>
            <w:pPr>
              <w:pStyle w:val="47"/>
              <w:spacing w:line="360" w:lineRule="auto"/>
              <w:jc w:val="center"/>
              <w:rPr>
                <w:rFonts w:ascii="宋体" w:cs="Arial"/>
                <w:color w:val="000000" w:themeColor="text1"/>
                <w:szCs w:val="21"/>
                <w14:textFill>
                  <w14:solidFill>
                    <w14:schemeClr w14:val="tx1"/>
                  </w14:solidFill>
                </w14:textFill>
              </w:rPr>
            </w:pPr>
          </w:p>
        </w:tc>
        <w:tc>
          <w:tcPr>
            <w:tcW w:w="2047" w:type="dxa"/>
            <w:tcBorders>
              <w:right w:val="sing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c>
          <w:tcPr>
            <w:tcW w:w="2258" w:type="dxa"/>
            <w:tcBorders>
              <w:bottom w:val="doub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c>
          <w:tcPr>
            <w:tcW w:w="2260" w:type="dxa"/>
            <w:tcBorders>
              <w:bottom w:val="doub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c>
          <w:tcPr>
            <w:tcW w:w="2047" w:type="dxa"/>
            <w:tcBorders>
              <w:bottom w:val="double" w:color="auto" w:sz="4" w:space="0"/>
              <w:right w:val="single" w:color="auto" w:sz="4" w:space="0"/>
            </w:tcBorders>
          </w:tcPr>
          <w:p>
            <w:pPr>
              <w:pStyle w:val="47"/>
              <w:spacing w:line="360" w:lineRule="auto"/>
              <w:jc w:val="center"/>
              <w:rPr>
                <w:rFonts w:ascii="宋体" w:cs="Arial"/>
                <w:color w:val="000000" w:themeColor="text1"/>
                <w:szCs w:val="21"/>
                <w14:textFill>
                  <w14:solidFill>
                    <w14:schemeClr w14:val="tx1"/>
                  </w14:solidFill>
                </w14:textFill>
              </w:rPr>
            </w:pPr>
          </w:p>
        </w:tc>
      </w:tr>
    </w:tbl>
    <w:p>
      <w:pPr>
        <w:pStyle w:val="47"/>
        <w:tabs>
          <w:tab w:val="left" w:pos="1050"/>
        </w:tabs>
        <w:spacing w:line="360" w:lineRule="auto"/>
        <w:rPr>
          <w:rFonts w:ascii="仿宋_GB2312" w:hAnsi="宋体" w:eastAsia="仿宋_GB2312"/>
          <w:color w:val="000000" w:themeColor="text1"/>
          <w:sz w:val="24"/>
          <w14:textFill>
            <w14:solidFill>
              <w14:schemeClr w14:val="tx1"/>
            </w14:solidFill>
          </w14:textFill>
        </w:rPr>
      </w:pPr>
    </w:p>
    <w:p>
      <w:pPr>
        <w:pStyle w:val="47"/>
        <w:tabs>
          <w:tab w:val="left" w:pos="1050"/>
        </w:tabs>
        <w:spacing w:line="360" w:lineRule="auto"/>
        <w:rPr>
          <w:rFonts w:asci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要求：</w:t>
      </w:r>
    </w:p>
    <w:p>
      <w:pPr>
        <w:pStyle w:val="47"/>
        <w:tabs>
          <w:tab w:val="left" w:pos="1050"/>
        </w:tabs>
        <w:spacing w:line="360" w:lineRule="auto"/>
        <w:ind w:firstLine="484" w:firstLineChars="202"/>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填写谈判供应商获得资质、认证或企业信誉证书。</w:t>
      </w:r>
    </w:p>
    <w:p>
      <w:pPr>
        <w:pStyle w:val="47"/>
        <w:tabs>
          <w:tab w:val="left" w:pos="1050"/>
        </w:tabs>
        <w:spacing w:line="360" w:lineRule="auto"/>
        <w:ind w:firstLine="484" w:firstLineChars="202"/>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附所列证书复印件或其他证明材料。</w:t>
      </w:r>
    </w:p>
    <w:p>
      <w:pPr>
        <w:pStyle w:val="47"/>
        <w:tabs>
          <w:tab w:val="left" w:pos="1050"/>
        </w:tabs>
        <w:spacing w:line="360" w:lineRule="auto"/>
        <w:ind w:firstLine="484" w:firstLineChars="202"/>
        <w:rPr>
          <w:rFonts w:ascii="宋体"/>
          <w:color w:val="000000" w:themeColor="text1"/>
          <w:sz w:val="24"/>
          <w14:textFill>
            <w14:solidFill>
              <w14:schemeClr w14:val="tx1"/>
            </w14:solidFill>
          </w14:textFill>
        </w:rPr>
      </w:pPr>
    </w:p>
    <w:p>
      <w:pPr>
        <w:pStyle w:val="47"/>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47"/>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47"/>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spacing w:line="360" w:lineRule="auto"/>
        <w:ind w:left="420"/>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ascii="宋体" w:hAnsi="宋体"/>
          <w:color w:val="000000" w:themeColor="text1"/>
          <w:sz w:val="24"/>
          <w:u w:val="single"/>
          <w14:textFill>
            <w14:solidFill>
              <w14:schemeClr w14:val="tx1"/>
            </w14:solidFill>
          </w14:textFill>
        </w:rPr>
        <w:t xml:space="preserve">                      </w:t>
      </w:r>
    </w:p>
    <w:p>
      <w:pPr>
        <w:spacing w:line="360" w:lineRule="auto"/>
        <w:ind w:left="42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rFonts w:asci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shd w:val="clear" w:color="FFFFFF" w:fill="D9D9D9"/>
          <w14:textFill>
            <w14:solidFill>
              <w14:schemeClr w14:val="tx1"/>
            </w14:solidFill>
          </w14:textFill>
        </w:rPr>
      </w:pPr>
    </w:p>
    <w:p>
      <w:pPr>
        <w:autoSpaceDE w:val="0"/>
        <w:autoSpaceDN w:val="0"/>
        <w:adjustRightInd w:val="0"/>
        <w:spacing w:line="360" w:lineRule="auto"/>
        <w:rPr>
          <w:rFonts w:ascii="仿宋_GB2312" w:hAnsi="仿宋_GB2312" w:eastAsia="仿宋_GB2312" w:cs="仿宋_GB2312"/>
          <w:color w:val="000000" w:themeColor="text1"/>
          <w:sz w:val="24"/>
          <w:shd w:val="clear" w:color="FFFFFF" w:fill="D9D9D9"/>
          <w14:textFill>
            <w14:solidFill>
              <w14:schemeClr w14:val="tx1"/>
            </w14:solidFill>
          </w14:textFill>
        </w:rPr>
      </w:pPr>
    </w:p>
    <w:p>
      <w:pPr>
        <w:spacing w:line="360" w:lineRule="auto"/>
        <w:rPr>
          <w:rFonts w:asci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10:</w:t>
      </w:r>
    </w:p>
    <w:p>
      <w:pPr>
        <w:pStyle w:val="50"/>
        <w:spacing w:line="360" w:lineRule="auto"/>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类似项目实施情况一览表</w:t>
      </w:r>
    </w:p>
    <w:p>
      <w:pPr>
        <w:pStyle w:val="50"/>
        <w:spacing w:line="360" w:lineRule="auto"/>
        <w:jc w:val="center"/>
        <w:rPr>
          <w:rFonts w:ascii="仿宋_GB2312" w:eastAsia="仿宋_GB2312"/>
          <w:b/>
          <w:color w:val="000000" w:themeColor="text1"/>
          <w:sz w:val="28"/>
          <w:szCs w:val="28"/>
          <w14:textFill>
            <w14:solidFill>
              <w14:schemeClr w14:val="tx1"/>
            </w14:solidFill>
          </w14:textFill>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0"/>
              <w:spacing w:line="360" w:lineRule="auto"/>
              <w:jc w:val="center"/>
              <w:rPr>
                <w:rFonts w:asci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0"/>
              <w:spacing w:line="360" w:lineRule="auto"/>
              <w:jc w:val="center"/>
              <w:rPr>
                <w:rFonts w:asci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0"/>
              <w:spacing w:line="360" w:lineRule="auto"/>
              <w:jc w:val="center"/>
              <w:rPr>
                <w:rFonts w:asci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0"/>
              <w:spacing w:line="360" w:lineRule="auto"/>
              <w:jc w:val="center"/>
              <w:rPr>
                <w:rFonts w:asci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0"/>
              <w:spacing w:line="360" w:lineRule="auto"/>
              <w:jc w:val="center"/>
              <w:rPr>
                <w:rFonts w:asci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0"/>
              <w:spacing w:line="360" w:lineRule="auto"/>
              <w:jc w:val="center"/>
              <w:rPr>
                <w:rFonts w:asci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0"/>
              <w:spacing w:line="360" w:lineRule="auto"/>
              <w:jc w:val="center"/>
              <w:rPr>
                <w:rFonts w:asci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0"/>
              <w:spacing w:line="360" w:lineRule="auto"/>
              <w:jc w:val="center"/>
              <w:rPr>
                <w:rFonts w:asci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0"/>
              <w:spacing w:line="360" w:lineRule="auto"/>
              <w:jc w:val="center"/>
              <w:rPr>
                <w:rFonts w:asci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0"/>
              <w:spacing w:line="360" w:lineRule="auto"/>
              <w:jc w:val="center"/>
              <w:rPr>
                <w:rFonts w:asci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0"/>
              <w:spacing w:line="360" w:lineRule="auto"/>
              <w:rPr>
                <w:rFonts w:ascii="宋体" w:cs="Arial"/>
                <w:color w:val="000000" w:themeColor="text1"/>
                <w:sz w:val="24"/>
                <w14:textFill>
                  <w14:solidFill>
                    <w14:schemeClr w14:val="tx1"/>
                  </w14:solidFill>
                </w14:textFill>
              </w:rPr>
            </w:pPr>
          </w:p>
        </w:tc>
      </w:tr>
    </w:tbl>
    <w:p>
      <w:pPr>
        <w:autoSpaceDE w:val="0"/>
        <w:autoSpaceDN w:val="0"/>
        <w:adjustRightInd w:val="0"/>
        <w:spacing w:line="360" w:lineRule="auto"/>
        <w:rPr>
          <w:rFonts w:asci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要求：</w:t>
      </w:r>
    </w:p>
    <w:p>
      <w:pPr>
        <w:autoSpaceDE w:val="0"/>
        <w:autoSpaceDN w:val="0"/>
        <w:adjustRightInd w:val="0"/>
        <w:spacing w:line="360" w:lineRule="auto"/>
        <w:ind w:firstLine="484" w:firstLineChars="202"/>
        <w:rPr>
          <w:rFonts w:ascii="宋体" w:cs="Arial"/>
          <w:b/>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r>
        <w:rPr>
          <w:rFonts w:asci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业绩证明应提供证明材料（合同复印件可只提供首页、含金额页、盖章页并加盖谈判供应商公章）；</w:t>
      </w:r>
    </w:p>
    <w:p>
      <w:pPr>
        <w:spacing w:line="360" w:lineRule="auto"/>
        <w:ind w:firstLine="484" w:firstLineChars="202"/>
        <w:jc w:val="left"/>
        <w:rPr>
          <w:rFonts w:asci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asci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谈判供应商可按此表格式复制。</w:t>
      </w: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ind w:left="420"/>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ascii="宋体" w:hAnsi="宋体"/>
          <w:color w:val="000000" w:themeColor="text1"/>
          <w:sz w:val="24"/>
          <w:u w:val="single"/>
          <w14:textFill>
            <w14:solidFill>
              <w14:schemeClr w14:val="tx1"/>
            </w14:solidFill>
          </w14:textFill>
        </w:rPr>
        <w:t xml:space="preserve">                      </w:t>
      </w:r>
    </w:p>
    <w:p>
      <w:pPr>
        <w:spacing w:line="360" w:lineRule="auto"/>
        <w:ind w:left="42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rFonts w:asci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shd w:val="clear" w:color="FFFFFF" w:fill="D9D9D9"/>
          <w14:textFill>
            <w14:solidFill>
              <w14:schemeClr w14:val="tx1"/>
            </w14:solidFill>
          </w14:textFill>
        </w:rPr>
      </w:pPr>
    </w:p>
    <w:p>
      <w:pPr>
        <w:pStyle w:val="21"/>
        <w:rPr>
          <w:color w:val="000000" w:themeColor="text1"/>
          <w14:textFill>
            <w14:solidFill>
              <w14:schemeClr w14:val="tx1"/>
            </w14:solidFill>
          </w14:textFill>
        </w:rPr>
      </w:pPr>
    </w:p>
    <w:p>
      <w:pPr>
        <w:tabs>
          <w:tab w:val="left" w:pos="2460"/>
        </w:tabs>
        <w:spacing w:line="360" w:lineRule="auto"/>
        <w:rPr>
          <w:rFonts w:asci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 xml:space="preserve">11:  </w:t>
      </w:r>
      <w:r>
        <w:rPr>
          <w:rFonts w:ascii="宋体"/>
          <w:b/>
          <w:color w:val="000000" w:themeColor="text1"/>
          <w:sz w:val="28"/>
          <w14:textFill>
            <w14:solidFill>
              <w14:schemeClr w14:val="tx1"/>
            </w14:solidFill>
          </w14:textFill>
        </w:rPr>
        <w:tab/>
      </w:r>
    </w:p>
    <w:p>
      <w:pPr>
        <w:spacing w:line="360" w:lineRule="auto"/>
        <w:ind w:firstLine="435"/>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售后服务情况表</w:t>
      </w:r>
    </w:p>
    <w:p>
      <w:pPr>
        <w:spacing w:line="360" w:lineRule="auto"/>
        <w:ind w:firstLine="435"/>
        <w:jc w:val="center"/>
        <w:rPr>
          <w:rFonts w:ascii="宋体"/>
          <w:b/>
          <w:color w:val="000000" w:themeColor="text1"/>
          <w:sz w:val="36"/>
          <w:szCs w:val="36"/>
          <w14:textFill>
            <w14:solidFill>
              <w14:schemeClr w14:val="tx1"/>
            </w14:solidFill>
          </w14:textFill>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1"/>
              <w:spacing w:line="360" w:lineRule="auto"/>
              <w:jc w:val="center"/>
              <w:rPr>
                <w:rFonts w:asci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序号</w:t>
            </w:r>
          </w:p>
        </w:tc>
        <w:tc>
          <w:tcPr>
            <w:tcW w:w="2355" w:type="dxa"/>
            <w:tcBorders>
              <w:top w:val="single" w:color="auto" w:sz="4" w:space="0"/>
            </w:tcBorders>
            <w:vAlign w:val="center"/>
          </w:tcPr>
          <w:p>
            <w:pPr>
              <w:pStyle w:val="51"/>
              <w:spacing w:line="360" w:lineRule="auto"/>
              <w:jc w:val="center"/>
              <w:rPr>
                <w:rFonts w:asci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p>
        </w:tc>
        <w:tc>
          <w:tcPr>
            <w:tcW w:w="4061" w:type="dxa"/>
            <w:tcBorders>
              <w:top w:val="single" w:color="auto" w:sz="4" w:space="0"/>
            </w:tcBorders>
            <w:vAlign w:val="center"/>
          </w:tcPr>
          <w:p>
            <w:pPr>
              <w:pStyle w:val="51"/>
              <w:spacing w:line="360" w:lineRule="auto"/>
              <w:jc w:val="center"/>
              <w:rPr>
                <w:rFonts w:asci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投标人情况</w:t>
            </w:r>
          </w:p>
        </w:tc>
        <w:tc>
          <w:tcPr>
            <w:tcW w:w="1373" w:type="dxa"/>
            <w:tcBorders>
              <w:top w:val="single" w:color="auto" w:sz="4" w:space="0"/>
            </w:tcBorders>
            <w:vAlign w:val="center"/>
          </w:tcPr>
          <w:p>
            <w:pPr>
              <w:pStyle w:val="51"/>
              <w:spacing w:line="360" w:lineRule="auto"/>
              <w:jc w:val="center"/>
              <w:rPr>
                <w:rFonts w:asci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1"/>
              <w:spacing w:line="360" w:lineRule="auto"/>
              <w:jc w:val="center"/>
              <w:rPr>
                <w:rFonts w:asci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1</w:t>
            </w:r>
          </w:p>
        </w:tc>
        <w:tc>
          <w:tcPr>
            <w:tcW w:w="2355" w:type="dxa"/>
            <w:vMerge w:val="restart"/>
            <w:vAlign w:val="center"/>
          </w:tcPr>
          <w:p>
            <w:pPr>
              <w:pStyle w:val="51"/>
              <w:widowControl/>
              <w:spacing w:line="360" w:lineRule="auto"/>
              <w:jc w:val="left"/>
              <w:rPr>
                <w:rFonts w:asci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保修期内售后服务情况</w:t>
            </w:r>
            <w:r>
              <w:rPr>
                <w:rFonts w:ascii="宋体" w:hAnsi="宋体" w:cs="Arial"/>
                <w:bCs/>
                <w:color w:val="000000" w:themeColor="text1"/>
                <w:sz w:val="24"/>
                <w14:textFill>
                  <w14:solidFill>
                    <w14:schemeClr w14:val="tx1"/>
                  </w14:solidFill>
                </w14:textFill>
              </w:rPr>
              <w:t>(</w:t>
            </w:r>
            <w:r>
              <w:rPr>
                <w:rFonts w:hint="eastAsia" w:ascii="宋体" w:hAnsi="宋体" w:cs="Arial"/>
                <w:bCs/>
                <w:color w:val="000000" w:themeColor="text1"/>
                <w:sz w:val="24"/>
                <w14:textFill>
                  <w14:solidFill>
                    <w14:schemeClr w14:val="tx1"/>
                  </w14:solidFill>
                </w14:textFill>
              </w:rPr>
              <w:t>服务方式、服务网点、售后服务的内容和措施等等，可用附页和宣传材料）</w:t>
            </w:r>
          </w:p>
        </w:tc>
        <w:tc>
          <w:tcPr>
            <w:tcW w:w="4061" w:type="dxa"/>
          </w:tcPr>
          <w:p>
            <w:pPr>
              <w:pStyle w:val="51"/>
              <w:spacing w:line="360" w:lineRule="auto"/>
              <w:rPr>
                <w:rFonts w:asci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生产厂商售后服务情况：</w:t>
            </w:r>
          </w:p>
        </w:tc>
        <w:tc>
          <w:tcPr>
            <w:tcW w:w="1373" w:type="dxa"/>
          </w:tcPr>
          <w:p>
            <w:pPr>
              <w:pStyle w:val="51"/>
              <w:spacing w:line="360" w:lineRule="auto"/>
              <w:rPr>
                <w:rFonts w:asci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1"/>
              <w:widowControl/>
              <w:spacing w:line="360" w:lineRule="auto"/>
              <w:jc w:val="left"/>
              <w:rPr>
                <w:rFonts w:ascii="宋体" w:cs="Arial"/>
                <w:bCs/>
                <w:color w:val="000000" w:themeColor="text1"/>
                <w:sz w:val="24"/>
                <w14:textFill>
                  <w14:solidFill>
                    <w14:schemeClr w14:val="tx1"/>
                  </w14:solidFill>
                </w14:textFill>
              </w:rPr>
            </w:pPr>
          </w:p>
        </w:tc>
        <w:tc>
          <w:tcPr>
            <w:tcW w:w="2355" w:type="dxa"/>
            <w:vMerge w:val="continue"/>
            <w:vAlign w:val="center"/>
          </w:tcPr>
          <w:p>
            <w:pPr>
              <w:pStyle w:val="51"/>
              <w:widowControl/>
              <w:spacing w:line="360" w:lineRule="auto"/>
              <w:jc w:val="left"/>
              <w:rPr>
                <w:rFonts w:ascii="宋体" w:cs="Arial"/>
                <w:bCs/>
                <w:color w:val="000000" w:themeColor="text1"/>
                <w:sz w:val="24"/>
                <w14:textFill>
                  <w14:solidFill>
                    <w14:schemeClr w14:val="tx1"/>
                  </w14:solidFill>
                </w14:textFill>
              </w:rPr>
            </w:pPr>
          </w:p>
        </w:tc>
        <w:tc>
          <w:tcPr>
            <w:tcW w:w="4061" w:type="dxa"/>
          </w:tcPr>
          <w:p>
            <w:pPr>
              <w:pStyle w:val="51"/>
              <w:spacing w:line="360" w:lineRule="auto"/>
              <w:rPr>
                <w:rFonts w:asci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投标人售后服务情况：</w:t>
            </w:r>
          </w:p>
        </w:tc>
        <w:tc>
          <w:tcPr>
            <w:tcW w:w="1373" w:type="dxa"/>
          </w:tcPr>
          <w:p>
            <w:pPr>
              <w:pStyle w:val="51"/>
              <w:spacing w:line="360" w:lineRule="auto"/>
              <w:jc w:val="left"/>
              <w:rPr>
                <w:rFonts w:asci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1"/>
              <w:spacing w:line="360" w:lineRule="auto"/>
              <w:jc w:val="center"/>
              <w:rPr>
                <w:rFonts w:asci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2</w:t>
            </w:r>
          </w:p>
        </w:tc>
        <w:tc>
          <w:tcPr>
            <w:tcW w:w="2355" w:type="dxa"/>
            <w:vAlign w:val="center"/>
          </w:tcPr>
          <w:p>
            <w:pPr>
              <w:pStyle w:val="51"/>
              <w:spacing w:line="360" w:lineRule="auto"/>
              <w:rPr>
                <w:rFonts w:asci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保修期后售后服务</w:t>
            </w:r>
          </w:p>
        </w:tc>
        <w:tc>
          <w:tcPr>
            <w:tcW w:w="4061" w:type="dxa"/>
          </w:tcPr>
          <w:p>
            <w:pPr>
              <w:pStyle w:val="51"/>
              <w:widowControl/>
              <w:spacing w:line="360" w:lineRule="auto"/>
              <w:jc w:val="left"/>
              <w:rPr>
                <w:rFonts w:ascii="宋体" w:cs="Arial"/>
                <w:bCs/>
                <w:color w:val="000000" w:themeColor="text1"/>
                <w:sz w:val="24"/>
                <w14:textFill>
                  <w14:solidFill>
                    <w14:schemeClr w14:val="tx1"/>
                  </w14:solidFill>
                </w14:textFill>
              </w:rPr>
            </w:pPr>
          </w:p>
          <w:p>
            <w:pPr>
              <w:pStyle w:val="51"/>
              <w:widowControl/>
              <w:spacing w:line="360" w:lineRule="auto"/>
              <w:jc w:val="left"/>
              <w:rPr>
                <w:rFonts w:ascii="宋体" w:cs="Arial"/>
                <w:bCs/>
                <w:color w:val="000000" w:themeColor="text1"/>
                <w:sz w:val="24"/>
                <w14:textFill>
                  <w14:solidFill>
                    <w14:schemeClr w14:val="tx1"/>
                  </w14:solidFill>
                </w14:textFill>
              </w:rPr>
            </w:pPr>
          </w:p>
          <w:p>
            <w:pPr>
              <w:pStyle w:val="51"/>
              <w:spacing w:line="360" w:lineRule="auto"/>
              <w:rPr>
                <w:rFonts w:ascii="宋体" w:cs="Arial"/>
                <w:bCs/>
                <w:color w:val="000000" w:themeColor="text1"/>
                <w:sz w:val="24"/>
                <w14:textFill>
                  <w14:solidFill>
                    <w14:schemeClr w14:val="tx1"/>
                  </w14:solidFill>
                </w14:textFill>
              </w:rPr>
            </w:pPr>
          </w:p>
        </w:tc>
        <w:tc>
          <w:tcPr>
            <w:tcW w:w="1373" w:type="dxa"/>
          </w:tcPr>
          <w:p>
            <w:pPr>
              <w:pStyle w:val="51"/>
              <w:widowControl/>
              <w:spacing w:line="360" w:lineRule="auto"/>
              <w:jc w:val="left"/>
              <w:rPr>
                <w:rFonts w:ascii="宋体" w:cs="Arial"/>
                <w:bCs/>
                <w:color w:val="000000" w:themeColor="text1"/>
                <w:sz w:val="24"/>
                <w14:textFill>
                  <w14:solidFill>
                    <w14:schemeClr w14:val="tx1"/>
                  </w14:solidFill>
                </w14:textFill>
              </w:rPr>
            </w:pPr>
          </w:p>
          <w:p>
            <w:pPr>
              <w:pStyle w:val="51"/>
              <w:widowControl/>
              <w:spacing w:line="360" w:lineRule="auto"/>
              <w:jc w:val="left"/>
              <w:rPr>
                <w:rFonts w:ascii="宋体" w:cs="Arial"/>
                <w:bCs/>
                <w:color w:val="000000" w:themeColor="text1"/>
                <w:sz w:val="24"/>
                <w14:textFill>
                  <w14:solidFill>
                    <w14:schemeClr w14:val="tx1"/>
                  </w14:solidFill>
                </w14:textFill>
              </w:rPr>
            </w:pPr>
          </w:p>
          <w:p>
            <w:pPr>
              <w:pStyle w:val="51"/>
              <w:spacing w:line="360" w:lineRule="auto"/>
              <w:rPr>
                <w:rFonts w:asci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1"/>
              <w:widowControl/>
              <w:spacing w:line="360" w:lineRule="auto"/>
              <w:jc w:val="left"/>
              <w:rPr>
                <w:rFonts w:asci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 xml:space="preserve"> 3</w:t>
            </w:r>
          </w:p>
        </w:tc>
        <w:tc>
          <w:tcPr>
            <w:tcW w:w="2355" w:type="dxa"/>
            <w:vAlign w:val="center"/>
          </w:tcPr>
          <w:p>
            <w:pPr>
              <w:pStyle w:val="51"/>
              <w:widowControl/>
              <w:spacing w:line="360" w:lineRule="auto"/>
              <w:jc w:val="left"/>
              <w:rPr>
                <w:rFonts w:asci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培训方案（可用附页）</w:t>
            </w:r>
          </w:p>
        </w:tc>
        <w:tc>
          <w:tcPr>
            <w:tcW w:w="4061" w:type="dxa"/>
          </w:tcPr>
          <w:p>
            <w:pPr>
              <w:pStyle w:val="51"/>
              <w:widowControl/>
              <w:spacing w:line="360" w:lineRule="auto"/>
              <w:jc w:val="left"/>
              <w:rPr>
                <w:rFonts w:ascii="宋体" w:cs="Arial"/>
                <w:bCs/>
                <w:i/>
                <w:color w:val="000000" w:themeColor="text1"/>
                <w:sz w:val="24"/>
                <w14:textFill>
                  <w14:solidFill>
                    <w14:schemeClr w14:val="tx1"/>
                  </w14:solidFill>
                </w14:textFill>
              </w:rPr>
            </w:pPr>
          </w:p>
          <w:p>
            <w:pPr>
              <w:pStyle w:val="51"/>
              <w:widowControl/>
              <w:spacing w:line="360" w:lineRule="auto"/>
              <w:jc w:val="left"/>
              <w:rPr>
                <w:rFonts w:ascii="宋体" w:cs="Arial"/>
                <w:bCs/>
                <w:i/>
                <w:color w:val="000000" w:themeColor="text1"/>
                <w:sz w:val="24"/>
                <w14:textFill>
                  <w14:solidFill>
                    <w14:schemeClr w14:val="tx1"/>
                  </w14:solidFill>
                </w14:textFill>
              </w:rPr>
            </w:pPr>
          </w:p>
        </w:tc>
        <w:tc>
          <w:tcPr>
            <w:tcW w:w="1373" w:type="dxa"/>
          </w:tcPr>
          <w:p>
            <w:pPr>
              <w:pStyle w:val="51"/>
              <w:widowControl/>
              <w:spacing w:line="360" w:lineRule="auto"/>
              <w:jc w:val="left"/>
              <w:rPr>
                <w:rFonts w:ascii="宋体" w:cs="Arial"/>
                <w:bCs/>
                <w:i/>
                <w:color w:val="000000" w:themeColor="text1"/>
                <w:sz w:val="24"/>
                <w14:textFill>
                  <w14:solidFill>
                    <w14:schemeClr w14:val="tx1"/>
                  </w14:solidFill>
                </w14:textFill>
              </w:rPr>
            </w:pPr>
          </w:p>
          <w:p>
            <w:pPr>
              <w:pStyle w:val="51"/>
              <w:widowControl/>
              <w:spacing w:line="360" w:lineRule="auto"/>
              <w:jc w:val="left"/>
              <w:rPr>
                <w:rFonts w:ascii="宋体" w:cs="Arial"/>
                <w:bCs/>
                <w:i/>
                <w:color w:val="000000" w:themeColor="text1"/>
                <w:sz w:val="24"/>
                <w14:textFill>
                  <w14:solidFill>
                    <w14:schemeClr w14:val="tx1"/>
                  </w14:solidFill>
                </w14:textFill>
              </w:rPr>
            </w:pPr>
          </w:p>
          <w:p>
            <w:pPr>
              <w:pStyle w:val="51"/>
              <w:widowControl/>
              <w:spacing w:line="360" w:lineRule="auto"/>
              <w:jc w:val="left"/>
              <w:rPr>
                <w:rFonts w:ascii="宋体" w:cs="Arial"/>
                <w:bCs/>
                <w: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1"/>
              <w:widowControl/>
              <w:spacing w:line="360" w:lineRule="auto"/>
              <w:jc w:val="left"/>
              <w:rPr>
                <w:rFonts w:ascii="宋体" w:cs="Arial"/>
                <w:bCs/>
                <w:color w:val="000000" w:themeColor="text1"/>
                <w:sz w:val="24"/>
                <w14:textFill>
                  <w14:solidFill>
                    <w14:schemeClr w14:val="tx1"/>
                  </w14:solidFill>
                </w14:textFill>
              </w:rPr>
            </w:pPr>
            <w:r>
              <w:rPr>
                <w:rFonts w:hint="eastAsia" w:ascii="宋体" w:cs="Arial"/>
                <w:bCs/>
                <w:color w:val="000000" w:themeColor="text1"/>
                <w:sz w:val="24"/>
                <w14:textFill>
                  <w14:solidFill>
                    <w14:schemeClr w14:val="tx1"/>
                  </w14:solidFill>
                </w14:textFill>
              </w:rPr>
              <w:t>……</w:t>
            </w:r>
          </w:p>
        </w:tc>
        <w:tc>
          <w:tcPr>
            <w:tcW w:w="2355" w:type="dxa"/>
            <w:tcBorders>
              <w:bottom w:val="single" w:color="auto" w:sz="4" w:space="0"/>
            </w:tcBorders>
            <w:vAlign w:val="center"/>
          </w:tcPr>
          <w:p>
            <w:pPr>
              <w:pStyle w:val="51"/>
              <w:widowControl/>
              <w:spacing w:line="360" w:lineRule="auto"/>
              <w:jc w:val="left"/>
              <w:rPr>
                <w:rFonts w:ascii="宋体" w:cs="Arial"/>
                <w:bCs/>
                <w:color w:val="000000" w:themeColor="text1"/>
                <w:sz w:val="24"/>
                <w14:textFill>
                  <w14:solidFill>
                    <w14:schemeClr w14:val="tx1"/>
                  </w14:solidFill>
                </w14:textFill>
              </w:rPr>
            </w:pPr>
            <w:r>
              <w:rPr>
                <w:rFonts w:hint="eastAsia" w:ascii="宋体" w:cs="Arial"/>
                <w:bCs/>
                <w:color w:val="000000" w:themeColor="text1"/>
                <w:sz w:val="24"/>
                <w14:textFill>
                  <w14:solidFill>
                    <w14:schemeClr w14:val="tx1"/>
                  </w14:solidFill>
                </w14:textFill>
              </w:rPr>
              <w:t>……</w:t>
            </w:r>
          </w:p>
        </w:tc>
        <w:tc>
          <w:tcPr>
            <w:tcW w:w="4061" w:type="dxa"/>
            <w:tcBorders>
              <w:bottom w:val="single" w:color="auto" w:sz="4" w:space="0"/>
            </w:tcBorders>
          </w:tcPr>
          <w:p>
            <w:pPr>
              <w:pStyle w:val="51"/>
              <w:widowControl/>
              <w:spacing w:line="360" w:lineRule="auto"/>
              <w:jc w:val="left"/>
              <w:rPr>
                <w:rFonts w:ascii="宋体" w:cs="Arial"/>
                <w:bCs/>
                <w:color w:val="000000" w:themeColor="text1"/>
                <w:sz w:val="24"/>
                <w14:textFill>
                  <w14:solidFill>
                    <w14:schemeClr w14:val="tx1"/>
                  </w14:solidFill>
                </w14:textFill>
              </w:rPr>
            </w:pPr>
          </w:p>
        </w:tc>
        <w:tc>
          <w:tcPr>
            <w:tcW w:w="1373" w:type="dxa"/>
            <w:tcBorders>
              <w:bottom w:val="single" w:color="auto" w:sz="4" w:space="0"/>
            </w:tcBorders>
          </w:tcPr>
          <w:p>
            <w:pPr>
              <w:pStyle w:val="51"/>
              <w:widowControl/>
              <w:spacing w:line="360" w:lineRule="auto"/>
              <w:jc w:val="left"/>
              <w:rPr>
                <w:rFonts w:ascii="宋体" w:cs="Arial"/>
                <w:bCs/>
                <w:color w:val="000000" w:themeColor="text1"/>
                <w:sz w:val="24"/>
                <w14:textFill>
                  <w14:solidFill>
                    <w14:schemeClr w14:val="tx1"/>
                  </w14:solidFill>
                </w14:textFill>
              </w:rPr>
            </w:pPr>
          </w:p>
        </w:tc>
      </w:tr>
    </w:tbl>
    <w:p>
      <w:pPr>
        <w:spacing w:line="360" w:lineRule="auto"/>
        <w:ind w:left="420"/>
        <w:rPr>
          <w:rFonts w:ascii="宋体"/>
          <w:color w:val="000000" w:themeColor="text1"/>
          <w:sz w:val="24"/>
          <w14:textFill>
            <w14:solidFill>
              <w14:schemeClr w14:val="tx1"/>
            </w14:solidFill>
          </w14:textFill>
        </w:rPr>
      </w:pPr>
    </w:p>
    <w:p>
      <w:pPr>
        <w:spacing w:line="360" w:lineRule="auto"/>
        <w:ind w:left="420"/>
        <w:rPr>
          <w:rFonts w:ascii="宋体"/>
          <w:color w:val="000000" w:themeColor="text1"/>
          <w:sz w:val="24"/>
          <w14:textFill>
            <w14:solidFill>
              <w14:schemeClr w14:val="tx1"/>
            </w14:solidFill>
          </w14:textFill>
        </w:rPr>
      </w:pPr>
    </w:p>
    <w:p>
      <w:pPr>
        <w:spacing w:line="360" w:lineRule="auto"/>
        <w:ind w:left="420"/>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ascii="宋体" w:hAnsi="宋体"/>
          <w:color w:val="000000" w:themeColor="text1"/>
          <w:sz w:val="24"/>
          <w:u w:val="single"/>
          <w14:textFill>
            <w14:solidFill>
              <w14:schemeClr w14:val="tx1"/>
            </w14:solidFill>
          </w14:textFill>
        </w:rPr>
        <w:t xml:space="preserve">                      </w:t>
      </w:r>
    </w:p>
    <w:p>
      <w:pPr>
        <w:spacing w:line="360" w:lineRule="auto"/>
        <w:ind w:left="42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rFonts w:asci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u w:val="single"/>
          <w14:textFill>
            <w14:solidFill>
              <w14:schemeClr w14:val="tx1"/>
            </w14:solidFill>
          </w14:textFill>
        </w:rPr>
      </w:pPr>
    </w:p>
    <w:p>
      <w:pPr>
        <w:spacing w:line="360" w:lineRule="auto"/>
        <w:rPr>
          <w:rFonts w:ascii="宋体"/>
          <w:b/>
          <w:color w:val="000000" w:themeColor="text1"/>
          <w:sz w:val="28"/>
          <w14:textFill>
            <w14:solidFill>
              <w14:schemeClr w14:val="tx1"/>
            </w14:solidFill>
          </w14:textFill>
        </w:rPr>
      </w:pPr>
    </w:p>
    <w:p>
      <w:pPr>
        <w:snapToGrid w:val="0"/>
        <w:spacing w:line="360" w:lineRule="auto"/>
        <w:rPr>
          <w:rFonts w:ascii="宋体"/>
          <w:b/>
          <w:color w:val="000000" w:themeColor="text1"/>
          <w:sz w:val="28"/>
          <w14:textFill>
            <w14:solidFill>
              <w14:schemeClr w14:val="tx1"/>
            </w14:solidFill>
          </w14:textFill>
        </w:rPr>
      </w:pPr>
    </w:p>
    <w:p>
      <w:pPr>
        <w:spacing w:line="360" w:lineRule="auto"/>
        <w:rPr>
          <w:rFonts w:asci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12</w:t>
      </w:r>
      <w:r>
        <w:rPr>
          <w:rFonts w:hint="eastAsia" w:ascii="宋体" w:hAnsi="宋体"/>
          <w:b/>
          <w:color w:val="000000" w:themeColor="text1"/>
          <w:sz w:val="28"/>
          <w14:textFill>
            <w14:solidFill>
              <w14:schemeClr w14:val="tx1"/>
            </w14:solidFill>
          </w14:textFill>
        </w:rPr>
        <w:t>：</w:t>
      </w:r>
      <w:r>
        <w:rPr>
          <w:rFonts w:ascii="仿宋_GB2312" w:hAnsi="宋体" w:eastAsia="仿宋_GB2312"/>
          <w:b/>
          <w:color w:val="000000" w:themeColor="text1"/>
          <w:sz w:val="30"/>
          <w:szCs w:val="30"/>
          <w14:textFill>
            <w14:solidFill>
              <w14:schemeClr w14:val="tx1"/>
            </w14:solidFill>
          </w14:textFill>
        </w:rPr>
        <w:t xml:space="preserve">      </w:t>
      </w:r>
    </w:p>
    <w:p>
      <w:pPr>
        <w:spacing w:line="360" w:lineRule="auto"/>
        <w:ind w:left="480"/>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首次报价一览表</w:t>
      </w:r>
      <w:r>
        <w:rPr>
          <w:rFonts w:ascii="宋体" w:hAnsi="宋体"/>
          <w:b/>
          <w:color w:val="000000" w:themeColor="text1"/>
          <w:sz w:val="32"/>
          <w:szCs w:val="32"/>
          <w14:textFill>
            <w14:solidFill>
              <w14:schemeClr w14:val="tx1"/>
            </w14:solidFill>
          </w14:textFill>
        </w:rPr>
        <w:t xml:space="preserve"> </w:t>
      </w:r>
    </w:p>
    <w:p>
      <w:pPr>
        <w:spacing w:line="360" w:lineRule="auto"/>
        <w:ind w:left="480"/>
        <w:rPr>
          <w:rFonts w:ascii="宋体"/>
          <w:b/>
          <w:color w:val="000000" w:themeColor="text1"/>
          <w:sz w:val="30"/>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p>
    <w:p>
      <w:pPr>
        <w:spacing w:line="360" w:lineRule="auto"/>
        <w:jc w:val="center"/>
        <w:rPr>
          <w:rFonts w:ascii="宋体"/>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pStyle w:val="12"/>
        <w:spacing w:line="360" w:lineRule="auto"/>
        <w:rPr>
          <w:rFonts w:hAnsi="宋体"/>
          <w:b/>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项目编号：</w:t>
      </w:r>
      <w:r>
        <w:rPr>
          <w:rFonts w:hAnsi="宋体"/>
          <w:b/>
          <w:color w:val="000000" w:themeColor="text1"/>
          <w:sz w:val="24"/>
          <w:u w:val="single"/>
          <w14:textFill>
            <w14:solidFill>
              <w14:schemeClr w14:val="tx1"/>
            </w14:solidFill>
          </w14:textFill>
        </w:rPr>
        <w:t xml:space="preserve">                 </w:t>
      </w:r>
    </w:p>
    <w:p>
      <w:pPr>
        <w:pStyle w:val="54"/>
        <w:spacing w:line="360" w:lineRule="auto"/>
        <w:ind w:right="480" w:firstLine="241" w:firstLineChars="100"/>
        <w:jc w:val="left"/>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项目名称：</w:t>
      </w:r>
      <w:r>
        <w:rPr>
          <w:rFonts w:ascii="宋体" w:hAnsi="宋体"/>
          <w:b/>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货币单位：人民币元</w:t>
      </w:r>
      <w:r>
        <w:rPr>
          <w:rFonts w:ascii="宋体" w:hAnsi="宋体"/>
          <w:color w:val="000000" w:themeColor="text1"/>
          <w:sz w:val="24"/>
          <w14:textFill>
            <w14:solidFill>
              <w14:schemeClr w14:val="tx1"/>
            </w14:solidFill>
          </w14:textFill>
        </w:rPr>
        <w:t>]</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总报价</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元</w:t>
            </w:r>
            <w:r>
              <w:rPr>
                <w:rFonts w:ascii="宋体" w:hAnsi="宋体"/>
                <w:color w:val="000000" w:themeColor="text1"/>
                <w:sz w:val="24"/>
                <w14:textFill>
                  <w14:solidFill>
                    <w14:schemeClr w14:val="tx1"/>
                  </w14:solidFill>
                </w14:textFill>
              </w:rPr>
              <w:t>)</w:t>
            </w: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530" w:hRule="atLeast"/>
          <w:jc w:val="center"/>
        </w:trPr>
        <w:tc>
          <w:tcPr>
            <w:tcW w:w="269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供货期</w:t>
            </w:r>
          </w:p>
        </w:tc>
        <w:tc>
          <w:tcPr>
            <w:tcW w:w="59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color w:val="000000" w:themeColor="text1"/>
                <w:sz w:val="24"/>
                <w14:textFill>
                  <w14:solidFill>
                    <w14:schemeClr w14:val="tx1"/>
                  </w14:solidFill>
                </w14:textFill>
              </w:rPr>
            </w:pPr>
          </w:p>
        </w:tc>
      </w:tr>
    </w:tbl>
    <w:p>
      <w:pPr>
        <w:spacing w:line="360" w:lineRule="auto"/>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填报说明：</w:t>
      </w:r>
    </w:p>
    <w:p>
      <w:pPr>
        <w:pStyle w:val="8"/>
        <w:spacing w:line="360" w:lineRule="auto"/>
        <w:ind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总报价是包括供货、运输、包装、验收、税金、合同包含的所有风险责任等各项费用及不可预见费等所需的全部费用。</w:t>
      </w:r>
    </w:p>
    <w:p>
      <w:pPr>
        <w:spacing w:line="360" w:lineRule="auto"/>
        <w:ind w:firstLine="420" w:firstLineChars="200"/>
        <w:rPr>
          <w:rFonts w:ascii="宋体"/>
          <w:b/>
          <w:i/>
          <w:color w:val="000000" w:themeColor="text1"/>
          <w:szCs w:val="21"/>
          <w:u w:val="single"/>
          <w14:textFill>
            <w14:solidFill>
              <w14:schemeClr w14:val="tx1"/>
            </w14:solidFill>
          </w14:textFill>
        </w:rPr>
      </w:pPr>
      <w:r>
        <w:rPr>
          <w:rFonts w:ascii="宋体" w:hAnsi="宋体"/>
          <w:color w:val="000000" w:themeColor="text1"/>
          <w:kern w:val="0"/>
          <w:szCs w:val="21"/>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报价一经涂改，应在涂改处加盖单位公章，或者由法定代表人或全权代表签字或盖章，否则作无效响应处理。</w:t>
      </w:r>
    </w:p>
    <w:p>
      <w:pPr>
        <w:spacing w:line="360" w:lineRule="auto"/>
        <w:rPr>
          <w:rFonts w:ascii="宋体"/>
          <w:color w:val="000000" w:themeColor="text1"/>
          <w:sz w:val="24"/>
          <w14:textFill>
            <w14:solidFill>
              <w14:schemeClr w14:val="tx1"/>
            </w14:solidFill>
          </w14:textFill>
        </w:rPr>
      </w:pPr>
    </w:p>
    <w:p>
      <w:pPr>
        <w:spacing w:line="360" w:lineRule="auto"/>
        <w:ind w:left="420"/>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ascii="宋体" w:hAnsi="宋体"/>
          <w:color w:val="000000" w:themeColor="text1"/>
          <w:sz w:val="24"/>
          <w:u w:val="single"/>
          <w14:textFill>
            <w14:solidFill>
              <w14:schemeClr w14:val="tx1"/>
            </w14:solidFill>
          </w14:textFill>
        </w:rPr>
        <w:t xml:space="preserve">                      </w:t>
      </w:r>
    </w:p>
    <w:p>
      <w:pPr>
        <w:spacing w:line="360" w:lineRule="auto"/>
        <w:ind w:left="42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rFonts w:asci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u w:val="single"/>
          <w14:textFill>
            <w14:solidFill>
              <w14:schemeClr w14:val="tx1"/>
            </w14:solidFill>
          </w14:textFill>
        </w:rPr>
        <w:t xml:space="preserve">                                </w:t>
      </w:r>
    </w:p>
    <w:p>
      <w:pPr>
        <w:spacing w:line="360" w:lineRule="auto"/>
        <w:rPr>
          <w:rFonts w:asci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13</w:t>
      </w:r>
    </w:p>
    <w:p>
      <w:pPr>
        <w:spacing w:line="360" w:lineRule="auto"/>
        <w:ind w:left="480"/>
        <w:jc w:val="center"/>
        <w:rPr>
          <w:rFonts w:asci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报价明细表</w:t>
      </w:r>
      <w:r>
        <w:rPr>
          <w:rFonts w:ascii="宋体" w:hAnsi="宋体"/>
          <w:b/>
          <w:color w:val="000000" w:themeColor="text1"/>
          <w:sz w:val="32"/>
          <w:szCs w:val="32"/>
          <w14:textFill>
            <w14:solidFill>
              <w14:schemeClr w14:val="tx1"/>
            </w14:solidFill>
          </w14:textFill>
        </w:rPr>
        <w:t xml:space="preserve"> </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项目编号：</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货币单位：人民币元</w:t>
      </w:r>
      <w:r>
        <w:rPr>
          <w:rFonts w:ascii="宋体" w:hAnsi="宋体"/>
          <w:color w:val="000000" w:themeColor="text1"/>
          <w:sz w:val="24"/>
          <w14:textFill>
            <w14:solidFill>
              <w14:schemeClr w14:val="tx1"/>
            </w14:solidFill>
          </w14:textFill>
        </w:rPr>
        <w:t>]</w:t>
      </w:r>
    </w:p>
    <w:tbl>
      <w:tblPr>
        <w:tblStyle w:val="2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460" w:type="dxa"/>
            <w:vAlign w:val="center"/>
          </w:tcPr>
          <w:p>
            <w:pPr>
              <w:tabs>
                <w:tab w:val="left" w:pos="8280"/>
              </w:tabs>
              <w:autoSpaceDE w:val="0"/>
              <w:autoSpaceDN w:val="0"/>
              <w:adjustRightInd w:val="0"/>
              <w:spacing w:line="360" w:lineRule="auto"/>
              <w:ind w:right="25"/>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品牌、产地</w:t>
            </w:r>
          </w:p>
        </w:tc>
        <w:tc>
          <w:tcPr>
            <w:tcW w:w="1559" w:type="dxa"/>
            <w:vAlign w:val="center"/>
          </w:tcPr>
          <w:p>
            <w:pPr>
              <w:spacing w:line="360" w:lineRule="auto"/>
              <w:ind w:left="52"/>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型号规格</w:t>
            </w:r>
          </w:p>
        </w:tc>
        <w:tc>
          <w:tcPr>
            <w:tcW w:w="851" w:type="dxa"/>
            <w:vAlign w:val="center"/>
          </w:tcPr>
          <w:p>
            <w:pPr>
              <w:spacing w:line="360" w:lineRule="auto"/>
              <w:ind w:left="152"/>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992" w:type="dxa"/>
            <w:vAlign w:val="center"/>
          </w:tcPr>
          <w:p>
            <w:pPr>
              <w:spacing w:line="360" w:lineRule="auto"/>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992" w:type="dxa"/>
            <w:vAlign w:val="center"/>
          </w:tcPr>
          <w:p>
            <w:pPr>
              <w:spacing w:line="360" w:lineRule="auto"/>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709" w:type="dxa"/>
            <w:vAlign w:val="center"/>
          </w:tcPr>
          <w:p>
            <w:pPr>
              <w:spacing w:line="360" w:lineRule="auto"/>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color w:val="000000" w:themeColor="text1"/>
                <w:sz w:val="24"/>
                <w14:textFill>
                  <w14:solidFill>
                    <w14:schemeClr w14:val="tx1"/>
                  </w14:solidFill>
                </w14:textFill>
              </w:rPr>
            </w:pPr>
          </w:p>
        </w:tc>
        <w:tc>
          <w:tcPr>
            <w:tcW w:w="1460" w:type="dxa"/>
            <w:vAlign w:val="center"/>
          </w:tcPr>
          <w:p>
            <w:pPr>
              <w:spacing w:line="360" w:lineRule="auto"/>
              <w:rPr>
                <w:rFonts w:ascii="宋体"/>
                <w:color w:val="000000" w:themeColor="text1"/>
                <w:sz w:val="24"/>
                <w14:textFill>
                  <w14:solidFill>
                    <w14:schemeClr w14:val="tx1"/>
                  </w14:solidFill>
                </w14:textFill>
              </w:rPr>
            </w:pPr>
          </w:p>
        </w:tc>
        <w:tc>
          <w:tcPr>
            <w:tcW w:w="1559" w:type="dxa"/>
            <w:vAlign w:val="center"/>
          </w:tcPr>
          <w:p>
            <w:pPr>
              <w:spacing w:line="360" w:lineRule="auto"/>
              <w:rPr>
                <w:rFonts w:ascii="宋体"/>
                <w:color w:val="000000" w:themeColor="text1"/>
                <w:sz w:val="24"/>
                <w14:textFill>
                  <w14:solidFill>
                    <w14:schemeClr w14:val="tx1"/>
                  </w14:solidFill>
                </w14:textFill>
              </w:rPr>
            </w:pPr>
          </w:p>
        </w:tc>
        <w:tc>
          <w:tcPr>
            <w:tcW w:w="1559" w:type="dxa"/>
            <w:vAlign w:val="center"/>
          </w:tcPr>
          <w:p>
            <w:pPr>
              <w:spacing w:line="360" w:lineRule="auto"/>
              <w:rPr>
                <w:rFonts w:ascii="宋体"/>
                <w:color w:val="000000" w:themeColor="text1"/>
                <w:sz w:val="24"/>
                <w14:textFill>
                  <w14:solidFill>
                    <w14:schemeClr w14:val="tx1"/>
                  </w14:solidFill>
                </w14:textFill>
              </w:rPr>
            </w:pPr>
          </w:p>
        </w:tc>
        <w:tc>
          <w:tcPr>
            <w:tcW w:w="851" w:type="dxa"/>
            <w:vAlign w:val="center"/>
          </w:tcPr>
          <w:p>
            <w:pPr>
              <w:spacing w:line="360" w:lineRule="auto"/>
              <w:rPr>
                <w:rFonts w:ascii="宋体"/>
                <w:color w:val="000000" w:themeColor="text1"/>
                <w:sz w:val="24"/>
                <w14:textFill>
                  <w14:solidFill>
                    <w14:schemeClr w14:val="tx1"/>
                  </w14:solidFill>
                </w14:textFill>
              </w:rPr>
            </w:pPr>
          </w:p>
        </w:tc>
        <w:tc>
          <w:tcPr>
            <w:tcW w:w="992" w:type="dxa"/>
            <w:vAlign w:val="center"/>
          </w:tcPr>
          <w:p>
            <w:pPr>
              <w:spacing w:line="360" w:lineRule="auto"/>
              <w:rPr>
                <w:rFonts w:ascii="宋体"/>
                <w:color w:val="000000" w:themeColor="text1"/>
                <w:sz w:val="24"/>
                <w14:textFill>
                  <w14:solidFill>
                    <w14:schemeClr w14:val="tx1"/>
                  </w14:solidFill>
                </w14:textFill>
              </w:rPr>
            </w:pPr>
          </w:p>
        </w:tc>
        <w:tc>
          <w:tcPr>
            <w:tcW w:w="992" w:type="dxa"/>
            <w:vAlign w:val="center"/>
          </w:tcPr>
          <w:p>
            <w:pPr>
              <w:spacing w:line="360" w:lineRule="auto"/>
              <w:rPr>
                <w:rFonts w:ascii="宋体"/>
                <w:color w:val="000000" w:themeColor="text1"/>
                <w:sz w:val="24"/>
                <w14:textFill>
                  <w14:solidFill>
                    <w14:schemeClr w14:val="tx1"/>
                  </w14:solidFill>
                </w14:textFill>
              </w:rPr>
            </w:pPr>
          </w:p>
        </w:tc>
        <w:tc>
          <w:tcPr>
            <w:tcW w:w="709" w:type="dxa"/>
            <w:vAlign w:val="center"/>
          </w:tcPr>
          <w:p>
            <w:pPr>
              <w:spacing w:line="360" w:lineRule="auto"/>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color w:val="000000" w:themeColor="text1"/>
                <w:sz w:val="24"/>
                <w14:textFill>
                  <w14:solidFill>
                    <w14:schemeClr w14:val="tx1"/>
                  </w14:solidFill>
                </w14:textFill>
              </w:rPr>
            </w:pPr>
          </w:p>
        </w:tc>
        <w:tc>
          <w:tcPr>
            <w:tcW w:w="1460" w:type="dxa"/>
            <w:vAlign w:val="center"/>
          </w:tcPr>
          <w:p>
            <w:pPr>
              <w:spacing w:line="360" w:lineRule="auto"/>
              <w:rPr>
                <w:rFonts w:ascii="宋体"/>
                <w:color w:val="000000" w:themeColor="text1"/>
                <w:sz w:val="24"/>
                <w14:textFill>
                  <w14:solidFill>
                    <w14:schemeClr w14:val="tx1"/>
                  </w14:solidFill>
                </w14:textFill>
              </w:rPr>
            </w:pPr>
          </w:p>
        </w:tc>
        <w:tc>
          <w:tcPr>
            <w:tcW w:w="1559" w:type="dxa"/>
            <w:vAlign w:val="center"/>
          </w:tcPr>
          <w:p>
            <w:pPr>
              <w:spacing w:line="360" w:lineRule="auto"/>
              <w:rPr>
                <w:rFonts w:ascii="宋体"/>
                <w:color w:val="000000" w:themeColor="text1"/>
                <w:sz w:val="24"/>
                <w14:textFill>
                  <w14:solidFill>
                    <w14:schemeClr w14:val="tx1"/>
                  </w14:solidFill>
                </w14:textFill>
              </w:rPr>
            </w:pPr>
          </w:p>
        </w:tc>
        <w:tc>
          <w:tcPr>
            <w:tcW w:w="1559" w:type="dxa"/>
            <w:vAlign w:val="center"/>
          </w:tcPr>
          <w:p>
            <w:pPr>
              <w:spacing w:line="360" w:lineRule="auto"/>
              <w:rPr>
                <w:rFonts w:ascii="宋体"/>
                <w:color w:val="000000" w:themeColor="text1"/>
                <w:sz w:val="24"/>
                <w14:textFill>
                  <w14:solidFill>
                    <w14:schemeClr w14:val="tx1"/>
                  </w14:solidFill>
                </w14:textFill>
              </w:rPr>
            </w:pPr>
          </w:p>
        </w:tc>
        <w:tc>
          <w:tcPr>
            <w:tcW w:w="851" w:type="dxa"/>
            <w:vAlign w:val="center"/>
          </w:tcPr>
          <w:p>
            <w:pPr>
              <w:spacing w:line="360" w:lineRule="auto"/>
              <w:rPr>
                <w:rFonts w:ascii="宋体"/>
                <w:color w:val="000000" w:themeColor="text1"/>
                <w:sz w:val="24"/>
                <w14:textFill>
                  <w14:solidFill>
                    <w14:schemeClr w14:val="tx1"/>
                  </w14:solidFill>
                </w14:textFill>
              </w:rPr>
            </w:pPr>
          </w:p>
        </w:tc>
        <w:tc>
          <w:tcPr>
            <w:tcW w:w="992" w:type="dxa"/>
            <w:vAlign w:val="center"/>
          </w:tcPr>
          <w:p>
            <w:pPr>
              <w:spacing w:line="360" w:lineRule="auto"/>
              <w:rPr>
                <w:rFonts w:ascii="宋体"/>
                <w:color w:val="000000" w:themeColor="text1"/>
                <w:sz w:val="24"/>
                <w14:textFill>
                  <w14:solidFill>
                    <w14:schemeClr w14:val="tx1"/>
                  </w14:solidFill>
                </w14:textFill>
              </w:rPr>
            </w:pPr>
          </w:p>
        </w:tc>
        <w:tc>
          <w:tcPr>
            <w:tcW w:w="992" w:type="dxa"/>
            <w:vAlign w:val="center"/>
          </w:tcPr>
          <w:p>
            <w:pPr>
              <w:spacing w:line="360" w:lineRule="auto"/>
              <w:rPr>
                <w:rFonts w:ascii="宋体"/>
                <w:color w:val="000000" w:themeColor="text1"/>
                <w:sz w:val="24"/>
                <w14:textFill>
                  <w14:solidFill>
                    <w14:schemeClr w14:val="tx1"/>
                  </w14:solidFill>
                </w14:textFill>
              </w:rPr>
            </w:pPr>
          </w:p>
        </w:tc>
        <w:tc>
          <w:tcPr>
            <w:tcW w:w="709" w:type="dxa"/>
            <w:vAlign w:val="center"/>
          </w:tcPr>
          <w:p>
            <w:pPr>
              <w:spacing w:line="360" w:lineRule="auto"/>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color w:val="000000" w:themeColor="text1"/>
                <w:sz w:val="24"/>
                <w14:textFill>
                  <w14:solidFill>
                    <w14:schemeClr w14:val="tx1"/>
                  </w14:solidFill>
                </w14:textFill>
              </w:rPr>
            </w:pPr>
          </w:p>
        </w:tc>
        <w:tc>
          <w:tcPr>
            <w:tcW w:w="1460" w:type="dxa"/>
            <w:vAlign w:val="center"/>
          </w:tcPr>
          <w:p>
            <w:pPr>
              <w:spacing w:line="360" w:lineRule="auto"/>
              <w:rPr>
                <w:rFonts w:ascii="宋体"/>
                <w:color w:val="000000" w:themeColor="text1"/>
                <w:sz w:val="24"/>
                <w14:textFill>
                  <w14:solidFill>
                    <w14:schemeClr w14:val="tx1"/>
                  </w14:solidFill>
                </w14:textFill>
              </w:rPr>
            </w:pPr>
          </w:p>
        </w:tc>
        <w:tc>
          <w:tcPr>
            <w:tcW w:w="1559" w:type="dxa"/>
            <w:vAlign w:val="center"/>
          </w:tcPr>
          <w:p>
            <w:pPr>
              <w:spacing w:line="360" w:lineRule="auto"/>
              <w:rPr>
                <w:rFonts w:ascii="宋体"/>
                <w:color w:val="000000" w:themeColor="text1"/>
                <w:sz w:val="24"/>
                <w14:textFill>
                  <w14:solidFill>
                    <w14:schemeClr w14:val="tx1"/>
                  </w14:solidFill>
                </w14:textFill>
              </w:rPr>
            </w:pPr>
          </w:p>
        </w:tc>
        <w:tc>
          <w:tcPr>
            <w:tcW w:w="1559" w:type="dxa"/>
            <w:vAlign w:val="center"/>
          </w:tcPr>
          <w:p>
            <w:pPr>
              <w:spacing w:line="360" w:lineRule="auto"/>
              <w:rPr>
                <w:rFonts w:ascii="宋体"/>
                <w:color w:val="000000" w:themeColor="text1"/>
                <w:sz w:val="24"/>
                <w14:textFill>
                  <w14:solidFill>
                    <w14:schemeClr w14:val="tx1"/>
                  </w14:solidFill>
                </w14:textFill>
              </w:rPr>
            </w:pPr>
          </w:p>
        </w:tc>
        <w:tc>
          <w:tcPr>
            <w:tcW w:w="851" w:type="dxa"/>
            <w:vAlign w:val="center"/>
          </w:tcPr>
          <w:p>
            <w:pPr>
              <w:spacing w:line="360" w:lineRule="auto"/>
              <w:rPr>
                <w:rFonts w:ascii="宋体"/>
                <w:color w:val="000000" w:themeColor="text1"/>
                <w:sz w:val="24"/>
                <w14:textFill>
                  <w14:solidFill>
                    <w14:schemeClr w14:val="tx1"/>
                  </w14:solidFill>
                </w14:textFill>
              </w:rPr>
            </w:pPr>
          </w:p>
        </w:tc>
        <w:tc>
          <w:tcPr>
            <w:tcW w:w="992" w:type="dxa"/>
            <w:vAlign w:val="center"/>
          </w:tcPr>
          <w:p>
            <w:pPr>
              <w:spacing w:line="360" w:lineRule="auto"/>
              <w:rPr>
                <w:rFonts w:ascii="宋体"/>
                <w:color w:val="000000" w:themeColor="text1"/>
                <w:sz w:val="24"/>
                <w14:textFill>
                  <w14:solidFill>
                    <w14:schemeClr w14:val="tx1"/>
                  </w14:solidFill>
                </w14:textFill>
              </w:rPr>
            </w:pPr>
          </w:p>
        </w:tc>
        <w:tc>
          <w:tcPr>
            <w:tcW w:w="992" w:type="dxa"/>
            <w:vAlign w:val="center"/>
          </w:tcPr>
          <w:p>
            <w:pPr>
              <w:spacing w:line="360" w:lineRule="auto"/>
              <w:rPr>
                <w:rFonts w:ascii="宋体"/>
                <w:color w:val="000000" w:themeColor="text1"/>
                <w:sz w:val="24"/>
                <w14:textFill>
                  <w14:solidFill>
                    <w14:schemeClr w14:val="tx1"/>
                  </w14:solidFill>
                </w14:textFill>
              </w:rPr>
            </w:pPr>
          </w:p>
        </w:tc>
        <w:tc>
          <w:tcPr>
            <w:tcW w:w="709" w:type="dxa"/>
            <w:vAlign w:val="center"/>
          </w:tcPr>
          <w:p>
            <w:pPr>
              <w:spacing w:line="360" w:lineRule="auto"/>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color w:val="000000" w:themeColor="text1"/>
                <w:sz w:val="24"/>
                <w14:textFill>
                  <w14:solidFill>
                    <w14:schemeClr w14:val="tx1"/>
                  </w14:solidFill>
                </w14:textFill>
              </w:rPr>
            </w:pPr>
          </w:p>
        </w:tc>
        <w:tc>
          <w:tcPr>
            <w:tcW w:w="1460" w:type="dxa"/>
            <w:vAlign w:val="center"/>
          </w:tcPr>
          <w:p>
            <w:pPr>
              <w:spacing w:line="360" w:lineRule="auto"/>
              <w:rPr>
                <w:rFonts w:ascii="宋体"/>
                <w:color w:val="000000" w:themeColor="text1"/>
                <w:sz w:val="24"/>
                <w14:textFill>
                  <w14:solidFill>
                    <w14:schemeClr w14:val="tx1"/>
                  </w14:solidFill>
                </w14:textFill>
              </w:rPr>
            </w:pPr>
          </w:p>
        </w:tc>
        <w:tc>
          <w:tcPr>
            <w:tcW w:w="1559" w:type="dxa"/>
            <w:vAlign w:val="center"/>
          </w:tcPr>
          <w:p>
            <w:pPr>
              <w:spacing w:line="360" w:lineRule="auto"/>
              <w:rPr>
                <w:rFonts w:ascii="宋体"/>
                <w:color w:val="000000" w:themeColor="text1"/>
                <w:sz w:val="24"/>
                <w14:textFill>
                  <w14:solidFill>
                    <w14:schemeClr w14:val="tx1"/>
                  </w14:solidFill>
                </w14:textFill>
              </w:rPr>
            </w:pPr>
          </w:p>
        </w:tc>
        <w:tc>
          <w:tcPr>
            <w:tcW w:w="1559" w:type="dxa"/>
            <w:vAlign w:val="center"/>
          </w:tcPr>
          <w:p>
            <w:pPr>
              <w:spacing w:line="360" w:lineRule="auto"/>
              <w:rPr>
                <w:rFonts w:ascii="宋体"/>
                <w:color w:val="000000" w:themeColor="text1"/>
                <w:sz w:val="24"/>
                <w14:textFill>
                  <w14:solidFill>
                    <w14:schemeClr w14:val="tx1"/>
                  </w14:solidFill>
                </w14:textFill>
              </w:rPr>
            </w:pPr>
          </w:p>
        </w:tc>
        <w:tc>
          <w:tcPr>
            <w:tcW w:w="851" w:type="dxa"/>
            <w:vAlign w:val="center"/>
          </w:tcPr>
          <w:p>
            <w:pPr>
              <w:spacing w:line="360" w:lineRule="auto"/>
              <w:rPr>
                <w:rFonts w:ascii="宋体"/>
                <w:color w:val="000000" w:themeColor="text1"/>
                <w:sz w:val="24"/>
                <w14:textFill>
                  <w14:solidFill>
                    <w14:schemeClr w14:val="tx1"/>
                  </w14:solidFill>
                </w14:textFill>
              </w:rPr>
            </w:pPr>
          </w:p>
        </w:tc>
        <w:tc>
          <w:tcPr>
            <w:tcW w:w="992" w:type="dxa"/>
            <w:vAlign w:val="center"/>
          </w:tcPr>
          <w:p>
            <w:pPr>
              <w:spacing w:line="360" w:lineRule="auto"/>
              <w:rPr>
                <w:rFonts w:ascii="宋体"/>
                <w:color w:val="000000" w:themeColor="text1"/>
                <w:sz w:val="24"/>
                <w14:textFill>
                  <w14:solidFill>
                    <w14:schemeClr w14:val="tx1"/>
                  </w14:solidFill>
                </w14:textFill>
              </w:rPr>
            </w:pPr>
          </w:p>
        </w:tc>
        <w:tc>
          <w:tcPr>
            <w:tcW w:w="992" w:type="dxa"/>
            <w:vAlign w:val="center"/>
          </w:tcPr>
          <w:p>
            <w:pPr>
              <w:spacing w:line="360" w:lineRule="auto"/>
              <w:rPr>
                <w:rFonts w:ascii="宋体"/>
                <w:color w:val="000000" w:themeColor="text1"/>
                <w:sz w:val="24"/>
                <w14:textFill>
                  <w14:solidFill>
                    <w14:schemeClr w14:val="tx1"/>
                  </w14:solidFill>
                </w14:textFill>
              </w:rPr>
            </w:pPr>
          </w:p>
        </w:tc>
        <w:tc>
          <w:tcPr>
            <w:tcW w:w="709" w:type="dxa"/>
            <w:vAlign w:val="center"/>
          </w:tcPr>
          <w:p>
            <w:pPr>
              <w:spacing w:line="360" w:lineRule="auto"/>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color w:val="000000" w:themeColor="text1"/>
                <w:sz w:val="24"/>
                <w14:textFill>
                  <w14:solidFill>
                    <w14:schemeClr w14:val="tx1"/>
                  </w14:solidFill>
                </w14:textFill>
              </w:rPr>
            </w:pPr>
          </w:p>
        </w:tc>
        <w:tc>
          <w:tcPr>
            <w:tcW w:w="1460" w:type="dxa"/>
            <w:vAlign w:val="center"/>
          </w:tcPr>
          <w:p>
            <w:pPr>
              <w:spacing w:line="360" w:lineRule="auto"/>
              <w:rPr>
                <w:rFonts w:ascii="宋体"/>
                <w:color w:val="000000" w:themeColor="text1"/>
                <w:sz w:val="24"/>
                <w14:textFill>
                  <w14:solidFill>
                    <w14:schemeClr w14:val="tx1"/>
                  </w14:solidFill>
                </w14:textFill>
              </w:rPr>
            </w:pPr>
          </w:p>
        </w:tc>
        <w:tc>
          <w:tcPr>
            <w:tcW w:w="1559" w:type="dxa"/>
            <w:vAlign w:val="center"/>
          </w:tcPr>
          <w:p>
            <w:pPr>
              <w:spacing w:line="360" w:lineRule="auto"/>
              <w:rPr>
                <w:rFonts w:ascii="宋体"/>
                <w:color w:val="000000" w:themeColor="text1"/>
                <w:sz w:val="24"/>
                <w14:textFill>
                  <w14:solidFill>
                    <w14:schemeClr w14:val="tx1"/>
                  </w14:solidFill>
                </w14:textFill>
              </w:rPr>
            </w:pPr>
          </w:p>
        </w:tc>
        <w:tc>
          <w:tcPr>
            <w:tcW w:w="1559" w:type="dxa"/>
            <w:vAlign w:val="center"/>
          </w:tcPr>
          <w:p>
            <w:pPr>
              <w:spacing w:line="360" w:lineRule="auto"/>
              <w:rPr>
                <w:rFonts w:ascii="宋体"/>
                <w:color w:val="000000" w:themeColor="text1"/>
                <w:sz w:val="24"/>
                <w14:textFill>
                  <w14:solidFill>
                    <w14:schemeClr w14:val="tx1"/>
                  </w14:solidFill>
                </w14:textFill>
              </w:rPr>
            </w:pPr>
          </w:p>
        </w:tc>
        <w:tc>
          <w:tcPr>
            <w:tcW w:w="851" w:type="dxa"/>
            <w:vAlign w:val="center"/>
          </w:tcPr>
          <w:p>
            <w:pPr>
              <w:spacing w:line="360" w:lineRule="auto"/>
              <w:rPr>
                <w:rFonts w:ascii="宋体"/>
                <w:color w:val="000000" w:themeColor="text1"/>
                <w:sz w:val="24"/>
                <w14:textFill>
                  <w14:solidFill>
                    <w14:schemeClr w14:val="tx1"/>
                  </w14:solidFill>
                </w14:textFill>
              </w:rPr>
            </w:pPr>
          </w:p>
        </w:tc>
        <w:tc>
          <w:tcPr>
            <w:tcW w:w="992" w:type="dxa"/>
            <w:vAlign w:val="center"/>
          </w:tcPr>
          <w:p>
            <w:pPr>
              <w:spacing w:line="360" w:lineRule="auto"/>
              <w:rPr>
                <w:rFonts w:ascii="宋体"/>
                <w:color w:val="000000" w:themeColor="text1"/>
                <w:sz w:val="24"/>
                <w14:textFill>
                  <w14:solidFill>
                    <w14:schemeClr w14:val="tx1"/>
                  </w14:solidFill>
                </w14:textFill>
              </w:rPr>
            </w:pPr>
          </w:p>
        </w:tc>
        <w:tc>
          <w:tcPr>
            <w:tcW w:w="992" w:type="dxa"/>
            <w:vAlign w:val="center"/>
          </w:tcPr>
          <w:p>
            <w:pPr>
              <w:spacing w:line="360" w:lineRule="auto"/>
              <w:rPr>
                <w:rFonts w:ascii="宋体"/>
                <w:color w:val="000000" w:themeColor="text1"/>
                <w:sz w:val="24"/>
                <w14:textFill>
                  <w14:solidFill>
                    <w14:schemeClr w14:val="tx1"/>
                  </w14:solidFill>
                </w14:textFill>
              </w:rPr>
            </w:pPr>
          </w:p>
        </w:tc>
        <w:tc>
          <w:tcPr>
            <w:tcW w:w="709" w:type="dxa"/>
            <w:vAlign w:val="center"/>
          </w:tcPr>
          <w:p>
            <w:pPr>
              <w:spacing w:line="360" w:lineRule="auto"/>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vAlign w:val="center"/>
          </w:tcPr>
          <w:p>
            <w:pPr>
              <w:spacing w:line="360" w:lineRule="auto"/>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合计人民币：大写</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小写</w:t>
            </w:r>
          </w:p>
        </w:tc>
      </w:tr>
    </w:tbl>
    <w:p>
      <w:pPr>
        <w:spacing w:line="360" w:lineRule="auto"/>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本表为《首次报价一览表》的报价明细表，如有缺项、漏项，视为报价中已包含相关费用，采购人无需另外支付任何费用。</w:t>
      </w:r>
    </w:p>
    <w:p>
      <w:pPr>
        <w:spacing w:line="360" w:lineRule="auto"/>
        <w:ind w:left="435"/>
        <w:rPr>
          <w:rFonts w:ascii="宋体"/>
          <w:color w:val="000000" w:themeColor="text1"/>
          <w:szCs w:val="21"/>
          <w:lang w:val="zh-CN"/>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报价明细表</w:t>
      </w:r>
      <w:r>
        <w:rPr>
          <w:rFonts w:hint="eastAsia" w:ascii="宋体"/>
          <w:color w:val="000000" w:themeColor="text1"/>
          <w:szCs w:val="21"/>
          <w:lang w:val="zh-CN"/>
          <w14:textFill>
            <w14:solidFill>
              <w14:schemeClr w14:val="tx1"/>
            </w14:solidFill>
          </w14:textFill>
        </w:rPr>
        <w:t>”中的报价合计应与“首次报价一览表”中的总报价相一致，不一致时，以首次报价一览表为准。</w:t>
      </w:r>
    </w:p>
    <w:p>
      <w:pPr>
        <w:spacing w:line="360" w:lineRule="auto"/>
        <w:ind w:left="435"/>
        <w:rPr>
          <w:rFonts w:ascii="宋体"/>
          <w:color w:val="000000" w:themeColor="text1"/>
          <w:szCs w:val="21"/>
          <w:lang w:val="zh-CN"/>
          <w14:textFill>
            <w14:solidFill>
              <w14:schemeClr w14:val="tx1"/>
            </w14:solidFill>
          </w14:textFill>
        </w:rPr>
      </w:pPr>
      <w:r>
        <w:rPr>
          <w:rFonts w:ascii="宋体"/>
          <w:color w:val="000000" w:themeColor="text1"/>
          <w:szCs w:val="21"/>
          <w14:textFill>
            <w14:solidFill>
              <w14:schemeClr w14:val="tx1"/>
            </w14:solidFill>
          </w14:textFill>
        </w:rPr>
        <w:t>3.</w:t>
      </w:r>
      <w:r>
        <w:rPr>
          <w:rFonts w:hint="eastAsia" w:ascii="宋体"/>
          <w:color w:val="000000" w:themeColor="text1"/>
          <w:szCs w:val="21"/>
          <w:lang w:val="zh-CN"/>
          <w14:textFill>
            <w14:solidFill>
              <w14:schemeClr w14:val="tx1"/>
            </w14:solidFill>
          </w14:textFill>
        </w:rPr>
        <w:t>报价明细表所填内容按谈判文件采购设备清单要求为准。如有漏报的，视同已包含在谈判总价内或已作优惠处理。有重大缺项的将作无效响应处理。</w:t>
      </w:r>
    </w:p>
    <w:p>
      <w:pPr>
        <w:spacing w:line="360" w:lineRule="auto"/>
        <w:ind w:left="420"/>
        <w:rPr>
          <w:rFonts w:ascii="宋体"/>
          <w:color w:val="000000" w:themeColor="text1"/>
          <w:sz w:val="24"/>
          <w14:textFill>
            <w14:solidFill>
              <w14:schemeClr w14:val="tx1"/>
            </w14:solidFill>
          </w14:textFill>
        </w:rPr>
      </w:pPr>
    </w:p>
    <w:p>
      <w:pPr>
        <w:spacing w:line="360" w:lineRule="auto"/>
        <w:ind w:left="420"/>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谈判供应商名称（盖章）：</w:t>
      </w:r>
      <w:r>
        <w:rPr>
          <w:rFonts w:ascii="宋体" w:hAnsi="宋体"/>
          <w:color w:val="000000" w:themeColor="text1"/>
          <w:sz w:val="24"/>
          <w:u w:val="single"/>
          <w14:textFill>
            <w14:solidFill>
              <w14:schemeClr w14:val="tx1"/>
            </w14:solidFill>
          </w14:textFill>
        </w:rPr>
        <w:t xml:space="preserve">                      </w:t>
      </w:r>
    </w:p>
    <w:p>
      <w:pPr>
        <w:spacing w:line="360" w:lineRule="auto"/>
        <w:ind w:left="42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谈判供应商代表签字：</w:t>
      </w:r>
      <w:r>
        <w:rPr>
          <w:rFonts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u w:val="single"/>
          <w14:textFill>
            <w14:solidFill>
              <w14:schemeClr w14:val="tx1"/>
            </w14:solidFill>
          </w14:textFill>
        </w:rPr>
        <w:t xml:space="preserve">                                </w:t>
      </w:r>
      <w:bookmarkStart w:id="8" w:name="_GoBack"/>
      <w:bookmarkEnd w:id="8"/>
    </w:p>
    <w:p>
      <w:pPr>
        <w:spacing w:line="360" w:lineRule="auto"/>
        <w:ind w:firstLine="435"/>
        <w:rPr>
          <w:rFonts w:ascii="宋体"/>
          <w:color w:val="000000" w:themeColor="text1"/>
          <w:sz w:val="24"/>
          <w14:textFill>
            <w14:solidFill>
              <w14:schemeClr w14:val="tx1"/>
            </w14:solidFill>
          </w14:textFill>
        </w:rPr>
      </w:pPr>
    </w:p>
    <w:p>
      <w:pPr>
        <w:spacing w:line="360" w:lineRule="auto"/>
        <w:ind w:firstLine="435"/>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u w:val="single"/>
          <w14:textFill>
            <w14:solidFill>
              <w14:schemeClr w14:val="tx1"/>
            </w14:solidFill>
          </w14:textFill>
        </w:rPr>
        <w:t xml:space="preserve">                                </w:t>
      </w:r>
    </w:p>
    <w:sectPr>
      <w:footerReference r:id="rId4" w:type="default"/>
      <w:pgSz w:w="11906" w:h="16838"/>
      <w:pgMar w:top="1440" w:right="190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台州市政府采购谈判采购文件</w:t>
    </w:r>
    <w:r>
      <w:rPr>
        <w:b/>
        <w:i/>
        <w:color w:val="808080"/>
        <w:kern w:val="0"/>
        <w:sz w:val="18"/>
        <w:u w:val="single"/>
      </w:rPr>
      <w:t xml:space="preserve">                                                       </w:t>
    </w: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1</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48</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rPr>
        <w:rFonts w:cs="Times New Roman"/>
      </w:rPr>
    </w:lvl>
  </w:abstractNum>
  <w:abstractNum w:abstractNumId="1">
    <w:nsid w:val="89F8CB5E"/>
    <w:multiLevelType w:val="singleLevel"/>
    <w:tmpl w:val="89F8CB5E"/>
    <w:lvl w:ilvl="0" w:tentative="0">
      <w:start w:val="1"/>
      <w:numFmt w:val="decimal"/>
      <w:pStyle w:val="7"/>
      <w:lvlText w:val="%1."/>
      <w:lvlJc w:val="left"/>
      <w:pPr>
        <w:tabs>
          <w:tab w:val="left" w:pos="360"/>
        </w:tabs>
        <w:ind w:left="360" w:hanging="360"/>
      </w:pPr>
      <w:rPr>
        <w:rFonts w:cs="Times New Roman"/>
      </w:rPr>
    </w:lvl>
  </w:abstractNum>
  <w:abstractNum w:abstractNumId="2">
    <w:nsid w:val="AAF7B2CA"/>
    <w:multiLevelType w:val="singleLevel"/>
    <w:tmpl w:val="AAF7B2CA"/>
    <w:lvl w:ilvl="0" w:tentative="0">
      <w:start w:val="1"/>
      <w:numFmt w:val="decimal"/>
      <w:suff w:val="nothing"/>
      <w:lvlText w:val="%1、"/>
      <w:lvlJc w:val="left"/>
      <w:rPr>
        <w:rFonts w:cs="Times New Roman"/>
      </w:rPr>
    </w:lvl>
  </w:abstractNum>
  <w:abstractNum w:abstractNumId="3">
    <w:nsid w:val="AF3E1766"/>
    <w:multiLevelType w:val="singleLevel"/>
    <w:tmpl w:val="AF3E1766"/>
    <w:lvl w:ilvl="0" w:tentative="0">
      <w:start w:val="1"/>
      <w:numFmt w:val="decimal"/>
      <w:suff w:val="nothing"/>
      <w:lvlText w:val="（%1）"/>
      <w:lvlJc w:val="left"/>
      <w:rPr>
        <w:rFonts w:cs="Times New Roman"/>
      </w:rPr>
    </w:lvl>
  </w:abstractNum>
  <w:abstractNum w:abstractNumId="4">
    <w:nsid w:val="C8A3F0D0"/>
    <w:multiLevelType w:val="singleLevel"/>
    <w:tmpl w:val="C8A3F0D0"/>
    <w:lvl w:ilvl="0" w:tentative="0">
      <w:start w:val="2"/>
      <w:numFmt w:val="chineseCounting"/>
      <w:suff w:val="nothing"/>
      <w:lvlText w:val="（%1）"/>
      <w:lvlJc w:val="left"/>
      <w:pPr>
        <w:ind w:left="140"/>
      </w:pPr>
      <w:rPr>
        <w:rFonts w:hint="eastAsia" w:cs="Times New Roman"/>
      </w:rPr>
    </w:lvl>
  </w:abstractNum>
  <w:abstractNum w:abstractNumId="5">
    <w:nsid w:val="1DD1DBD0"/>
    <w:multiLevelType w:val="singleLevel"/>
    <w:tmpl w:val="1DD1DBD0"/>
    <w:lvl w:ilvl="0" w:tentative="0">
      <w:start w:val="2"/>
      <w:numFmt w:val="chineseCounting"/>
      <w:suff w:val="nothing"/>
      <w:lvlText w:val="%1、"/>
      <w:lvlJc w:val="left"/>
      <w:rPr>
        <w:rFonts w:hint="eastAsia" w:cs="Times New Roman"/>
      </w:rPr>
    </w:lvl>
  </w:abstractNum>
  <w:abstractNum w:abstractNumId="6">
    <w:nsid w:val="1EE11A09"/>
    <w:multiLevelType w:val="singleLevel"/>
    <w:tmpl w:val="1EE11A09"/>
    <w:lvl w:ilvl="0" w:tentative="0">
      <w:start w:val="3"/>
      <w:numFmt w:val="chineseCounting"/>
      <w:suff w:val="nothing"/>
      <w:lvlText w:val="第%1章　"/>
      <w:lvlJc w:val="left"/>
      <w:rPr>
        <w:rFonts w:hint="eastAsia" w:cs="Times New Roman"/>
        <w:sz w:val="36"/>
        <w:szCs w:val="36"/>
      </w:rPr>
    </w:lvl>
  </w:abstractNum>
  <w:abstractNum w:abstractNumId="7">
    <w:nsid w:val="35A1407A"/>
    <w:multiLevelType w:val="singleLevel"/>
    <w:tmpl w:val="35A1407A"/>
    <w:lvl w:ilvl="0" w:tentative="0">
      <w:start w:val="6"/>
      <w:numFmt w:val="chineseCounting"/>
      <w:suff w:val="nothing"/>
      <w:lvlText w:val="%1、"/>
      <w:lvlJc w:val="left"/>
      <w:rPr>
        <w:rFonts w:hint="eastAsia" w:cs="Times New Roman"/>
      </w:rPr>
    </w:lvl>
  </w:abstractNum>
  <w:abstractNum w:abstractNumId="8">
    <w:nsid w:val="3C723E0D"/>
    <w:multiLevelType w:val="singleLevel"/>
    <w:tmpl w:val="3C723E0D"/>
    <w:lvl w:ilvl="0" w:tentative="0">
      <w:start w:val="4"/>
      <w:numFmt w:val="decimal"/>
      <w:suff w:val="nothing"/>
      <w:lvlText w:val="%1、"/>
      <w:lvlJc w:val="left"/>
    </w:lvl>
  </w:abstractNum>
  <w:abstractNum w:abstractNumId="9">
    <w:nsid w:val="57AB26D1"/>
    <w:multiLevelType w:val="singleLevel"/>
    <w:tmpl w:val="57AB26D1"/>
    <w:lvl w:ilvl="0" w:tentative="0">
      <w:start w:val="1"/>
      <w:numFmt w:val="chineseCounting"/>
      <w:suff w:val="space"/>
      <w:lvlText w:val="第%1章"/>
      <w:lvlJc w:val="left"/>
      <w:rPr>
        <w:rFonts w:hint="eastAsia" w:cs="Times New Roman"/>
      </w:rPr>
    </w:lvl>
  </w:abstractNum>
  <w:abstractNum w:abstractNumId="10">
    <w:nsid w:val="598182D0"/>
    <w:multiLevelType w:val="singleLevel"/>
    <w:tmpl w:val="598182D0"/>
    <w:lvl w:ilvl="0" w:tentative="0">
      <w:start w:val="1"/>
      <w:numFmt w:val="decimal"/>
      <w:suff w:val="nothing"/>
      <w:lvlText w:val="%1、"/>
      <w:lvlJc w:val="left"/>
    </w:lvl>
  </w:abstractNum>
  <w:abstractNum w:abstractNumId="11">
    <w:nsid w:val="64E333D5"/>
    <w:multiLevelType w:val="multilevel"/>
    <w:tmpl w:val="64E333D5"/>
    <w:lvl w:ilvl="0" w:tentative="0">
      <w:start w:val="1"/>
      <w:numFmt w:val="chineseCountingThousand"/>
      <w:pStyle w:val="5"/>
      <w:lvlText w:val="%1、"/>
      <w:lvlJc w:val="left"/>
      <w:pPr>
        <w:ind w:left="2020" w:hanging="420"/>
      </w:pPr>
      <w:rPr>
        <w:rFonts w:cs="Times New Roman"/>
      </w:rPr>
    </w:lvl>
    <w:lvl w:ilvl="1" w:tentative="0">
      <w:start w:val="1"/>
      <w:numFmt w:val="decimal"/>
      <w:lvlText w:val="%2、"/>
      <w:lvlJc w:val="left"/>
      <w:pPr>
        <w:ind w:left="2380" w:hanging="360"/>
      </w:pPr>
      <w:rPr>
        <w:rFonts w:hint="default" w:cs="Times New Roman"/>
      </w:rPr>
    </w:lvl>
    <w:lvl w:ilvl="2" w:tentative="0">
      <w:start w:val="1"/>
      <w:numFmt w:val="lowerRoman"/>
      <w:lvlText w:val="%3."/>
      <w:lvlJc w:val="right"/>
      <w:pPr>
        <w:ind w:left="2860" w:hanging="420"/>
      </w:pPr>
      <w:rPr>
        <w:rFonts w:cs="Times New Roman"/>
      </w:rPr>
    </w:lvl>
    <w:lvl w:ilvl="3" w:tentative="0">
      <w:start w:val="1"/>
      <w:numFmt w:val="decimal"/>
      <w:lvlText w:val="%4."/>
      <w:lvlJc w:val="left"/>
      <w:pPr>
        <w:ind w:left="3280" w:hanging="420"/>
      </w:pPr>
      <w:rPr>
        <w:rFonts w:cs="Times New Roman"/>
      </w:rPr>
    </w:lvl>
    <w:lvl w:ilvl="4" w:tentative="0">
      <w:start w:val="1"/>
      <w:numFmt w:val="lowerLetter"/>
      <w:lvlText w:val="%5)"/>
      <w:lvlJc w:val="left"/>
      <w:pPr>
        <w:ind w:left="3700" w:hanging="420"/>
      </w:pPr>
      <w:rPr>
        <w:rFonts w:cs="Times New Roman"/>
      </w:rPr>
    </w:lvl>
    <w:lvl w:ilvl="5" w:tentative="0">
      <w:start w:val="1"/>
      <w:numFmt w:val="lowerRoman"/>
      <w:lvlText w:val="%6."/>
      <w:lvlJc w:val="right"/>
      <w:pPr>
        <w:ind w:left="4120" w:hanging="420"/>
      </w:pPr>
      <w:rPr>
        <w:rFonts w:cs="Times New Roman"/>
      </w:rPr>
    </w:lvl>
    <w:lvl w:ilvl="6" w:tentative="0">
      <w:start w:val="1"/>
      <w:numFmt w:val="decimal"/>
      <w:lvlText w:val="%7."/>
      <w:lvlJc w:val="left"/>
      <w:pPr>
        <w:ind w:left="4540" w:hanging="420"/>
      </w:pPr>
      <w:rPr>
        <w:rFonts w:cs="Times New Roman"/>
      </w:rPr>
    </w:lvl>
    <w:lvl w:ilvl="7" w:tentative="0">
      <w:start w:val="1"/>
      <w:numFmt w:val="lowerLetter"/>
      <w:lvlText w:val="%8)"/>
      <w:lvlJc w:val="left"/>
      <w:pPr>
        <w:ind w:left="4960" w:hanging="420"/>
      </w:pPr>
      <w:rPr>
        <w:rFonts w:cs="Times New Roman"/>
      </w:rPr>
    </w:lvl>
    <w:lvl w:ilvl="8" w:tentative="0">
      <w:start w:val="1"/>
      <w:numFmt w:val="lowerRoman"/>
      <w:lvlText w:val="%9."/>
      <w:lvlJc w:val="right"/>
      <w:pPr>
        <w:ind w:left="5380" w:hanging="420"/>
      </w:pPr>
      <w:rPr>
        <w:rFonts w:cs="Times New Roman"/>
      </w:rPr>
    </w:lvl>
  </w:abstractNum>
  <w:abstractNum w:abstractNumId="12">
    <w:nsid w:val="746CA123"/>
    <w:multiLevelType w:val="singleLevel"/>
    <w:tmpl w:val="746CA123"/>
    <w:lvl w:ilvl="0" w:tentative="0">
      <w:start w:val="1"/>
      <w:numFmt w:val="chineseCounting"/>
      <w:suff w:val="space"/>
      <w:lvlText w:val="（%1）"/>
      <w:lvlJc w:val="left"/>
      <w:rPr>
        <w:rFonts w:hint="eastAsia" w:cs="Times New Roman"/>
      </w:rPr>
    </w:lvl>
  </w:abstractNum>
  <w:num w:numId="1">
    <w:abstractNumId w:val="11"/>
  </w:num>
  <w:num w:numId="2">
    <w:abstractNumId w:val="1"/>
  </w:num>
  <w:num w:numId="3">
    <w:abstractNumId w:val="9"/>
  </w:num>
  <w:num w:numId="4">
    <w:abstractNumId w:val="7"/>
  </w:num>
  <w:num w:numId="5">
    <w:abstractNumId w:val="8"/>
  </w:num>
  <w:num w:numId="6">
    <w:abstractNumId w:val="12"/>
  </w:num>
  <w:num w:numId="7">
    <w:abstractNumId w:val="3"/>
  </w:num>
  <w:num w:numId="8">
    <w:abstractNumId w:val="4"/>
  </w:num>
  <w:num w:numId="9">
    <w:abstractNumId w:val="6"/>
  </w:num>
  <w:num w:numId="10">
    <w:abstractNumId w:val="5"/>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5A7C"/>
    <w:rsid w:val="00124491"/>
    <w:rsid w:val="00172A27"/>
    <w:rsid w:val="001913B5"/>
    <w:rsid w:val="001D2968"/>
    <w:rsid w:val="001F2AE1"/>
    <w:rsid w:val="00236290"/>
    <w:rsid w:val="00277154"/>
    <w:rsid w:val="003103E8"/>
    <w:rsid w:val="00395B08"/>
    <w:rsid w:val="003A16A0"/>
    <w:rsid w:val="003E7C4B"/>
    <w:rsid w:val="0044061B"/>
    <w:rsid w:val="004C66F3"/>
    <w:rsid w:val="004F2114"/>
    <w:rsid w:val="0052419F"/>
    <w:rsid w:val="005D576B"/>
    <w:rsid w:val="00673F72"/>
    <w:rsid w:val="00733EC6"/>
    <w:rsid w:val="007450C0"/>
    <w:rsid w:val="00761EAA"/>
    <w:rsid w:val="00762E3A"/>
    <w:rsid w:val="00793027"/>
    <w:rsid w:val="007E0780"/>
    <w:rsid w:val="007E74D4"/>
    <w:rsid w:val="00826614"/>
    <w:rsid w:val="00834989"/>
    <w:rsid w:val="008768E6"/>
    <w:rsid w:val="008B4E9E"/>
    <w:rsid w:val="008D0E13"/>
    <w:rsid w:val="008E005C"/>
    <w:rsid w:val="008F4530"/>
    <w:rsid w:val="00926298"/>
    <w:rsid w:val="00A61DF4"/>
    <w:rsid w:val="00AD3511"/>
    <w:rsid w:val="00B436B3"/>
    <w:rsid w:val="00B614BE"/>
    <w:rsid w:val="00B70DB2"/>
    <w:rsid w:val="00B9466F"/>
    <w:rsid w:val="00BB00AA"/>
    <w:rsid w:val="00C01752"/>
    <w:rsid w:val="00C13ED3"/>
    <w:rsid w:val="00C447F6"/>
    <w:rsid w:val="00C45987"/>
    <w:rsid w:val="00CC48A5"/>
    <w:rsid w:val="00D0075A"/>
    <w:rsid w:val="00D17C36"/>
    <w:rsid w:val="00D333C7"/>
    <w:rsid w:val="00D424AB"/>
    <w:rsid w:val="00D510A4"/>
    <w:rsid w:val="00D564DB"/>
    <w:rsid w:val="00DE1E24"/>
    <w:rsid w:val="00E15DD5"/>
    <w:rsid w:val="00E31399"/>
    <w:rsid w:val="00E84345"/>
    <w:rsid w:val="00EA0E26"/>
    <w:rsid w:val="00ED7E40"/>
    <w:rsid w:val="00F5580E"/>
    <w:rsid w:val="00FB1405"/>
    <w:rsid w:val="00FE1F7B"/>
    <w:rsid w:val="0108714A"/>
    <w:rsid w:val="01574618"/>
    <w:rsid w:val="02184DBF"/>
    <w:rsid w:val="02323E16"/>
    <w:rsid w:val="027873A8"/>
    <w:rsid w:val="02B16EEE"/>
    <w:rsid w:val="03254CB9"/>
    <w:rsid w:val="033458EA"/>
    <w:rsid w:val="03582ED0"/>
    <w:rsid w:val="03910B8F"/>
    <w:rsid w:val="05B1633F"/>
    <w:rsid w:val="06A76A12"/>
    <w:rsid w:val="06DC04F1"/>
    <w:rsid w:val="06DE785A"/>
    <w:rsid w:val="073473A3"/>
    <w:rsid w:val="073B31E1"/>
    <w:rsid w:val="082A65DB"/>
    <w:rsid w:val="08537529"/>
    <w:rsid w:val="08AA1E9B"/>
    <w:rsid w:val="08AE54D9"/>
    <w:rsid w:val="090541F3"/>
    <w:rsid w:val="09214B25"/>
    <w:rsid w:val="09BD0459"/>
    <w:rsid w:val="0A322665"/>
    <w:rsid w:val="0A5D35C4"/>
    <w:rsid w:val="0AAA58E5"/>
    <w:rsid w:val="0B303030"/>
    <w:rsid w:val="0C10106A"/>
    <w:rsid w:val="0C460C9C"/>
    <w:rsid w:val="0C4E2F8C"/>
    <w:rsid w:val="0D8E4A18"/>
    <w:rsid w:val="0DCA2341"/>
    <w:rsid w:val="0EF70F06"/>
    <w:rsid w:val="10E91454"/>
    <w:rsid w:val="11706C35"/>
    <w:rsid w:val="11737A88"/>
    <w:rsid w:val="14CB0AB8"/>
    <w:rsid w:val="1727538E"/>
    <w:rsid w:val="17364049"/>
    <w:rsid w:val="17560E52"/>
    <w:rsid w:val="176366F1"/>
    <w:rsid w:val="1834516C"/>
    <w:rsid w:val="188831C0"/>
    <w:rsid w:val="18884545"/>
    <w:rsid w:val="18E02C8F"/>
    <w:rsid w:val="19012FE9"/>
    <w:rsid w:val="19134A90"/>
    <w:rsid w:val="19D92463"/>
    <w:rsid w:val="1A470698"/>
    <w:rsid w:val="1A7D0845"/>
    <w:rsid w:val="1A8B1A10"/>
    <w:rsid w:val="1AA75BEB"/>
    <w:rsid w:val="1AC800EE"/>
    <w:rsid w:val="1B4A3310"/>
    <w:rsid w:val="1EA83EC1"/>
    <w:rsid w:val="1EFE4483"/>
    <w:rsid w:val="1F0D4FE5"/>
    <w:rsid w:val="1F416385"/>
    <w:rsid w:val="1FC45101"/>
    <w:rsid w:val="1FFB17B7"/>
    <w:rsid w:val="20532F76"/>
    <w:rsid w:val="2054207F"/>
    <w:rsid w:val="209B63CC"/>
    <w:rsid w:val="20AE4D64"/>
    <w:rsid w:val="20D02B87"/>
    <w:rsid w:val="21204F6E"/>
    <w:rsid w:val="21216BE9"/>
    <w:rsid w:val="226D042D"/>
    <w:rsid w:val="22BF67AD"/>
    <w:rsid w:val="234179D0"/>
    <w:rsid w:val="238B0807"/>
    <w:rsid w:val="239D0DD9"/>
    <w:rsid w:val="23DC56BB"/>
    <w:rsid w:val="24414364"/>
    <w:rsid w:val="244478F4"/>
    <w:rsid w:val="24573C24"/>
    <w:rsid w:val="24D16D9B"/>
    <w:rsid w:val="25E41B55"/>
    <w:rsid w:val="25E817E2"/>
    <w:rsid w:val="262C1A7D"/>
    <w:rsid w:val="267F3779"/>
    <w:rsid w:val="268559B2"/>
    <w:rsid w:val="26CF349B"/>
    <w:rsid w:val="26EB511C"/>
    <w:rsid w:val="27032F15"/>
    <w:rsid w:val="275E5211"/>
    <w:rsid w:val="27F9665F"/>
    <w:rsid w:val="29E83AD0"/>
    <w:rsid w:val="2A0E0C0E"/>
    <w:rsid w:val="2A176E5A"/>
    <w:rsid w:val="2A3569EE"/>
    <w:rsid w:val="2A7C33D9"/>
    <w:rsid w:val="2B6F39F7"/>
    <w:rsid w:val="2BA621AF"/>
    <w:rsid w:val="2BC53A0F"/>
    <w:rsid w:val="2D030DFB"/>
    <w:rsid w:val="2DBB56A8"/>
    <w:rsid w:val="2DD75DB3"/>
    <w:rsid w:val="2E524B68"/>
    <w:rsid w:val="2FE8509F"/>
    <w:rsid w:val="30D92FB5"/>
    <w:rsid w:val="314362E6"/>
    <w:rsid w:val="31490769"/>
    <w:rsid w:val="317F3A60"/>
    <w:rsid w:val="31942B43"/>
    <w:rsid w:val="31B71D2B"/>
    <w:rsid w:val="325D0058"/>
    <w:rsid w:val="32A36583"/>
    <w:rsid w:val="32A8398C"/>
    <w:rsid w:val="333464B6"/>
    <w:rsid w:val="34095129"/>
    <w:rsid w:val="35851474"/>
    <w:rsid w:val="367554E4"/>
    <w:rsid w:val="368D6C21"/>
    <w:rsid w:val="36A823AB"/>
    <w:rsid w:val="36EA3BFA"/>
    <w:rsid w:val="371B6F58"/>
    <w:rsid w:val="377B1BD4"/>
    <w:rsid w:val="380D162F"/>
    <w:rsid w:val="38545275"/>
    <w:rsid w:val="38616F1D"/>
    <w:rsid w:val="39AA02FF"/>
    <w:rsid w:val="3A8E028C"/>
    <w:rsid w:val="3AF534FD"/>
    <w:rsid w:val="3AFD149F"/>
    <w:rsid w:val="3B035435"/>
    <w:rsid w:val="3B8F5A0D"/>
    <w:rsid w:val="3CAF3FFB"/>
    <w:rsid w:val="3D1706CF"/>
    <w:rsid w:val="3E051F47"/>
    <w:rsid w:val="3E5A54F8"/>
    <w:rsid w:val="3E76638E"/>
    <w:rsid w:val="3E920795"/>
    <w:rsid w:val="3F414D6B"/>
    <w:rsid w:val="3F8B3ED6"/>
    <w:rsid w:val="3FB12DDB"/>
    <w:rsid w:val="3FE7116A"/>
    <w:rsid w:val="40E90D2E"/>
    <w:rsid w:val="40FA381A"/>
    <w:rsid w:val="41734954"/>
    <w:rsid w:val="418768E7"/>
    <w:rsid w:val="41BF2426"/>
    <w:rsid w:val="424D2825"/>
    <w:rsid w:val="42F77DB2"/>
    <w:rsid w:val="438039FD"/>
    <w:rsid w:val="449B251C"/>
    <w:rsid w:val="44EB3558"/>
    <w:rsid w:val="457C4B03"/>
    <w:rsid w:val="466C20AF"/>
    <w:rsid w:val="47140325"/>
    <w:rsid w:val="47397233"/>
    <w:rsid w:val="474E1A82"/>
    <w:rsid w:val="479A2D0B"/>
    <w:rsid w:val="47E20298"/>
    <w:rsid w:val="48242B78"/>
    <w:rsid w:val="48860D1B"/>
    <w:rsid w:val="48A35DF0"/>
    <w:rsid w:val="49545A1F"/>
    <w:rsid w:val="49555633"/>
    <w:rsid w:val="49EE719E"/>
    <w:rsid w:val="4A7F15F4"/>
    <w:rsid w:val="4AFE50CA"/>
    <w:rsid w:val="4BA87148"/>
    <w:rsid w:val="4CC77FFC"/>
    <w:rsid w:val="4CF346C8"/>
    <w:rsid w:val="4D326E35"/>
    <w:rsid w:val="4D8F5F47"/>
    <w:rsid w:val="4DA54844"/>
    <w:rsid w:val="4DCF6871"/>
    <w:rsid w:val="4DE85357"/>
    <w:rsid w:val="4E7749FB"/>
    <w:rsid w:val="4E781808"/>
    <w:rsid w:val="4EB570D6"/>
    <w:rsid w:val="4FA87474"/>
    <w:rsid w:val="4FE3400D"/>
    <w:rsid w:val="50AB0883"/>
    <w:rsid w:val="50DA577A"/>
    <w:rsid w:val="50E929C7"/>
    <w:rsid w:val="518F0EA8"/>
    <w:rsid w:val="52297D26"/>
    <w:rsid w:val="52334072"/>
    <w:rsid w:val="539B083F"/>
    <w:rsid w:val="53E775E0"/>
    <w:rsid w:val="5422243B"/>
    <w:rsid w:val="544E056E"/>
    <w:rsid w:val="545261EA"/>
    <w:rsid w:val="54D37696"/>
    <w:rsid w:val="54FF2DB2"/>
    <w:rsid w:val="551C1EAC"/>
    <w:rsid w:val="556E78AD"/>
    <w:rsid w:val="55CF0C66"/>
    <w:rsid w:val="56251022"/>
    <w:rsid w:val="563567D0"/>
    <w:rsid w:val="5660136B"/>
    <w:rsid w:val="56784F2E"/>
    <w:rsid w:val="5728063B"/>
    <w:rsid w:val="57756FDC"/>
    <w:rsid w:val="58375678"/>
    <w:rsid w:val="585B64A7"/>
    <w:rsid w:val="589B20E7"/>
    <w:rsid w:val="595F2014"/>
    <w:rsid w:val="59966557"/>
    <w:rsid w:val="5A253572"/>
    <w:rsid w:val="5AA51A0E"/>
    <w:rsid w:val="5B7644D9"/>
    <w:rsid w:val="5B7A5C1C"/>
    <w:rsid w:val="5C5A5D5F"/>
    <w:rsid w:val="5C8F1E71"/>
    <w:rsid w:val="5CA57360"/>
    <w:rsid w:val="5D527D7D"/>
    <w:rsid w:val="5D90514D"/>
    <w:rsid w:val="5D9258A8"/>
    <w:rsid w:val="5E041844"/>
    <w:rsid w:val="5E7B225D"/>
    <w:rsid w:val="5ED42A92"/>
    <w:rsid w:val="5F257F36"/>
    <w:rsid w:val="60C07761"/>
    <w:rsid w:val="60D402BB"/>
    <w:rsid w:val="61F82929"/>
    <w:rsid w:val="62051491"/>
    <w:rsid w:val="626C6968"/>
    <w:rsid w:val="6359056E"/>
    <w:rsid w:val="63734C1C"/>
    <w:rsid w:val="63960810"/>
    <w:rsid w:val="669B50CD"/>
    <w:rsid w:val="66A601AC"/>
    <w:rsid w:val="66C11D69"/>
    <w:rsid w:val="66E66DEF"/>
    <w:rsid w:val="66E9022F"/>
    <w:rsid w:val="676D6AC2"/>
    <w:rsid w:val="677E0166"/>
    <w:rsid w:val="67E23030"/>
    <w:rsid w:val="67ED314E"/>
    <w:rsid w:val="686D34BE"/>
    <w:rsid w:val="69110A55"/>
    <w:rsid w:val="69A068A5"/>
    <w:rsid w:val="6A3212DD"/>
    <w:rsid w:val="6A6E0B73"/>
    <w:rsid w:val="6A7C3B33"/>
    <w:rsid w:val="6A8A4858"/>
    <w:rsid w:val="6D1D0041"/>
    <w:rsid w:val="6D8368A4"/>
    <w:rsid w:val="6DB826FA"/>
    <w:rsid w:val="6DC9723B"/>
    <w:rsid w:val="6E897612"/>
    <w:rsid w:val="6EDE5E5B"/>
    <w:rsid w:val="6F4404C5"/>
    <w:rsid w:val="6FB3379D"/>
    <w:rsid w:val="70250C6C"/>
    <w:rsid w:val="706968CA"/>
    <w:rsid w:val="71435219"/>
    <w:rsid w:val="72114EFD"/>
    <w:rsid w:val="728B1977"/>
    <w:rsid w:val="72D94790"/>
    <w:rsid w:val="734E7A1D"/>
    <w:rsid w:val="738E34A6"/>
    <w:rsid w:val="73F145A7"/>
    <w:rsid w:val="74B91264"/>
    <w:rsid w:val="76184A54"/>
    <w:rsid w:val="7681727F"/>
    <w:rsid w:val="76C14015"/>
    <w:rsid w:val="76EC257D"/>
    <w:rsid w:val="771D51BC"/>
    <w:rsid w:val="77781184"/>
    <w:rsid w:val="778E16A8"/>
    <w:rsid w:val="7876271A"/>
    <w:rsid w:val="791169A5"/>
    <w:rsid w:val="794B6362"/>
    <w:rsid w:val="79EA1A55"/>
    <w:rsid w:val="7A603AC5"/>
    <w:rsid w:val="7B77270D"/>
    <w:rsid w:val="7B7E47CC"/>
    <w:rsid w:val="7B9C793B"/>
    <w:rsid w:val="7C92500C"/>
    <w:rsid w:val="7D5F5F83"/>
    <w:rsid w:val="7D6F2CEF"/>
    <w:rsid w:val="7DAC4AB3"/>
    <w:rsid w:val="7E5C1426"/>
    <w:rsid w:val="7E8A4FC0"/>
    <w:rsid w:val="7EF51CB2"/>
    <w:rsid w:val="7F5833AF"/>
    <w:rsid w:val="7F9E7A9A"/>
    <w:rsid w:val="7FCB77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31"/>
    <w:qFormat/>
    <w:uiPriority w:val="99"/>
    <w:pPr>
      <w:keepNext/>
      <w:numPr>
        <w:ilvl w:val="0"/>
        <w:numId w:val="1"/>
      </w:numPr>
      <w:spacing w:before="240" w:after="120"/>
      <w:ind w:right="100" w:rightChars="100"/>
      <w:outlineLvl w:val="1"/>
    </w:pPr>
    <w:rPr>
      <w:rFonts w:ascii="宋体"/>
      <w:b/>
      <w:sz w:val="24"/>
    </w:rPr>
  </w:style>
  <w:style w:type="paragraph" w:styleId="6">
    <w:name w:val="heading 3"/>
    <w:basedOn w:val="1"/>
    <w:next w:val="1"/>
    <w:link w:val="32"/>
    <w:qFormat/>
    <w:uiPriority w:val="99"/>
    <w:pPr>
      <w:keepNext/>
      <w:keepLines/>
      <w:spacing w:before="260" w:after="260" w:line="416" w:lineRule="auto"/>
      <w:outlineLvl w:val="2"/>
    </w:pPr>
    <w:rPr>
      <w:b/>
      <w:bCs/>
      <w:sz w:val="32"/>
      <w:szCs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link w:val="36"/>
    <w:qFormat/>
    <w:uiPriority w:val="99"/>
    <w:pPr>
      <w:widowControl/>
      <w:spacing w:after="120" w:line="240" w:lineRule="auto"/>
      <w:ind w:firstLine="420" w:firstLineChars="100"/>
    </w:pPr>
    <w:rPr>
      <w:szCs w:val="20"/>
    </w:rPr>
  </w:style>
  <w:style w:type="paragraph" w:styleId="3">
    <w:name w:val="Body Text"/>
    <w:basedOn w:val="1"/>
    <w:next w:val="2"/>
    <w:link w:val="35"/>
    <w:qFormat/>
    <w:uiPriority w:val="99"/>
    <w:pPr>
      <w:spacing w:line="360" w:lineRule="exact"/>
    </w:pPr>
    <w:rPr>
      <w:sz w:val="24"/>
    </w:rPr>
  </w:style>
  <w:style w:type="paragraph" w:styleId="7">
    <w:name w:val="List Number"/>
    <w:basedOn w:val="1"/>
    <w:qFormat/>
    <w:uiPriority w:val="99"/>
    <w:pPr>
      <w:numPr>
        <w:ilvl w:val="0"/>
        <w:numId w:val="2"/>
      </w:numPr>
    </w:pPr>
  </w:style>
  <w:style w:type="paragraph" w:styleId="8">
    <w:name w:val="Normal Indent"/>
    <w:basedOn w:val="1"/>
    <w:next w:val="1"/>
    <w:qFormat/>
    <w:uiPriority w:val="99"/>
    <w:pPr>
      <w:ind w:firstLine="420"/>
    </w:pPr>
    <w:rPr>
      <w:szCs w:val="20"/>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annotation text"/>
    <w:basedOn w:val="1"/>
    <w:link w:val="34"/>
    <w:qFormat/>
    <w:uiPriority w:val="99"/>
    <w:pPr>
      <w:jc w:val="left"/>
    </w:pPr>
  </w:style>
  <w:style w:type="paragraph" w:styleId="11">
    <w:name w:val="Body Text Indent"/>
    <w:basedOn w:val="1"/>
    <w:next w:val="1"/>
    <w:link w:val="37"/>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2">
    <w:name w:val="Plain Text"/>
    <w:basedOn w:val="1"/>
    <w:next w:val="13"/>
    <w:link w:val="38"/>
    <w:qFormat/>
    <w:uiPriority w:val="99"/>
    <w:rPr>
      <w:rFonts w:ascii="宋体" w:hAnsi="Courier New"/>
    </w:rPr>
  </w:style>
  <w:style w:type="paragraph" w:styleId="13">
    <w:name w:val="Date"/>
    <w:basedOn w:val="1"/>
    <w:next w:val="1"/>
    <w:link w:val="39"/>
    <w:qFormat/>
    <w:uiPriority w:val="99"/>
    <w:rPr>
      <w:rFonts w:ascii="宋体"/>
      <w:color w:val="000000"/>
      <w:kern w:val="0"/>
      <w:sz w:val="24"/>
    </w:rPr>
  </w:style>
  <w:style w:type="paragraph" w:styleId="14">
    <w:name w:val="Body Text Indent 2"/>
    <w:basedOn w:val="1"/>
    <w:link w:val="40"/>
    <w:qFormat/>
    <w:uiPriority w:val="9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5">
    <w:name w:val="footer"/>
    <w:basedOn w:val="1"/>
    <w:link w:val="41"/>
    <w:qFormat/>
    <w:uiPriority w:val="99"/>
    <w:pPr>
      <w:tabs>
        <w:tab w:val="center" w:pos="4153"/>
        <w:tab w:val="right" w:pos="8306"/>
      </w:tabs>
      <w:snapToGrid w:val="0"/>
      <w:jc w:val="left"/>
    </w:pPr>
    <w:rPr>
      <w:sz w:val="18"/>
    </w:rPr>
  </w:style>
  <w:style w:type="paragraph" w:styleId="16">
    <w:name w:val="header"/>
    <w:basedOn w:val="1"/>
    <w:link w:val="4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List"/>
    <w:basedOn w:val="1"/>
    <w:qFormat/>
    <w:uiPriority w:val="99"/>
    <w:pPr>
      <w:ind w:left="200" w:hanging="200" w:hangingChars="200"/>
    </w:pPr>
    <w:rPr>
      <w:sz w:val="28"/>
    </w:rPr>
  </w:style>
  <w:style w:type="paragraph" w:styleId="18">
    <w:name w:val="toc 6"/>
    <w:basedOn w:val="1"/>
    <w:next w:val="1"/>
    <w:qFormat/>
    <w:uiPriority w:val="99"/>
    <w:pPr>
      <w:widowControl/>
      <w:ind w:left="1000"/>
      <w:jc w:val="left"/>
    </w:pPr>
    <w:rPr>
      <w:kern w:val="0"/>
      <w:sz w:val="18"/>
      <w:szCs w:val="20"/>
    </w:rPr>
  </w:style>
  <w:style w:type="paragraph" w:styleId="19">
    <w:name w:val="toc 2"/>
    <w:basedOn w:val="1"/>
    <w:next w:val="1"/>
    <w:qFormat/>
    <w:uiPriority w:val="99"/>
    <w:pPr>
      <w:spacing w:line="360" w:lineRule="auto"/>
      <w:ind w:left="210" w:leftChars="100" w:firstLine="472" w:firstLineChars="196"/>
      <w:jc w:val="left"/>
    </w:pPr>
    <w:rPr>
      <w:rFonts w:ascii="宋体" w:hAnsi="宋体"/>
      <w:b/>
      <w:sz w:val="24"/>
    </w:r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link w:val="33"/>
    <w:qFormat/>
    <w:uiPriority w:val="99"/>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2">
    <w:name w:val="Body Text First Indent 2"/>
    <w:basedOn w:val="11"/>
    <w:qFormat/>
    <w:locked/>
    <w:uiPriority w:val="0"/>
    <w:pPr>
      <w:ind w:firstLine="420"/>
    </w:p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99"/>
    <w:rPr>
      <w:rFonts w:cs="Times New Roman"/>
      <w:b/>
    </w:rPr>
  </w:style>
  <w:style w:type="character" w:styleId="27">
    <w:name w:val="page number"/>
    <w:basedOn w:val="25"/>
    <w:qFormat/>
    <w:uiPriority w:val="99"/>
    <w:rPr>
      <w:rFonts w:cs="Times New Roman"/>
    </w:rPr>
  </w:style>
  <w:style w:type="character" w:styleId="28">
    <w:name w:val="Hyperlink"/>
    <w:basedOn w:val="25"/>
    <w:qFormat/>
    <w:uiPriority w:val="99"/>
    <w:rPr>
      <w:rFonts w:cs="Times New Roman"/>
      <w:color w:val="0000FF"/>
      <w:u w:val="single"/>
    </w:rPr>
  </w:style>
  <w:style w:type="paragraph" w:customStyle="1" w:styleId="29">
    <w:name w:val="无间隔1"/>
    <w:basedOn w:val="1"/>
    <w:qFormat/>
    <w:uiPriority w:val="99"/>
    <w:pPr>
      <w:spacing w:line="400" w:lineRule="exact"/>
    </w:pPr>
    <w:rPr>
      <w:sz w:val="24"/>
    </w:rPr>
  </w:style>
  <w:style w:type="character" w:customStyle="1" w:styleId="30">
    <w:name w:val="标题 1 字符"/>
    <w:basedOn w:val="25"/>
    <w:link w:val="4"/>
    <w:qFormat/>
    <w:locked/>
    <w:uiPriority w:val="99"/>
    <w:rPr>
      <w:rFonts w:ascii="Times New Roman" w:hAnsi="Times New Roman" w:cs="Times New Roman"/>
      <w:b/>
      <w:bCs/>
      <w:kern w:val="44"/>
      <w:sz w:val="44"/>
      <w:szCs w:val="44"/>
    </w:rPr>
  </w:style>
  <w:style w:type="character" w:customStyle="1" w:styleId="31">
    <w:name w:val="标题 2 字符"/>
    <w:basedOn w:val="25"/>
    <w:link w:val="5"/>
    <w:qFormat/>
    <w:locked/>
    <w:uiPriority w:val="99"/>
    <w:rPr>
      <w:rFonts w:ascii="宋体" w:hAnsi="Times New Roman"/>
      <w:b/>
      <w:sz w:val="24"/>
      <w:szCs w:val="24"/>
    </w:rPr>
  </w:style>
  <w:style w:type="character" w:customStyle="1" w:styleId="32">
    <w:name w:val="标题 3 字符"/>
    <w:basedOn w:val="25"/>
    <w:link w:val="6"/>
    <w:semiHidden/>
    <w:qFormat/>
    <w:locked/>
    <w:uiPriority w:val="99"/>
    <w:rPr>
      <w:rFonts w:ascii="Times New Roman" w:hAnsi="Times New Roman" w:cs="Times New Roman"/>
      <w:b/>
      <w:bCs/>
      <w:sz w:val="32"/>
      <w:szCs w:val="32"/>
    </w:rPr>
  </w:style>
  <w:style w:type="character" w:customStyle="1" w:styleId="33">
    <w:name w:val="标题 字符"/>
    <w:basedOn w:val="25"/>
    <w:link w:val="21"/>
    <w:qFormat/>
    <w:locked/>
    <w:uiPriority w:val="99"/>
    <w:rPr>
      <w:rFonts w:ascii="Cambria" w:hAnsi="Cambria" w:cs="Times New Roman"/>
      <w:b/>
      <w:bCs/>
      <w:sz w:val="32"/>
      <w:szCs w:val="32"/>
    </w:rPr>
  </w:style>
  <w:style w:type="character" w:customStyle="1" w:styleId="34">
    <w:name w:val="批注文字 字符"/>
    <w:basedOn w:val="25"/>
    <w:link w:val="10"/>
    <w:semiHidden/>
    <w:qFormat/>
    <w:locked/>
    <w:uiPriority w:val="99"/>
    <w:rPr>
      <w:rFonts w:ascii="Times New Roman" w:hAnsi="Times New Roman" w:cs="Times New Roman"/>
      <w:sz w:val="24"/>
      <w:szCs w:val="24"/>
    </w:rPr>
  </w:style>
  <w:style w:type="character" w:customStyle="1" w:styleId="35">
    <w:name w:val="正文文本 字符"/>
    <w:basedOn w:val="25"/>
    <w:link w:val="3"/>
    <w:semiHidden/>
    <w:qFormat/>
    <w:locked/>
    <w:uiPriority w:val="99"/>
    <w:rPr>
      <w:rFonts w:ascii="Times New Roman" w:hAnsi="Times New Roman" w:cs="Times New Roman"/>
      <w:sz w:val="24"/>
      <w:szCs w:val="24"/>
    </w:rPr>
  </w:style>
  <w:style w:type="character" w:customStyle="1" w:styleId="36">
    <w:name w:val="正文文本首行缩进 字符"/>
    <w:basedOn w:val="35"/>
    <w:link w:val="2"/>
    <w:semiHidden/>
    <w:qFormat/>
    <w:locked/>
    <w:uiPriority w:val="99"/>
    <w:rPr>
      <w:rFonts w:ascii="Times New Roman" w:hAnsi="Times New Roman" w:cs="Times New Roman"/>
      <w:sz w:val="24"/>
      <w:szCs w:val="24"/>
    </w:rPr>
  </w:style>
  <w:style w:type="character" w:customStyle="1" w:styleId="37">
    <w:name w:val="正文文本缩进 字符"/>
    <w:basedOn w:val="25"/>
    <w:link w:val="11"/>
    <w:semiHidden/>
    <w:qFormat/>
    <w:locked/>
    <w:uiPriority w:val="99"/>
    <w:rPr>
      <w:rFonts w:ascii="Times New Roman" w:hAnsi="Times New Roman" w:cs="Times New Roman"/>
      <w:sz w:val="24"/>
      <w:szCs w:val="24"/>
    </w:rPr>
  </w:style>
  <w:style w:type="character" w:customStyle="1" w:styleId="38">
    <w:name w:val="纯文本 字符"/>
    <w:basedOn w:val="25"/>
    <w:link w:val="12"/>
    <w:qFormat/>
    <w:locked/>
    <w:uiPriority w:val="99"/>
    <w:rPr>
      <w:rFonts w:ascii="宋体" w:hAnsi="Courier New" w:eastAsia="宋体" w:cs="Times New Roman"/>
      <w:kern w:val="2"/>
      <w:sz w:val="24"/>
      <w:szCs w:val="24"/>
    </w:rPr>
  </w:style>
  <w:style w:type="character" w:customStyle="1" w:styleId="39">
    <w:name w:val="日期 字符"/>
    <w:basedOn w:val="25"/>
    <w:link w:val="13"/>
    <w:semiHidden/>
    <w:qFormat/>
    <w:locked/>
    <w:uiPriority w:val="99"/>
    <w:rPr>
      <w:rFonts w:ascii="Times New Roman" w:hAnsi="Times New Roman" w:cs="Times New Roman"/>
      <w:sz w:val="24"/>
      <w:szCs w:val="24"/>
    </w:rPr>
  </w:style>
  <w:style w:type="character" w:customStyle="1" w:styleId="40">
    <w:name w:val="正文文本缩进 2 字符"/>
    <w:basedOn w:val="25"/>
    <w:link w:val="14"/>
    <w:semiHidden/>
    <w:qFormat/>
    <w:locked/>
    <w:uiPriority w:val="99"/>
    <w:rPr>
      <w:rFonts w:ascii="Times New Roman" w:hAnsi="Times New Roman" w:cs="Times New Roman"/>
      <w:sz w:val="24"/>
      <w:szCs w:val="24"/>
    </w:rPr>
  </w:style>
  <w:style w:type="character" w:customStyle="1" w:styleId="41">
    <w:name w:val="页脚 字符"/>
    <w:basedOn w:val="25"/>
    <w:link w:val="15"/>
    <w:semiHidden/>
    <w:qFormat/>
    <w:locked/>
    <w:uiPriority w:val="99"/>
    <w:rPr>
      <w:rFonts w:ascii="Times New Roman" w:hAnsi="Times New Roman" w:cs="Times New Roman"/>
      <w:sz w:val="18"/>
      <w:szCs w:val="18"/>
    </w:rPr>
  </w:style>
  <w:style w:type="character" w:customStyle="1" w:styleId="42">
    <w:name w:val="页眉 字符"/>
    <w:basedOn w:val="25"/>
    <w:link w:val="16"/>
    <w:semiHidden/>
    <w:qFormat/>
    <w:locked/>
    <w:uiPriority w:val="99"/>
    <w:rPr>
      <w:rFonts w:ascii="Times New Roman" w:hAnsi="Times New Roman" w:cs="Times New Roman"/>
      <w:sz w:val="18"/>
      <w:szCs w:val="18"/>
    </w:rPr>
  </w:style>
  <w:style w:type="paragraph" w:customStyle="1" w:styleId="43">
    <w:name w:val="正文（首行缩进2字符）"/>
    <w:basedOn w:val="1"/>
    <w:qFormat/>
    <w:uiPriority w:val="99"/>
    <w:pPr>
      <w:spacing w:line="360" w:lineRule="auto"/>
      <w:ind w:firstLine="420" w:firstLineChars="200"/>
    </w:pPr>
    <w:rPr>
      <w:szCs w:val="21"/>
    </w:rPr>
  </w:style>
  <w:style w:type="paragraph" w:styleId="44">
    <w:name w:val="List Paragraph"/>
    <w:basedOn w:val="1"/>
    <w:qFormat/>
    <w:uiPriority w:val="99"/>
    <w:pPr>
      <w:ind w:firstLine="420" w:firstLineChars="200"/>
    </w:pPr>
    <w:rPr>
      <w:rFonts w:ascii="Calibri" w:hAnsi="Calibri"/>
      <w:szCs w:val="22"/>
    </w:rPr>
  </w:style>
  <w:style w:type="paragraph" w:customStyle="1" w:styleId="45">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46">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9">
    <w:name w:val="正文_14"/>
    <w:qFormat/>
    <w:uiPriority w:val="99"/>
    <w:rPr>
      <w:rFonts w:ascii="Times New Roman" w:hAnsi="Times New Roman" w:eastAsia="宋体" w:cs="Times New Roman"/>
      <w:sz w:val="21"/>
      <w:lang w:val="en-US" w:eastAsia="zh-CN" w:bidi="ar-SA"/>
    </w:rPr>
  </w:style>
  <w:style w:type="paragraph" w:customStyle="1" w:styleId="50">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纯文本_0_1"/>
    <w:basedOn w:val="1"/>
    <w:qFormat/>
    <w:uiPriority w:val="99"/>
    <w:pPr>
      <w:widowControl/>
      <w:jc w:val="left"/>
    </w:pPr>
    <w:rPr>
      <w:rFonts w:ascii="宋体" w:hAnsi="Courier New"/>
      <w:szCs w:val="21"/>
    </w:rPr>
  </w:style>
  <w:style w:type="paragraph" w:customStyle="1" w:styleId="53">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纯文本_3"/>
    <w:basedOn w:val="51"/>
    <w:qFormat/>
    <w:uiPriority w:val="99"/>
    <w:pPr>
      <w:widowControl/>
      <w:jc w:val="left"/>
    </w:pPr>
    <w:rPr>
      <w:rFonts w:ascii="宋体" w:hAnsi="Courier New"/>
      <w:szCs w:val="21"/>
    </w:rPr>
  </w:style>
  <w:style w:type="paragraph" w:customStyle="1" w:styleId="58">
    <w:name w:val="表格文字"/>
    <w:basedOn w:val="1"/>
    <w:next w:val="3"/>
    <w:qFormat/>
    <w:uiPriority w:val="99"/>
    <w:pPr>
      <w:adjustRightInd w:val="0"/>
      <w:spacing w:line="420" w:lineRule="atLeast"/>
      <w:jc w:val="left"/>
      <w:textAlignment w:val="baseline"/>
    </w:pPr>
    <w:rPr>
      <w:kern w:val="0"/>
    </w:rPr>
  </w:style>
  <w:style w:type="paragraph" w:customStyle="1" w:styleId="59">
    <w:name w:val="正文2"/>
    <w:basedOn w:val="1"/>
    <w:qFormat/>
    <w:uiPriority w:val="99"/>
    <w:pPr>
      <w:spacing w:before="156" w:line="360" w:lineRule="auto"/>
      <w:ind w:firstLine="510" w:firstLineChars="200"/>
    </w:pPr>
    <w:rPr>
      <w:rFonts w:ascii="Calibri" w:hAnsi="Calibri"/>
      <w:sz w:val="24"/>
      <w:szCs w:val="20"/>
    </w:rPr>
  </w:style>
  <w:style w:type="paragraph" w:customStyle="1" w:styleId="60">
    <w:name w:val="纯文本1"/>
    <w:basedOn w:val="1"/>
    <w:qFormat/>
    <w:uiPriority w:val="99"/>
    <w:pPr>
      <w:widowControl/>
      <w:jc w:val="left"/>
    </w:pPr>
    <w:rPr>
      <w:rFonts w:ascii="宋体" w:hAnsi="Courier New"/>
      <w:szCs w:val="20"/>
    </w:rPr>
  </w:style>
  <w:style w:type="character" w:customStyle="1" w:styleId="61">
    <w:name w:val="font01"/>
    <w:basedOn w:val="25"/>
    <w:qFormat/>
    <w:uiPriority w:val="99"/>
    <w:rPr>
      <w:rFonts w:ascii="宋体" w:hAnsi="宋体" w:eastAsia="宋体"/>
      <w:color w:val="000000"/>
      <w:sz w:val="24"/>
      <w:u w:val="none"/>
    </w:rPr>
  </w:style>
  <w:style w:type="paragraph" w:customStyle="1" w:styleId="62">
    <w:name w:val="列表段落2"/>
    <w:basedOn w:val="1"/>
    <w:qFormat/>
    <w:uiPriority w:val="34"/>
    <w:pPr>
      <w:ind w:firstLine="420" w:firstLineChars="200"/>
    </w:pPr>
  </w:style>
  <w:style w:type="paragraph" w:customStyle="1" w:styleId="63">
    <w:name w:val="列出段落1"/>
    <w:basedOn w:val="1"/>
    <w:qFormat/>
    <w:uiPriority w:val="0"/>
    <w:pPr>
      <w:ind w:firstLine="420"/>
    </w:pPr>
    <w:rPr>
      <w:rFonts w:asciiTheme="minorHAnsi" w:hAnsiTheme="minorHAnsi" w:eastAsiaTheme="minorEastAsia" w:cstheme="minorBidi"/>
    </w:rPr>
  </w:style>
  <w:style w:type="paragraph" w:customStyle="1" w:styleId="6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47FE7F-4296-4EFB-BD06-842F8B7F8AF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5603</Words>
  <Characters>31938</Characters>
  <Lines>266</Lines>
  <Paragraphs>74</Paragraphs>
  <TotalTime>1</TotalTime>
  <ScaleCrop>false</ScaleCrop>
  <LinksUpToDate>false</LinksUpToDate>
  <CharactersWithSpaces>37467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2022-01-29T06:55:00Z</dcterms:created>
  <dc:creator>S-mile</dc:creator>
  <cp:lastModifiedBy>弄白白白</cp:lastModifiedBy>
  <dcterms:modified xsi:type="dcterms:W3CDTF">2022-01-29T06:59:28Z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300953EB2CD44171A4D8262BBFD5ED9C</vt:lpwstr>
  </property>
</Properties>
</file>