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bCs/>
          <w:color w:val="auto"/>
          <w:kern w:val="0"/>
          <w:sz w:val="52"/>
          <w:szCs w:val="52"/>
        </w:rPr>
      </w:pPr>
      <w:bookmarkStart w:id="330" w:name="_GoBack"/>
    </w:p>
    <w:p>
      <w:pPr>
        <w:jc w:val="center"/>
        <w:rPr>
          <w:rFonts w:ascii="宋体"/>
          <w:color w:val="auto"/>
          <w:sz w:val="36"/>
          <w:szCs w:val="36"/>
        </w:rPr>
      </w:pPr>
      <w:r>
        <w:rPr>
          <w:color w:val="auto"/>
        </w:rPr>
        <w:pict>
          <v:shape id="图片 2" o:spid="_x0000_s1027" o:spt="75" type="#_x0000_t75" style="position:absolute;left:0pt;margin-left:108pt;margin-top:103.2pt;height:164.7pt;width:234pt;mso-position-horizontal-relative:page;mso-position-vertical-relative:page;z-index:-251657216;mso-width-relative:page;mso-height-relative:page;" filled="f" o:preferrelative="t" stroked="f" coordsize="21600,21600">
            <v:path/>
            <v:fill on="f" focussize="0,0"/>
            <v:stroke on="f" joinstyle="miter"/>
            <v:imagedata r:id="rId7" gain="72818f" o:title=""/>
            <o:lock v:ext="edit" aspectratio="t"/>
          </v:shape>
        </w:pict>
      </w:r>
    </w:p>
    <w:p>
      <w:pPr>
        <w:jc w:val="center"/>
        <w:rPr>
          <w:rFonts w:ascii="宋体"/>
          <w:color w:val="auto"/>
          <w:sz w:val="52"/>
          <w:szCs w:val="52"/>
        </w:rPr>
      </w:pPr>
    </w:p>
    <w:p>
      <w:pPr>
        <w:jc w:val="center"/>
        <w:rPr>
          <w:rFonts w:ascii="宋体"/>
          <w:color w:val="auto"/>
          <w:sz w:val="72"/>
          <w:szCs w:val="72"/>
        </w:rPr>
      </w:pPr>
      <w:r>
        <w:rPr>
          <w:rFonts w:ascii="宋体" w:hAnsi="宋体" w:cs="宋体"/>
          <w:color w:val="auto"/>
          <w:sz w:val="72"/>
          <w:szCs w:val="72"/>
        </w:rPr>
        <w:t xml:space="preserve">         F-STONE</w:t>
      </w:r>
    </w:p>
    <w:p>
      <w:pPr>
        <w:jc w:val="center"/>
        <w:rPr>
          <w:rFonts w:ascii="宋体"/>
          <w:color w:val="auto"/>
          <w:sz w:val="36"/>
          <w:szCs w:val="36"/>
        </w:rPr>
      </w:pPr>
    </w:p>
    <w:p>
      <w:pPr>
        <w:jc w:val="center"/>
        <w:rPr>
          <w:rFonts w:ascii="宋体"/>
          <w:b/>
          <w:bCs/>
          <w:color w:val="auto"/>
          <w:sz w:val="72"/>
          <w:szCs w:val="72"/>
        </w:rPr>
      </w:pPr>
    </w:p>
    <w:p>
      <w:pPr>
        <w:shd w:val="clear" w:color="auto" w:fill="FFFFFF"/>
        <w:spacing w:line="360" w:lineRule="auto"/>
        <w:jc w:val="center"/>
        <w:textAlignment w:val="bottom"/>
        <w:rPr>
          <w:rFonts w:ascii="宋体"/>
          <w:b/>
          <w:bCs/>
          <w:color w:val="auto"/>
          <w:kern w:val="0"/>
          <w:sz w:val="52"/>
          <w:szCs w:val="52"/>
        </w:rPr>
      </w:pPr>
      <w:r>
        <w:rPr>
          <w:rFonts w:hint="eastAsia" w:ascii="宋体" w:cs="宋体"/>
          <w:b/>
          <w:bCs/>
          <w:color w:val="auto"/>
          <w:kern w:val="0"/>
          <w:sz w:val="52"/>
          <w:szCs w:val="52"/>
        </w:rPr>
        <w:t>政府采购招标文件</w:t>
      </w:r>
    </w:p>
    <w:p>
      <w:pPr>
        <w:shd w:val="clear" w:color="auto" w:fill="FFFFFF"/>
        <w:spacing w:line="360" w:lineRule="auto"/>
        <w:jc w:val="center"/>
        <w:textAlignment w:val="bottom"/>
        <w:rPr>
          <w:rFonts w:ascii="宋体"/>
          <w:color w:val="auto"/>
          <w:sz w:val="28"/>
          <w:szCs w:val="28"/>
        </w:rPr>
      </w:pPr>
    </w:p>
    <w:p>
      <w:pPr>
        <w:shd w:val="clear" w:color="auto" w:fill="FFFFFF"/>
        <w:spacing w:line="360" w:lineRule="auto"/>
        <w:jc w:val="center"/>
        <w:textAlignment w:val="bottom"/>
        <w:rPr>
          <w:rFonts w:ascii="宋体"/>
          <w:color w:val="auto"/>
          <w:sz w:val="28"/>
          <w:szCs w:val="28"/>
        </w:rPr>
      </w:pPr>
      <w:r>
        <w:rPr>
          <w:rFonts w:hint="eastAsia" w:ascii="宋体" w:hAnsi="宋体" w:cs="宋体"/>
          <w:color w:val="auto"/>
          <w:sz w:val="28"/>
          <w:szCs w:val="28"/>
        </w:rPr>
        <w:t>项目编号：</w:t>
      </w:r>
      <w:r>
        <w:rPr>
          <w:rFonts w:ascii="宋体" w:hAnsi="宋体" w:cs="宋体"/>
          <w:color w:val="auto"/>
          <w:sz w:val="28"/>
          <w:szCs w:val="28"/>
        </w:rPr>
        <w:t>ZJWS2021-LQ127</w:t>
      </w:r>
    </w:p>
    <w:p>
      <w:pPr>
        <w:shd w:val="clear" w:color="auto" w:fill="FFFFFF"/>
        <w:tabs>
          <w:tab w:val="left" w:pos="1860"/>
        </w:tabs>
        <w:spacing w:line="360" w:lineRule="auto"/>
        <w:textAlignment w:val="bottom"/>
        <w:rPr>
          <w:rFonts w:ascii="宋体"/>
          <w:color w:val="auto"/>
          <w:kern w:val="0"/>
          <w:sz w:val="28"/>
          <w:szCs w:val="28"/>
        </w:rPr>
      </w:pPr>
    </w:p>
    <w:p>
      <w:pPr>
        <w:shd w:val="clear" w:color="auto" w:fill="FFFFFF"/>
        <w:spacing w:line="360" w:lineRule="auto"/>
        <w:textAlignment w:val="bottom"/>
        <w:rPr>
          <w:rFonts w:ascii="宋体"/>
          <w:color w:val="auto"/>
          <w:kern w:val="0"/>
          <w:sz w:val="28"/>
          <w:szCs w:val="28"/>
        </w:rPr>
      </w:pPr>
    </w:p>
    <w:p>
      <w:pPr>
        <w:autoSpaceDE w:val="0"/>
        <w:autoSpaceDN w:val="0"/>
        <w:adjustRightInd w:val="0"/>
        <w:spacing w:line="360" w:lineRule="auto"/>
        <w:jc w:val="center"/>
        <w:rPr>
          <w:rFonts w:ascii="宋体"/>
          <w:color w:val="auto"/>
          <w:kern w:val="0"/>
          <w:sz w:val="28"/>
          <w:szCs w:val="28"/>
        </w:rPr>
      </w:pPr>
      <w:r>
        <w:rPr>
          <w:rFonts w:ascii="宋体" w:cs="宋体"/>
          <w:color w:val="auto"/>
          <w:kern w:val="0"/>
          <w:sz w:val="28"/>
          <w:szCs w:val="28"/>
        </w:rPr>
        <w:t xml:space="preserve">     </w:t>
      </w:r>
      <w:r>
        <w:rPr>
          <w:rFonts w:hint="eastAsia" w:ascii="宋体" w:cs="宋体"/>
          <w:color w:val="auto"/>
          <w:kern w:val="0"/>
          <w:sz w:val="28"/>
          <w:szCs w:val="28"/>
        </w:rPr>
        <w:t>采购项目：台州市路桥区垃圾填埋场渗滤液</w:t>
      </w:r>
    </w:p>
    <w:p>
      <w:pPr>
        <w:autoSpaceDE w:val="0"/>
        <w:autoSpaceDN w:val="0"/>
        <w:adjustRightInd w:val="0"/>
        <w:spacing w:line="360" w:lineRule="auto"/>
        <w:jc w:val="center"/>
        <w:rPr>
          <w:rFonts w:ascii="宋体"/>
          <w:color w:val="auto"/>
          <w:kern w:val="0"/>
          <w:sz w:val="28"/>
          <w:szCs w:val="28"/>
        </w:rPr>
      </w:pPr>
      <w:r>
        <w:rPr>
          <w:rFonts w:ascii="宋体" w:cs="宋体"/>
          <w:color w:val="auto"/>
          <w:kern w:val="0"/>
          <w:sz w:val="28"/>
          <w:szCs w:val="28"/>
        </w:rPr>
        <w:t xml:space="preserve">   </w:t>
      </w:r>
      <w:r>
        <w:rPr>
          <w:rFonts w:hint="eastAsia" w:ascii="宋体" w:cs="宋体"/>
          <w:color w:val="auto"/>
          <w:kern w:val="0"/>
          <w:sz w:val="28"/>
          <w:szCs w:val="28"/>
        </w:rPr>
        <w:t>处理运管服务项目</w:t>
      </w:r>
    </w:p>
    <w:p>
      <w:pPr>
        <w:autoSpaceDE w:val="0"/>
        <w:autoSpaceDN w:val="0"/>
        <w:adjustRightInd w:val="0"/>
        <w:spacing w:line="360" w:lineRule="auto"/>
        <w:ind w:firstLine="2240" w:firstLineChars="800"/>
        <w:rPr>
          <w:rFonts w:ascii="宋体"/>
          <w:color w:val="auto"/>
          <w:kern w:val="0"/>
          <w:sz w:val="28"/>
          <w:szCs w:val="28"/>
        </w:rPr>
      </w:pPr>
      <w:r>
        <w:rPr>
          <w:rFonts w:hint="eastAsia" w:ascii="宋体" w:cs="宋体"/>
          <w:color w:val="auto"/>
          <w:kern w:val="0"/>
          <w:sz w:val="28"/>
          <w:szCs w:val="28"/>
        </w:rPr>
        <w:t>采购单位：台州市路桥区环卫园林服务中心</w:t>
      </w:r>
    </w:p>
    <w:p>
      <w:pPr>
        <w:autoSpaceDE w:val="0"/>
        <w:autoSpaceDN w:val="0"/>
        <w:adjustRightInd w:val="0"/>
        <w:spacing w:line="360" w:lineRule="auto"/>
        <w:rPr>
          <w:rFonts w:ascii="宋体"/>
          <w:color w:val="auto"/>
          <w:kern w:val="0"/>
          <w:sz w:val="28"/>
          <w:szCs w:val="28"/>
        </w:rPr>
      </w:pPr>
    </w:p>
    <w:p>
      <w:pPr>
        <w:autoSpaceDE w:val="0"/>
        <w:autoSpaceDN w:val="0"/>
        <w:adjustRightInd w:val="0"/>
        <w:spacing w:line="360" w:lineRule="auto"/>
        <w:jc w:val="center"/>
        <w:rPr>
          <w:rFonts w:ascii="宋体"/>
          <w:color w:val="auto"/>
          <w:kern w:val="0"/>
          <w:sz w:val="28"/>
          <w:szCs w:val="28"/>
        </w:rPr>
      </w:pPr>
      <w:r>
        <w:rPr>
          <w:rFonts w:ascii="宋体" w:cs="宋体"/>
          <w:color w:val="auto"/>
          <w:kern w:val="0"/>
          <w:sz w:val="28"/>
          <w:szCs w:val="28"/>
        </w:rPr>
        <w:t xml:space="preserve"> </w:t>
      </w:r>
      <w:r>
        <w:rPr>
          <w:rFonts w:hint="eastAsia" w:ascii="宋体" w:cs="宋体"/>
          <w:color w:val="auto"/>
          <w:kern w:val="0"/>
          <w:sz w:val="28"/>
          <w:szCs w:val="28"/>
        </w:rPr>
        <w:t>代理机构：浙江五石工程咨询有限公司</w:t>
      </w:r>
    </w:p>
    <w:p>
      <w:pPr>
        <w:autoSpaceDE w:val="0"/>
        <w:autoSpaceDN w:val="0"/>
        <w:adjustRightInd w:val="0"/>
        <w:spacing w:line="360" w:lineRule="auto"/>
        <w:jc w:val="center"/>
        <w:rPr>
          <w:rFonts w:ascii="宋体"/>
          <w:color w:val="auto"/>
          <w:kern w:val="0"/>
          <w:sz w:val="28"/>
          <w:szCs w:val="28"/>
        </w:rPr>
      </w:pPr>
      <w:r>
        <w:rPr>
          <w:rFonts w:hint="eastAsia" w:ascii="宋体" w:cs="宋体"/>
          <w:color w:val="auto"/>
          <w:kern w:val="0"/>
          <w:sz w:val="28"/>
          <w:szCs w:val="28"/>
        </w:rPr>
        <w:t>二○二一年</w:t>
      </w:r>
      <w:r>
        <w:rPr>
          <w:rFonts w:hint="eastAsia" w:ascii="宋体" w:cs="宋体"/>
          <w:color w:val="auto"/>
          <w:kern w:val="0"/>
          <w:sz w:val="28"/>
          <w:szCs w:val="28"/>
          <w:lang w:val="en-US" w:eastAsia="zh-CN"/>
        </w:rPr>
        <w:t>八</w:t>
      </w:r>
      <w:r>
        <w:rPr>
          <w:rFonts w:hint="eastAsia" w:ascii="宋体" w:cs="宋体"/>
          <w:color w:val="auto"/>
          <w:kern w:val="0"/>
          <w:sz w:val="28"/>
          <w:szCs w:val="28"/>
        </w:rPr>
        <w:t>月</w:t>
      </w: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p>
    <w:p>
      <w:pPr>
        <w:pStyle w:val="23"/>
        <w:ind w:left="31680"/>
        <w:rPr>
          <w:color w:val="auto"/>
        </w:rPr>
      </w:pPr>
    </w:p>
    <w:p>
      <w:pPr>
        <w:spacing w:line="360" w:lineRule="auto"/>
        <w:ind w:firstLine="480" w:firstLineChars="200"/>
        <w:rPr>
          <w:rFonts w:ascii="宋体"/>
          <w:color w:val="auto"/>
          <w:sz w:val="24"/>
          <w:szCs w:val="24"/>
        </w:rPr>
      </w:pPr>
    </w:p>
    <w:p>
      <w:pPr>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pPr>
        <w:spacing w:line="360" w:lineRule="auto"/>
        <w:rPr>
          <w:rFonts w:ascii="宋体"/>
          <w:color w:val="auto"/>
          <w:sz w:val="28"/>
          <w:szCs w:val="28"/>
        </w:rPr>
      </w:pPr>
    </w:p>
    <w:p>
      <w:pPr>
        <w:spacing w:line="360" w:lineRule="auto"/>
        <w:rPr>
          <w:rFonts w:ascii="宋体"/>
          <w:b/>
          <w:bCs/>
          <w:color w:val="auto"/>
          <w:sz w:val="32"/>
          <w:szCs w:val="32"/>
        </w:rPr>
      </w:pPr>
      <w:r>
        <w:rPr>
          <w:rFonts w:hint="eastAsia" w:ascii="宋体" w:hAnsi="宋体" w:cs="宋体"/>
          <w:b/>
          <w:bCs/>
          <w:color w:val="auto"/>
          <w:sz w:val="32"/>
          <w:szCs w:val="32"/>
        </w:rPr>
        <w:t>第一章</w:t>
      </w:r>
      <w:r>
        <w:rPr>
          <w:rFonts w:ascii="宋体" w:hAnsi="宋体" w:cs="宋体"/>
          <w:b/>
          <w:bCs/>
          <w:color w:val="auto"/>
          <w:sz w:val="32"/>
          <w:szCs w:val="32"/>
        </w:rPr>
        <w:t xml:space="preserve"> </w:t>
      </w:r>
      <w:r>
        <w:rPr>
          <w:rFonts w:hint="eastAsia" w:ascii="宋体" w:hAnsi="宋体" w:cs="宋体"/>
          <w:b/>
          <w:bCs/>
          <w:color w:val="auto"/>
          <w:sz w:val="32"/>
          <w:szCs w:val="32"/>
        </w:rPr>
        <w:t>公开招标采购公告</w:t>
      </w:r>
    </w:p>
    <w:p>
      <w:pPr>
        <w:spacing w:line="360" w:lineRule="auto"/>
        <w:rPr>
          <w:rFonts w:ascii="宋体"/>
          <w:b/>
          <w:bCs/>
          <w:color w:val="auto"/>
          <w:sz w:val="32"/>
          <w:szCs w:val="32"/>
        </w:rPr>
      </w:pPr>
      <w:r>
        <w:rPr>
          <w:rFonts w:hint="eastAsia" w:ascii="宋体" w:hAnsi="宋体" w:cs="宋体"/>
          <w:b/>
          <w:bCs/>
          <w:color w:val="auto"/>
          <w:sz w:val="32"/>
          <w:szCs w:val="32"/>
        </w:rPr>
        <w:t>第二章</w:t>
      </w:r>
      <w:r>
        <w:rPr>
          <w:rFonts w:ascii="宋体" w:hAnsi="宋体" w:cs="宋体"/>
          <w:b/>
          <w:bCs/>
          <w:color w:val="auto"/>
          <w:sz w:val="32"/>
          <w:szCs w:val="32"/>
        </w:rPr>
        <w:t xml:space="preserve"> </w:t>
      </w:r>
      <w:r>
        <w:rPr>
          <w:rFonts w:hint="eastAsia" w:ascii="宋体" w:hAnsi="宋体" w:cs="宋体"/>
          <w:b/>
          <w:bCs/>
          <w:color w:val="auto"/>
          <w:sz w:val="32"/>
          <w:szCs w:val="32"/>
        </w:rPr>
        <w:t>投标人须知</w:t>
      </w:r>
    </w:p>
    <w:p>
      <w:pPr>
        <w:spacing w:line="360" w:lineRule="auto"/>
        <w:rPr>
          <w:rFonts w:ascii="宋体"/>
          <w:b/>
          <w:bCs/>
          <w:color w:val="auto"/>
          <w:sz w:val="32"/>
          <w:szCs w:val="32"/>
        </w:rPr>
      </w:pPr>
      <w:r>
        <w:rPr>
          <w:rFonts w:hint="eastAsia" w:ascii="宋体" w:hAnsi="宋体" w:cs="宋体"/>
          <w:b/>
          <w:bCs/>
          <w:color w:val="auto"/>
          <w:sz w:val="32"/>
          <w:szCs w:val="32"/>
        </w:rPr>
        <w:t>第三章</w:t>
      </w:r>
      <w:r>
        <w:rPr>
          <w:rFonts w:ascii="宋体" w:hAnsi="宋体" w:cs="宋体"/>
          <w:b/>
          <w:bCs/>
          <w:color w:val="auto"/>
          <w:sz w:val="32"/>
          <w:szCs w:val="32"/>
        </w:rPr>
        <w:t xml:space="preserve"> </w:t>
      </w:r>
      <w:r>
        <w:rPr>
          <w:rFonts w:hint="eastAsia" w:ascii="宋体" w:hAnsi="宋体" w:cs="宋体"/>
          <w:b/>
          <w:bCs/>
          <w:color w:val="auto"/>
          <w:sz w:val="32"/>
          <w:szCs w:val="32"/>
        </w:rPr>
        <w:t>评标办法及评分标准</w:t>
      </w:r>
    </w:p>
    <w:p>
      <w:pPr>
        <w:spacing w:line="360" w:lineRule="auto"/>
        <w:rPr>
          <w:rFonts w:ascii="宋体"/>
          <w:b/>
          <w:bCs/>
          <w:color w:val="auto"/>
          <w:sz w:val="32"/>
          <w:szCs w:val="32"/>
        </w:rPr>
      </w:pPr>
      <w:r>
        <w:rPr>
          <w:rFonts w:hint="eastAsia" w:ascii="宋体" w:hAnsi="宋体" w:cs="宋体"/>
          <w:b/>
          <w:bCs/>
          <w:color w:val="auto"/>
          <w:sz w:val="32"/>
          <w:szCs w:val="32"/>
        </w:rPr>
        <w:t>第四章</w:t>
      </w:r>
      <w:r>
        <w:rPr>
          <w:rFonts w:ascii="宋体" w:hAnsi="宋体" w:cs="宋体"/>
          <w:b/>
          <w:bCs/>
          <w:color w:val="auto"/>
          <w:sz w:val="32"/>
          <w:szCs w:val="32"/>
        </w:rPr>
        <w:t xml:space="preserve"> </w:t>
      </w:r>
      <w:r>
        <w:rPr>
          <w:rFonts w:hint="eastAsia" w:ascii="宋体" w:hAnsi="宋体" w:cs="宋体"/>
          <w:b/>
          <w:bCs/>
          <w:color w:val="auto"/>
          <w:sz w:val="32"/>
          <w:szCs w:val="32"/>
        </w:rPr>
        <w:t>公开招标需求</w:t>
      </w:r>
    </w:p>
    <w:p>
      <w:pPr>
        <w:spacing w:line="360" w:lineRule="auto"/>
        <w:rPr>
          <w:rFonts w:ascii="宋体"/>
          <w:b/>
          <w:bCs/>
          <w:color w:val="auto"/>
          <w:sz w:val="32"/>
          <w:szCs w:val="32"/>
        </w:rPr>
      </w:pPr>
      <w:r>
        <w:rPr>
          <w:rFonts w:hint="eastAsia" w:ascii="宋体" w:hAnsi="宋体" w:cs="宋体"/>
          <w:b/>
          <w:bCs/>
          <w:color w:val="auto"/>
          <w:sz w:val="32"/>
          <w:szCs w:val="32"/>
        </w:rPr>
        <w:t>第五章</w:t>
      </w:r>
      <w:r>
        <w:rPr>
          <w:rFonts w:ascii="宋体" w:hAnsi="宋体" w:cs="宋体"/>
          <w:b/>
          <w:bCs/>
          <w:color w:val="auto"/>
          <w:sz w:val="32"/>
          <w:szCs w:val="32"/>
        </w:rPr>
        <w:t xml:space="preserve"> </w:t>
      </w:r>
      <w:r>
        <w:rPr>
          <w:rFonts w:hint="eastAsia" w:ascii="宋体" w:hAnsi="宋体" w:cs="宋体"/>
          <w:b/>
          <w:bCs/>
          <w:color w:val="auto"/>
          <w:sz w:val="32"/>
          <w:szCs w:val="32"/>
        </w:rPr>
        <w:t>政府采购合同主要条款指引</w:t>
      </w:r>
    </w:p>
    <w:p>
      <w:pPr>
        <w:spacing w:line="360" w:lineRule="auto"/>
        <w:rPr>
          <w:rFonts w:ascii="宋体"/>
          <w:b/>
          <w:bCs/>
          <w:color w:val="auto"/>
          <w:sz w:val="32"/>
          <w:szCs w:val="32"/>
        </w:rPr>
      </w:pPr>
      <w:r>
        <w:rPr>
          <w:rFonts w:hint="eastAsia" w:ascii="宋体" w:hAnsi="宋体" w:cs="宋体"/>
          <w:b/>
          <w:bCs/>
          <w:color w:val="auto"/>
          <w:sz w:val="32"/>
          <w:szCs w:val="32"/>
        </w:rPr>
        <w:t>第六章</w:t>
      </w:r>
      <w:r>
        <w:rPr>
          <w:rFonts w:ascii="宋体" w:hAnsi="宋体" w:cs="宋体"/>
          <w:b/>
          <w:bCs/>
          <w:color w:val="auto"/>
          <w:sz w:val="32"/>
          <w:szCs w:val="32"/>
        </w:rPr>
        <w:t xml:space="preserve"> </w:t>
      </w:r>
      <w:r>
        <w:rPr>
          <w:rFonts w:hint="eastAsia" w:ascii="宋体" w:hAnsi="宋体" w:cs="宋体"/>
          <w:b/>
          <w:bCs/>
          <w:color w:val="auto"/>
          <w:sz w:val="32"/>
          <w:szCs w:val="32"/>
        </w:rPr>
        <w:t>投标文件格式附件</w:t>
      </w: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ind w:firstLine="723" w:firstLineChars="200"/>
        <w:jc w:val="center"/>
        <w:rPr>
          <w:rFonts w:ascii="宋体"/>
          <w:b/>
          <w:bCs/>
          <w:color w:val="auto"/>
          <w:sz w:val="36"/>
          <w:szCs w:val="36"/>
        </w:rPr>
      </w:pPr>
      <w:r>
        <w:rPr>
          <w:rFonts w:hint="eastAsia" w:ascii="宋体" w:hAnsi="宋体" w:cs="宋体"/>
          <w:b/>
          <w:bCs/>
          <w:color w:val="auto"/>
          <w:sz w:val="36"/>
          <w:szCs w:val="36"/>
        </w:rPr>
        <w:t>第一章</w:t>
      </w:r>
      <w:r>
        <w:rPr>
          <w:rFonts w:ascii="宋体" w:hAnsi="宋体" w:cs="宋体"/>
          <w:b/>
          <w:bCs/>
          <w:color w:val="auto"/>
          <w:sz w:val="36"/>
          <w:szCs w:val="36"/>
        </w:rPr>
        <w:t xml:space="preserve"> </w:t>
      </w:r>
      <w:r>
        <w:rPr>
          <w:rFonts w:hint="eastAsia" w:ascii="宋体" w:hAnsi="宋体" w:cs="宋体"/>
          <w:b/>
          <w:bCs/>
          <w:color w:val="auto"/>
          <w:sz w:val="36"/>
          <w:szCs w:val="36"/>
        </w:rPr>
        <w:t>公开招标采购公告</w:t>
      </w:r>
    </w:p>
    <w:p>
      <w:pPr>
        <w:spacing w:line="360" w:lineRule="auto"/>
        <w:ind w:firstLine="480" w:firstLineChars="200"/>
        <w:rPr>
          <w:rFonts w:ascii="宋体"/>
          <w:color w:val="auto"/>
          <w:sz w:val="24"/>
          <w:szCs w:val="24"/>
        </w:rPr>
      </w:pPr>
      <w:r>
        <w:rPr>
          <w:rFonts w:hint="eastAsia" w:ascii="宋体" w:hAnsi="宋体" w:cs="宋体"/>
          <w:color w:val="auto"/>
          <w:sz w:val="24"/>
          <w:szCs w:val="24"/>
        </w:rPr>
        <w:t>根据《中华人民共和国政府采购法》、《中华人民共和国政府采购法实施条例》和财政部令第</w:t>
      </w:r>
      <w:r>
        <w:rPr>
          <w:rFonts w:ascii="宋体" w:hAnsi="宋体" w:cs="宋体"/>
          <w:color w:val="auto"/>
          <w:sz w:val="24"/>
          <w:szCs w:val="24"/>
        </w:rPr>
        <w:t>87</w:t>
      </w:r>
      <w:r>
        <w:rPr>
          <w:rFonts w:hint="eastAsia" w:ascii="宋体" w:hAnsi="宋体" w:cs="宋体"/>
          <w:color w:val="auto"/>
          <w:sz w:val="24"/>
          <w:szCs w:val="24"/>
        </w:rPr>
        <w:t>号《政府采购货物和服务招标投标管理办法》等有关规定</w:t>
      </w:r>
      <w:r>
        <w:rPr>
          <w:rFonts w:ascii="宋体" w:hAnsi="宋体" w:cs="宋体"/>
          <w:color w:val="auto"/>
          <w:sz w:val="24"/>
          <w:szCs w:val="24"/>
        </w:rPr>
        <w:t xml:space="preserve">, </w:t>
      </w:r>
      <w:r>
        <w:rPr>
          <w:rFonts w:hint="eastAsia" w:ascii="宋体" w:hAnsi="宋体" w:cs="宋体"/>
          <w:b/>
          <w:bCs/>
          <w:color w:val="auto"/>
          <w:sz w:val="24"/>
          <w:szCs w:val="24"/>
        </w:rPr>
        <w:t>浙江五石工程咨询有限公司</w:t>
      </w:r>
      <w:r>
        <w:rPr>
          <w:rFonts w:hint="eastAsia" w:ascii="宋体" w:hAnsi="宋体" w:cs="宋体"/>
          <w:color w:val="auto"/>
          <w:sz w:val="24"/>
          <w:szCs w:val="24"/>
        </w:rPr>
        <w:t>受</w:t>
      </w:r>
      <w:r>
        <w:rPr>
          <w:rFonts w:hint="eastAsia" w:ascii="宋体" w:hAnsi="宋体" w:cs="宋体"/>
          <w:b/>
          <w:bCs/>
          <w:color w:val="auto"/>
          <w:sz w:val="24"/>
          <w:szCs w:val="24"/>
        </w:rPr>
        <w:t>台州市路桥区环卫园林服务中心</w:t>
      </w:r>
      <w:r>
        <w:rPr>
          <w:rFonts w:hint="eastAsia" w:ascii="宋体" w:hAnsi="宋体" w:cs="宋体"/>
          <w:color w:val="auto"/>
          <w:sz w:val="24"/>
          <w:szCs w:val="24"/>
        </w:rPr>
        <w:t>委托，现就其</w:t>
      </w:r>
      <w:r>
        <w:rPr>
          <w:rFonts w:hint="eastAsia" w:ascii="宋体" w:hAnsi="宋体" w:cs="宋体"/>
          <w:b/>
          <w:bCs/>
          <w:color w:val="auto"/>
          <w:sz w:val="24"/>
          <w:szCs w:val="24"/>
        </w:rPr>
        <w:t>台州市路桥区垃圾填埋场渗滤液处理运管服务项目</w:t>
      </w:r>
      <w:r>
        <w:rPr>
          <w:rFonts w:hint="eastAsia" w:ascii="宋体" w:hAnsi="宋体" w:cs="宋体"/>
          <w:color w:val="auto"/>
          <w:sz w:val="24"/>
          <w:szCs w:val="24"/>
        </w:rPr>
        <w:t>进行公开招标采购，欢迎合格供应商前来投标。</w:t>
      </w:r>
    </w:p>
    <w:p>
      <w:pPr>
        <w:spacing w:line="360" w:lineRule="auto"/>
        <w:ind w:firstLine="482" w:firstLineChars="200"/>
        <w:rPr>
          <w:rFonts w:ascii="宋体"/>
          <w:color w:val="auto"/>
          <w:sz w:val="24"/>
          <w:szCs w:val="24"/>
        </w:rPr>
      </w:pPr>
      <w:r>
        <w:rPr>
          <w:rFonts w:hint="eastAsia" w:ascii="宋体" w:hAnsi="宋体" w:cs="宋体"/>
          <w:b/>
          <w:bCs/>
          <w:color w:val="auto"/>
          <w:sz w:val="24"/>
          <w:szCs w:val="24"/>
        </w:rPr>
        <w:t>一、项目编号：</w:t>
      </w:r>
      <w:r>
        <w:rPr>
          <w:rFonts w:ascii="宋体" w:hAnsi="宋体" w:cs="宋体"/>
          <w:color w:val="auto"/>
          <w:sz w:val="24"/>
          <w:szCs w:val="24"/>
        </w:rPr>
        <w:t>ZJWS2021-LQ127</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二、招标项目概况：</w:t>
      </w:r>
    </w:p>
    <w:tbl>
      <w:tblPr>
        <w:tblStyle w:val="24"/>
        <w:tblW w:w="99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97"/>
        <w:gridCol w:w="2541"/>
        <w:gridCol w:w="750"/>
        <w:gridCol w:w="800"/>
        <w:gridCol w:w="1230"/>
        <w:gridCol w:w="1000"/>
        <w:gridCol w:w="29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4" w:hRule="atLeast"/>
          <w:tblHeader/>
          <w:jc w:val="center"/>
        </w:trPr>
        <w:tc>
          <w:tcPr>
            <w:tcW w:w="697"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标段</w:t>
            </w:r>
          </w:p>
        </w:tc>
        <w:tc>
          <w:tcPr>
            <w:tcW w:w="2541"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采购内容</w:t>
            </w:r>
          </w:p>
        </w:tc>
        <w:tc>
          <w:tcPr>
            <w:tcW w:w="750"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数量</w:t>
            </w:r>
          </w:p>
        </w:tc>
        <w:tc>
          <w:tcPr>
            <w:tcW w:w="800"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单位</w:t>
            </w:r>
          </w:p>
        </w:tc>
        <w:tc>
          <w:tcPr>
            <w:tcW w:w="1230"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预算金额（元</w:t>
            </w:r>
            <w:r>
              <w:rPr>
                <w:rFonts w:ascii="宋体" w:hAnsi="宋体" w:cs="宋体"/>
                <w:b/>
                <w:bCs/>
                <w:color w:val="auto"/>
                <w:sz w:val="24"/>
                <w:szCs w:val="24"/>
              </w:rPr>
              <w:t>/</w:t>
            </w:r>
            <w:r>
              <w:rPr>
                <w:rFonts w:hint="eastAsia" w:ascii="宋体" w:hAnsi="宋体" w:cs="宋体"/>
                <w:b/>
                <w:bCs/>
                <w:color w:val="auto"/>
                <w:sz w:val="24"/>
                <w:szCs w:val="24"/>
              </w:rPr>
              <w:t>三年）</w:t>
            </w:r>
          </w:p>
        </w:tc>
        <w:tc>
          <w:tcPr>
            <w:tcW w:w="1000"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单价最高限价（元</w:t>
            </w:r>
            <w:r>
              <w:rPr>
                <w:rFonts w:ascii="宋体" w:hAnsi="宋体" w:cs="宋体"/>
                <w:b/>
                <w:bCs/>
                <w:color w:val="auto"/>
                <w:sz w:val="24"/>
                <w:szCs w:val="24"/>
              </w:rPr>
              <w:t>/</w:t>
            </w:r>
            <w:r>
              <w:rPr>
                <w:rFonts w:hint="eastAsia" w:ascii="宋体" w:hAnsi="宋体" w:cs="宋体"/>
                <w:b/>
                <w:bCs/>
                <w:color w:val="auto"/>
                <w:sz w:val="24"/>
                <w:szCs w:val="24"/>
              </w:rPr>
              <w:t>立方米）</w:t>
            </w:r>
          </w:p>
        </w:tc>
        <w:tc>
          <w:tcPr>
            <w:tcW w:w="2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auto"/>
                <w:sz w:val="24"/>
                <w:szCs w:val="24"/>
                <w:highlight w:val="yellow"/>
              </w:rPr>
            </w:pPr>
            <w:r>
              <w:rPr>
                <w:rFonts w:hint="eastAsia" w:ascii="宋体" w:hAnsi="宋体" w:cs="宋体"/>
                <w:b/>
                <w:bCs/>
                <w:color w:val="auto"/>
                <w:sz w:val="24"/>
                <w:szCs w:val="24"/>
                <w:highlight w:val="none"/>
              </w:rPr>
              <w:t>服务期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1" w:hRule="atLeast"/>
          <w:jc w:val="center"/>
        </w:trPr>
        <w:tc>
          <w:tcPr>
            <w:tcW w:w="697"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ascii="宋体" w:hAnsi="宋体" w:cs="宋体"/>
                <w:b/>
                <w:bCs/>
                <w:color w:val="auto"/>
                <w:sz w:val="24"/>
                <w:szCs w:val="24"/>
              </w:rPr>
              <w:t>1</w:t>
            </w:r>
          </w:p>
        </w:tc>
        <w:tc>
          <w:tcPr>
            <w:tcW w:w="2541"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垃圾填埋场渗滤液处理运管服务项目</w:t>
            </w:r>
          </w:p>
        </w:tc>
        <w:tc>
          <w:tcPr>
            <w:tcW w:w="750"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ascii="宋体" w:hAnsi="宋体" w:cs="宋体"/>
                <w:b/>
                <w:bCs/>
                <w:color w:val="auto"/>
                <w:sz w:val="24"/>
                <w:szCs w:val="24"/>
              </w:rPr>
              <w:t>1</w:t>
            </w:r>
          </w:p>
        </w:tc>
        <w:tc>
          <w:tcPr>
            <w:tcW w:w="800"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项</w:t>
            </w:r>
          </w:p>
        </w:tc>
        <w:tc>
          <w:tcPr>
            <w:tcW w:w="1230" w:type="dxa"/>
            <w:tcMar>
              <w:top w:w="75" w:type="dxa"/>
              <w:left w:w="75" w:type="dxa"/>
              <w:bottom w:w="75" w:type="dxa"/>
              <w:right w:w="75" w:type="dxa"/>
            </w:tcMar>
            <w:vAlign w:val="center"/>
          </w:tcPr>
          <w:p>
            <w:pPr>
              <w:spacing w:line="360" w:lineRule="auto"/>
              <w:jc w:val="center"/>
              <w:rPr>
                <w:rFonts w:ascii="宋体"/>
                <w:b/>
                <w:bCs/>
                <w:color w:val="auto"/>
                <w:sz w:val="24"/>
                <w:szCs w:val="24"/>
              </w:rPr>
            </w:pPr>
            <w:r>
              <w:rPr>
                <w:rFonts w:ascii="仿宋" w:hAnsi="仿宋" w:eastAsia="仿宋" w:cs="仿宋"/>
                <w:color w:val="auto"/>
                <w:sz w:val="27"/>
                <w:szCs w:val="27"/>
              </w:rPr>
              <w:t>15056250</w:t>
            </w:r>
          </w:p>
        </w:tc>
        <w:tc>
          <w:tcPr>
            <w:tcW w:w="1000" w:type="dxa"/>
            <w:vAlign w:val="center"/>
          </w:tcPr>
          <w:p>
            <w:pPr>
              <w:spacing w:line="360" w:lineRule="auto"/>
              <w:jc w:val="center"/>
              <w:rPr>
                <w:rFonts w:ascii="宋体"/>
                <w:b/>
                <w:bCs/>
                <w:color w:val="auto"/>
                <w:sz w:val="24"/>
                <w:szCs w:val="24"/>
              </w:rPr>
            </w:pPr>
            <w:r>
              <w:rPr>
                <w:rFonts w:ascii="宋体" w:hAnsi="宋体" w:cs="宋体"/>
                <w:b/>
                <w:bCs/>
                <w:color w:val="auto"/>
                <w:sz w:val="24"/>
                <w:szCs w:val="24"/>
              </w:rPr>
              <w:t>55</w:t>
            </w:r>
          </w:p>
        </w:tc>
        <w:tc>
          <w:tcPr>
            <w:tcW w:w="2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eastAsia="宋体"/>
                <w:b/>
                <w:bCs/>
                <w:color w:val="auto"/>
                <w:sz w:val="24"/>
                <w:szCs w:val="24"/>
                <w:highlight w:val="yellow"/>
                <w:lang w:val="en-US" w:eastAsia="zh-CN"/>
              </w:rPr>
            </w:pPr>
            <w:r>
              <w:rPr>
                <w:rFonts w:hint="eastAsia" w:ascii="宋体" w:hAnsi="宋体" w:cs="宋体"/>
                <w:b/>
                <w:bCs/>
                <w:color w:val="auto"/>
                <w:sz w:val="24"/>
                <w:szCs w:val="24"/>
                <w:highlight w:val="none"/>
              </w:rPr>
              <w:t>三年</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合同一年一签（</w:t>
            </w:r>
            <w:r>
              <w:rPr>
                <w:rFonts w:hint="default" w:cs="Times New Roman"/>
                <w:color w:val="auto"/>
                <w:sz w:val="24"/>
                <w:szCs w:val="24"/>
                <w:lang w:val="en-US" w:eastAsia="zh-CN"/>
              </w:rPr>
              <w:t>续签年份财政预算金额未达到原合同金额且中标供应商不同意按新的预算金额续签合同的或者续签年份财政预算未通过的，续签合同的约定自动失效，续签最多二次，新合同中供应商利益不得高于原合同，新合同签订之前必须报监督部门审批并备案</w:t>
            </w:r>
            <w:r>
              <w:rPr>
                <w:rFonts w:hint="eastAsia" w:cs="Times New Roman"/>
                <w:color w:val="auto"/>
                <w:sz w:val="24"/>
                <w:szCs w:val="24"/>
                <w:lang w:val="en-US" w:eastAsia="zh-CN"/>
              </w:rPr>
              <w:t>）</w:t>
            </w:r>
          </w:p>
        </w:tc>
      </w:tr>
    </w:tbl>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三、合格投标人的资格条件：</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）符合《中华人民共和国政府采购法》第二十二条要求；</w:t>
      </w:r>
      <w:r>
        <w:rPr>
          <w:rFonts w:ascii="宋体" w:hAnsi="宋体" w:cs="宋体"/>
          <w:color w:val="auto"/>
          <w:sz w:val="24"/>
          <w:szCs w:val="24"/>
        </w:rPr>
        <w:t xml:space="preserve"> </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）投标供应商必须同时具有环境工程（水污染防治工程）专项乙级或以上设计资质和环保工程专业承包叁级或其以上资质。</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）本项目不接受联合体投标。</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四、招标文件获取的方式、时间：</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、获取时间：自本公告发布之日起至响应文件递交截止时间止（以供应商完成获取采购文件申请后下载采购文件的时间为准）。</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、地点：</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）政采云平台（</w:t>
      </w:r>
      <w:r>
        <w:rPr>
          <w:color w:val="auto"/>
        </w:rPr>
        <w:fldChar w:fldCharType="begin"/>
      </w:r>
      <w:r>
        <w:rPr>
          <w:color w:val="auto"/>
        </w:rPr>
        <w:instrText xml:space="preserve"> HYPERLINK "http://zfcg.czt.zj.gov.cn/" </w:instrText>
      </w:r>
      <w:r>
        <w:rPr>
          <w:color w:val="auto"/>
        </w:rPr>
        <w:fldChar w:fldCharType="separate"/>
      </w:r>
      <w:r>
        <w:rPr>
          <w:rFonts w:ascii="宋体" w:hAnsi="宋体" w:cs="宋体"/>
          <w:color w:val="auto"/>
          <w:sz w:val="24"/>
          <w:szCs w:val="24"/>
        </w:rPr>
        <w:t>http</w:t>
      </w:r>
      <w:r>
        <w:rPr>
          <w:rFonts w:hint="eastAsia" w:ascii="宋体" w:hAnsi="宋体" w:cs="宋体"/>
          <w:color w:val="auto"/>
          <w:sz w:val="24"/>
          <w:szCs w:val="24"/>
        </w:rPr>
        <w:t>：</w:t>
      </w:r>
      <w:r>
        <w:rPr>
          <w:rFonts w:ascii="宋体" w:hAnsi="宋体" w:cs="宋体"/>
          <w:color w:val="auto"/>
          <w:sz w:val="24"/>
          <w:szCs w:val="24"/>
        </w:rPr>
        <w:t>//zfcg.czt.zj.gov.cn</w:t>
      </w:r>
      <w:r>
        <w:rPr>
          <w:rFonts w:ascii="宋体" w:hAnsi="宋体" w:cs="宋体"/>
          <w:color w:val="auto"/>
          <w:sz w:val="24"/>
          <w:szCs w:val="24"/>
        </w:rPr>
        <w:fldChar w:fldCharType="end"/>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）供应商网上报名操作指南：“浙江政府采购网</w:t>
      </w:r>
      <w:r>
        <w:rPr>
          <w:rFonts w:ascii="宋体" w:cs="宋体"/>
          <w:color w:val="auto"/>
          <w:sz w:val="24"/>
          <w:szCs w:val="24"/>
        </w:rPr>
        <w:t>-</w:t>
      </w:r>
      <w:r>
        <w:rPr>
          <w:rFonts w:hint="eastAsia" w:ascii="宋体" w:hAnsi="宋体" w:cs="宋体"/>
          <w:color w:val="auto"/>
          <w:sz w:val="24"/>
          <w:szCs w:val="24"/>
        </w:rPr>
        <w:t>办事指南</w:t>
      </w:r>
      <w:r>
        <w:rPr>
          <w:rFonts w:ascii="宋体" w:cs="宋体"/>
          <w:color w:val="auto"/>
          <w:sz w:val="24"/>
          <w:szCs w:val="24"/>
        </w:rPr>
        <w:t>-</w:t>
      </w:r>
      <w:r>
        <w:rPr>
          <w:rFonts w:hint="eastAsia" w:ascii="宋体" w:hAnsi="宋体" w:cs="宋体"/>
          <w:color w:val="auto"/>
          <w:sz w:val="24"/>
          <w:szCs w:val="24"/>
        </w:rPr>
        <w:t>省采中心</w:t>
      </w:r>
      <w:r>
        <w:rPr>
          <w:rFonts w:ascii="宋体" w:cs="宋体"/>
          <w:color w:val="auto"/>
          <w:sz w:val="24"/>
          <w:szCs w:val="24"/>
        </w:rPr>
        <w:t>-</w:t>
      </w:r>
      <w:r>
        <w:rPr>
          <w:rFonts w:hint="eastAsia" w:ascii="宋体" w:hAnsi="宋体" w:cs="宋体"/>
          <w:color w:val="auto"/>
          <w:sz w:val="24"/>
          <w:szCs w:val="24"/>
        </w:rPr>
        <w:t>网上报名”（</w:t>
      </w:r>
      <w:r>
        <w:rPr>
          <w:rFonts w:ascii="宋体" w:hAnsi="宋体" w:cs="宋体"/>
          <w:color w:val="auto"/>
          <w:sz w:val="24"/>
          <w:szCs w:val="24"/>
        </w:rPr>
        <w:t>http</w:t>
      </w:r>
      <w:r>
        <w:rPr>
          <w:rFonts w:hint="eastAsia" w:ascii="宋体" w:hAnsi="宋体" w:cs="宋体"/>
          <w:color w:val="auto"/>
          <w:sz w:val="24"/>
          <w:szCs w:val="24"/>
        </w:rPr>
        <w:t>：</w:t>
      </w:r>
      <w:r>
        <w:rPr>
          <w:rFonts w:ascii="宋体" w:hAnsi="宋体" w:cs="宋体"/>
          <w:color w:val="auto"/>
          <w:sz w:val="24"/>
          <w:szCs w:val="24"/>
        </w:rPr>
        <w:t>//zfcg.czt.zj.gov.cn/bs_other/2018-03-30/12002.html</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五、投标说明：</w:t>
      </w:r>
    </w:p>
    <w:p>
      <w:pPr>
        <w:spacing w:line="360" w:lineRule="auto"/>
        <w:ind w:firstLine="480" w:firstLineChars="200"/>
        <w:rPr>
          <w:rFonts w:ascii="宋体"/>
          <w:color w:val="auto"/>
          <w:kern w:val="0"/>
          <w:sz w:val="24"/>
          <w:szCs w:val="24"/>
          <w:u w:val="single"/>
        </w:rPr>
      </w:pPr>
      <w:r>
        <w:rPr>
          <w:rFonts w:ascii="宋体" w:hAnsi="宋体" w:cs="宋体"/>
          <w:color w:val="auto"/>
          <w:kern w:val="0"/>
          <w:sz w:val="24"/>
          <w:szCs w:val="24"/>
          <w:u w:val="single"/>
        </w:rPr>
        <w:t>1.</w:t>
      </w:r>
      <w:r>
        <w:rPr>
          <w:rFonts w:hint="eastAsia" w:ascii="宋体" w:hAnsi="宋体" w:cs="宋体"/>
          <w:color w:val="auto"/>
          <w:kern w:val="0"/>
          <w:sz w:val="24"/>
          <w:szCs w:val="24"/>
          <w:u w:val="single"/>
        </w:rPr>
        <w:t>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ascii="宋体" w:hAnsi="宋体" w:cs="宋体"/>
          <w:color w:val="auto"/>
          <w:kern w:val="0"/>
          <w:sz w:val="24"/>
          <w:szCs w:val="24"/>
          <w:u w:val="single"/>
        </w:rPr>
        <w:t>400-881-7190</w:t>
      </w:r>
      <w:r>
        <w:rPr>
          <w:rFonts w:hint="eastAsia" w:ascii="宋体" w:hAnsi="宋体" w:cs="宋体"/>
          <w:color w:val="auto"/>
          <w:kern w:val="0"/>
          <w:sz w:val="24"/>
          <w:szCs w:val="24"/>
          <w:u w:val="single"/>
        </w:rPr>
        <w:t>。</w:t>
      </w:r>
    </w:p>
    <w:p>
      <w:pPr>
        <w:spacing w:line="360" w:lineRule="auto"/>
        <w:ind w:firstLine="480" w:firstLineChars="200"/>
        <w:rPr>
          <w:rFonts w:ascii="宋体"/>
          <w:color w:val="auto"/>
          <w:kern w:val="0"/>
          <w:sz w:val="24"/>
          <w:szCs w:val="24"/>
          <w:u w:val="single"/>
        </w:rPr>
      </w:pPr>
      <w:r>
        <w:rPr>
          <w:rFonts w:ascii="宋体" w:hAnsi="宋体" w:cs="宋体"/>
          <w:color w:val="auto"/>
          <w:kern w:val="0"/>
          <w:sz w:val="24"/>
          <w:szCs w:val="24"/>
          <w:u w:val="single"/>
        </w:rPr>
        <w:t>2.</w:t>
      </w:r>
      <w:r>
        <w:rPr>
          <w:rFonts w:hint="eastAsia" w:ascii="宋体" w:hAnsi="宋体" w:cs="宋体"/>
          <w:color w:val="auto"/>
          <w:kern w:val="0"/>
          <w:sz w:val="24"/>
          <w:szCs w:val="24"/>
          <w:u w:val="single"/>
        </w:rPr>
        <w:t>投标人通过政采云平台电子投标工具制作投标文件，电子投标工具请供应商自行前往浙江政府采购网下载并安装（下载网址：</w:t>
      </w:r>
      <w:r>
        <w:rPr>
          <w:rFonts w:ascii="宋体" w:hAnsi="宋体" w:cs="宋体"/>
          <w:color w:val="auto"/>
          <w:kern w:val="0"/>
          <w:sz w:val="24"/>
          <w:szCs w:val="24"/>
          <w:u w:val="single"/>
        </w:rPr>
        <w:t>http</w:t>
      </w:r>
      <w:r>
        <w:rPr>
          <w:rFonts w:hint="eastAsia" w:ascii="宋体" w:hAnsi="宋体" w:cs="宋体"/>
          <w:color w:val="auto"/>
          <w:kern w:val="0"/>
          <w:sz w:val="24"/>
          <w:szCs w:val="24"/>
          <w:u w:val="single"/>
        </w:rPr>
        <w:t>：</w:t>
      </w:r>
      <w:r>
        <w:rPr>
          <w:rFonts w:ascii="宋体" w:hAnsi="宋体" w:cs="宋体"/>
          <w:color w:val="auto"/>
          <w:kern w:val="0"/>
          <w:sz w:val="24"/>
          <w:szCs w:val="24"/>
          <w:u w:val="single"/>
        </w:rPr>
        <w:t>//www.zjzfcg.gov.cn/bidClientTemplate/2019-05-27/12946.html</w:t>
      </w:r>
      <w:r>
        <w:rPr>
          <w:rFonts w:hint="eastAsia" w:ascii="宋体" w:hAnsi="宋体" w:cs="宋体"/>
          <w:color w:val="auto"/>
          <w:kern w:val="0"/>
          <w:sz w:val="24"/>
          <w:szCs w:val="24"/>
          <w:u w:val="single"/>
        </w:rPr>
        <w:t>）。</w:t>
      </w:r>
    </w:p>
    <w:p>
      <w:pPr>
        <w:spacing w:line="360" w:lineRule="auto"/>
        <w:ind w:firstLine="480" w:firstLineChars="200"/>
        <w:rPr>
          <w:rFonts w:ascii="宋体"/>
          <w:color w:val="auto"/>
          <w:kern w:val="0"/>
          <w:sz w:val="24"/>
          <w:szCs w:val="24"/>
          <w:u w:val="single"/>
        </w:rPr>
      </w:pPr>
      <w:r>
        <w:rPr>
          <w:rFonts w:ascii="宋体" w:hAnsi="宋体" w:cs="宋体"/>
          <w:color w:val="auto"/>
          <w:kern w:val="0"/>
          <w:sz w:val="24"/>
          <w:szCs w:val="24"/>
          <w:u w:val="single"/>
        </w:rPr>
        <w:t>3.</w:t>
      </w:r>
      <w:r>
        <w:rPr>
          <w:rFonts w:hint="eastAsia" w:ascii="宋体" w:hAnsi="宋体" w:cs="宋体"/>
          <w:color w:val="auto"/>
          <w:kern w:val="0"/>
          <w:sz w:val="24"/>
          <w:szCs w:val="24"/>
          <w:u w:val="single"/>
        </w:rPr>
        <w:t>投标人应在开标前完成</w:t>
      </w:r>
      <w:r>
        <w:rPr>
          <w:rFonts w:ascii="宋体" w:hAnsi="宋体" w:cs="宋体"/>
          <w:color w:val="auto"/>
          <w:kern w:val="0"/>
          <w:sz w:val="24"/>
          <w:szCs w:val="24"/>
          <w:u w:val="single"/>
        </w:rPr>
        <w:t>CA</w:t>
      </w:r>
      <w:r>
        <w:rPr>
          <w:rFonts w:hint="eastAsia" w:ascii="宋体" w:hAnsi="宋体" w:cs="宋体"/>
          <w:color w:val="auto"/>
          <w:kern w:val="0"/>
          <w:sz w:val="24"/>
          <w:szCs w:val="24"/>
          <w:u w:val="single"/>
        </w:rPr>
        <w:t>数字证书办理。（办理流程详见</w:t>
      </w:r>
      <w:r>
        <w:rPr>
          <w:color w:val="auto"/>
        </w:rPr>
        <w:fldChar w:fldCharType="begin"/>
      </w:r>
      <w:r>
        <w:rPr>
          <w:color w:val="auto"/>
        </w:rPr>
        <w:instrText xml:space="preserve"> HYPERLINK "http://www.zjzfcg.gov.cn/bidClientTemplate/2019-05-27/12945.html" </w:instrText>
      </w:r>
      <w:r>
        <w:rPr>
          <w:color w:val="auto"/>
        </w:rPr>
        <w:fldChar w:fldCharType="separate"/>
      </w:r>
      <w:r>
        <w:rPr>
          <w:rFonts w:ascii="宋体" w:hAnsi="宋体" w:cs="宋体"/>
          <w:color w:val="auto"/>
          <w:kern w:val="0"/>
          <w:sz w:val="24"/>
          <w:szCs w:val="24"/>
          <w:u w:val="single"/>
        </w:rPr>
        <w:t>http</w:t>
      </w:r>
      <w:r>
        <w:rPr>
          <w:rFonts w:hint="eastAsia" w:ascii="宋体" w:hAnsi="宋体" w:cs="宋体"/>
          <w:color w:val="auto"/>
          <w:kern w:val="0"/>
          <w:sz w:val="24"/>
          <w:szCs w:val="24"/>
          <w:u w:val="single"/>
        </w:rPr>
        <w:t>：</w:t>
      </w:r>
      <w:r>
        <w:rPr>
          <w:rFonts w:ascii="宋体" w:hAnsi="宋体" w:cs="宋体"/>
          <w:color w:val="auto"/>
          <w:kern w:val="0"/>
          <w:sz w:val="24"/>
          <w:szCs w:val="24"/>
          <w:u w:val="single"/>
        </w:rPr>
        <w:t>//www.zjzfcg.gov.cn/bidClientTemplate/2019-05-27/12945.html</w:t>
      </w:r>
      <w:r>
        <w:rPr>
          <w:rFonts w:ascii="宋体" w:hAnsi="宋体" w:cs="宋体"/>
          <w:color w:val="auto"/>
          <w:kern w:val="0"/>
          <w:sz w:val="24"/>
          <w:szCs w:val="24"/>
          <w:u w:val="single"/>
        </w:rPr>
        <w:fldChar w:fldCharType="end"/>
      </w:r>
      <w:r>
        <w:rPr>
          <w:rFonts w:hint="eastAsia" w:ascii="宋体" w:hAnsi="宋体" w:cs="宋体"/>
          <w:color w:val="auto"/>
          <w:kern w:val="0"/>
          <w:sz w:val="24"/>
          <w:szCs w:val="24"/>
          <w:u w:val="single"/>
        </w:rPr>
        <w:t>，完成</w:t>
      </w:r>
      <w:r>
        <w:rPr>
          <w:rFonts w:ascii="宋体" w:hAnsi="宋体" w:cs="宋体"/>
          <w:color w:val="auto"/>
          <w:kern w:val="0"/>
          <w:sz w:val="24"/>
          <w:szCs w:val="24"/>
          <w:u w:val="single"/>
        </w:rPr>
        <w:t>CA</w:t>
      </w:r>
      <w:r>
        <w:rPr>
          <w:rFonts w:hint="eastAsia" w:ascii="宋体" w:hAnsi="宋体" w:cs="宋体"/>
          <w:color w:val="auto"/>
          <w:kern w:val="0"/>
          <w:sz w:val="24"/>
          <w:szCs w:val="24"/>
          <w:u w:val="single"/>
        </w:rPr>
        <w:t>数字证书办理预计一周左右，请各投标人自行把握时间）</w:t>
      </w:r>
    </w:p>
    <w:p>
      <w:pPr>
        <w:spacing w:line="360" w:lineRule="auto"/>
        <w:ind w:firstLine="480" w:firstLineChars="200"/>
        <w:rPr>
          <w:rFonts w:ascii="宋体"/>
          <w:color w:val="auto"/>
          <w:kern w:val="0"/>
          <w:sz w:val="24"/>
          <w:szCs w:val="24"/>
          <w:u w:val="single"/>
        </w:rPr>
      </w:pPr>
      <w:r>
        <w:rPr>
          <w:rFonts w:ascii="宋体" w:hAnsi="宋体" w:cs="宋体"/>
          <w:color w:val="auto"/>
          <w:kern w:val="0"/>
          <w:sz w:val="24"/>
          <w:szCs w:val="24"/>
          <w:u w:val="single"/>
        </w:rPr>
        <w:t>4.</w:t>
      </w:r>
      <w:r>
        <w:rPr>
          <w:rFonts w:hint="eastAsia" w:ascii="宋体" w:hAnsi="宋体" w:cs="宋体"/>
          <w:color w:val="auto"/>
          <w:kern w:val="0"/>
          <w:sz w:val="24"/>
          <w:szCs w:val="24"/>
          <w:u w:val="singl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szCs w:val="24"/>
          <w:u w:val="single"/>
          <w:lang w:val="en-GB"/>
        </w:rPr>
        <w:t>在开标后规定的投标有效期内，投标人不能撤销投标文件。</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投标文件的组成、份数、密封、效力</w:t>
      </w:r>
    </w:p>
    <w:p>
      <w:pPr>
        <w:spacing w:line="360" w:lineRule="auto"/>
        <w:ind w:firstLine="480" w:firstLineChars="200"/>
        <w:rPr>
          <w:rFonts w:ascii="宋体"/>
          <w:color w:val="auto"/>
          <w:sz w:val="24"/>
          <w:szCs w:val="24"/>
        </w:rPr>
      </w:pPr>
      <w:r>
        <w:rPr>
          <w:rFonts w:hint="eastAsia" w:ascii="宋体" w:hAnsi="宋体" w:cs="宋体"/>
          <w:color w:val="auto"/>
          <w:sz w:val="24"/>
          <w:szCs w:val="24"/>
        </w:rPr>
        <w:t>本项目实行电子投标，供应商应准备电子投标文件、以介质（</w:t>
      </w:r>
      <w:r>
        <w:rPr>
          <w:rFonts w:ascii="宋体" w:hAnsi="宋体" w:cs="宋体"/>
          <w:color w:val="auto"/>
          <w:sz w:val="24"/>
          <w:szCs w:val="24"/>
        </w:rPr>
        <w:t>U</w:t>
      </w:r>
      <w:r>
        <w:rPr>
          <w:rFonts w:hint="eastAsia" w:ascii="宋体" w:hAnsi="宋体" w:cs="宋体"/>
          <w:color w:val="auto"/>
          <w:sz w:val="24"/>
          <w:szCs w:val="24"/>
        </w:rPr>
        <w:t>盘）存储的数据电文形式、纸质备份投标文件三类：</w:t>
      </w:r>
    </w:p>
    <w:p>
      <w:pPr>
        <w:spacing w:line="360" w:lineRule="auto"/>
        <w:ind w:firstLine="480" w:firstLineChars="200"/>
        <w:rPr>
          <w:rFonts w:ascii="宋体"/>
          <w:color w:val="auto"/>
          <w:sz w:val="24"/>
          <w:szCs w:val="24"/>
        </w:rPr>
      </w:pPr>
      <w:r>
        <w:rPr>
          <w:rFonts w:ascii="宋体" w:hAnsi="宋体" w:cs="宋体"/>
          <w:color w:val="auto"/>
          <w:sz w:val="24"/>
          <w:szCs w:val="24"/>
        </w:rPr>
        <w:t>5.1</w:t>
      </w:r>
      <w:r>
        <w:rPr>
          <w:rFonts w:hint="eastAsia" w:ascii="宋体" w:hAnsi="宋体" w:cs="宋体"/>
          <w:color w:val="auto"/>
          <w:sz w:val="24"/>
          <w:szCs w:val="24"/>
        </w:rPr>
        <w:t>电子投标文件，按政采云平台项目采购</w:t>
      </w:r>
      <w:r>
        <w:rPr>
          <w:rFonts w:ascii="宋体" w:cs="宋体"/>
          <w:color w:val="auto"/>
          <w:sz w:val="24"/>
          <w:szCs w:val="24"/>
        </w:rPr>
        <w:t>--</w:t>
      </w:r>
      <w:r>
        <w:rPr>
          <w:rFonts w:hint="eastAsia" w:ascii="宋体" w:hAnsi="宋体" w:cs="宋体"/>
          <w:color w:val="auto"/>
          <w:sz w:val="24"/>
          <w:szCs w:val="24"/>
        </w:rPr>
        <w:t>电子招投标操作指南及本招标文件要求编制。</w:t>
      </w:r>
    </w:p>
    <w:p>
      <w:pPr>
        <w:spacing w:line="360" w:lineRule="auto"/>
        <w:ind w:firstLine="480" w:firstLineChars="200"/>
        <w:rPr>
          <w:rFonts w:ascii="宋体"/>
          <w:color w:val="auto"/>
          <w:sz w:val="24"/>
          <w:szCs w:val="24"/>
        </w:rPr>
      </w:pPr>
      <w:r>
        <w:rPr>
          <w:rFonts w:ascii="宋体" w:hAnsi="宋体" w:cs="宋体"/>
          <w:color w:val="auto"/>
          <w:sz w:val="24"/>
          <w:szCs w:val="24"/>
        </w:rPr>
        <w:t>5.2</w:t>
      </w:r>
      <w:bookmarkStart w:id="0" w:name="_Hlk34638143"/>
      <w:r>
        <w:rPr>
          <w:rFonts w:hint="eastAsia" w:ascii="宋体" w:hAnsi="宋体" w:cs="宋体"/>
          <w:color w:val="auto"/>
          <w:sz w:val="24"/>
          <w:szCs w:val="24"/>
        </w:rPr>
        <w:t>纸质</w:t>
      </w:r>
      <w:bookmarkEnd w:id="0"/>
      <w:r>
        <w:rPr>
          <w:rFonts w:hint="eastAsia" w:ascii="宋体" w:hAnsi="宋体" w:cs="宋体"/>
          <w:color w:val="auto"/>
          <w:sz w:val="24"/>
          <w:szCs w:val="24"/>
        </w:rPr>
        <w:t>备份投标文件以纸质文件的形式编制，按资格证明文件、商务技术文件、报价文件三部分分别编制并单独装订成册，</w:t>
      </w:r>
      <w:r>
        <w:rPr>
          <w:rFonts w:hint="eastAsia" w:ascii="宋体" w:hAnsi="宋体" w:cs="宋体"/>
          <w:b/>
          <w:bCs/>
          <w:color w:val="auto"/>
          <w:sz w:val="24"/>
          <w:szCs w:val="24"/>
        </w:rPr>
        <w:t>数量均为</w:t>
      </w:r>
      <w:r>
        <w:rPr>
          <w:rFonts w:ascii="宋体" w:hAnsi="宋体" w:cs="宋体"/>
          <w:b/>
          <w:bCs/>
          <w:color w:val="auto"/>
          <w:sz w:val="24"/>
          <w:szCs w:val="24"/>
        </w:rPr>
        <w:t>2</w:t>
      </w:r>
      <w:r>
        <w:rPr>
          <w:rFonts w:hint="eastAsia" w:ascii="宋体" w:hAnsi="宋体" w:cs="宋体"/>
          <w:b/>
          <w:bCs/>
          <w:color w:val="auto"/>
          <w:sz w:val="24"/>
          <w:szCs w:val="24"/>
        </w:rPr>
        <w:t>份（一正一副）</w:t>
      </w:r>
      <w:r>
        <w:rPr>
          <w:rFonts w:hint="eastAsia" w:ascii="宋体" w:hAnsi="宋体" w:cs="宋体"/>
          <w:color w:val="auto"/>
          <w:sz w:val="24"/>
          <w:szCs w:val="24"/>
        </w:rPr>
        <w:t>。资格证明文件、商务技术文件、报价文件三部分须分别密封封装，</w:t>
      </w:r>
      <w:r>
        <w:rPr>
          <w:rFonts w:hint="eastAsia" w:ascii="宋体" w:hAnsi="宋体" w:cs="宋体"/>
          <w:color w:val="auto"/>
          <w:sz w:val="24"/>
          <w:szCs w:val="24"/>
          <w:u w:val="single"/>
        </w:rPr>
        <w:t>资格证明文件、商务技术文件、报价文件三部分未分别密封的投标文件将为无效。</w:t>
      </w:r>
    </w:p>
    <w:p>
      <w:pPr>
        <w:spacing w:line="360" w:lineRule="auto"/>
        <w:ind w:firstLine="480" w:firstLineChars="200"/>
        <w:rPr>
          <w:rFonts w:ascii="宋体"/>
          <w:color w:val="auto"/>
          <w:sz w:val="24"/>
          <w:szCs w:val="24"/>
          <w:u w:val="single"/>
        </w:rPr>
      </w:pPr>
      <w:bookmarkStart w:id="1" w:name="_Hlk34639647"/>
      <w:r>
        <w:rPr>
          <w:rFonts w:ascii="宋体" w:hAnsi="宋体" w:cs="宋体"/>
          <w:color w:val="auto"/>
          <w:sz w:val="24"/>
          <w:szCs w:val="24"/>
        </w:rPr>
        <w:t>5.3</w:t>
      </w:r>
      <w:r>
        <w:rPr>
          <w:rFonts w:hint="eastAsia" w:ascii="宋体" w:hAnsi="宋体" w:cs="宋体"/>
          <w:color w:val="auto"/>
          <w:sz w:val="24"/>
          <w:szCs w:val="24"/>
          <w:u w:val="single"/>
        </w:rPr>
        <w:t>投标供应商在“政府采购云平台”完成“电子加密投标文件”的上传递交后，还可以在投标截止时间前递交以介质（</w:t>
      </w:r>
      <w:r>
        <w:rPr>
          <w:rFonts w:ascii="宋体" w:hAnsi="宋体" w:cs="宋体"/>
          <w:color w:val="auto"/>
          <w:sz w:val="24"/>
          <w:szCs w:val="24"/>
          <w:u w:val="single"/>
        </w:rPr>
        <w:t>U</w:t>
      </w:r>
      <w:r>
        <w:rPr>
          <w:rFonts w:hint="eastAsia" w:ascii="宋体" w:hAnsi="宋体" w:cs="宋体"/>
          <w:color w:val="auto"/>
          <w:sz w:val="24"/>
          <w:szCs w:val="24"/>
          <w:u w:val="single"/>
        </w:rPr>
        <w:t>盘）存储的数据电文形式和纸质形式的“备份投标文件”，“备份投标文件”应当密封包装并在包装上标注投标项目名称、投标单位名称并加盖公章。以介质（</w:t>
      </w:r>
      <w:r>
        <w:rPr>
          <w:rFonts w:ascii="宋体" w:hAnsi="宋体" w:cs="宋体"/>
          <w:color w:val="auto"/>
          <w:sz w:val="24"/>
          <w:szCs w:val="24"/>
          <w:u w:val="single"/>
        </w:rPr>
        <w:t>U</w:t>
      </w:r>
      <w:r>
        <w:rPr>
          <w:rFonts w:hint="eastAsia" w:ascii="宋体" w:hAnsi="宋体" w:cs="宋体"/>
          <w:color w:val="auto"/>
          <w:sz w:val="24"/>
          <w:szCs w:val="24"/>
          <w:u w:val="single"/>
        </w:rPr>
        <w:t>盘）存储的数据电文形式和纸质形式的“备份投标文件”需分别密封，可采用以下两种方式其中一种送达（逾期送达或未密封将被拒收）：</w:t>
      </w:r>
    </w:p>
    <w:p>
      <w:pPr>
        <w:spacing w:line="360" w:lineRule="auto"/>
        <w:ind w:firstLine="480" w:firstLineChars="200"/>
        <w:rPr>
          <w:rFonts w:ascii="宋体"/>
          <w:color w:val="auto"/>
          <w:sz w:val="24"/>
          <w:szCs w:val="24"/>
        </w:rPr>
      </w:pPr>
      <w:r>
        <w:rPr>
          <w:rFonts w:hint="eastAsia" w:ascii="宋体" w:hAnsi="宋体" w:cs="宋体"/>
          <w:color w:val="auto"/>
          <w:sz w:val="24"/>
          <w:szCs w:val="24"/>
        </w:rPr>
        <w:t>①在投标截止时间前送交到开标地点；</w:t>
      </w:r>
    </w:p>
    <w:p>
      <w:pPr>
        <w:spacing w:line="360" w:lineRule="auto"/>
        <w:ind w:firstLine="480" w:firstLineChars="200"/>
        <w:rPr>
          <w:rFonts w:ascii="宋体"/>
          <w:color w:val="auto"/>
          <w:sz w:val="24"/>
          <w:szCs w:val="24"/>
        </w:rPr>
      </w:pPr>
      <w:r>
        <w:rPr>
          <w:rFonts w:hint="eastAsia" w:ascii="宋体" w:hAnsi="宋体" w:cs="宋体"/>
          <w:color w:val="auto"/>
          <w:sz w:val="24"/>
          <w:szCs w:val="24"/>
        </w:rPr>
        <w:t>②采用邮寄方式，邮寄公司统一采用顺丰（包裹外包装上请注明单位、项目名称、联系电话等信息，以便代理机构作接收登记工作），邮寄接收截止时间为投标截止时间前一个工作日下午</w:t>
      </w:r>
      <w:r>
        <w:rPr>
          <w:rFonts w:ascii="宋体" w:hAnsi="宋体" w:cs="宋体"/>
          <w:color w:val="auto"/>
          <w:sz w:val="24"/>
          <w:szCs w:val="24"/>
        </w:rPr>
        <w:t>16</w:t>
      </w:r>
      <w:r>
        <w:rPr>
          <w:rFonts w:hint="eastAsia" w:ascii="宋体" w:hAnsi="宋体" w:cs="宋体"/>
          <w:color w:val="auto"/>
          <w:sz w:val="24"/>
          <w:szCs w:val="24"/>
        </w:rPr>
        <w:t>：</w:t>
      </w:r>
      <w:r>
        <w:rPr>
          <w:rFonts w:ascii="宋体" w:cs="宋体"/>
          <w:color w:val="auto"/>
          <w:sz w:val="24"/>
          <w:szCs w:val="24"/>
        </w:rPr>
        <w:t>00</w:t>
      </w:r>
      <w:r>
        <w:rPr>
          <w:rFonts w:hint="eastAsia" w:ascii="宋体" w:hAnsi="宋体" w:cs="宋体"/>
          <w:color w:val="auto"/>
          <w:sz w:val="24"/>
          <w:szCs w:val="24"/>
        </w:rPr>
        <w:t>整（邮寄地址：浙江五石工程咨询有限公司（台州市椒江区东环大道</w:t>
      </w:r>
      <w:r>
        <w:rPr>
          <w:rFonts w:ascii="宋体" w:hAnsi="宋体" w:cs="宋体"/>
          <w:color w:val="auto"/>
          <w:sz w:val="24"/>
          <w:szCs w:val="24"/>
        </w:rPr>
        <w:t>576</w:t>
      </w:r>
      <w:r>
        <w:rPr>
          <w:rFonts w:hint="eastAsia" w:ascii="宋体" w:hAnsi="宋体" w:cs="宋体"/>
          <w:color w:val="auto"/>
          <w:sz w:val="24"/>
          <w:szCs w:val="24"/>
        </w:rPr>
        <w:t>号二楼，联系人：金老师，电话：</w:t>
      </w:r>
      <w:r>
        <w:rPr>
          <w:rFonts w:ascii="宋体" w:hAnsi="宋体" w:cs="宋体"/>
          <w:color w:val="auto"/>
          <w:sz w:val="24"/>
          <w:szCs w:val="24"/>
        </w:rPr>
        <w:t>0576-88781913</w:t>
      </w:r>
      <w:r>
        <w:rPr>
          <w:rFonts w:hint="eastAsia" w:ascii="宋体" w:hAnsi="宋体" w:cs="宋体"/>
          <w:color w:val="auto"/>
          <w:sz w:val="24"/>
          <w:szCs w:val="24"/>
        </w:rPr>
        <w:t>。</w:t>
      </w:r>
      <w:r>
        <w:rPr>
          <w:rFonts w:ascii="宋体" w:hAnsi="宋体" w:cs="宋体"/>
          <w:color w:val="auto"/>
          <w:sz w:val="24"/>
          <w:szCs w:val="24"/>
        </w:rPr>
        <w:t>)</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5.4</w:t>
      </w:r>
      <w:r>
        <w:rPr>
          <w:rFonts w:hint="eastAsia" w:ascii="宋体" w:hAnsi="宋体" w:cs="宋体"/>
          <w:color w:val="auto"/>
          <w:sz w:val="24"/>
          <w:szCs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pPr>
        <w:spacing w:line="360" w:lineRule="auto"/>
        <w:ind w:firstLine="480" w:firstLineChars="200"/>
        <w:rPr>
          <w:rFonts w:ascii="宋体"/>
          <w:color w:val="auto"/>
          <w:sz w:val="24"/>
          <w:szCs w:val="24"/>
          <w:u w:val="single"/>
        </w:rPr>
      </w:pPr>
      <w:bookmarkStart w:id="2" w:name="_Hlk34638256"/>
      <w:r>
        <w:rPr>
          <w:rFonts w:ascii="宋体" w:hAnsi="宋体" w:cs="宋体"/>
          <w:color w:val="auto"/>
          <w:sz w:val="24"/>
          <w:szCs w:val="24"/>
          <w:u w:val="single"/>
        </w:rPr>
        <w:t>5.5</w:t>
      </w:r>
      <w:r>
        <w:rPr>
          <w:rFonts w:hint="eastAsia" w:ascii="宋体" w:hAnsi="宋体" w:cs="宋体"/>
          <w:color w:val="auto"/>
          <w:sz w:val="24"/>
          <w:szCs w:val="24"/>
          <w:u w:val="single"/>
        </w:rPr>
        <w:t>投标文件启用顺序和效力：投标文件的启用，按先后顺位分别为</w:t>
      </w:r>
      <w:bookmarkStart w:id="3" w:name="_Hlk34637932"/>
      <w:r>
        <w:rPr>
          <w:rFonts w:hint="eastAsia" w:ascii="宋体" w:hAnsi="宋体" w:cs="宋体"/>
          <w:color w:val="auto"/>
          <w:sz w:val="24"/>
          <w:szCs w:val="24"/>
          <w:u w:val="single"/>
        </w:rPr>
        <w:t>电子投标文件</w:t>
      </w:r>
      <w:bookmarkEnd w:id="3"/>
      <w:r>
        <w:rPr>
          <w:rFonts w:hint="eastAsia" w:ascii="宋体" w:hAnsi="宋体" w:cs="宋体"/>
          <w:color w:val="auto"/>
          <w:sz w:val="24"/>
          <w:szCs w:val="24"/>
          <w:u w:val="single"/>
        </w:rPr>
        <w:t>、以介质（</w:t>
      </w:r>
      <w:r>
        <w:rPr>
          <w:rFonts w:ascii="宋体" w:hAnsi="宋体" w:cs="宋体"/>
          <w:color w:val="auto"/>
          <w:sz w:val="24"/>
          <w:szCs w:val="24"/>
          <w:u w:val="single"/>
        </w:rPr>
        <w:t>U</w:t>
      </w:r>
      <w:r>
        <w:rPr>
          <w:rFonts w:hint="eastAsia" w:ascii="宋体" w:hAnsi="宋体" w:cs="宋体"/>
          <w:color w:val="auto"/>
          <w:sz w:val="24"/>
          <w:szCs w:val="24"/>
          <w:u w:val="single"/>
        </w:rPr>
        <w:t>盘）存储的数据电文形式的备份投标文件和纸质备份投标文件。</w:t>
      </w:r>
      <w:bookmarkStart w:id="4" w:name="_Hlk34637983"/>
      <w:r>
        <w:rPr>
          <w:rFonts w:hint="eastAsia" w:ascii="宋体" w:hAnsi="宋体" w:cs="宋体"/>
          <w:color w:val="auto"/>
          <w:sz w:val="24"/>
          <w:szCs w:val="24"/>
          <w:u w:val="single"/>
        </w:rPr>
        <w:t>全部投标人的</w:t>
      </w:r>
      <w:bookmarkStart w:id="5" w:name="_Hlk34638083"/>
      <w:r>
        <w:rPr>
          <w:rFonts w:hint="eastAsia" w:ascii="宋体" w:hAnsi="宋体" w:cs="宋体"/>
          <w:color w:val="auto"/>
          <w:sz w:val="24"/>
          <w:szCs w:val="24"/>
          <w:u w:val="single"/>
        </w:rPr>
        <w:t>电子投标文件均已按时解密的，</w:t>
      </w:r>
      <w:bookmarkEnd w:id="5"/>
      <w:r>
        <w:rPr>
          <w:rFonts w:hint="eastAsia" w:ascii="宋体" w:hAnsi="宋体" w:cs="宋体"/>
          <w:color w:val="auto"/>
          <w:sz w:val="24"/>
          <w:szCs w:val="24"/>
          <w:u w:val="single"/>
        </w:rPr>
        <w:t>备份投标文件自动失效，全部投标人的电子投标文件均无法按时解密的，</w:t>
      </w:r>
      <w:bookmarkStart w:id="6" w:name="_Hlk34638161"/>
      <w:r>
        <w:rPr>
          <w:rFonts w:hint="eastAsia" w:ascii="宋体" w:hAnsi="宋体" w:cs="宋体"/>
          <w:color w:val="auto"/>
          <w:sz w:val="24"/>
          <w:szCs w:val="24"/>
          <w:u w:val="single"/>
        </w:rPr>
        <w:t>启用纸质备份投标文件进行线下开评标。</w:t>
      </w:r>
      <w:bookmarkEnd w:id="6"/>
      <w:r>
        <w:rPr>
          <w:rFonts w:hint="eastAsia" w:ascii="宋体" w:hAnsi="宋体" w:cs="宋体"/>
          <w:color w:val="auto"/>
          <w:sz w:val="24"/>
          <w:szCs w:val="24"/>
          <w:u w:val="single"/>
        </w:rPr>
        <w:t>如果某位投标人的电子</w:t>
      </w:r>
      <w:bookmarkStart w:id="7" w:name="_Hlk34638115"/>
      <w:r>
        <w:rPr>
          <w:rFonts w:hint="eastAsia" w:ascii="宋体" w:hAnsi="宋体" w:cs="宋体"/>
          <w:color w:val="auto"/>
          <w:sz w:val="24"/>
          <w:szCs w:val="24"/>
          <w:u w:val="single"/>
        </w:rPr>
        <w:t>投标文件</w:t>
      </w:r>
      <w:bookmarkEnd w:id="7"/>
      <w:r>
        <w:rPr>
          <w:rFonts w:hint="eastAsia" w:ascii="宋体" w:hAnsi="宋体" w:cs="宋体"/>
          <w:color w:val="auto"/>
          <w:sz w:val="24"/>
          <w:szCs w:val="24"/>
          <w:u w:val="single"/>
        </w:rPr>
        <w:t>无法按时解密的，其投标文件为无效标，不启用纸质备份投标文件。</w:t>
      </w:r>
      <w:bookmarkEnd w:id="2"/>
      <w:bookmarkEnd w:id="4"/>
    </w:p>
    <w:p>
      <w:pPr>
        <w:spacing w:line="360" w:lineRule="auto"/>
        <w:ind w:firstLine="480" w:firstLineChars="200"/>
        <w:rPr>
          <w:rFonts w:ascii="宋体"/>
          <w:color w:val="auto"/>
          <w:sz w:val="24"/>
          <w:szCs w:val="24"/>
          <w:u w:val="single"/>
        </w:rPr>
      </w:pPr>
      <w:r>
        <w:rPr>
          <w:rFonts w:ascii="宋体" w:hAnsi="宋体" w:cs="宋体"/>
          <w:color w:val="auto"/>
          <w:sz w:val="24"/>
          <w:szCs w:val="24"/>
          <w:u w:val="single"/>
        </w:rPr>
        <w:t>5.6</w:t>
      </w:r>
      <w:r>
        <w:rPr>
          <w:rFonts w:hint="eastAsia" w:ascii="宋体" w:hAnsi="宋体" w:cs="宋体"/>
          <w:color w:val="auto"/>
          <w:sz w:val="24"/>
          <w:szCs w:val="24"/>
          <w:u w:val="single"/>
        </w:rPr>
        <w:t>▲未传输递交电子投标文件的，投标无效。未按规定提供相应的备份投标文件，造成项目开评标活动无法进行下去的，投标无效。</w:t>
      </w:r>
    </w:p>
    <w:p>
      <w:pPr>
        <w:spacing w:line="360" w:lineRule="auto"/>
        <w:ind w:firstLine="482" w:firstLineChars="200"/>
        <w:rPr>
          <w:rFonts w:ascii="宋体"/>
          <w:color w:val="auto"/>
          <w:sz w:val="24"/>
          <w:szCs w:val="24"/>
        </w:rPr>
      </w:pPr>
      <w:r>
        <w:rPr>
          <w:rFonts w:hint="eastAsia" w:ascii="宋体" w:hAnsi="宋体" w:cs="宋体"/>
          <w:b/>
          <w:bCs/>
          <w:color w:val="auto"/>
          <w:sz w:val="24"/>
          <w:szCs w:val="24"/>
        </w:rPr>
        <w:t>六、投标截止时间及开标时间：</w:t>
      </w:r>
      <w:r>
        <w:rPr>
          <w:rFonts w:ascii="宋体" w:hAnsi="宋体" w:cs="宋体"/>
          <w:color w:val="auto"/>
          <w:sz w:val="24"/>
          <w:szCs w:val="24"/>
        </w:rPr>
        <w:t>2021</w:t>
      </w:r>
      <w:r>
        <w:rPr>
          <w:rFonts w:hint="eastAsia" w:ascii="宋体" w:hAnsi="宋体" w:cs="宋体"/>
          <w:color w:val="auto"/>
          <w:sz w:val="24"/>
          <w:szCs w:val="24"/>
        </w:rPr>
        <w:t>年</w:t>
      </w:r>
      <w:r>
        <w:rPr>
          <w:rFonts w:hint="eastAsia" w:ascii="宋体" w:hAnsi="宋体" w:cs="宋体"/>
          <w:color w:val="auto"/>
          <w:sz w:val="24"/>
          <w:szCs w:val="24"/>
          <w:lang w:val="en-US" w:eastAsia="zh-CN"/>
        </w:rPr>
        <w:t>9月16</w:t>
      </w:r>
      <w:r>
        <w:rPr>
          <w:rFonts w:hint="eastAsia" w:ascii="宋体" w:hAnsi="宋体" w:cs="宋体"/>
          <w:color w:val="auto"/>
          <w:sz w:val="24"/>
          <w:szCs w:val="24"/>
        </w:rPr>
        <w:t>日下午</w:t>
      </w:r>
      <w:r>
        <w:rPr>
          <w:rFonts w:ascii="宋体" w:hAnsi="宋体" w:cs="宋体"/>
          <w:color w:val="auto"/>
          <w:sz w:val="24"/>
          <w:szCs w:val="24"/>
        </w:rPr>
        <w:t>14:30</w:t>
      </w:r>
    </w:p>
    <w:p>
      <w:pPr>
        <w:spacing w:line="360" w:lineRule="auto"/>
        <w:ind w:firstLine="482" w:firstLineChars="200"/>
        <w:rPr>
          <w:rFonts w:ascii="宋体"/>
          <w:color w:val="auto"/>
          <w:sz w:val="24"/>
          <w:szCs w:val="24"/>
        </w:rPr>
      </w:pPr>
      <w:r>
        <w:rPr>
          <w:rFonts w:hint="eastAsia" w:ascii="宋体" w:hAnsi="宋体" w:cs="宋体"/>
          <w:b/>
          <w:bCs/>
          <w:color w:val="auto"/>
          <w:sz w:val="24"/>
          <w:szCs w:val="24"/>
        </w:rPr>
        <w:t>七、投标及开标地址：</w:t>
      </w:r>
      <w:r>
        <w:rPr>
          <w:rFonts w:hint="eastAsia" w:ascii="宋体" w:hAnsi="宋体" w:cs="宋体"/>
          <w:color w:val="auto"/>
          <w:sz w:val="24"/>
          <w:szCs w:val="24"/>
        </w:rPr>
        <w:t>台州市路桥区财富大道</w:t>
      </w:r>
      <w:r>
        <w:rPr>
          <w:rFonts w:ascii="宋体" w:hAnsi="宋体" w:cs="宋体"/>
          <w:color w:val="auto"/>
          <w:sz w:val="24"/>
          <w:szCs w:val="24"/>
        </w:rPr>
        <w:t>999</w:t>
      </w:r>
      <w:r>
        <w:rPr>
          <w:rFonts w:hint="eastAsia" w:ascii="宋体" w:hAnsi="宋体" w:cs="宋体"/>
          <w:color w:val="auto"/>
          <w:sz w:val="24"/>
          <w:szCs w:val="24"/>
        </w:rPr>
        <w:t>号区政府商城办公区（商城国际）五楼政府采购中心开标室（一）。</w:t>
      </w:r>
    </w:p>
    <w:p>
      <w:pPr>
        <w:spacing w:line="360" w:lineRule="auto"/>
        <w:ind w:firstLine="482" w:firstLineChars="200"/>
        <w:outlineLvl w:val="0"/>
        <w:rPr>
          <w:rFonts w:ascii="宋体"/>
          <w:b/>
          <w:bCs/>
          <w:color w:val="auto"/>
          <w:sz w:val="24"/>
          <w:szCs w:val="24"/>
        </w:rPr>
      </w:pPr>
      <w:r>
        <w:rPr>
          <w:rFonts w:hint="eastAsia" w:ascii="宋体" w:hAnsi="宋体" w:cs="宋体"/>
          <w:b/>
          <w:bCs/>
          <w:color w:val="auto"/>
          <w:sz w:val="24"/>
          <w:szCs w:val="24"/>
        </w:rPr>
        <w:t>八、相关注意事项：</w:t>
      </w:r>
    </w:p>
    <w:p>
      <w:pPr>
        <w:spacing w:line="360" w:lineRule="auto"/>
        <w:ind w:firstLine="480" w:firstLineChars="200"/>
        <w:rPr>
          <w:rFonts w:ascii="宋体"/>
          <w:color w:val="auto"/>
          <w:sz w:val="24"/>
          <w:szCs w:val="24"/>
        </w:rPr>
      </w:pPr>
      <w:r>
        <w:rPr>
          <w:rFonts w:hint="eastAsia" w:ascii="宋体" w:hAnsi="宋体" w:cs="宋体"/>
          <w:color w:val="auto"/>
          <w:sz w:val="24"/>
          <w:szCs w:val="24"/>
        </w:rPr>
        <w:t>供应商如对招标文件有异议应按规定的时间提出，逾期提出的，采购组织机构可不予受理、答复。</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sz w:val="24"/>
          <w:szCs w:val="24"/>
        </w:rPr>
        <w:t>7</w:t>
      </w:r>
      <w:r>
        <w:rPr>
          <w:rFonts w:hint="eastAsia" w:ascii="宋体" w:hAnsi="宋体" w:cs="宋体"/>
          <w:color w:val="auto"/>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根据财库</w:t>
      </w:r>
      <w:r>
        <w:rPr>
          <w:rFonts w:ascii="宋体" w:hAnsi="宋体" w:cs="宋体"/>
          <w:color w:val="auto"/>
          <w:sz w:val="24"/>
          <w:szCs w:val="24"/>
        </w:rPr>
        <w:t>[2016]125</w:t>
      </w:r>
      <w:r>
        <w:rPr>
          <w:rFonts w:hint="eastAsia" w:ascii="宋体" w:hAnsi="宋体" w:cs="宋体"/>
          <w:color w:val="auto"/>
          <w:sz w:val="24"/>
          <w:szCs w:val="24"/>
        </w:rPr>
        <w:t>号《关于在政府采购活动中查询及使用信用记录有关问题的通知》要求，采购代理机构会对供应商信用记录进行查询并甄别。</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）信用信息查询的截止时点：投标截止前一个工作日；</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）查询渠道：“信用中国”（</w:t>
      </w:r>
      <w:r>
        <w:rPr>
          <w:color w:val="auto"/>
        </w:rPr>
        <w:fldChar w:fldCharType="begin"/>
      </w:r>
      <w:r>
        <w:rPr>
          <w:color w:val="auto"/>
        </w:rPr>
        <w:instrText xml:space="preserve"> HYPERLINK "qq://txfile/" </w:instrText>
      </w:r>
      <w:r>
        <w:rPr>
          <w:color w:val="auto"/>
        </w:rPr>
        <w:fldChar w:fldCharType="separate"/>
      </w:r>
      <w:r>
        <w:rPr>
          <w:rFonts w:ascii="宋体" w:hAnsi="宋体" w:cs="宋体"/>
          <w:color w:val="auto"/>
          <w:sz w:val="24"/>
          <w:szCs w:val="24"/>
        </w:rPr>
        <w:t>www.creditchina.gov.cn</w:t>
      </w:r>
      <w:r>
        <w:rPr>
          <w:rFonts w:ascii="宋体" w:hAnsi="宋体" w:cs="宋体"/>
          <w:color w:val="auto"/>
          <w:sz w:val="24"/>
          <w:szCs w:val="24"/>
        </w:rPr>
        <w:fldChar w:fldCharType="end"/>
      </w:r>
      <w:r>
        <w:rPr>
          <w:rFonts w:hint="eastAsia" w:ascii="宋体" w:hAnsi="宋体" w:cs="宋体"/>
          <w:color w:val="auto"/>
          <w:sz w:val="24"/>
          <w:szCs w:val="24"/>
        </w:rPr>
        <w:t>）、“中国政府采购网”（</w:t>
      </w:r>
      <w:r>
        <w:rPr>
          <w:color w:val="auto"/>
        </w:rPr>
        <w:fldChar w:fldCharType="begin"/>
      </w:r>
      <w:r>
        <w:rPr>
          <w:color w:val="auto"/>
        </w:rPr>
        <w:instrText xml:space="preserve"> HYPERLINK "qq://txfile/" </w:instrText>
      </w:r>
      <w:r>
        <w:rPr>
          <w:color w:val="auto"/>
        </w:rPr>
        <w:fldChar w:fldCharType="separate"/>
      </w:r>
      <w:r>
        <w:rPr>
          <w:rFonts w:ascii="宋体" w:hAnsi="宋体" w:cs="宋体"/>
          <w:color w:val="auto"/>
          <w:sz w:val="24"/>
          <w:szCs w:val="24"/>
        </w:rPr>
        <w:t>www.ccgp.gov.cn</w:t>
      </w:r>
      <w:r>
        <w:rPr>
          <w:rFonts w:ascii="宋体" w:hAnsi="宋体" w:cs="宋体"/>
          <w:color w:val="auto"/>
          <w:sz w:val="24"/>
          <w:szCs w:val="24"/>
        </w:rPr>
        <w:fldChar w:fldCharType="end"/>
      </w:r>
      <w:r>
        <w:rPr>
          <w:rFonts w:hint="eastAsia" w:ascii="宋体" w:hAnsi="宋体" w:cs="宋体"/>
          <w:color w:val="auto"/>
          <w:sz w:val="24"/>
          <w:szCs w:val="24"/>
        </w:rPr>
        <w:t>）、“浙江政府采购网（</w:t>
      </w:r>
      <w:r>
        <w:rPr>
          <w:color w:val="auto"/>
        </w:rPr>
        <w:fldChar w:fldCharType="begin"/>
      </w:r>
      <w:r>
        <w:rPr>
          <w:color w:val="auto"/>
        </w:rPr>
        <w:instrText xml:space="preserve"> HYPERLINK "qq://txfile/" </w:instrText>
      </w:r>
      <w:r>
        <w:rPr>
          <w:color w:val="auto"/>
        </w:rPr>
        <w:fldChar w:fldCharType="separate"/>
      </w:r>
      <w:r>
        <w:rPr>
          <w:rFonts w:ascii="宋体" w:hAnsi="宋体" w:cs="宋体"/>
          <w:color w:val="auto"/>
          <w:sz w:val="24"/>
          <w:szCs w:val="24"/>
        </w:rPr>
        <w:t>www.zjzfcg.gov.cn</w:t>
      </w:r>
      <w:r>
        <w:rPr>
          <w:rFonts w:ascii="宋体" w:hAnsi="宋体" w:cs="宋体"/>
          <w:color w:val="auto"/>
          <w:sz w:val="24"/>
          <w:szCs w:val="24"/>
        </w:rPr>
        <w:fldChar w:fldCharType="end"/>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）信用信息查询记录和证据留存具体方式：采购代理机构经办人将查询网页打印与其他采购文件一并保存；</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）信用信息的使用规则：投标人存在不良信用记录的，其投标将被作为无效投标被拒绝。</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开标时间后</w:t>
      </w:r>
      <w:r>
        <w:rPr>
          <w:rFonts w:ascii="宋体" w:hAnsi="宋体" w:cs="宋体"/>
          <w:b/>
          <w:bCs/>
          <w:color w:val="auto"/>
          <w:sz w:val="24"/>
          <w:szCs w:val="24"/>
        </w:rPr>
        <w:t>30</w:t>
      </w:r>
      <w:r>
        <w:rPr>
          <w:rFonts w:hint="eastAsia" w:ascii="宋体" w:hAnsi="宋体" w:cs="宋体"/>
          <w:b/>
          <w:bCs/>
          <w:color w:val="auto"/>
          <w:sz w:val="24"/>
          <w:szCs w:val="24"/>
        </w:rPr>
        <w:t>分钟内，供应商须登录“政采云”平台，用“项目采购</w:t>
      </w:r>
      <w:r>
        <w:rPr>
          <w:rFonts w:ascii="宋体" w:cs="宋体"/>
          <w:b/>
          <w:bCs/>
          <w:color w:val="auto"/>
          <w:sz w:val="24"/>
          <w:szCs w:val="24"/>
        </w:rPr>
        <w:t>-</w:t>
      </w:r>
      <w:r>
        <w:rPr>
          <w:rFonts w:hint="eastAsia" w:ascii="宋体" w:hAnsi="宋体" w:cs="宋体"/>
          <w:b/>
          <w:bCs/>
          <w:color w:val="auto"/>
          <w:sz w:val="24"/>
          <w:szCs w:val="24"/>
        </w:rPr>
        <w:t>开标评标”功能解密投标文件，投标人未按时解密或解密失败的，其上传的电子投标文件自动失效。电脑及</w:t>
      </w:r>
      <w:r>
        <w:rPr>
          <w:rFonts w:ascii="宋体" w:hAnsi="宋体" w:cs="宋体"/>
          <w:b/>
          <w:bCs/>
          <w:color w:val="auto"/>
          <w:sz w:val="24"/>
          <w:szCs w:val="24"/>
        </w:rPr>
        <w:t>CA</w:t>
      </w:r>
      <w:r>
        <w:rPr>
          <w:rFonts w:hint="eastAsia" w:ascii="宋体" w:hAnsi="宋体" w:cs="宋体"/>
          <w:b/>
          <w:bCs/>
          <w:color w:val="auto"/>
          <w:sz w:val="24"/>
          <w:szCs w:val="24"/>
        </w:rPr>
        <w:t>解密设备自备。</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九、联系方式：</w:t>
      </w:r>
    </w:p>
    <w:p>
      <w:pPr>
        <w:spacing w:line="360" w:lineRule="auto"/>
        <w:ind w:firstLine="482" w:firstLineChars="200"/>
        <w:rPr>
          <w:rFonts w:ascii="宋体"/>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、采购代理机构：</w:t>
      </w:r>
      <w:r>
        <w:rPr>
          <w:rFonts w:hint="eastAsia" w:ascii="宋体" w:hAnsi="宋体" w:cs="宋体"/>
          <w:color w:val="auto"/>
          <w:sz w:val="24"/>
          <w:szCs w:val="24"/>
        </w:rPr>
        <w:t>浙江五石工程咨询有限公司；</w:t>
      </w:r>
    </w:p>
    <w:p>
      <w:pPr>
        <w:spacing w:line="360" w:lineRule="auto"/>
        <w:ind w:firstLine="480" w:firstLineChars="200"/>
        <w:rPr>
          <w:rFonts w:ascii="宋体"/>
          <w:color w:val="auto"/>
          <w:sz w:val="24"/>
          <w:szCs w:val="24"/>
        </w:rPr>
      </w:pPr>
      <w:r>
        <w:rPr>
          <w:rFonts w:hint="eastAsia" w:ascii="宋体" w:hAnsi="宋体" w:cs="宋体"/>
          <w:color w:val="auto"/>
          <w:sz w:val="24"/>
          <w:szCs w:val="24"/>
        </w:rPr>
        <w:t>项目负责人：徐名峰；联系电话：</w:t>
      </w:r>
      <w:r>
        <w:rPr>
          <w:rFonts w:ascii="宋体" w:hAnsi="宋体" w:cs="宋体"/>
          <w:color w:val="auto"/>
          <w:sz w:val="24"/>
          <w:szCs w:val="24"/>
        </w:rPr>
        <w:t>15088711407</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质疑接收人：刘婕；联系电话：</w:t>
      </w:r>
      <w:r>
        <w:rPr>
          <w:rFonts w:ascii="宋体" w:hAnsi="宋体" w:cs="宋体"/>
          <w:color w:val="auto"/>
          <w:sz w:val="24"/>
          <w:szCs w:val="24"/>
        </w:rPr>
        <w:t>0571-85340710</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报名联系人：高女士；联系电话：</w:t>
      </w:r>
      <w:r>
        <w:rPr>
          <w:rFonts w:ascii="宋体" w:hAnsi="宋体" w:cs="宋体"/>
          <w:color w:val="auto"/>
          <w:sz w:val="24"/>
          <w:szCs w:val="24"/>
        </w:rPr>
        <w:t>0571-85334203</w:t>
      </w:r>
      <w:r>
        <w:rPr>
          <w:rFonts w:hint="eastAsia" w:ascii="宋体" w:hAnsi="宋体" w:cs="宋体"/>
          <w:color w:val="auto"/>
          <w:sz w:val="24"/>
          <w:szCs w:val="24"/>
        </w:rPr>
        <w:t>；传真：</w:t>
      </w:r>
      <w:r>
        <w:rPr>
          <w:rFonts w:ascii="宋体" w:hAnsi="宋体" w:cs="宋体"/>
          <w:color w:val="auto"/>
          <w:sz w:val="24"/>
          <w:szCs w:val="24"/>
        </w:rPr>
        <w:t>0571-85342190</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地址：杭州市拱墅区白石路</w:t>
      </w:r>
      <w:r>
        <w:rPr>
          <w:rFonts w:ascii="宋体" w:hAnsi="宋体" w:cs="宋体"/>
          <w:color w:val="auto"/>
          <w:sz w:val="24"/>
          <w:szCs w:val="24"/>
        </w:rPr>
        <w:t>318</w:t>
      </w:r>
      <w:r>
        <w:rPr>
          <w:rFonts w:hint="eastAsia" w:ascii="宋体" w:hAnsi="宋体" w:cs="宋体"/>
          <w:color w:val="auto"/>
          <w:sz w:val="24"/>
          <w:szCs w:val="24"/>
        </w:rPr>
        <w:t>号中国（杭州）人力资源服务产业园北楼</w:t>
      </w:r>
      <w:r>
        <w:rPr>
          <w:rFonts w:ascii="宋体" w:hAnsi="宋体" w:cs="宋体"/>
          <w:color w:val="auto"/>
          <w:sz w:val="24"/>
          <w:szCs w:val="24"/>
        </w:rPr>
        <w:t>512</w:t>
      </w:r>
      <w:r>
        <w:rPr>
          <w:rFonts w:hint="eastAsia" w:ascii="宋体" w:hAnsi="宋体" w:cs="宋体"/>
          <w:color w:val="auto"/>
          <w:sz w:val="24"/>
          <w:szCs w:val="24"/>
        </w:rPr>
        <w:t>室；</w:t>
      </w:r>
    </w:p>
    <w:p>
      <w:pPr>
        <w:spacing w:line="360" w:lineRule="auto"/>
        <w:ind w:firstLine="482" w:firstLineChars="200"/>
        <w:rPr>
          <w:rFonts w:ascii="宋体"/>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、采购人：</w:t>
      </w:r>
      <w:r>
        <w:rPr>
          <w:rFonts w:hint="eastAsia" w:ascii="宋体" w:hAnsi="宋体" w:cs="宋体"/>
          <w:color w:val="auto"/>
          <w:kern w:val="0"/>
          <w:sz w:val="24"/>
          <w:szCs w:val="24"/>
        </w:rPr>
        <w:t>台州市路桥区环卫园林服务中心；</w:t>
      </w:r>
    </w:p>
    <w:p>
      <w:pPr>
        <w:spacing w:line="360" w:lineRule="auto"/>
        <w:ind w:firstLine="480" w:firstLineChars="200"/>
        <w:rPr>
          <w:rFonts w:hint="eastAsia" w:ascii="宋体" w:eastAsia="宋体"/>
          <w:color w:val="auto"/>
          <w:sz w:val="24"/>
          <w:szCs w:val="24"/>
          <w:lang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黄</w:t>
      </w:r>
      <w:r>
        <w:rPr>
          <w:rFonts w:hint="eastAsia" w:ascii="宋体" w:hAnsi="宋体" w:cs="宋体"/>
          <w:color w:val="auto"/>
          <w:sz w:val="24"/>
          <w:szCs w:val="24"/>
        </w:rPr>
        <w:t>先生；联系电话：</w:t>
      </w:r>
      <w:r>
        <w:rPr>
          <w:rFonts w:ascii="宋体" w:hAnsi="宋体" w:cs="宋体"/>
          <w:color w:val="auto"/>
          <w:sz w:val="24"/>
          <w:szCs w:val="24"/>
        </w:rPr>
        <w:t>0576</w:t>
      </w:r>
      <w:r>
        <w:rPr>
          <w:rFonts w:hint="eastAsia" w:ascii="宋体" w:hAnsi="宋体" w:cs="宋体"/>
          <w:color w:val="auto"/>
          <w:sz w:val="24"/>
          <w:szCs w:val="24"/>
          <w:lang w:val="en-US" w:eastAsia="zh-CN"/>
        </w:rPr>
        <w:t>-</w:t>
      </w:r>
      <w:r>
        <w:rPr>
          <w:rFonts w:ascii="宋体" w:hAnsi="宋体" w:cs="宋体"/>
          <w:color w:val="auto"/>
          <w:sz w:val="24"/>
          <w:szCs w:val="24"/>
        </w:rPr>
        <w:t>82</w:t>
      </w:r>
      <w:r>
        <w:rPr>
          <w:rFonts w:hint="eastAsia" w:ascii="宋体" w:hAnsi="宋体" w:cs="宋体"/>
          <w:color w:val="auto"/>
          <w:sz w:val="24"/>
          <w:szCs w:val="24"/>
          <w:lang w:val="en-US" w:eastAsia="zh-CN"/>
        </w:rPr>
        <w:t>921992</w:t>
      </w:r>
      <w:r>
        <w:rPr>
          <w:rFonts w:hint="eastAsia" w:ascii="宋体" w:hAnsi="宋体" w:cs="宋体"/>
          <w:color w:val="auto"/>
          <w:sz w:val="24"/>
          <w:szCs w:val="24"/>
          <w:lang w:eastAsia="zh-CN"/>
        </w:rPr>
        <w:t>；</w:t>
      </w:r>
    </w:p>
    <w:p>
      <w:pPr>
        <w:spacing w:line="360" w:lineRule="auto"/>
        <w:ind w:firstLine="480" w:firstLineChars="200"/>
        <w:rPr>
          <w:rFonts w:hint="eastAsia" w:ascii="宋体" w:eastAsia="宋体"/>
          <w:color w:val="auto"/>
          <w:sz w:val="24"/>
          <w:szCs w:val="24"/>
          <w:lang w:eastAsia="zh-CN"/>
        </w:rPr>
      </w:pPr>
      <w:r>
        <w:rPr>
          <w:rFonts w:hint="eastAsia" w:ascii="宋体" w:hAnsi="宋体" w:cs="宋体"/>
          <w:color w:val="auto"/>
          <w:sz w:val="24"/>
          <w:szCs w:val="24"/>
        </w:rPr>
        <w:t>质疑接受人：叶先生；联系电话：</w:t>
      </w:r>
      <w:r>
        <w:rPr>
          <w:rFonts w:ascii="宋体" w:hAnsi="宋体" w:cs="宋体"/>
          <w:color w:val="auto"/>
          <w:sz w:val="24"/>
          <w:szCs w:val="24"/>
        </w:rPr>
        <w:t>0576-82516821</w:t>
      </w:r>
      <w:r>
        <w:rPr>
          <w:rFonts w:hint="eastAsia" w:ascii="宋体" w:hAnsi="宋体" w:cs="宋体"/>
          <w:color w:val="auto"/>
          <w:sz w:val="24"/>
          <w:szCs w:val="24"/>
          <w:lang w:eastAsia="zh-CN"/>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地址：浙江省台州市路桥区腾达路</w:t>
      </w:r>
      <w:r>
        <w:rPr>
          <w:rFonts w:ascii="宋体" w:hAnsi="宋体" w:cs="宋体"/>
          <w:color w:val="auto"/>
          <w:sz w:val="24"/>
          <w:szCs w:val="24"/>
        </w:rPr>
        <w:t>1991</w:t>
      </w:r>
      <w:r>
        <w:rPr>
          <w:rFonts w:hint="eastAsia" w:ascii="宋体" w:hAnsi="宋体" w:cs="宋体"/>
          <w:color w:val="auto"/>
          <w:sz w:val="24"/>
          <w:szCs w:val="24"/>
        </w:rPr>
        <w:t>号三角陈大楼</w:t>
      </w:r>
      <w:r>
        <w:rPr>
          <w:rFonts w:hint="eastAsia" w:ascii="宋体" w:hAnsi="宋体" w:cs="宋体"/>
          <w:color w:val="auto"/>
          <w:sz w:val="24"/>
          <w:szCs w:val="24"/>
        </w:rPr>
        <w:t>。</w:t>
      </w:r>
    </w:p>
    <w:p>
      <w:pPr>
        <w:spacing w:line="360" w:lineRule="auto"/>
        <w:ind w:firstLine="482" w:firstLineChars="200"/>
        <w:rPr>
          <w:rFonts w:ascii="宋体"/>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、同级政府采购监管管理部门：</w:t>
      </w:r>
      <w:r>
        <w:rPr>
          <w:rFonts w:hint="eastAsia" w:ascii="宋体" w:hAnsi="宋体" w:cs="宋体"/>
          <w:color w:val="auto"/>
          <w:sz w:val="24"/>
          <w:szCs w:val="24"/>
        </w:rPr>
        <w:t>台州市路桥区政府采购管理办公室；</w:t>
      </w:r>
    </w:p>
    <w:p>
      <w:pPr>
        <w:spacing w:line="360" w:lineRule="auto"/>
        <w:ind w:firstLine="480" w:firstLineChars="200"/>
        <w:rPr>
          <w:rFonts w:ascii="宋体"/>
          <w:color w:val="auto"/>
          <w:sz w:val="24"/>
          <w:szCs w:val="24"/>
        </w:rPr>
      </w:pPr>
      <w:r>
        <w:rPr>
          <w:rFonts w:hint="eastAsia" w:ascii="宋体" w:hAnsi="宋体" w:cs="宋体"/>
          <w:color w:val="auto"/>
          <w:sz w:val="24"/>
          <w:szCs w:val="24"/>
        </w:rPr>
        <w:t>联系人：吴女士；监督投诉电话：</w:t>
      </w:r>
      <w:r>
        <w:rPr>
          <w:rFonts w:ascii="宋体" w:hAnsi="宋体" w:cs="宋体"/>
          <w:color w:val="auto"/>
          <w:sz w:val="24"/>
          <w:szCs w:val="24"/>
        </w:rPr>
        <w:t>0576-82517851</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地址：浙江省台州市路桥区西路桥大道</w:t>
      </w:r>
      <w:r>
        <w:rPr>
          <w:rFonts w:ascii="宋体" w:hAnsi="宋体" w:cs="宋体"/>
          <w:color w:val="auto"/>
          <w:sz w:val="24"/>
          <w:szCs w:val="24"/>
        </w:rPr>
        <w:t>58</w:t>
      </w:r>
      <w:r>
        <w:rPr>
          <w:rFonts w:hint="eastAsia" w:ascii="宋体" w:hAnsi="宋体" w:cs="宋体"/>
          <w:color w:val="auto"/>
          <w:sz w:val="24"/>
          <w:szCs w:val="24"/>
        </w:rPr>
        <w:t>号。</w:t>
      </w:r>
    </w:p>
    <w:p>
      <w:pPr>
        <w:spacing w:line="360" w:lineRule="auto"/>
        <w:ind w:firstLine="482" w:firstLineChars="200"/>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、银行（中标项目贷款咨询）</w:t>
      </w:r>
    </w:p>
    <w:p>
      <w:pPr>
        <w:spacing w:line="360" w:lineRule="auto"/>
        <w:ind w:firstLine="480" w:firstLineChars="200"/>
        <w:rPr>
          <w:rFonts w:ascii="宋体"/>
          <w:color w:val="auto"/>
          <w:sz w:val="24"/>
          <w:szCs w:val="24"/>
        </w:rPr>
      </w:pPr>
      <w:r>
        <w:rPr>
          <w:rFonts w:hint="eastAsia" w:ascii="宋体" w:hAnsi="宋体" w:cs="宋体"/>
          <w:color w:val="auto"/>
          <w:sz w:val="24"/>
          <w:szCs w:val="24"/>
        </w:rPr>
        <w:t>中标人可根据项目情况及自身需求向以下银行申请企业贷款，利率从优。</w:t>
      </w:r>
    </w:p>
    <w:tbl>
      <w:tblPr>
        <w:tblStyle w:val="24"/>
        <w:tblW w:w="10860" w:type="dxa"/>
        <w:jc w:val="center"/>
        <w:tblLayout w:type="fixed"/>
        <w:tblCellMar>
          <w:top w:w="0" w:type="dxa"/>
          <w:left w:w="0" w:type="dxa"/>
          <w:bottom w:w="0" w:type="dxa"/>
          <w:right w:w="0" w:type="dxa"/>
        </w:tblCellMar>
      </w:tblPr>
      <w:tblGrid>
        <w:gridCol w:w="570"/>
        <w:gridCol w:w="5348"/>
        <w:gridCol w:w="1785"/>
        <w:gridCol w:w="1222"/>
        <w:gridCol w:w="1935"/>
      </w:tblGrid>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序号</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银</w:t>
            </w:r>
            <w:r>
              <w:rPr>
                <w:rFonts w:ascii="宋体" w:hAnsi="宋体" w:cs="宋体"/>
                <w:color w:val="auto"/>
                <w:kern w:val="0"/>
                <w:sz w:val="24"/>
                <w:szCs w:val="24"/>
              </w:rPr>
              <w:t xml:space="preserve"> </w:t>
            </w:r>
            <w:r>
              <w:rPr>
                <w:rFonts w:hint="eastAsia" w:ascii="宋体" w:hAnsi="宋体" w:cs="宋体"/>
                <w:color w:val="auto"/>
                <w:kern w:val="0"/>
                <w:sz w:val="24"/>
                <w:szCs w:val="24"/>
              </w:rPr>
              <w:t>行</w:t>
            </w:r>
            <w:r>
              <w:rPr>
                <w:rFonts w:ascii="宋体" w:hAnsi="宋体" w:cs="宋体"/>
                <w:color w:val="auto"/>
                <w:kern w:val="0"/>
                <w:sz w:val="24"/>
                <w:szCs w:val="24"/>
              </w:rPr>
              <w:t xml:space="preserve"> </w:t>
            </w:r>
            <w:r>
              <w:rPr>
                <w:rFonts w:hint="eastAsia" w:ascii="宋体" w:hAnsi="宋体" w:cs="宋体"/>
                <w:color w:val="auto"/>
                <w:kern w:val="0"/>
                <w:sz w:val="24"/>
                <w:szCs w:val="24"/>
              </w:rPr>
              <w:t>名</w:t>
            </w:r>
            <w:r>
              <w:rPr>
                <w:rFonts w:ascii="宋体" w:hAnsi="宋体" w:cs="宋体"/>
                <w:color w:val="auto"/>
                <w:kern w:val="0"/>
                <w:sz w:val="24"/>
                <w:szCs w:val="24"/>
              </w:rPr>
              <w:t xml:space="preserve"> </w:t>
            </w:r>
            <w:r>
              <w:rPr>
                <w:rFonts w:hint="eastAsia" w:ascii="宋体" w:hAnsi="宋体" w:cs="宋体"/>
                <w:color w:val="auto"/>
                <w:kern w:val="0"/>
                <w:sz w:val="24"/>
                <w:szCs w:val="24"/>
              </w:rPr>
              <w:t>称</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政采贷年利率</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联系人</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联系电话</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中国建设银行股份有限公司台州路桥支行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5.50%</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徐剑鸿</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15167671223</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中国工商银行股份有限公司台州路桥支行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3.8%</w:t>
            </w:r>
            <w:r>
              <w:rPr>
                <w:rFonts w:hint="eastAsia" w:ascii="宋体" w:hAnsi="宋体" w:cs="宋体"/>
                <w:color w:val="auto"/>
                <w:kern w:val="0"/>
                <w:sz w:val="24"/>
                <w:szCs w:val="24"/>
              </w:rPr>
              <w:t>起</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朱力杰</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18267601003</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中国农业银行股份有限公司台州路桥支行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4.6%-4.8%</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许小波</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13626657520</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中国银行股份有限公司台州市路桥区支行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潘优优</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15168693699</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台州银行股份有限公司</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7.08%</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黄红芹</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13968689000</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浙江泰隆商业银行股份有限公司</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7.08%</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冯观凤</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17858683988</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7</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中国邮政储蓄银行股份有限公司台州市路桥区支行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4.35%</w:t>
            </w:r>
            <w:r>
              <w:rPr>
                <w:rFonts w:hint="eastAsia" w:ascii="宋体" w:hAnsi="宋体" w:cs="宋体"/>
                <w:color w:val="auto"/>
                <w:kern w:val="0"/>
                <w:sz w:val="24"/>
                <w:szCs w:val="24"/>
              </w:rPr>
              <w:t>起</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沈丹华</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13306566969</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交通银行股份有限公司台州路桥支行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4.05%</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张颖聪</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15726976805</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9</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兴业银行股份有限公司台州路桥支行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5%-6%</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陆罗亚</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15858609932</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10</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中信银行股份有限公司台州路桥支行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4.15%</w:t>
            </w:r>
            <w:r>
              <w:rPr>
                <w:rFonts w:hint="eastAsia" w:ascii="宋体" w:hAnsi="宋体" w:cs="宋体"/>
                <w:color w:val="auto"/>
                <w:kern w:val="0"/>
                <w:sz w:val="24"/>
                <w:szCs w:val="24"/>
              </w:rPr>
              <w:t>起</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陈奕汝</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13732310221</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11</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浙商银行股份有限公司台州路桥小微企业专营支行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6.75%</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庄道勇</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13867611023</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12</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广发银行股份有限公司台州路桥小微企业专营支行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5.65%</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林春</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13858687790</w:t>
            </w:r>
          </w:p>
        </w:tc>
      </w:tr>
      <w:tr>
        <w:tblPrEx>
          <w:tblCellMar>
            <w:top w:w="0" w:type="dxa"/>
            <w:left w:w="0" w:type="dxa"/>
            <w:bottom w:w="0" w:type="dxa"/>
            <w:right w:w="0" w:type="dxa"/>
          </w:tblCellMar>
        </w:tblPrEx>
        <w:trPr>
          <w:trHeight w:val="51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13</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平安银行股份有限公司台州路桥小微企业专营支行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7%</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李俊丽</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15906861025</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14</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宁波银行股份有限公司台州路桥小微企业专营支行</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5%-6%</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李诚杰</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13395745558</w:t>
            </w:r>
          </w:p>
        </w:tc>
      </w:tr>
      <w:tr>
        <w:tblPrEx>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15</w:t>
            </w:r>
          </w:p>
        </w:tc>
        <w:tc>
          <w:tcPr>
            <w:tcW w:w="5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浙江台州路桥富民村镇银行股份有限公司</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7.80%</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陈威</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13626660510</w:t>
            </w:r>
          </w:p>
        </w:tc>
      </w:tr>
    </w:tbl>
    <w:p>
      <w:pPr>
        <w:widowControl/>
        <w:jc w:val="right"/>
        <w:textAlignment w:val="center"/>
        <w:rPr>
          <w:rFonts w:ascii="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浙江五石工程咨询有限公司</w:t>
      </w:r>
    </w:p>
    <w:p>
      <w:pPr>
        <w:widowControl/>
        <w:jc w:val="center"/>
        <w:textAlignment w:val="center"/>
        <w:rPr>
          <w:rFonts w:hint="eastAsia" w:ascii="宋体" w:hAnsi="宋体" w:cs="宋体"/>
          <w:color w:val="auto"/>
          <w:kern w:val="0"/>
          <w:sz w:val="24"/>
          <w:szCs w:val="24"/>
          <w:lang w:val="en-US" w:eastAsia="zh-CN"/>
        </w:rPr>
      </w:pPr>
      <w:r>
        <w:rPr>
          <w:rFonts w:ascii="宋体" w:hAnsi="宋体" w:cs="宋体"/>
          <w:color w:val="auto"/>
          <w:kern w:val="0"/>
          <w:sz w:val="24"/>
          <w:szCs w:val="24"/>
        </w:rPr>
        <w:t xml:space="preserve">                                                2021</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8</w:t>
      </w:r>
    </w:p>
    <w:p>
      <w:pPr>
        <w:pStyle w:val="2"/>
        <w:rPr>
          <w:rFonts w:hint="eastAsia" w:ascii="宋体" w:hAnsi="宋体" w:cs="宋体"/>
          <w:color w:val="auto"/>
          <w:kern w:val="0"/>
          <w:sz w:val="24"/>
          <w:szCs w:val="24"/>
          <w:lang w:val="en-US" w:eastAsia="zh-CN"/>
        </w:rPr>
      </w:pPr>
    </w:p>
    <w:p>
      <w:pPr>
        <w:rPr>
          <w:rFonts w:hint="eastAsia" w:ascii="宋体" w:hAnsi="宋体" w:cs="宋体"/>
          <w:color w:val="auto"/>
          <w:kern w:val="0"/>
          <w:sz w:val="24"/>
          <w:szCs w:val="24"/>
          <w:lang w:val="en-US" w:eastAsia="zh-CN"/>
        </w:rPr>
      </w:pPr>
    </w:p>
    <w:p>
      <w:pPr>
        <w:pStyle w:val="2"/>
        <w:rPr>
          <w:color w:val="auto"/>
        </w:rPr>
      </w:pPr>
    </w:p>
    <w:p>
      <w:pPr>
        <w:spacing w:line="360" w:lineRule="auto"/>
        <w:ind w:firstLine="723" w:firstLineChars="200"/>
        <w:jc w:val="center"/>
        <w:rPr>
          <w:rFonts w:ascii="宋体"/>
          <w:b/>
          <w:bCs/>
          <w:color w:val="auto"/>
          <w:sz w:val="36"/>
          <w:szCs w:val="36"/>
        </w:rPr>
      </w:pPr>
      <w:r>
        <w:rPr>
          <w:rFonts w:hint="eastAsia" w:ascii="宋体" w:hAnsi="宋体" w:cs="宋体"/>
          <w:b/>
          <w:bCs/>
          <w:color w:val="auto"/>
          <w:sz w:val="36"/>
          <w:szCs w:val="36"/>
        </w:rPr>
        <w:t>第二章</w:t>
      </w:r>
      <w:r>
        <w:rPr>
          <w:rFonts w:ascii="宋体" w:hAnsi="宋体" w:cs="宋体"/>
          <w:b/>
          <w:bCs/>
          <w:color w:val="auto"/>
          <w:sz w:val="36"/>
          <w:szCs w:val="36"/>
        </w:rPr>
        <w:t xml:space="preserve"> </w:t>
      </w:r>
      <w:r>
        <w:rPr>
          <w:rFonts w:hint="eastAsia" w:ascii="宋体" w:hAnsi="宋体" w:cs="宋体"/>
          <w:b/>
          <w:bCs/>
          <w:color w:val="auto"/>
          <w:sz w:val="36"/>
          <w:szCs w:val="36"/>
        </w:rPr>
        <w:t>投标人须知</w:t>
      </w:r>
    </w:p>
    <w:p>
      <w:pPr>
        <w:spacing w:line="360" w:lineRule="auto"/>
        <w:ind w:firstLine="482" w:firstLineChars="200"/>
        <w:jc w:val="center"/>
        <w:rPr>
          <w:rFonts w:ascii="宋体"/>
          <w:b/>
          <w:bCs/>
          <w:color w:val="auto"/>
          <w:sz w:val="24"/>
          <w:szCs w:val="24"/>
        </w:rPr>
      </w:pPr>
      <w:r>
        <w:rPr>
          <w:rFonts w:hint="eastAsia" w:ascii="宋体" w:hAnsi="宋体" w:cs="宋体"/>
          <w:b/>
          <w:bCs/>
          <w:color w:val="auto"/>
          <w:sz w:val="24"/>
          <w:szCs w:val="24"/>
        </w:rPr>
        <w:t>前附表</w:t>
      </w:r>
    </w:p>
    <w:tbl>
      <w:tblPr>
        <w:tblStyle w:val="24"/>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59"/>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序号</w:t>
            </w:r>
          </w:p>
        </w:tc>
        <w:tc>
          <w:tcPr>
            <w:tcW w:w="1559"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项</w:t>
            </w:r>
            <w:r>
              <w:rPr>
                <w:rFonts w:ascii="宋体" w:hAnsi="宋体" w:cs="宋体"/>
                <w:color w:val="auto"/>
                <w:sz w:val="24"/>
                <w:szCs w:val="24"/>
              </w:rPr>
              <w:t xml:space="preserve">    </w:t>
            </w:r>
            <w:r>
              <w:rPr>
                <w:rFonts w:hint="eastAsia" w:ascii="宋体" w:hAnsi="宋体" w:cs="宋体"/>
                <w:color w:val="auto"/>
                <w:sz w:val="24"/>
                <w:szCs w:val="24"/>
              </w:rPr>
              <w:t>目</w:t>
            </w:r>
          </w:p>
        </w:tc>
        <w:tc>
          <w:tcPr>
            <w:tcW w:w="7522"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内</w:t>
            </w:r>
            <w:r>
              <w:rPr>
                <w:rFonts w:ascii="宋体" w:hAnsi="宋体" w:cs="宋体"/>
                <w:color w:val="auto"/>
                <w:sz w:val="24"/>
                <w:szCs w:val="24"/>
              </w:rPr>
              <w:t xml:space="preserve">                 </w:t>
            </w:r>
            <w:r>
              <w:rPr>
                <w:rFonts w:hint="eastAsia" w:ascii="宋体" w:hAnsi="宋体" w:cs="宋体"/>
                <w:color w:val="auto"/>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300" w:lineRule="exact"/>
              <w:jc w:val="center"/>
              <w:rPr>
                <w:rFonts w:ascii="宋体"/>
                <w:color w:val="auto"/>
                <w:sz w:val="24"/>
                <w:szCs w:val="24"/>
              </w:rPr>
            </w:pPr>
            <w:r>
              <w:rPr>
                <w:rFonts w:ascii="宋体" w:hAnsi="宋体" w:cs="宋体"/>
                <w:color w:val="auto"/>
                <w:sz w:val="24"/>
                <w:szCs w:val="24"/>
              </w:rPr>
              <w:t>1</w:t>
            </w:r>
          </w:p>
        </w:tc>
        <w:tc>
          <w:tcPr>
            <w:tcW w:w="1559"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供应商特定资格要求</w:t>
            </w:r>
          </w:p>
        </w:tc>
        <w:tc>
          <w:tcPr>
            <w:tcW w:w="7522" w:type="dxa"/>
            <w:vAlign w:val="center"/>
          </w:tcPr>
          <w:p>
            <w:pPr>
              <w:spacing w:line="300" w:lineRule="exact"/>
              <w:rPr>
                <w:rFonts w:ascii="宋体"/>
                <w:color w:val="auto"/>
                <w:sz w:val="24"/>
                <w:szCs w:val="24"/>
              </w:rPr>
            </w:pPr>
            <w:r>
              <w:rPr>
                <w:rFonts w:hint="eastAsia" w:ascii="宋体" w:hAnsi="宋体" w:cs="宋体"/>
                <w:color w:val="auto"/>
                <w:sz w:val="24"/>
                <w:szCs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300" w:lineRule="exact"/>
              <w:jc w:val="center"/>
              <w:rPr>
                <w:rFonts w:ascii="宋体"/>
                <w:color w:val="auto"/>
                <w:sz w:val="24"/>
                <w:szCs w:val="24"/>
              </w:rPr>
            </w:pPr>
            <w:r>
              <w:rPr>
                <w:rFonts w:ascii="宋体" w:hAnsi="宋体" w:cs="宋体"/>
                <w:color w:val="auto"/>
                <w:sz w:val="24"/>
                <w:szCs w:val="24"/>
              </w:rPr>
              <w:t>2</w:t>
            </w:r>
          </w:p>
        </w:tc>
        <w:tc>
          <w:tcPr>
            <w:tcW w:w="1559" w:type="dxa"/>
            <w:vAlign w:val="center"/>
          </w:tcPr>
          <w:p>
            <w:pPr>
              <w:spacing w:line="300" w:lineRule="exact"/>
              <w:jc w:val="center"/>
              <w:rPr>
                <w:rFonts w:ascii="宋体"/>
                <w:color w:val="auto"/>
                <w:sz w:val="24"/>
                <w:szCs w:val="24"/>
              </w:rPr>
            </w:pPr>
            <w:r>
              <w:rPr>
                <w:rFonts w:hint="eastAsia" w:ascii="宋体" w:hAnsi="宋体" w:cs="宋体"/>
                <w:color w:val="auto"/>
                <w:kern w:val="0"/>
                <w:sz w:val="24"/>
                <w:szCs w:val="24"/>
              </w:rPr>
              <w:t>答疑会或</w:t>
            </w:r>
            <w:r>
              <w:rPr>
                <w:rFonts w:hint="eastAsia" w:ascii="宋体" w:hAnsi="宋体" w:cs="宋体"/>
                <w:color w:val="auto"/>
                <w:sz w:val="24"/>
                <w:szCs w:val="24"/>
              </w:rPr>
              <w:t>现场踏勘</w:t>
            </w:r>
          </w:p>
        </w:tc>
        <w:tc>
          <w:tcPr>
            <w:tcW w:w="7522" w:type="dxa"/>
            <w:vAlign w:val="center"/>
          </w:tcPr>
          <w:p>
            <w:pPr>
              <w:spacing w:line="300" w:lineRule="exact"/>
              <w:rPr>
                <w:rFonts w:ascii="宋体"/>
                <w:color w:val="auto"/>
                <w:sz w:val="24"/>
                <w:szCs w:val="24"/>
              </w:rPr>
            </w:pPr>
            <w:r>
              <w:rPr>
                <w:rFonts w:hint="eastAsia" w:ascii="宋体" w:cs="宋体"/>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pPr>
              <w:spacing w:line="300" w:lineRule="exact"/>
              <w:jc w:val="center"/>
              <w:rPr>
                <w:rFonts w:ascii="宋体"/>
                <w:color w:val="auto"/>
                <w:sz w:val="24"/>
                <w:szCs w:val="24"/>
              </w:rPr>
            </w:pPr>
            <w:r>
              <w:rPr>
                <w:rFonts w:ascii="宋体" w:hAnsi="宋体" w:cs="宋体"/>
                <w:color w:val="auto"/>
                <w:sz w:val="24"/>
                <w:szCs w:val="24"/>
              </w:rPr>
              <w:t>3</w:t>
            </w:r>
          </w:p>
        </w:tc>
        <w:tc>
          <w:tcPr>
            <w:tcW w:w="1559" w:type="dxa"/>
            <w:vAlign w:val="center"/>
          </w:tcPr>
          <w:p>
            <w:pPr>
              <w:spacing w:line="300" w:lineRule="exact"/>
              <w:jc w:val="center"/>
              <w:rPr>
                <w:rFonts w:ascii="宋体"/>
                <w:color w:val="auto"/>
                <w:kern w:val="0"/>
                <w:sz w:val="24"/>
                <w:szCs w:val="24"/>
              </w:rPr>
            </w:pPr>
            <w:r>
              <w:rPr>
                <w:rFonts w:hint="eastAsia" w:ascii="宋体" w:hAnsi="宋体" w:cs="宋体"/>
                <w:color w:val="auto"/>
                <w:sz w:val="24"/>
                <w:szCs w:val="24"/>
              </w:rPr>
              <w:t>投标文件的组成、份数、效力</w:t>
            </w:r>
          </w:p>
        </w:tc>
        <w:tc>
          <w:tcPr>
            <w:tcW w:w="7522" w:type="dxa"/>
            <w:vAlign w:val="center"/>
          </w:tcPr>
          <w:p>
            <w:pPr>
              <w:spacing w:line="300" w:lineRule="exact"/>
              <w:ind w:firstLine="480" w:firstLineChars="200"/>
              <w:rPr>
                <w:rFonts w:ascii="宋体"/>
                <w:color w:val="auto"/>
                <w:sz w:val="24"/>
                <w:szCs w:val="24"/>
              </w:rPr>
            </w:pPr>
            <w:r>
              <w:rPr>
                <w:rFonts w:hint="eastAsia" w:ascii="宋体" w:hAnsi="宋体" w:cs="宋体"/>
                <w:color w:val="auto"/>
                <w:sz w:val="24"/>
                <w:szCs w:val="24"/>
              </w:rPr>
              <w:t>本项目实行电子投标，供应商应准备电子投标文件、以介质（</w:t>
            </w:r>
            <w:r>
              <w:rPr>
                <w:rFonts w:ascii="宋体" w:hAnsi="宋体" w:cs="宋体"/>
                <w:color w:val="auto"/>
                <w:sz w:val="24"/>
                <w:szCs w:val="24"/>
              </w:rPr>
              <w:t>U</w:t>
            </w:r>
            <w:r>
              <w:rPr>
                <w:rFonts w:hint="eastAsia" w:ascii="宋体" w:hAnsi="宋体" w:cs="宋体"/>
                <w:color w:val="auto"/>
                <w:sz w:val="24"/>
                <w:szCs w:val="24"/>
              </w:rPr>
              <w:t>盘）存储的数据电文形式的备份投标文件、纸质备份投标文件三类：</w:t>
            </w:r>
          </w:p>
          <w:p>
            <w:pPr>
              <w:spacing w:line="300" w:lineRule="exact"/>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电子投标文件，按政采云平台项目采购</w:t>
            </w:r>
            <w:r>
              <w:rPr>
                <w:rFonts w:ascii="宋体" w:cs="宋体"/>
                <w:color w:val="auto"/>
                <w:sz w:val="24"/>
                <w:szCs w:val="24"/>
              </w:rPr>
              <w:t>--</w:t>
            </w:r>
            <w:r>
              <w:rPr>
                <w:rFonts w:hint="eastAsia" w:ascii="宋体" w:hAnsi="宋体" w:cs="宋体"/>
                <w:color w:val="auto"/>
                <w:sz w:val="24"/>
                <w:szCs w:val="24"/>
              </w:rPr>
              <w:t>电子招投标操作指南及本招标文件要求编制、递交。</w:t>
            </w:r>
          </w:p>
          <w:p>
            <w:pPr>
              <w:spacing w:line="300" w:lineRule="exact"/>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以介质（</w:t>
            </w:r>
            <w:r>
              <w:rPr>
                <w:rFonts w:ascii="宋体" w:hAnsi="宋体" w:cs="宋体"/>
                <w:color w:val="auto"/>
                <w:sz w:val="24"/>
                <w:szCs w:val="24"/>
              </w:rPr>
              <w:t>U</w:t>
            </w:r>
            <w:r>
              <w:rPr>
                <w:rFonts w:hint="eastAsia" w:ascii="宋体" w:hAnsi="宋体" w:cs="宋体"/>
                <w:color w:val="auto"/>
                <w:sz w:val="24"/>
                <w:szCs w:val="24"/>
              </w:rPr>
              <w:t>盘）存储的数据电文形式的备份投标文件，按政采云平台项目采购</w:t>
            </w:r>
            <w:r>
              <w:rPr>
                <w:rFonts w:ascii="宋体" w:cs="宋体"/>
                <w:color w:val="auto"/>
                <w:sz w:val="24"/>
                <w:szCs w:val="24"/>
              </w:rPr>
              <w:t>-</w:t>
            </w:r>
            <w:r>
              <w:rPr>
                <w:rFonts w:hint="eastAsia" w:ascii="宋体" w:hAnsi="宋体" w:cs="宋体"/>
                <w:color w:val="auto"/>
                <w:sz w:val="24"/>
                <w:szCs w:val="24"/>
              </w:rPr>
              <w:t>电子招投标操作指南中上传的电子投标文件格式，以</w:t>
            </w:r>
            <w:r>
              <w:rPr>
                <w:rFonts w:ascii="宋体" w:hAnsi="宋体" w:cs="宋体"/>
                <w:color w:val="auto"/>
                <w:sz w:val="24"/>
                <w:szCs w:val="24"/>
              </w:rPr>
              <w:t>U</w:t>
            </w:r>
            <w:r>
              <w:rPr>
                <w:rFonts w:hint="eastAsia" w:ascii="宋体" w:hAnsi="宋体" w:cs="宋体"/>
                <w:color w:val="auto"/>
                <w:sz w:val="24"/>
                <w:szCs w:val="24"/>
              </w:rPr>
              <w:t>盘形式提供。</w:t>
            </w:r>
          </w:p>
          <w:p>
            <w:pPr>
              <w:spacing w:line="300" w:lineRule="exact"/>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纸质备份投标文件以纸质文件的形式编制，按资格证明文件、商务技术文件、报价文件三部分分别编制并单独装订成册，</w:t>
            </w:r>
            <w:r>
              <w:rPr>
                <w:rFonts w:hint="eastAsia" w:ascii="宋体" w:hAnsi="宋体" w:cs="宋体"/>
                <w:b/>
                <w:bCs/>
                <w:color w:val="auto"/>
                <w:sz w:val="24"/>
                <w:szCs w:val="24"/>
              </w:rPr>
              <w:t>数量均为</w:t>
            </w:r>
            <w:r>
              <w:rPr>
                <w:rFonts w:ascii="宋体" w:hAnsi="宋体" w:cs="宋体"/>
                <w:b/>
                <w:bCs/>
                <w:color w:val="auto"/>
                <w:sz w:val="24"/>
                <w:szCs w:val="24"/>
              </w:rPr>
              <w:t>2</w:t>
            </w:r>
            <w:r>
              <w:rPr>
                <w:rFonts w:hint="eastAsia" w:ascii="宋体" w:hAnsi="宋体" w:cs="宋体"/>
                <w:b/>
                <w:bCs/>
                <w:color w:val="auto"/>
                <w:sz w:val="24"/>
                <w:szCs w:val="24"/>
              </w:rPr>
              <w:t>份（一正一副）</w:t>
            </w:r>
            <w:r>
              <w:rPr>
                <w:rFonts w:hint="eastAsia" w:ascii="宋体" w:hAnsi="宋体" w:cs="宋体"/>
                <w:color w:val="auto"/>
                <w:sz w:val="24"/>
                <w:szCs w:val="24"/>
              </w:rPr>
              <w:t>。资格证明文件、商务技术文件、报价文件三部分须分别密封封装，资格证明文件、商务技术文件、报价文件三部分未分别密封的投标文件将为无效。</w:t>
            </w:r>
          </w:p>
          <w:p>
            <w:pPr>
              <w:spacing w:line="300" w:lineRule="exact"/>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投标文件启用顺序和效力：投标文件的启用，按先后顺位分别为电子投标文件、以介质（</w:t>
            </w:r>
            <w:r>
              <w:rPr>
                <w:rFonts w:ascii="宋体" w:hAnsi="宋体" w:cs="宋体"/>
                <w:color w:val="auto"/>
                <w:sz w:val="24"/>
                <w:szCs w:val="24"/>
              </w:rPr>
              <w:t>U</w:t>
            </w:r>
            <w:r>
              <w:rPr>
                <w:rFonts w:hint="eastAsia" w:ascii="宋体" w:hAnsi="宋体" w:cs="宋体"/>
                <w:color w:val="auto"/>
                <w:sz w:val="24"/>
                <w:szCs w:val="24"/>
              </w:rPr>
              <w:t>盘）存储的数据电文形式的备份投标文件、纸质备份投标文件。顺位在先的投标文件已按时解密的，备份投标文件自动失效。在下一顺位的投标文件启用时，前一顺位的投标文件自动失效。</w:t>
            </w:r>
          </w:p>
          <w:p>
            <w:pPr>
              <w:spacing w:line="300" w:lineRule="exact"/>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300" w:lineRule="exact"/>
              <w:jc w:val="center"/>
              <w:rPr>
                <w:rFonts w:ascii="宋体"/>
                <w:color w:val="auto"/>
                <w:sz w:val="24"/>
                <w:szCs w:val="24"/>
              </w:rPr>
            </w:pPr>
            <w:r>
              <w:rPr>
                <w:rFonts w:ascii="宋体" w:hAnsi="宋体" w:cs="宋体"/>
                <w:color w:val="auto"/>
                <w:sz w:val="24"/>
                <w:szCs w:val="24"/>
              </w:rPr>
              <w:t>4</w:t>
            </w:r>
          </w:p>
        </w:tc>
        <w:tc>
          <w:tcPr>
            <w:tcW w:w="1559"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投标有效期</w:t>
            </w:r>
          </w:p>
        </w:tc>
        <w:tc>
          <w:tcPr>
            <w:tcW w:w="7522" w:type="dxa"/>
            <w:vAlign w:val="center"/>
          </w:tcPr>
          <w:p>
            <w:pPr>
              <w:spacing w:line="300" w:lineRule="exact"/>
              <w:rPr>
                <w:rFonts w:ascii="宋体"/>
                <w:color w:val="auto"/>
                <w:sz w:val="24"/>
                <w:szCs w:val="24"/>
              </w:rPr>
            </w:pPr>
            <w:r>
              <w:rPr>
                <w:rFonts w:hint="eastAsia" w:ascii="宋体" w:hAnsi="宋体" w:cs="宋体"/>
                <w:color w:val="auto"/>
                <w:sz w:val="24"/>
                <w:szCs w:val="24"/>
              </w:rPr>
              <w:t>投标有效期为开标后</w:t>
            </w:r>
            <w:r>
              <w:rPr>
                <w:rFonts w:ascii="宋体" w:hAnsi="宋体" w:cs="宋体"/>
                <w:color w:val="auto"/>
                <w:sz w:val="24"/>
                <w:szCs w:val="24"/>
              </w:rPr>
              <w:t>90</w:t>
            </w:r>
            <w:r>
              <w:rPr>
                <w:rFonts w:hint="eastAsia" w:ascii="宋体" w:hAnsi="宋体" w:cs="宋体"/>
                <w:color w:val="auto"/>
                <w:sz w:val="24"/>
                <w:szCs w:val="24"/>
              </w:rPr>
              <w:t>天，</w:t>
            </w:r>
            <w:r>
              <w:rPr>
                <w:rFonts w:hint="eastAsia" w:ascii="宋体" w:hAnsi="宋体" w:cs="宋体"/>
                <w:color w:val="auto"/>
                <w:kern w:val="0"/>
                <w:sz w:val="24"/>
                <w:szCs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spacing w:line="300" w:lineRule="exact"/>
              <w:jc w:val="center"/>
              <w:rPr>
                <w:rFonts w:ascii="宋体"/>
                <w:color w:val="auto"/>
                <w:sz w:val="24"/>
                <w:szCs w:val="24"/>
              </w:rPr>
            </w:pPr>
            <w:r>
              <w:rPr>
                <w:rFonts w:ascii="宋体" w:hAnsi="宋体" w:cs="宋体"/>
                <w:color w:val="auto"/>
                <w:sz w:val="24"/>
                <w:szCs w:val="24"/>
              </w:rPr>
              <w:t>5</w:t>
            </w:r>
          </w:p>
        </w:tc>
        <w:tc>
          <w:tcPr>
            <w:tcW w:w="1559"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投标文件递交截止时间及开标时间地点</w:t>
            </w:r>
          </w:p>
        </w:tc>
        <w:tc>
          <w:tcPr>
            <w:tcW w:w="7522" w:type="dxa"/>
            <w:vAlign w:val="center"/>
          </w:tcPr>
          <w:p>
            <w:pPr>
              <w:spacing w:line="300" w:lineRule="exact"/>
              <w:rPr>
                <w:rFonts w:ascii="宋体"/>
                <w:color w:val="auto"/>
                <w:sz w:val="24"/>
                <w:szCs w:val="24"/>
              </w:rPr>
            </w:pPr>
            <w:r>
              <w:rPr>
                <w:rFonts w:hint="eastAsia" w:ascii="宋体" w:hAnsi="宋体" w:cs="宋体"/>
                <w:color w:val="auto"/>
                <w:sz w:val="24"/>
                <w:szCs w:val="24"/>
              </w:rPr>
              <w:t>截止时间：北京时间</w:t>
            </w:r>
            <w:r>
              <w:rPr>
                <w:rFonts w:ascii="宋体" w:hAnsi="宋体" w:cs="宋体"/>
                <w:color w:val="auto"/>
                <w:sz w:val="24"/>
                <w:szCs w:val="24"/>
              </w:rPr>
              <w:t>2021</w:t>
            </w:r>
            <w:r>
              <w:rPr>
                <w:rFonts w:hint="eastAsia" w:ascii="宋体" w:hAnsi="宋体" w:cs="宋体"/>
                <w:color w:val="auto"/>
                <w:sz w:val="24"/>
                <w:szCs w:val="24"/>
              </w:rPr>
              <w:t>年</w:t>
            </w:r>
            <w:r>
              <w:rPr>
                <w:rFonts w:hint="eastAsia" w:ascii="宋体" w:hAnsi="宋体" w:cs="宋体"/>
                <w:color w:val="auto"/>
                <w:sz w:val="24"/>
                <w:szCs w:val="24"/>
                <w:lang w:val="en-US" w:eastAsia="zh-CN"/>
              </w:rPr>
              <w:t>9月16</w:t>
            </w:r>
            <w:r>
              <w:rPr>
                <w:rFonts w:hint="eastAsia" w:ascii="宋体" w:hAnsi="宋体" w:cs="宋体"/>
                <w:color w:val="auto"/>
                <w:sz w:val="24"/>
                <w:szCs w:val="24"/>
              </w:rPr>
              <w:t>日下午</w:t>
            </w:r>
            <w:r>
              <w:rPr>
                <w:rFonts w:ascii="宋体" w:hAnsi="宋体" w:cs="宋体"/>
                <w:color w:val="auto"/>
                <w:sz w:val="24"/>
                <w:szCs w:val="24"/>
              </w:rPr>
              <w:t>14:30</w:t>
            </w:r>
          </w:p>
          <w:p>
            <w:pPr>
              <w:spacing w:line="300" w:lineRule="exact"/>
              <w:rPr>
                <w:rFonts w:ascii="宋体"/>
                <w:color w:val="auto"/>
                <w:sz w:val="24"/>
                <w:szCs w:val="24"/>
              </w:rPr>
            </w:pPr>
            <w:r>
              <w:rPr>
                <w:rFonts w:hint="eastAsia" w:ascii="宋体" w:hAnsi="宋体" w:cs="宋体"/>
                <w:color w:val="auto"/>
                <w:sz w:val="24"/>
                <w:szCs w:val="24"/>
              </w:rPr>
              <w:t>投标供应商应当在投标截止时间前将生成的</w:t>
            </w:r>
            <w:r>
              <w:rPr>
                <w:rFonts w:hint="eastAsia" w:ascii="宋体" w:cs="宋体"/>
                <w:color w:val="auto"/>
                <w:sz w:val="24"/>
                <w:szCs w:val="24"/>
              </w:rPr>
              <w:t>“</w:t>
            </w:r>
            <w:r>
              <w:rPr>
                <w:rFonts w:hint="eastAsia" w:ascii="宋体" w:hAnsi="宋体" w:cs="宋体"/>
                <w:color w:val="auto"/>
                <w:sz w:val="24"/>
                <w:szCs w:val="24"/>
              </w:rPr>
              <w:t>电子加密投标文件</w:t>
            </w:r>
            <w:r>
              <w:rPr>
                <w:rFonts w:hint="eastAsia" w:ascii="宋体" w:cs="宋体"/>
                <w:color w:val="auto"/>
                <w:sz w:val="24"/>
                <w:szCs w:val="24"/>
              </w:rPr>
              <w:t>”</w:t>
            </w:r>
            <w:r>
              <w:rPr>
                <w:rFonts w:hint="eastAsia" w:ascii="宋体" w:hAnsi="宋体" w:cs="宋体"/>
                <w:color w:val="auto"/>
                <w:sz w:val="24"/>
                <w:szCs w:val="24"/>
              </w:rPr>
              <w:t>上传递交至</w:t>
            </w:r>
            <w:r>
              <w:rPr>
                <w:rFonts w:hint="eastAsia" w:ascii="宋体" w:cs="宋体"/>
                <w:color w:val="auto"/>
                <w:sz w:val="24"/>
                <w:szCs w:val="24"/>
              </w:rPr>
              <w:t>“</w:t>
            </w:r>
            <w:r>
              <w:rPr>
                <w:rFonts w:hint="eastAsia" w:ascii="宋体" w:hAnsi="宋体" w:cs="宋体"/>
                <w:color w:val="auto"/>
                <w:sz w:val="24"/>
                <w:szCs w:val="24"/>
              </w:rPr>
              <w:t>政府采购云平台</w:t>
            </w:r>
            <w:r>
              <w:rPr>
                <w:rFonts w:hint="eastAsia" w:ascii="宋体" w:cs="宋体"/>
                <w:color w:val="auto"/>
                <w:sz w:val="24"/>
                <w:szCs w:val="24"/>
              </w:rPr>
              <w:t>”</w:t>
            </w:r>
            <w:r>
              <w:rPr>
                <w:rFonts w:hint="eastAsia" w:ascii="宋体" w:hAnsi="宋体" w:cs="宋体"/>
                <w:color w:val="auto"/>
                <w:sz w:val="24"/>
                <w:szCs w:val="24"/>
              </w:rPr>
              <w:t>，并在开标当日投标截止时间前提交纸质备份投标文件。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300" w:lineRule="exact"/>
              <w:jc w:val="center"/>
              <w:rPr>
                <w:rFonts w:ascii="宋体"/>
                <w:color w:val="auto"/>
                <w:sz w:val="24"/>
                <w:szCs w:val="24"/>
              </w:rPr>
            </w:pPr>
            <w:r>
              <w:rPr>
                <w:rFonts w:ascii="宋体" w:hAnsi="宋体" w:cs="宋体"/>
                <w:color w:val="auto"/>
                <w:sz w:val="24"/>
                <w:szCs w:val="24"/>
              </w:rPr>
              <w:t>7</w:t>
            </w:r>
          </w:p>
        </w:tc>
        <w:tc>
          <w:tcPr>
            <w:tcW w:w="1559"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履约保证金</w:t>
            </w:r>
          </w:p>
        </w:tc>
        <w:tc>
          <w:tcPr>
            <w:tcW w:w="7522" w:type="dxa"/>
            <w:vAlign w:val="center"/>
          </w:tcPr>
          <w:p>
            <w:pPr>
              <w:spacing w:line="300" w:lineRule="exac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金额：合同总价的</w:t>
            </w:r>
            <w:r>
              <w:rPr>
                <w:rFonts w:ascii="宋体" w:hAnsi="宋体" w:cs="宋体"/>
                <w:color w:val="auto"/>
                <w:sz w:val="24"/>
                <w:szCs w:val="24"/>
              </w:rPr>
              <w:t>5%</w:t>
            </w:r>
            <w:r>
              <w:rPr>
                <w:rFonts w:hint="eastAsia" w:ascii="宋体" w:hAnsi="宋体" w:cs="宋体"/>
                <w:color w:val="auto"/>
                <w:sz w:val="24"/>
                <w:szCs w:val="24"/>
              </w:rPr>
              <w:t>（履约保证金可采用保函、担保等形式）</w:t>
            </w:r>
          </w:p>
          <w:p>
            <w:pPr>
              <w:spacing w:line="300" w:lineRule="exac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中标单位在签订合同前须交纳本项目履约保证金存到采购人指定账户；</w:t>
            </w:r>
          </w:p>
          <w:p>
            <w:pPr>
              <w:spacing w:line="300" w:lineRule="exac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退还条件详见合同条款。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40" w:type="dxa"/>
            <w:vAlign w:val="center"/>
          </w:tcPr>
          <w:p>
            <w:pPr>
              <w:spacing w:line="300" w:lineRule="exact"/>
              <w:jc w:val="center"/>
              <w:rPr>
                <w:rFonts w:ascii="宋体"/>
                <w:color w:val="auto"/>
                <w:sz w:val="24"/>
                <w:szCs w:val="24"/>
              </w:rPr>
            </w:pPr>
            <w:r>
              <w:rPr>
                <w:rFonts w:ascii="宋体" w:hAnsi="宋体" w:cs="宋体"/>
                <w:color w:val="auto"/>
                <w:sz w:val="24"/>
                <w:szCs w:val="24"/>
              </w:rPr>
              <w:t>8</w:t>
            </w:r>
          </w:p>
        </w:tc>
        <w:tc>
          <w:tcPr>
            <w:tcW w:w="1559" w:type="dxa"/>
            <w:vAlign w:val="center"/>
          </w:tcPr>
          <w:p>
            <w:pPr>
              <w:autoSpaceDE w:val="0"/>
              <w:autoSpaceDN w:val="0"/>
              <w:adjustRightInd w:val="0"/>
              <w:spacing w:line="300" w:lineRule="exact"/>
              <w:jc w:val="center"/>
              <w:rPr>
                <w:rFonts w:ascii="宋体"/>
                <w:color w:val="auto"/>
                <w:sz w:val="24"/>
                <w:szCs w:val="24"/>
              </w:rPr>
            </w:pPr>
            <w:r>
              <w:rPr>
                <w:rFonts w:hint="eastAsia" w:ascii="宋体" w:hAnsi="宋体" w:cs="宋体"/>
                <w:color w:val="auto"/>
                <w:sz w:val="24"/>
                <w:szCs w:val="24"/>
                <w:lang w:val="zh-CN"/>
              </w:rPr>
              <w:t>实质性条款</w:t>
            </w:r>
          </w:p>
        </w:tc>
        <w:tc>
          <w:tcPr>
            <w:tcW w:w="7522" w:type="dxa"/>
            <w:vAlign w:val="center"/>
          </w:tcPr>
          <w:p>
            <w:pPr>
              <w:spacing w:line="300" w:lineRule="exact"/>
              <w:rPr>
                <w:rFonts w:ascii="宋体"/>
                <w:color w:val="auto"/>
                <w:sz w:val="24"/>
                <w:szCs w:val="24"/>
              </w:rPr>
            </w:pPr>
            <w:r>
              <w:rPr>
                <w:rFonts w:hint="eastAsia" w:ascii="宋体" w:hAnsi="宋体" w:cs="宋体"/>
                <w:color w:val="auto"/>
                <w:sz w:val="24"/>
                <w:szCs w:val="24"/>
                <w:lang w:val="zh-CN"/>
              </w:rPr>
              <w:t>带“</w:t>
            </w:r>
            <w:r>
              <w:rPr>
                <w:rFonts w:hint="eastAsia" w:ascii="宋体" w:hAnsi="宋体" w:cs="宋体"/>
                <w:color w:val="auto"/>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300" w:lineRule="exact"/>
              <w:jc w:val="center"/>
              <w:rPr>
                <w:rFonts w:ascii="宋体"/>
                <w:color w:val="auto"/>
                <w:sz w:val="24"/>
                <w:szCs w:val="24"/>
              </w:rPr>
            </w:pPr>
            <w:r>
              <w:rPr>
                <w:rFonts w:ascii="宋体" w:hAnsi="宋体" w:cs="宋体"/>
                <w:color w:val="auto"/>
                <w:sz w:val="24"/>
                <w:szCs w:val="24"/>
              </w:rPr>
              <w:t>9</w:t>
            </w:r>
          </w:p>
        </w:tc>
        <w:tc>
          <w:tcPr>
            <w:tcW w:w="1559"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样品及演示</w:t>
            </w:r>
          </w:p>
        </w:tc>
        <w:tc>
          <w:tcPr>
            <w:tcW w:w="7522" w:type="dxa"/>
            <w:vAlign w:val="center"/>
          </w:tcPr>
          <w:p>
            <w:pPr>
              <w:spacing w:line="300" w:lineRule="exact"/>
              <w:jc w:val="left"/>
              <w:rPr>
                <w:rFonts w:ascii="宋体"/>
                <w:color w:val="auto"/>
                <w:sz w:val="24"/>
                <w:szCs w:val="24"/>
              </w:rPr>
            </w:pPr>
            <w:r>
              <w:rPr>
                <w:rFonts w:hint="eastAsia" w:ascii="宋体" w:hAnsi="宋体" w:cs="宋体"/>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300" w:lineRule="exact"/>
              <w:jc w:val="center"/>
              <w:rPr>
                <w:rFonts w:ascii="宋体"/>
                <w:color w:val="auto"/>
                <w:sz w:val="24"/>
                <w:szCs w:val="24"/>
              </w:rPr>
            </w:pPr>
            <w:r>
              <w:rPr>
                <w:rFonts w:ascii="宋体" w:hAnsi="宋体" w:cs="宋体"/>
                <w:color w:val="auto"/>
                <w:sz w:val="24"/>
                <w:szCs w:val="24"/>
              </w:rPr>
              <w:t>10</w:t>
            </w:r>
          </w:p>
        </w:tc>
        <w:tc>
          <w:tcPr>
            <w:tcW w:w="1559"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节能环保</w:t>
            </w:r>
          </w:p>
        </w:tc>
        <w:tc>
          <w:tcPr>
            <w:tcW w:w="7522" w:type="dxa"/>
            <w:vAlign w:val="center"/>
          </w:tcPr>
          <w:p>
            <w:pPr>
              <w:spacing w:line="300" w:lineRule="exact"/>
              <w:rPr>
                <w:rFonts w:ascii="宋体"/>
                <w:color w:val="auto"/>
                <w:sz w:val="24"/>
                <w:szCs w:val="24"/>
              </w:rPr>
            </w:pPr>
            <w:r>
              <w:rPr>
                <w:rFonts w:hint="eastAsia" w:ascii="宋体" w:hAnsi="宋体" w:cs="宋体"/>
                <w:color w:val="auto"/>
                <w:sz w:val="24"/>
                <w:szCs w:val="24"/>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300" w:lineRule="exact"/>
              <w:jc w:val="center"/>
              <w:rPr>
                <w:rFonts w:ascii="宋体"/>
                <w:color w:val="auto"/>
                <w:sz w:val="24"/>
                <w:szCs w:val="24"/>
              </w:rPr>
            </w:pPr>
            <w:r>
              <w:rPr>
                <w:rFonts w:ascii="宋体" w:hAnsi="宋体" w:cs="宋体"/>
                <w:color w:val="auto"/>
                <w:sz w:val="24"/>
                <w:szCs w:val="24"/>
              </w:rPr>
              <w:t>11</w:t>
            </w:r>
          </w:p>
        </w:tc>
        <w:tc>
          <w:tcPr>
            <w:tcW w:w="1559"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解释权</w:t>
            </w:r>
          </w:p>
        </w:tc>
        <w:tc>
          <w:tcPr>
            <w:tcW w:w="7522" w:type="dxa"/>
            <w:vAlign w:val="center"/>
          </w:tcPr>
          <w:p>
            <w:pPr>
              <w:spacing w:line="300" w:lineRule="exact"/>
              <w:rPr>
                <w:rFonts w:ascii="宋体"/>
                <w:color w:val="auto"/>
                <w:sz w:val="24"/>
                <w:szCs w:val="24"/>
              </w:rPr>
            </w:pPr>
            <w:r>
              <w:rPr>
                <w:rFonts w:hint="eastAsia" w:ascii="宋体" w:hAnsi="宋体" w:cs="宋体"/>
                <w:color w:val="auto"/>
                <w:sz w:val="24"/>
                <w:szCs w:val="24"/>
              </w:rPr>
              <w:t>本招标文件解释权属于采购人和浙江五石工程咨询有限公司。</w:t>
            </w:r>
          </w:p>
        </w:tc>
      </w:tr>
    </w:tbl>
    <w:p>
      <w:pPr>
        <w:spacing w:line="360" w:lineRule="auto"/>
        <w:rPr>
          <w:rFonts w:ascii="宋体"/>
          <w:b/>
          <w:bCs/>
          <w:color w:val="auto"/>
          <w:sz w:val="24"/>
          <w:szCs w:val="24"/>
        </w:rPr>
      </w:pPr>
    </w:p>
    <w:p>
      <w:pPr>
        <w:spacing w:line="360" w:lineRule="auto"/>
        <w:rPr>
          <w:rFonts w:ascii="宋体"/>
          <w:b/>
          <w:bCs/>
          <w:color w:val="auto"/>
          <w:sz w:val="24"/>
          <w:szCs w:val="24"/>
        </w:rPr>
      </w:pPr>
      <w:r>
        <w:rPr>
          <w:rFonts w:hint="eastAsia" w:ascii="宋体" w:hAnsi="宋体" w:cs="宋体"/>
          <w:b/>
          <w:bCs/>
          <w:color w:val="auto"/>
          <w:sz w:val="24"/>
          <w:szCs w:val="24"/>
        </w:rPr>
        <w:t>一</w:t>
      </w:r>
      <w:r>
        <w:rPr>
          <w:rFonts w:ascii="宋体" w:hAnsi="宋体" w:cs="宋体"/>
          <w:b/>
          <w:bCs/>
          <w:color w:val="auto"/>
          <w:sz w:val="24"/>
          <w:szCs w:val="24"/>
        </w:rPr>
        <w:t xml:space="preserve"> </w:t>
      </w:r>
      <w:r>
        <w:rPr>
          <w:rFonts w:hint="eastAsia" w:ascii="宋体" w:hAnsi="宋体" w:cs="宋体"/>
          <w:b/>
          <w:bCs/>
          <w:color w:val="auto"/>
          <w:sz w:val="24"/>
          <w:szCs w:val="24"/>
        </w:rPr>
        <w:t>、总</w:t>
      </w:r>
      <w:r>
        <w:rPr>
          <w:rFonts w:ascii="宋体" w:hAnsi="宋体" w:cs="宋体"/>
          <w:b/>
          <w:bCs/>
          <w:color w:val="auto"/>
          <w:sz w:val="24"/>
          <w:szCs w:val="24"/>
        </w:rPr>
        <w:t xml:space="preserve">  </w:t>
      </w:r>
      <w:r>
        <w:rPr>
          <w:rFonts w:hint="eastAsia" w:ascii="宋体" w:hAnsi="宋体" w:cs="宋体"/>
          <w:b/>
          <w:bCs/>
          <w:color w:val="auto"/>
          <w:sz w:val="24"/>
          <w:szCs w:val="24"/>
        </w:rPr>
        <w:t>则</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（一）</w:t>
      </w:r>
      <w:r>
        <w:rPr>
          <w:rFonts w:ascii="宋体" w:hAnsi="宋体" w:cs="宋体"/>
          <w:b/>
          <w:bCs/>
          <w:color w:val="auto"/>
          <w:sz w:val="24"/>
          <w:szCs w:val="24"/>
        </w:rPr>
        <w:t xml:space="preserve"> </w:t>
      </w:r>
      <w:r>
        <w:rPr>
          <w:rFonts w:hint="eastAsia" w:ascii="宋体" w:hAnsi="宋体" w:cs="宋体"/>
          <w:b/>
          <w:bCs/>
          <w:color w:val="auto"/>
          <w:sz w:val="24"/>
          <w:szCs w:val="24"/>
        </w:rPr>
        <w:t>适用范围</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本招标文件适用于本次项目的招标、投标、评标、定标、验收、合同履约、付款等行为（法律、法规另有规定的，从其规定）。</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（二）定义</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sz w:val="24"/>
          <w:szCs w:val="24"/>
          <w:lang w:val="zh-CN"/>
        </w:rPr>
        <w:t>“采购组织机构”指采购人委托组织招标的采购代理机构。</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、采购人：是指委托采购代理机构采购本次项目的国家机关、事业单位和团体组织。</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、投标人：是指向采购</w:t>
      </w:r>
      <w:r>
        <w:rPr>
          <w:rFonts w:hint="eastAsia" w:ascii="宋体" w:hAnsi="宋体" w:cs="宋体"/>
          <w:color w:val="auto"/>
          <w:sz w:val="24"/>
          <w:szCs w:val="24"/>
          <w:lang w:val="zh-CN"/>
        </w:rPr>
        <w:t>组织</w:t>
      </w:r>
      <w:r>
        <w:rPr>
          <w:rFonts w:hint="eastAsia" w:ascii="宋体" w:hAnsi="宋体" w:cs="宋体"/>
          <w:color w:val="auto"/>
          <w:sz w:val="24"/>
          <w:szCs w:val="24"/>
        </w:rPr>
        <w:t>机构提交投标文件的单位或个人。</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、货物：是指各种形态和种类的物品，包括原材料、燃料、设备、产品等。</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、服务：是指除货物和工程以外的政府采购对象，包括各类专业服务、信息网络开发服务、金融保险服务、运输服务，以及维修与维护服务等。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、“书面形式”包括信函、传真等。</w:t>
      </w:r>
    </w:p>
    <w:p>
      <w:pPr>
        <w:spacing w:line="360" w:lineRule="auto"/>
        <w:ind w:firstLine="480" w:firstLineChars="200"/>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、“▲”系指实质性要求条款。</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（三）投标费用</w:t>
      </w:r>
    </w:p>
    <w:p>
      <w:pPr>
        <w:spacing w:line="360" w:lineRule="auto"/>
        <w:ind w:firstLine="480" w:firstLineChars="200"/>
        <w:rPr>
          <w:rFonts w:ascii="宋体"/>
          <w:color w:val="auto"/>
          <w:sz w:val="24"/>
          <w:szCs w:val="24"/>
        </w:rPr>
      </w:pPr>
      <w:r>
        <w:rPr>
          <w:rFonts w:hint="eastAsia" w:ascii="宋体" w:hAnsi="宋体" w:cs="宋体"/>
          <w:color w:val="auto"/>
          <w:sz w:val="24"/>
          <w:szCs w:val="24"/>
        </w:rPr>
        <w:t>不论投标结果如何，投标人均应自行承担所有与投标有关的全部费用（招标文件有相关规定除外）。</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（四）特别说明</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auto"/>
          <w:sz w:val="24"/>
          <w:szCs w:val="24"/>
        </w:rPr>
        <w:tab/>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、投标人在投标活动中提供任何虚假材料</w:t>
      </w:r>
      <w:r>
        <w:rPr>
          <w:rFonts w:ascii="宋体" w:cs="宋体"/>
          <w:color w:val="auto"/>
          <w:sz w:val="24"/>
          <w:szCs w:val="24"/>
        </w:rPr>
        <w:t>,</w:t>
      </w:r>
      <w:r>
        <w:rPr>
          <w:rFonts w:hint="eastAsia" w:ascii="宋体" w:hAnsi="宋体" w:cs="宋体"/>
          <w:color w:val="auto"/>
          <w:sz w:val="24"/>
          <w:szCs w:val="24"/>
        </w:rPr>
        <w:t>其投标无效，并报监管部门查处；中标后发现的</w:t>
      </w:r>
      <w:r>
        <w:rPr>
          <w:rFonts w:ascii="宋体" w:cs="宋体"/>
          <w:color w:val="auto"/>
          <w:sz w:val="24"/>
          <w:szCs w:val="24"/>
        </w:rPr>
        <w:t>,</w:t>
      </w:r>
      <w:r>
        <w:rPr>
          <w:rFonts w:hint="eastAsia" w:ascii="宋体" w:hAnsi="宋体" w:cs="宋体"/>
          <w:color w:val="auto"/>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、为采购项目提供整体设计、规范编制或者项目管理、监理、检测等服务的供应商，不得再参加该采购项目的其他采购活动。</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、投标文件格式中的表格式样可以根据项目差别做适当调整</w:t>
      </w:r>
      <w:r>
        <w:rPr>
          <w:rFonts w:ascii="宋体" w:cs="宋体"/>
          <w:color w:val="auto"/>
          <w:sz w:val="24"/>
          <w:szCs w:val="24"/>
        </w:rPr>
        <w:t>,</w:t>
      </w:r>
      <w:r>
        <w:rPr>
          <w:rFonts w:hint="eastAsia" w:ascii="宋体" w:hAnsi="宋体" w:cs="宋体"/>
          <w:color w:val="auto"/>
          <w:sz w:val="24"/>
          <w:szCs w:val="24"/>
        </w:rPr>
        <w:t>但应当保持表格样式基本形态不变。</w:t>
      </w:r>
    </w:p>
    <w:p>
      <w:pPr>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、单位负责人为同一人或者存在直接控股、管理关系的不同供应商，不得参加同一合同项下的政府采购活动。</w:t>
      </w:r>
    </w:p>
    <w:p>
      <w:pPr>
        <w:spacing w:line="360" w:lineRule="auto"/>
        <w:ind w:firstLine="480" w:firstLineChars="200"/>
        <w:jc w:val="left"/>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、本项目不允许分包、转让。</w:t>
      </w:r>
    </w:p>
    <w:p>
      <w:pPr>
        <w:spacing w:line="360" w:lineRule="auto"/>
        <w:rPr>
          <w:rFonts w:ascii="宋体"/>
          <w:b/>
          <w:bCs/>
          <w:color w:val="auto"/>
          <w:sz w:val="24"/>
          <w:szCs w:val="24"/>
        </w:rPr>
      </w:pPr>
      <w:r>
        <w:rPr>
          <w:rFonts w:hint="eastAsia" w:ascii="宋体" w:hAnsi="宋体" w:cs="宋体"/>
          <w:b/>
          <w:bCs/>
          <w:color w:val="auto"/>
          <w:sz w:val="24"/>
          <w:szCs w:val="24"/>
        </w:rPr>
        <w:t>二、招标文件</w:t>
      </w:r>
    </w:p>
    <w:p>
      <w:pPr>
        <w:spacing w:line="360" w:lineRule="auto"/>
        <w:ind w:firstLine="480" w:firstLineChars="200"/>
        <w:rPr>
          <w:rFonts w:ascii="宋体"/>
          <w:color w:val="auto"/>
          <w:sz w:val="24"/>
          <w:szCs w:val="24"/>
        </w:rPr>
      </w:pPr>
      <w:r>
        <w:rPr>
          <w:rFonts w:hint="eastAsia" w:ascii="宋体" w:hAnsi="宋体" w:cs="宋体"/>
          <w:color w:val="auto"/>
          <w:sz w:val="24"/>
          <w:szCs w:val="24"/>
        </w:rPr>
        <w:t>（一）招标文件由招标文件总目录所列内容组成。</w:t>
      </w:r>
    </w:p>
    <w:p>
      <w:pPr>
        <w:spacing w:line="360" w:lineRule="auto"/>
        <w:ind w:firstLine="480" w:firstLineChars="200"/>
        <w:rPr>
          <w:rFonts w:ascii="宋体"/>
          <w:color w:val="auto"/>
          <w:sz w:val="24"/>
          <w:szCs w:val="24"/>
        </w:rPr>
      </w:pPr>
      <w:r>
        <w:rPr>
          <w:rFonts w:hint="eastAsia" w:ascii="宋体" w:hAnsi="宋体" w:cs="宋体"/>
          <w:color w:val="auto"/>
          <w:sz w:val="24"/>
          <w:szCs w:val="24"/>
        </w:rPr>
        <w:t>（二）招标文件的澄清或修改</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rPr>
        <w:t>15</w:t>
      </w:r>
      <w:r>
        <w:rPr>
          <w:rFonts w:hint="eastAsia" w:ascii="宋体" w:hAnsi="宋体" w:cs="宋体"/>
          <w:color w:val="auto"/>
          <w:sz w:val="24"/>
          <w:szCs w:val="24"/>
        </w:rPr>
        <w:t>日前，在原公告发布媒体上发布澄清公告，澄清或者修改的内容为招标文件的组成部分；不足</w:t>
      </w:r>
      <w:r>
        <w:rPr>
          <w:rFonts w:ascii="宋体" w:hAnsi="宋体" w:cs="宋体"/>
          <w:color w:val="auto"/>
          <w:sz w:val="24"/>
          <w:szCs w:val="24"/>
        </w:rPr>
        <w:t>15</w:t>
      </w:r>
      <w:r>
        <w:rPr>
          <w:rFonts w:hint="eastAsia" w:ascii="宋体" w:hAnsi="宋体" w:cs="宋体"/>
          <w:color w:val="auto"/>
          <w:sz w:val="24"/>
          <w:szCs w:val="24"/>
        </w:rPr>
        <w:t>日的，采购人或者采购组织机构应当顺延提交投标文件的截止时间。</w:t>
      </w:r>
      <w:r>
        <w:rPr>
          <w:rFonts w:ascii="宋体" w:hAnsi="宋体" w:cs="宋体"/>
          <w:color w:val="auto"/>
          <w:sz w:val="24"/>
          <w:szCs w:val="24"/>
        </w:rPr>
        <w:t xml:space="preserve"> </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b/>
          <w:bCs/>
          <w:color w:val="auto"/>
          <w:sz w:val="24"/>
          <w:szCs w:val="24"/>
        </w:rPr>
      </w:pPr>
      <w:r>
        <w:rPr>
          <w:rFonts w:hint="eastAsia" w:ascii="宋体" w:hAnsi="宋体" w:cs="宋体"/>
          <w:b/>
          <w:bCs/>
          <w:color w:val="auto"/>
          <w:sz w:val="24"/>
          <w:szCs w:val="24"/>
        </w:rPr>
        <w:t>三、投标文件</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lang w:val="zh-CN"/>
        </w:rPr>
        <w:t>（一）</w:t>
      </w:r>
      <w:r>
        <w:rPr>
          <w:rFonts w:hint="eastAsia" w:ascii="宋体" w:hAnsi="宋体" w:cs="宋体"/>
          <w:b/>
          <w:bCs/>
          <w:color w:val="auto"/>
          <w:sz w:val="24"/>
          <w:szCs w:val="24"/>
        </w:rPr>
        <w:t>投标文件的组成</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rPr>
        <w:t>投标人接到招标文件后，按照采购组织机构的要求提供：资格证明文件、商务与技术文件和报价文件。</w:t>
      </w:r>
      <w:r>
        <w:rPr>
          <w:rFonts w:hint="eastAsia" w:ascii="宋体" w:hAnsi="宋体" w:cs="宋体"/>
          <w:color w:val="auto"/>
          <w:sz w:val="24"/>
          <w:szCs w:val="24"/>
          <w:lang w:val="zh-CN"/>
        </w:rPr>
        <w:t>【特别提示：如有要求提供资料原件的，原件另行包装，并与投标文件一起提交，投标截止时间后所有原件不予接收。资料原件也可以用与原件相符的公证原件替代】</w:t>
      </w:r>
    </w:p>
    <w:p>
      <w:pPr>
        <w:spacing w:line="360" w:lineRule="auto"/>
        <w:ind w:firstLine="482" w:firstLineChars="200"/>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、资格证明文件的组成：</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）投标声明书；</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）授权委托书（法定代表人亲自办理投标事宜的，则无需提交</w:t>
      </w:r>
      <w:r>
        <w:rPr>
          <w:rFonts w:ascii="宋体" w:hAnsi="宋体" w:cs="宋体"/>
          <w:color w:val="auto"/>
          <w:sz w:val="24"/>
          <w:szCs w:val="24"/>
        </w:rPr>
        <w:t>)</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）法人或者其他组织的营业执照等证明文件，自然人的身份证明；</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）财务状况报告，依法缴纳税收和社会保障资金的相关材料；</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）具备履行合同所必需的设备和专业技术能力的证明材料</w:t>
      </w:r>
      <w:r>
        <w:rPr>
          <w:rFonts w:ascii="宋体" w:hAnsi="宋体" w:cs="宋体"/>
          <w:color w:val="auto"/>
          <w:sz w:val="24"/>
          <w:szCs w:val="24"/>
        </w:rPr>
        <w:t>(</w:t>
      </w:r>
      <w:r>
        <w:rPr>
          <w:rFonts w:hint="eastAsia" w:ascii="宋体" w:hAnsi="宋体" w:cs="宋体"/>
          <w:color w:val="auto"/>
          <w:sz w:val="24"/>
          <w:szCs w:val="24"/>
        </w:rPr>
        <w:t>根据项目性质提供</w:t>
      </w:r>
      <w:r>
        <w:rPr>
          <w:rFonts w:ascii="宋体" w:hAnsi="宋体" w:cs="宋体"/>
          <w:color w:val="auto"/>
          <w:sz w:val="24"/>
          <w:szCs w:val="24"/>
        </w:rPr>
        <w:t>)</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）提供采购公告中符合供应商特定条件的有效资质证书复印件（投标供应商特定条件中有要求的必须提供），以及需要说明的其他资料。</w:t>
      </w:r>
    </w:p>
    <w:p>
      <w:pPr>
        <w:spacing w:line="360" w:lineRule="auto"/>
        <w:ind w:firstLine="482" w:firstLineChars="200"/>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、商务与技术文件的组成：</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）投标人情况介绍。</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）投标方案描述：</w:t>
      </w:r>
    </w:p>
    <w:p>
      <w:pPr>
        <w:spacing w:line="360" w:lineRule="auto"/>
        <w:ind w:firstLine="480" w:firstLineChars="200"/>
        <w:rPr>
          <w:rFonts w:ascii="宋体"/>
          <w:color w:val="auto"/>
          <w:sz w:val="24"/>
          <w:szCs w:val="24"/>
        </w:rPr>
      </w:pPr>
      <w:r>
        <w:rPr>
          <w:rFonts w:ascii="宋体" w:hAnsi="宋体" w:cs="宋体"/>
          <w:color w:val="auto"/>
          <w:sz w:val="24"/>
          <w:szCs w:val="24"/>
        </w:rPr>
        <w:t>A.</w:t>
      </w:r>
      <w:r>
        <w:rPr>
          <w:rFonts w:hint="eastAsia" w:ascii="宋体" w:hAnsi="宋体" w:cs="宋体"/>
          <w:color w:val="auto"/>
          <w:sz w:val="24"/>
          <w:szCs w:val="24"/>
        </w:rPr>
        <w:t>项目需求的理解与分析</w:t>
      </w:r>
      <w:r>
        <w:rPr>
          <w:rFonts w:ascii="宋体" w:hAnsi="宋体" w:cs="宋体"/>
          <w:color w:val="auto"/>
          <w:sz w:val="24"/>
          <w:szCs w:val="24"/>
        </w:rPr>
        <w:t>(</w:t>
      </w:r>
      <w:r>
        <w:rPr>
          <w:rFonts w:hint="eastAsia" w:ascii="宋体" w:hAnsi="宋体" w:cs="宋体"/>
          <w:color w:val="auto"/>
          <w:sz w:val="24"/>
          <w:szCs w:val="24"/>
        </w:rPr>
        <w:t>投标人对项目现状及需求的理解情况，对项目现状和需求描述的全面性、准确性、针对性，对项目重点、难点的把握，解决方案及合理化建议</w:t>
      </w:r>
      <w:r>
        <w:rPr>
          <w:rFonts w:ascii="宋体" w:hAnsi="宋体" w:cs="宋体"/>
          <w:color w:val="auto"/>
          <w:sz w:val="24"/>
          <w:szCs w:val="24"/>
        </w:rPr>
        <w:t>)</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B.</w:t>
      </w:r>
      <w:r>
        <w:rPr>
          <w:rFonts w:hint="eastAsia" w:ascii="宋体" w:hAnsi="宋体" w:cs="宋体"/>
          <w:color w:val="auto"/>
          <w:sz w:val="24"/>
          <w:szCs w:val="24"/>
        </w:rPr>
        <w:t>项目组织实施方案（包括确保项目服务质量的措施或方案、项目实施人员及项目负责人的资质、类似经验及社保证明等）。</w:t>
      </w:r>
    </w:p>
    <w:p>
      <w:pPr>
        <w:spacing w:line="360" w:lineRule="auto"/>
        <w:ind w:firstLine="480" w:firstLineChars="200"/>
        <w:rPr>
          <w:rFonts w:ascii="宋体"/>
          <w:color w:val="auto"/>
          <w:sz w:val="24"/>
          <w:szCs w:val="24"/>
        </w:rPr>
      </w:pPr>
      <w:r>
        <w:rPr>
          <w:rFonts w:hint="eastAsia" w:ascii="宋体" w:hAnsi="宋体" w:cs="宋体"/>
          <w:color w:val="auto"/>
          <w:sz w:val="24"/>
          <w:szCs w:val="24"/>
        </w:rPr>
        <w:t>（可根据投标人对招标任务的理解和自身情况编制，利用投标文件中承诺提供的设备、人员等资源围绕采购人的服务质量要求、工作的实际要求如何实现这些要求，如何保质保量按时完成任务。）</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）投标人通过的质量管理和质量保证体系、环保体系、自主创新相关证书等等与本项目相关的认证证书或文件；</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）近三年来类似项目的成功案例（投标人类似项目实施情况一览表、合同复印件及其相应的发票、用户验收报告等；</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）投标人认为需要提供的其他资料（包括可能影响投标人商务与技术文件评分的各类证明材料）。</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）售后服务描述及承诺：</w:t>
      </w:r>
    </w:p>
    <w:p>
      <w:pPr>
        <w:spacing w:line="360" w:lineRule="auto"/>
        <w:ind w:firstLine="480" w:firstLineChars="200"/>
        <w:rPr>
          <w:rFonts w:ascii="宋体"/>
          <w:color w:val="auto"/>
          <w:sz w:val="24"/>
          <w:szCs w:val="24"/>
        </w:rPr>
      </w:pPr>
      <w:r>
        <w:rPr>
          <w:rFonts w:ascii="宋体" w:hAnsi="宋体" w:cs="宋体"/>
          <w:color w:val="auto"/>
          <w:sz w:val="24"/>
          <w:szCs w:val="24"/>
        </w:rPr>
        <w:t>A.</w:t>
      </w:r>
      <w:r>
        <w:rPr>
          <w:rFonts w:hint="eastAsia" w:ascii="宋体" w:hAnsi="宋体" w:cs="宋体"/>
          <w:color w:val="auto"/>
          <w:sz w:val="24"/>
          <w:szCs w:val="24"/>
        </w:rPr>
        <w:t>距采购人最近的服务网点详细介绍（包括地理位置、资质资格、技术力量、工作业绩、服务内容及联系电话等）。</w:t>
      </w:r>
    </w:p>
    <w:p>
      <w:pPr>
        <w:spacing w:line="360" w:lineRule="auto"/>
        <w:ind w:firstLine="480" w:firstLineChars="200"/>
        <w:rPr>
          <w:rFonts w:ascii="宋体"/>
          <w:color w:val="auto"/>
          <w:sz w:val="24"/>
          <w:szCs w:val="24"/>
        </w:rPr>
      </w:pPr>
      <w:r>
        <w:rPr>
          <w:rFonts w:ascii="宋体" w:hAnsi="宋体" w:cs="宋体"/>
          <w:color w:val="auto"/>
          <w:sz w:val="24"/>
          <w:szCs w:val="24"/>
        </w:rPr>
        <w:t>B.</w:t>
      </w:r>
      <w:r>
        <w:rPr>
          <w:rFonts w:hint="eastAsia" w:ascii="宋体" w:hAnsi="宋体" w:cs="宋体"/>
          <w:color w:val="auto"/>
          <w:sz w:val="24"/>
          <w:szCs w:val="24"/>
        </w:rPr>
        <w:t>针对本项目的售后服务措施及承诺（售后技术服务方案、人员配备、故障响应时间、技术培训方案等）。</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）与评分标准相关的其他内容</w:t>
      </w:r>
    </w:p>
    <w:p>
      <w:pPr>
        <w:spacing w:line="360" w:lineRule="auto"/>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、报价文件的组成</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）报价文件由开标一览表、报价明细表、中小企业等声明函（不符合中小企业要求的无需提供）以及投标人认为其他需要说明的内容组成。</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）此报价为投标人一次性报出唯一的最终价格，包含其它一切所要涉及到的费用，有选择的报价将被拒绝。</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rPr>
        <w:t>3</w:t>
      </w:r>
      <w:r>
        <w:rPr>
          <w:rFonts w:hint="eastAsia" w:ascii="宋体" w:hAnsi="宋体" w:cs="宋体"/>
          <w:color w:val="auto"/>
          <w:sz w:val="24"/>
          <w:szCs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rPr>
        <w:t>4</w:t>
      </w:r>
      <w:r>
        <w:rPr>
          <w:rFonts w:hint="eastAsia" w:ascii="宋体" w:hAnsi="宋体" w:cs="宋体"/>
          <w:color w:val="auto"/>
          <w:sz w:val="24"/>
          <w:szCs w:val="24"/>
          <w:lang w:val="zh-CN"/>
        </w:rPr>
        <w:t>）</w:t>
      </w:r>
      <w:r>
        <w:rPr>
          <w:rFonts w:hint="eastAsia" w:ascii="宋体" w:hAnsi="宋体" w:cs="宋体"/>
          <w:color w:val="auto"/>
          <w:sz w:val="24"/>
          <w:szCs w:val="24"/>
        </w:rPr>
        <w:t>政府采购优惠政策相关资料（如有）。</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）相关报价单需打印或用不退色的墨水填写，</w:t>
      </w:r>
      <w:r>
        <w:rPr>
          <w:rFonts w:ascii="宋体" w:hAnsi="宋体" w:cs="宋体"/>
          <w:color w:val="auto"/>
          <w:sz w:val="24"/>
          <w:szCs w:val="24"/>
        </w:rPr>
        <w:t xml:space="preserve"> </w:t>
      </w:r>
      <w:r>
        <w:rPr>
          <w:rFonts w:hint="eastAsia" w:ascii="宋体" w:hAnsi="宋体" w:cs="宋体"/>
          <w:color w:val="auto"/>
          <w:sz w:val="24"/>
          <w:szCs w:val="24"/>
        </w:rPr>
        <w:t>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）投标报价应按招标文件中相关附表格式填写。</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（二）投标文件的制作及递交要求</w:t>
      </w:r>
    </w:p>
    <w:p>
      <w:pPr>
        <w:spacing w:line="360" w:lineRule="auto"/>
        <w:ind w:firstLine="482" w:firstLineChars="200"/>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、投标文件的制作要求</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）投标人应对所提供的全部资料的真实性承担法律责任，</w:t>
      </w:r>
      <w:r>
        <w:rPr>
          <w:rFonts w:hint="eastAsia" w:ascii="宋体" w:hAnsi="宋体" w:cs="宋体"/>
          <w:color w:val="auto"/>
          <w:sz w:val="24"/>
          <w:szCs w:val="24"/>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color w:val="auto"/>
          <w:sz w:val="24"/>
          <w:szCs w:val="24"/>
        </w:rPr>
      </w:pPr>
      <w:r>
        <w:rPr>
          <w:rFonts w:hint="eastAsia" w:ascii="宋体" w:hAnsi="宋体" w:cs="宋体"/>
          <w:color w:val="auto"/>
          <w:sz w:val="24"/>
          <w:szCs w:val="24"/>
          <w:lang w:val="zh-CN"/>
        </w:rPr>
        <w:t>（</w:t>
      </w:r>
      <w:r>
        <w:rPr>
          <w:rFonts w:ascii="宋体" w:hAnsi="宋体" w:cs="宋体"/>
          <w:color w:val="auto"/>
          <w:sz w:val="24"/>
          <w:szCs w:val="24"/>
        </w:rPr>
        <w:t>3</w:t>
      </w:r>
      <w:r>
        <w:rPr>
          <w:rFonts w:hint="eastAsia" w:ascii="宋体" w:hAnsi="宋体" w:cs="宋体"/>
          <w:color w:val="auto"/>
          <w:sz w:val="24"/>
          <w:szCs w:val="24"/>
          <w:lang w:val="zh-CN"/>
        </w:rPr>
        <w:t>）</w:t>
      </w:r>
      <w:r>
        <w:rPr>
          <w:rFonts w:hint="eastAsia" w:ascii="宋体" w:hAnsi="宋体" w:cs="宋体"/>
          <w:color w:val="auto"/>
          <w:sz w:val="24"/>
          <w:szCs w:val="24"/>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）若投标人不按招标文件的要求提供资格审查材料，其风险由投标人自行承担。</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）与本次投标无关的内容请不要制作在内，确保投标文件有针对性、简洁明了。</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①投标文件的编制</w:t>
      </w:r>
    </w:p>
    <w:p>
      <w:pPr>
        <w:spacing w:line="360" w:lineRule="auto"/>
        <w:ind w:firstLine="480" w:firstLineChars="200"/>
        <w:rPr>
          <w:rFonts w:ascii="宋体"/>
          <w:color w:val="auto"/>
          <w:sz w:val="24"/>
          <w:szCs w:val="24"/>
        </w:rPr>
      </w:pPr>
      <w:r>
        <w:rPr>
          <w:rFonts w:hint="eastAsia" w:ascii="宋体" w:hAnsi="宋体" w:cs="宋体"/>
          <w:color w:val="auto"/>
          <w:sz w:val="24"/>
          <w:szCs w:val="24"/>
        </w:rPr>
        <w:t>本项目实行电子投标，供应商应准备电子投标文件、以介质（</w:t>
      </w:r>
      <w:r>
        <w:rPr>
          <w:rFonts w:ascii="宋体" w:hAnsi="宋体" w:cs="宋体"/>
          <w:color w:val="auto"/>
          <w:sz w:val="24"/>
          <w:szCs w:val="24"/>
        </w:rPr>
        <w:t>U</w:t>
      </w:r>
      <w:r>
        <w:rPr>
          <w:rFonts w:hint="eastAsia" w:ascii="宋体" w:hAnsi="宋体" w:cs="宋体"/>
          <w:color w:val="auto"/>
          <w:sz w:val="24"/>
          <w:szCs w:val="24"/>
        </w:rPr>
        <w:t>盘）存储的数据电文形式的备份投标文件、纸质备份投标文件三类：</w:t>
      </w:r>
    </w:p>
    <w:p>
      <w:pPr>
        <w:spacing w:line="360" w:lineRule="auto"/>
        <w:ind w:firstLine="480" w:firstLineChars="200"/>
        <w:rPr>
          <w:rFonts w:ascii="宋体"/>
          <w:color w:val="auto"/>
          <w:sz w:val="24"/>
          <w:szCs w:val="24"/>
          <w:lang w:val="en-GB"/>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）按政采云平台项目采购</w:t>
      </w:r>
      <w:r>
        <w:rPr>
          <w:rFonts w:ascii="宋体" w:cs="宋体"/>
          <w:color w:val="auto"/>
          <w:sz w:val="24"/>
          <w:szCs w:val="24"/>
        </w:rPr>
        <w:t>--</w:t>
      </w:r>
      <w:r>
        <w:rPr>
          <w:rFonts w:hint="eastAsia" w:ascii="宋体" w:hAnsi="宋体" w:cs="宋体"/>
          <w:color w:val="auto"/>
          <w:sz w:val="24"/>
          <w:szCs w:val="24"/>
        </w:rPr>
        <w:t>电子招投标操作指南及本招标文件要求编制。</w:t>
      </w:r>
      <w:r>
        <w:rPr>
          <w:rFonts w:hint="eastAsia" w:ascii="宋体" w:hAnsi="宋体" w:cs="宋体"/>
          <w:color w:val="auto"/>
          <w:sz w:val="24"/>
          <w:szCs w:val="24"/>
          <w:lang w:val="en-GB"/>
        </w:rPr>
        <w:t>投标人应通过“政采云电子交易客户端”，并按照本招标文件和“政府采购云平台”的要求编制并加密投标文件。</w:t>
      </w:r>
    </w:p>
    <w:p>
      <w:pPr>
        <w:spacing w:line="360" w:lineRule="auto"/>
        <w:ind w:firstLine="480" w:firstLineChars="200"/>
        <w:rPr>
          <w:rFonts w:ascii="宋体"/>
          <w:color w:val="auto"/>
          <w:sz w:val="24"/>
          <w:szCs w:val="24"/>
          <w:lang w:val="en-GB"/>
        </w:rPr>
      </w:pPr>
      <w:r>
        <w:rPr>
          <w:rFonts w:ascii="宋体" w:hAnsi="宋体" w:cs="宋体"/>
          <w:color w:val="auto"/>
          <w:sz w:val="24"/>
          <w:szCs w:val="24"/>
          <w:lang w:val="en-GB"/>
        </w:rPr>
        <w:t>1.</w:t>
      </w:r>
      <w:r>
        <w:rPr>
          <w:rFonts w:ascii="宋体" w:hAnsi="宋体" w:cs="宋体"/>
          <w:color w:val="auto"/>
          <w:sz w:val="24"/>
          <w:szCs w:val="24"/>
        </w:rPr>
        <w:t>1</w:t>
      </w:r>
      <w:r>
        <w:rPr>
          <w:rFonts w:hint="eastAsia" w:ascii="宋体" w:hAnsi="宋体" w:cs="宋体"/>
          <w:color w:val="auto"/>
          <w:sz w:val="24"/>
          <w:szCs w:val="24"/>
          <w:lang w:val="en-GB"/>
        </w:rPr>
        <w:t>投标人应当按照本章节</w:t>
      </w:r>
      <w:r>
        <w:rPr>
          <w:rFonts w:ascii="宋体" w:hAnsi="宋体" w:cs="宋体"/>
          <w:color w:val="auto"/>
          <w:sz w:val="24"/>
          <w:szCs w:val="24"/>
          <w:lang w:val="en-GB"/>
        </w:rPr>
        <w:t xml:space="preserve"> </w:t>
      </w:r>
      <w:r>
        <w:rPr>
          <w:rFonts w:hint="eastAsia" w:ascii="宋体" w:hAnsi="宋体" w:cs="宋体"/>
          <w:color w:val="auto"/>
          <w:sz w:val="24"/>
          <w:szCs w:val="24"/>
          <w:lang w:val="en-GB"/>
        </w:rPr>
        <w:t>“投标文件组成”规定的内容及顺序在“政采云电子交易客户端”编制投标文件。其中《</w:t>
      </w:r>
      <w:r>
        <w:rPr>
          <w:rFonts w:hint="eastAsia" w:ascii="宋体" w:hAnsi="宋体" w:cs="宋体"/>
          <w:color w:val="auto"/>
          <w:sz w:val="24"/>
          <w:szCs w:val="24"/>
        </w:rPr>
        <w:t>资格证明文件</w:t>
      </w:r>
      <w:r>
        <w:rPr>
          <w:rFonts w:hint="eastAsia" w:ascii="宋体" w:hAnsi="宋体" w:cs="宋体"/>
          <w:color w:val="auto"/>
          <w:sz w:val="24"/>
          <w:szCs w:val="24"/>
          <w:lang w:val="en-GB"/>
        </w:rPr>
        <w:t>》和《</w:t>
      </w:r>
      <w:r>
        <w:rPr>
          <w:rFonts w:hint="eastAsia" w:ascii="宋体" w:hAnsi="宋体" w:cs="宋体"/>
          <w:color w:val="auto"/>
          <w:sz w:val="24"/>
          <w:szCs w:val="24"/>
        </w:rPr>
        <w:t>商务技术文件</w:t>
      </w:r>
      <w:r>
        <w:rPr>
          <w:rFonts w:hint="eastAsia" w:ascii="宋体" w:hAnsi="宋体" w:cs="宋体"/>
          <w:color w:val="auto"/>
          <w:sz w:val="24"/>
          <w:szCs w:val="24"/>
          <w:lang w:val="en-GB"/>
        </w:rPr>
        <w:t>》中不得出现本项目投标报价，如因投标人原因提前泄露投标报价，是投标人的责任。</w:t>
      </w:r>
    </w:p>
    <w:p>
      <w:pPr>
        <w:spacing w:line="360" w:lineRule="auto"/>
        <w:ind w:firstLine="480" w:firstLineChars="200"/>
        <w:rPr>
          <w:rFonts w:ascii="宋体"/>
          <w:color w:val="auto"/>
          <w:sz w:val="24"/>
          <w:szCs w:val="24"/>
          <w:lang w:val="en-GB"/>
        </w:rPr>
      </w:pPr>
      <w:r>
        <w:rPr>
          <w:rFonts w:ascii="宋体" w:hAnsi="宋体" w:cs="宋体"/>
          <w:color w:val="auto"/>
          <w:sz w:val="24"/>
          <w:szCs w:val="24"/>
          <w:lang w:val="zh-CN"/>
        </w:rPr>
        <w:t>1.</w:t>
      </w:r>
      <w:r>
        <w:rPr>
          <w:rFonts w:ascii="宋体" w:hAnsi="宋体" w:cs="宋体"/>
          <w:color w:val="auto"/>
          <w:sz w:val="24"/>
          <w:szCs w:val="24"/>
          <w:lang w:val="en-GB"/>
        </w:rPr>
        <w:t>2</w:t>
      </w:r>
      <w:r>
        <w:rPr>
          <w:rFonts w:hint="eastAsia" w:ascii="宋体" w:hAnsi="宋体" w:cs="宋体"/>
          <w:color w:val="auto"/>
          <w:sz w:val="24"/>
          <w:szCs w:val="24"/>
          <w:lang w:val="zh-CN"/>
        </w:rPr>
        <w:t>投标文件分为</w:t>
      </w:r>
      <w:r>
        <w:rPr>
          <w:rFonts w:hint="eastAsia" w:ascii="宋体" w:hAnsi="宋体" w:cs="宋体"/>
          <w:color w:val="auto"/>
          <w:sz w:val="24"/>
          <w:szCs w:val="24"/>
          <w:lang w:val="en-GB"/>
        </w:rPr>
        <w:t>资格证明文件、商务技术文件、报价文件三部分</w:t>
      </w:r>
      <w:r>
        <w:rPr>
          <w:rFonts w:hint="eastAsia" w:ascii="宋体" w:hAnsi="宋体" w:cs="宋体"/>
          <w:color w:val="auto"/>
          <w:sz w:val="24"/>
          <w:szCs w:val="24"/>
          <w:lang w:val="zh-CN"/>
        </w:rPr>
        <w:t>。各投标人在编制投标文件时请按照采购文件第六章规定的格式进行，</w:t>
      </w:r>
      <w:r>
        <w:rPr>
          <w:rFonts w:hint="eastAsia" w:ascii="宋体" w:hAnsi="宋体" w:cs="宋体"/>
          <w:color w:val="auto"/>
          <w:sz w:val="24"/>
          <w:szCs w:val="24"/>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color w:val="auto"/>
          <w:sz w:val="24"/>
          <w:szCs w:val="24"/>
          <w:lang w:val="en-GB"/>
        </w:rPr>
      </w:pPr>
      <w:r>
        <w:rPr>
          <w:rFonts w:ascii="宋体" w:hAnsi="宋体" w:cs="宋体"/>
          <w:color w:val="auto"/>
          <w:sz w:val="24"/>
          <w:szCs w:val="24"/>
          <w:lang w:val="en-GB"/>
        </w:rPr>
        <w:t>1.3</w:t>
      </w:r>
      <w:r>
        <w:rPr>
          <w:rFonts w:hint="eastAsia" w:ascii="宋体" w:hAnsi="宋体" w:cs="宋体"/>
          <w:color w:val="auto"/>
          <w:sz w:val="24"/>
          <w:szCs w:val="24"/>
          <w:lang w:val="en-GB"/>
        </w:rPr>
        <w:t>《投标文件》内容不完整、</w:t>
      </w:r>
      <w:r>
        <w:rPr>
          <w:rFonts w:hint="eastAsia" w:ascii="宋体" w:hAnsi="宋体" w:cs="宋体"/>
          <w:color w:val="auto"/>
          <w:sz w:val="24"/>
          <w:szCs w:val="24"/>
          <w:lang w:val="zh-CN"/>
        </w:rPr>
        <w:t>混乱的编排导致投标文件被误读或评标委员会查找不到有效文件是投标人的责任。</w:t>
      </w:r>
      <w:r>
        <w:rPr>
          <w:rFonts w:hint="eastAsia" w:ascii="宋体" w:hAnsi="宋体" w:cs="宋体"/>
          <w:color w:val="auto"/>
          <w:sz w:val="24"/>
          <w:szCs w:val="24"/>
          <w:lang w:val="en-GB"/>
        </w:rPr>
        <w:t>《投标文件》因字迹潦草或表达不清所引起的后果由投标人负责，▲投标文件未按规定的格式编制的，投标无效。</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）以介质（</w:t>
      </w:r>
      <w:r>
        <w:rPr>
          <w:rFonts w:ascii="宋体" w:hAnsi="宋体" w:cs="宋体"/>
          <w:color w:val="auto"/>
          <w:sz w:val="24"/>
          <w:szCs w:val="24"/>
        </w:rPr>
        <w:t>U</w:t>
      </w:r>
      <w:r>
        <w:rPr>
          <w:rFonts w:hint="eastAsia" w:ascii="宋体" w:hAnsi="宋体" w:cs="宋体"/>
          <w:color w:val="auto"/>
          <w:sz w:val="24"/>
          <w:szCs w:val="24"/>
        </w:rPr>
        <w:t>盘）存储的数据电文形式的备份投标文件，按政采云平台项目采购</w:t>
      </w:r>
      <w:r>
        <w:rPr>
          <w:rFonts w:ascii="宋体" w:cs="宋体"/>
          <w:color w:val="auto"/>
          <w:sz w:val="24"/>
          <w:szCs w:val="24"/>
        </w:rPr>
        <w:t>-</w:t>
      </w:r>
      <w:r>
        <w:rPr>
          <w:rFonts w:hint="eastAsia" w:ascii="宋体" w:hAnsi="宋体" w:cs="宋体"/>
          <w:color w:val="auto"/>
          <w:sz w:val="24"/>
          <w:szCs w:val="24"/>
        </w:rPr>
        <w:t>电子招投标操作指南中上传的电子投标文件格式，以</w:t>
      </w:r>
      <w:r>
        <w:rPr>
          <w:rFonts w:ascii="宋体" w:hAnsi="宋体" w:cs="宋体"/>
          <w:color w:val="auto"/>
          <w:sz w:val="24"/>
          <w:szCs w:val="24"/>
        </w:rPr>
        <w:t>U</w:t>
      </w:r>
      <w:r>
        <w:rPr>
          <w:rFonts w:hint="eastAsia" w:ascii="宋体" w:hAnsi="宋体" w:cs="宋体"/>
          <w:color w:val="auto"/>
          <w:sz w:val="24"/>
          <w:szCs w:val="24"/>
        </w:rPr>
        <w:t>盘形式提供。数量为</w:t>
      </w:r>
      <w:r>
        <w:rPr>
          <w:rFonts w:ascii="宋体" w:hAnsi="宋体" w:cs="宋体"/>
          <w:color w:val="auto"/>
          <w:sz w:val="24"/>
          <w:szCs w:val="24"/>
        </w:rPr>
        <w:t>1</w:t>
      </w:r>
      <w:r>
        <w:rPr>
          <w:rFonts w:hint="eastAsia" w:ascii="宋体" w:hAnsi="宋体" w:cs="宋体"/>
          <w:color w:val="auto"/>
          <w:sz w:val="24"/>
          <w:szCs w:val="24"/>
        </w:rPr>
        <w:t>份。</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）纸质备份投标文件以纸质文件的形式编制，按</w:t>
      </w:r>
      <w:r>
        <w:rPr>
          <w:rFonts w:hint="eastAsia" w:ascii="宋体" w:hAnsi="宋体" w:cs="宋体"/>
          <w:color w:val="auto"/>
          <w:sz w:val="24"/>
          <w:szCs w:val="24"/>
          <w:lang w:val="zh-CN"/>
        </w:rPr>
        <w:t>资格证明文件、商务技术文件、报价文件三部分</w:t>
      </w:r>
      <w:r>
        <w:rPr>
          <w:rFonts w:hint="eastAsia" w:ascii="宋体" w:hAnsi="宋体" w:cs="宋体"/>
          <w:color w:val="auto"/>
          <w:sz w:val="24"/>
          <w:szCs w:val="24"/>
        </w:rPr>
        <w:t>分别编制并单独装订成册，</w:t>
      </w:r>
      <w:r>
        <w:rPr>
          <w:rFonts w:hint="eastAsia" w:ascii="宋体" w:hAnsi="宋体" w:cs="宋体"/>
          <w:b/>
          <w:bCs/>
          <w:color w:val="auto"/>
          <w:sz w:val="24"/>
          <w:szCs w:val="24"/>
        </w:rPr>
        <w:t>数量均为</w:t>
      </w:r>
      <w:r>
        <w:rPr>
          <w:rFonts w:ascii="宋体" w:hAnsi="宋体" w:cs="宋体"/>
          <w:b/>
          <w:bCs/>
          <w:color w:val="auto"/>
          <w:sz w:val="24"/>
          <w:szCs w:val="24"/>
        </w:rPr>
        <w:t>2</w:t>
      </w:r>
      <w:r>
        <w:rPr>
          <w:rFonts w:hint="eastAsia" w:ascii="宋体" w:hAnsi="宋体" w:cs="宋体"/>
          <w:b/>
          <w:bCs/>
          <w:color w:val="auto"/>
          <w:sz w:val="24"/>
          <w:szCs w:val="24"/>
        </w:rPr>
        <w:t>份（一正一副）</w:t>
      </w:r>
      <w:r>
        <w:rPr>
          <w:rFonts w:hint="eastAsia" w:ascii="宋体" w:hAnsi="宋体" w:cs="宋体"/>
          <w:color w:val="auto"/>
          <w:sz w:val="24"/>
          <w:szCs w:val="24"/>
        </w:rPr>
        <w:t>。</w:t>
      </w:r>
      <w:r>
        <w:rPr>
          <w:rFonts w:hint="eastAsia" w:ascii="宋体" w:hAnsi="宋体" w:cs="宋体"/>
          <w:color w:val="auto"/>
          <w:sz w:val="24"/>
          <w:szCs w:val="24"/>
          <w:lang w:val="zh-CN"/>
        </w:rPr>
        <w:t>资格证明文件、商务技术文件、报价文件三部分</w:t>
      </w:r>
      <w:r>
        <w:rPr>
          <w:rFonts w:hint="eastAsia" w:ascii="宋体" w:hAnsi="宋体" w:cs="宋体"/>
          <w:color w:val="auto"/>
          <w:sz w:val="24"/>
          <w:szCs w:val="24"/>
        </w:rPr>
        <w:t>须分别密封封装，</w:t>
      </w:r>
      <w:r>
        <w:rPr>
          <w:rFonts w:hint="eastAsia" w:ascii="宋体" w:hAnsi="宋体" w:cs="宋体"/>
          <w:color w:val="auto"/>
          <w:sz w:val="24"/>
          <w:szCs w:val="24"/>
          <w:lang w:val="zh-CN"/>
        </w:rPr>
        <w:t>资格证明文件、商务技术文件、报价文件三部分</w:t>
      </w:r>
      <w:r>
        <w:rPr>
          <w:rFonts w:hint="eastAsia" w:ascii="宋体" w:hAnsi="宋体" w:cs="宋体"/>
          <w:color w:val="auto"/>
          <w:sz w:val="24"/>
          <w:szCs w:val="24"/>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Ⅰ电子投标文件</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电子投标文件中须加盖公章、法人章部分均采用</w:t>
      </w:r>
      <w:r>
        <w:rPr>
          <w:rFonts w:ascii="宋体" w:hAnsi="宋体" w:cs="宋体"/>
          <w:color w:val="auto"/>
          <w:sz w:val="24"/>
          <w:szCs w:val="24"/>
        </w:rPr>
        <w:t>CA</w:t>
      </w:r>
      <w:r>
        <w:rPr>
          <w:rFonts w:hint="eastAsia" w:ascii="宋体" w:hAnsi="宋体" w:cs="宋体"/>
          <w:color w:val="auto"/>
          <w:sz w:val="24"/>
          <w:szCs w:val="24"/>
        </w:rPr>
        <w:t>签章，并根据“政采云供应商项目采购</w:t>
      </w:r>
      <w:r>
        <w:rPr>
          <w:rFonts w:ascii="宋体" w:cs="宋体"/>
          <w:color w:val="auto"/>
          <w:sz w:val="24"/>
          <w:szCs w:val="24"/>
        </w:rPr>
        <w:t>-</w:t>
      </w:r>
      <w:r>
        <w:rPr>
          <w:rFonts w:hint="eastAsia" w:ascii="宋体" w:hAnsi="宋体" w:cs="宋体"/>
          <w:color w:val="auto"/>
          <w:sz w:val="24"/>
          <w:szCs w:val="24"/>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color w:val="auto"/>
          <w:sz w:val="24"/>
          <w:szCs w:val="24"/>
        </w:rPr>
      </w:pPr>
      <w:r>
        <w:rPr>
          <w:rFonts w:hint="eastAsia" w:ascii="宋体" w:hAnsi="宋体" w:cs="宋体"/>
          <w:color w:val="auto"/>
          <w:sz w:val="24"/>
          <w:szCs w:val="24"/>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温馨提醒：</w:t>
      </w:r>
      <w:r>
        <w:rPr>
          <w:rFonts w:ascii="宋体" w:hAnsi="宋体" w:cs="宋体"/>
          <w:color w:val="auto"/>
          <w:sz w:val="24"/>
          <w:szCs w:val="24"/>
        </w:rPr>
        <w:t>CA</w:t>
      </w:r>
      <w:r>
        <w:rPr>
          <w:rFonts w:hint="eastAsia" w:ascii="宋体" w:hAnsi="宋体" w:cs="宋体"/>
          <w:color w:val="auto"/>
          <w:sz w:val="24"/>
          <w:szCs w:val="24"/>
        </w:rPr>
        <w:t>签章上目前没有法人或授权代表签字信息，需要投标人联系</w:t>
      </w:r>
      <w:r>
        <w:rPr>
          <w:rFonts w:hint="eastAsia" w:ascii="宋体" w:hAnsi="宋体" w:cs="宋体"/>
          <w:b/>
          <w:bCs/>
          <w:color w:val="auto"/>
          <w:sz w:val="24"/>
          <w:szCs w:val="24"/>
        </w:rPr>
        <w:t>浙江杭州汇信科技有限公司（</w:t>
      </w:r>
      <w:r>
        <w:rPr>
          <w:rFonts w:ascii="宋体" w:hAnsi="宋体" w:cs="宋体"/>
          <w:b/>
          <w:bCs/>
          <w:color w:val="auto"/>
          <w:sz w:val="24"/>
          <w:szCs w:val="24"/>
        </w:rPr>
        <w:t>400-8884636</w:t>
      </w:r>
      <w:r>
        <w:rPr>
          <w:rFonts w:hint="eastAsia" w:ascii="宋体" w:hAnsi="宋体" w:cs="宋体"/>
          <w:b/>
          <w:bCs/>
          <w:color w:val="auto"/>
          <w:sz w:val="24"/>
          <w:szCs w:val="24"/>
        </w:rPr>
        <w:t>）</w:t>
      </w:r>
      <w:r>
        <w:rPr>
          <w:rFonts w:hint="eastAsia" w:ascii="宋体" w:hAnsi="宋体" w:cs="宋体"/>
          <w:color w:val="auto"/>
          <w:sz w:val="24"/>
          <w:szCs w:val="24"/>
        </w:rPr>
        <w:t>等相应公司进行办理，或在投标文件中涉及到签字的位置线下签好字然后扫描或者拍照做成</w:t>
      </w:r>
      <w:r>
        <w:rPr>
          <w:rFonts w:ascii="宋体" w:hAnsi="宋体" w:cs="宋体"/>
          <w:color w:val="auto"/>
          <w:sz w:val="24"/>
          <w:szCs w:val="24"/>
        </w:rPr>
        <w:t>PDF</w:t>
      </w:r>
      <w:r>
        <w:rPr>
          <w:rFonts w:hint="eastAsia" w:ascii="宋体" w:hAnsi="宋体" w:cs="宋体"/>
          <w:color w:val="auto"/>
          <w:sz w:val="24"/>
          <w:szCs w:val="24"/>
        </w:rPr>
        <w:t>的格式亦可。</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b/>
          <w:bCs/>
          <w:color w:val="auto"/>
          <w:sz w:val="24"/>
          <w:szCs w:val="24"/>
        </w:rPr>
        <w:t>以介质（</w:t>
      </w:r>
      <w:r>
        <w:rPr>
          <w:rFonts w:ascii="宋体" w:hAnsi="宋体" w:cs="宋体"/>
          <w:b/>
          <w:bCs/>
          <w:color w:val="auto"/>
          <w:sz w:val="24"/>
          <w:szCs w:val="24"/>
        </w:rPr>
        <w:t>U</w:t>
      </w:r>
      <w:r>
        <w:rPr>
          <w:rFonts w:hint="eastAsia" w:ascii="宋体" w:hAnsi="宋体" w:cs="宋体"/>
          <w:b/>
          <w:bCs/>
          <w:color w:val="auto"/>
          <w:sz w:val="24"/>
          <w:szCs w:val="24"/>
        </w:rPr>
        <w:t>盘）存储的数据电文形式的备份投标文件</w:t>
      </w:r>
      <w:r>
        <w:rPr>
          <w:rFonts w:hint="eastAsia" w:ascii="宋体" w:hAnsi="宋体" w:cs="宋体"/>
          <w:color w:val="auto"/>
          <w:sz w:val="24"/>
          <w:szCs w:val="24"/>
        </w:rPr>
        <w:t>，按政采云平台项目采购</w:t>
      </w:r>
      <w:r>
        <w:rPr>
          <w:rFonts w:ascii="宋体" w:cs="宋体"/>
          <w:color w:val="auto"/>
          <w:sz w:val="24"/>
          <w:szCs w:val="24"/>
        </w:rPr>
        <w:t>-</w:t>
      </w:r>
      <w:r>
        <w:rPr>
          <w:rFonts w:hint="eastAsia" w:ascii="宋体" w:hAnsi="宋体" w:cs="宋体"/>
          <w:color w:val="auto"/>
          <w:sz w:val="24"/>
          <w:szCs w:val="24"/>
        </w:rPr>
        <w:t>电子招投标操作指南中上传的电子投标文件格式，以</w:t>
      </w:r>
      <w:r>
        <w:rPr>
          <w:rFonts w:ascii="宋体" w:hAnsi="宋体" w:cs="宋体"/>
          <w:color w:val="auto"/>
          <w:sz w:val="24"/>
          <w:szCs w:val="24"/>
        </w:rPr>
        <w:t>U</w:t>
      </w:r>
      <w:r>
        <w:rPr>
          <w:rFonts w:hint="eastAsia" w:ascii="宋体" w:hAnsi="宋体" w:cs="宋体"/>
          <w:color w:val="auto"/>
          <w:sz w:val="24"/>
          <w:szCs w:val="24"/>
        </w:rPr>
        <w:t>盘形式提供。数量为</w:t>
      </w:r>
      <w:r>
        <w:rPr>
          <w:rFonts w:ascii="宋体" w:hAnsi="宋体" w:cs="宋体"/>
          <w:color w:val="auto"/>
          <w:sz w:val="24"/>
          <w:szCs w:val="24"/>
        </w:rPr>
        <w:t>1</w:t>
      </w:r>
      <w:r>
        <w:rPr>
          <w:rFonts w:hint="eastAsia" w:ascii="宋体" w:hAnsi="宋体" w:cs="宋体"/>
          <w:color w:val="auto"/>
          <w:sz w:val="24"/>
          <w:szCs w:val="24"/>
        </w:rPr>
        <w:t>份。</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Ⅱ纸质备份投标文件</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所有纸质投标资料应按投标文件的组成所列内容及顺序装订成册，</w:t>
      </w:r>
      <w:r>
        <w:rPr>
          <w:rFonts w:hint="eastAsia" w:ascii="宋体" w:hAnsi="宋体" w:cs="宋体"/>
          <w:color w:val="auto"/>
          <w:sz w:val="24"/>
          <w:szCs w:val="24"/>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投标人应按</w:t>
      </w:r>
      <w:r>
        <w:rPr>
          <w:rFonts w:hint="eastAsia" w:ascii="宋体" w:hAnsi="宋体" w:cs="宋体"/>
          <w:color w:val="auto"/>
          <w:sz w:val="24"/>
          <w:szCs w:val="24"/>
          <w:lang w:val="zh-CN"/>
        </w:rPr>
        <w:t>资格证明文件、商务技术文件、报价文件三部分</w:t>
      </w:r>
      <w:r>
        <w:rPr>
          <w:rFonts w:hint="eastAsia" w:ascii="宋体" w:hAnsi="宋体" w:cs="宋体"/>
          <w:color w:val="auto"/>
          <w:sz w:val="24"/>
          <w:szCs w:val="24"/>
        </w:rPr>
        <w:t>分别编制并单独装订成册，活页装订的投标文件将被拒绝。投标文件需打印或用不褪色的墨水填写。</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投标人应按</w:t>
      </w:r>
      <w:r>
        <w:rPr>
          <w:rFonts w:hint="eastAsia" w:ascii="宋体" w:hAnsi="宋体" w:cs="宋体"/>
          <w:color w:val="auto"/>
          <w:sz w:val="24"/>
          <w:szCs w:val="24"/>
          <w:lang w:val="zh-CN"/>
        </w:rPr>
        <w:t>资格证明文件、商务技术文件、报价文件三部分</w:t>
      </w:r>
      <w:r>
        <w:rPr>
          <w:rFonts w:hint="eastAsia" w:ascii="宋体" w:hAnsi="宋体" w:cs="宋体"/>
          <w:color w:val="auto"/>
          <w:sz w:val="24"/>
          <w:szCs w:val="24"/>
        </w:rPr>
        <w:t>分别密封封装纸质备份投标文件。</w:t>
      </w:r>
      <w:r>
        <w:rPr>
          <w:rFonts w:hint="eastAsia" w:ascii="宋体" w:hAnsi="宋体" w:cs="宋体"/>
          <w:color w:val="auto"/>
          <w:sz w:val="24"/>
          <w:szCs w:val="24"/>
          <w:lang w:val="zh-CN"/>
        </w:rPr>
        <w:t>资格证明文件、商务技术文件、报价文件三部分</w:t>
      </w:r>
      <w:r>
        <w:rPr>
          <w:rFonts w:hint="eastAsia" w:ascii="宋体" w:hAnsi="宋体" w:cs="宋体"/>
          <w:color w:val="auto"/>
          <w:sz w:val="24"/>
          <w:szCs w:val="24"/>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24"/>
          <w:lang w:val="zh-CN"/>
        </w:rPr>
        <w:t>资格证明文件、商务技术文件、报价文件</w:t>
      </w:r>
      <w:r>
        <w:rPr>
          <w:rFonts w:hint="eastAsia" w:ascii="宋体" w:hAnsi="宋体" w:cs="宋体"/>
          <w:color w:val="auto"/>
          <w:sz w:val="24"/>
          <w:szCs w:val="24"/>
        </w:rPr>
        <w:t>）”、“开标时启封”字样，未按上述要求密封及加写标记，采购组织机构对投标文件的误投和提前启封不负责任。</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项目如分标段，各标段投标文件必须分开编制，并按上述份数要求单独密封包装。</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lang w:val="zh-CN"/>
        </w:rPr>
        <w:t>因密封不严、标记不明而造成失密、拒收、过早启封等情况，采购组织机构概不负责。</w:t>
      </w:r>
    </w:p>
    <w:p>
      <w:pPr>
        <w:spacing w:line="360" w:lineRule="auto"/>
        <w:ind w:firstLine="480" w:firstLineChars="200"/>
        <w:rPr>
          <w:rFonts w:ascii="宋体"/>
          <w:color w:val="auto"/>
          <w:sz w:val="24"/>
          <w:szCs w:val="24"/>
        </w:rPr>
      </w:pPr>
      <w:r>
        <w:rPr>
          <w:rFonts w:hint="eastAsia" w:ascii="宋体" w:hAnsi="宋体" w:cs="宋体"/>
          <w:color w:val="auto"/>
          <w:sz w:val="24"/>
          <w:szCs w:val="24"/>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b/>
          <w:bCs/>
          <w:color w:val="auto"/>
          <w:sz w:val="24"/>
          <w:szCs w:val="24"/>
        </w:rPr>
      </w:pPr>
      <w:r>
        <w:rPr>
          <w:rFonts w:ascii="宋体" w:hAnsi="宋体" w:cs="宋体"/>
          <w:color w:val="auto"/>
          <w:sz w:val="24"/>
          <w:szCs w:val="24"/>
        </w:rPr>
        <w:t>8.</w:t>
      </w:r>
      <w:r>
        <w:rPr>
          <w:rFonts w:hint="eastAsia" w:ascii="宋体" w:hAnsi="宋体" w:cs="宋体"/>
          <w:color w:val="auto"/>
          <w:sz w:val="24"/>
          <w:szCs w:val="24"/>
        </w:rPr>
        <w:t>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、投标文件的递交要求</w:t>
      </w:r>
    </w:p>
    <w:p>
      <w:pPr>
        <w:spacing w:line="360" w:lineRule="auto"/>
        <w:ind w:firstLine="480" w:firstLineChars="200"/>
        <w:rPr>
          <w:rFonts w:ascii="宋体"/>
          <w:color w:val="auto"/>
          <w:sz w:val="24"/>
          <w:szCs w:val="24"/>
          <w:lang w:val="en-GB"/>
        </w:rPr>
      </w:pPr>
      <w:r>
        <w:rPr>
          <w:rFonts w:hint="eastAsia" w:ascii="宋体" w:hAnsi="宋体" w:cs="宋体"/>
          <w:color w:val="auto"/>
          <w:sz w:val="24"/>
          <w:szCs w:val="24"/>
          <w:lang w:val="en-GB"/>
        </w:rPr>
        <w:t>（</w:t>
      </w:r>
      <w:r>
        <w:rPr>
          <w:rFonts w:ascii="宋体" w:hAnsi="宋体" w:cs="宋体"/>
          <w:color w:val="auto"/>
          <w:sz w:val="24"/>
          <w:szCs w:val="24"/>
        </w:rPr>
        <w:t>1</w:t>
      </w:r>
      <w:r>
        <w:rPr>
          <w:rFonts w:hint="eastAsia" w:ascii="宋体" w:hAnsi="宋体" w:cs="宋体"/>
          <w:color w:val="auto"/>
          <w:sz w:val="24"/>
          <w:szCs w:val="24"/>
          <w:lang w:val="en-GB"/>
        </w:rPr>
        <w:t>）“投标文件”的上传、递交：见《前附表》。▲未传输递交电子投标文件的，投标无效。</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）以介质（</w:t>
      </w:r>
      <w:r>
        <w:rPr>
          <w:rFonts w:ascii="宋体" w:hAnsi="宋体" w:cs="宋体"/>
          <w:color w:val="auto"/>
          <w:sz w:val="24"/>
          <w:szCs w:val="24"/>
        </w:rPr>
        <w:t>U</w:t>
      </w:r>
      <w:r>
        <w:rPr>
          <w:rFonts w:hint="eastAsia" w:ascii="宋体" w:hAnsi="宋体" w:cs="宋体"/>
          <w:color w:val="auto"/>
          <w:sz w:val="24"/>
          <w:szCs w:val="24"/>
        </w:rPr>
        <w:t>盘）存储的数据电文形式的备份投标文件和纸质备份投标文件必须在规定时间前送达或邮寄至</w:t>
      </w:r>
      <w:r>
        <w:rPr>
          <w:rFonts w:hint="eastAsia" w:ascii="宋体" w:hAnsi="宋体" w:cs="宋体"/>
          <w:color w:val="auto"/>
          <w:sz w:val="24"/>
          <w:szCs w:val="24"/>
          <w:lang w:val="en-GB"/>
        </w:rPr>
        <w:t>公告规定的</w:t>
      </w:r>
      <w:r>
        <w:rPr>
          <w:rFonts w:hint="eastAsia" w:ascii="宋体" w:hAnsi="宋体" w:cs="宋体"/>
          <w:color w:val="auto"/>
          <w:sz w:val="24"/>
          <w:szCs w:val="24"/>
        </w:rPr>
        <w:t>地点。备份投标文件在截止时间后提交，采购组织机构将拒绝接收。</w:t>
      </w:r>
      <w:r>
        <w:rPr>
          <w:rFonts w:hint="eastAsia" w:ascii="宋体" w:hAnsi="宋体" w:cs="宋体"/>
          <w:color w:val="auto"/>
          <w:sz w:val="24"/>
          <w:szCs w:val="24"/>
          <w:lang w:val="en-GB"/>
        </w:rPr>
        <w:t>▲未按规定提供相应的备份投标文件，造成项目开评标活动无法进行下去的，投标无效。</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color w:val="auto"/>
          <w:sz w:val="24"/>
          <w:szCs w:val="24"/>
          <w:lang w:val="en-GB"/>
        </w:rPr>
      </w:pPr>
      <w:r>
        <w:rPr>
          <w:rFonts w:hint="eastAsia" w:ascii="宋体" w:hAnsi="宋体" w:cs="宋体"/>
          <w:color w:val="auto"/>
          <w:sz w:val="24"/>
          <w:szCs w:val="24"/>
          <w:lang w:val="en-GB"/>
        </w:rPr>
        <w:t>（</w:t>
      </w:r>
      <w:r>
        <w:rPr>
          <w:rFonts w:ascii="宋体" w:hAnsi="宋体" w:cs="宋体"/>
          <w:color w:val="auto"/>
          <w:sz w:val="24"/>
          <w:szCs w:val="24"/>
        </w:rPr>
        <w:t>4</w:t>
      </w:r>
      <w:r>
        <w:rPr>
          <w:rFonts w:hint="eastAsia" w:ascii="宋体" w:hAnsi="宋体" w:cs="宋体"/>
          <w:color w:val="auto"/>
          <w:sz w:val="24"/>
          <w:szCs w:val="24"/>
          <w:lang w:val="en-GB"/>
        </w:rPr>
        <w:t>）投标文件的备选方案</w:t>
      </w:r>
    </w:p>
    <w:p>
      <w:pPr>
        <w:spacing w:line="360" w:lineRule="auto"/>
        <w:ind w:firstLine="480" w:firstLineChars="200"/>
        <w:rPr>
          <w:rFonts w:ascii="宋体"/>
          <w:color w:val="auto"/>
          <w:sz w:val="24"/>
          <w:szCs w:val="24"/>
        </w:rPr>
      </w:pPr>
      <w:r>
        <w:rPr>
          <w:rFonts w:hint="eastAsia" w:ascii="宋体" w:hAnsi="宋体" w:cs="宋体"/>
          <w:color w:val="auto"/>
          <w:sz w:val="24"/>
          <w:szCs w:val="24"/>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（三）投标文件的有效期</w:t>
      </w:r>
    </w:p>
    <w:p>
      <w:pPr>
        <w:spacing w:line="360" w:lineRule="auto"/>
        <w:ind w:firstLine="480" w:firstLineChars="200"/>
        <w:rPr>
          <w:rFonts w:ascii="宋体"/>
          <w:color w:val="auto"/>
          <w:sz w:val="24"/>
          <w:szCs w:val="24"/>
          <w:lang w:val="en-GB"/>
        </w:rPr>
      </w:pPr>
      <w:r>
        <w:rPr>
          <w:rFonts w:ascii="宋体" w:hAnsi="宋体" w:cs="宋体"/>
          <w:color w:val="auto"/>
          <w:sz w:val="24"/>
          <w:szCs w:val="24"/>
        </w:rPr>
        <w:t>1.</w:t>
      </w:r>
      <w:r>
        <w:rPr>
          <w:rFonts w:hint="eastAsia" w:ascii="宋体" w:hAnsi="宋体" w:cs="宋体"/>
          <w:color w:val="auto"/>
          <w:sz w:val="24"/>
          <w:szCs w:val="24"/>
          <w:lang w:val="en-GB"/>
        </w:rPr>
        <w:t>自投标截止日起</w:t>
      </w:r>
      <w:r>
        <w:rPr>
          <w:rFonts w:ascii="宋体" w:hAnsi="宋体" w:cs="宋体"/>
          <w:color w:val="auto"/>
          <w:sz w:val="24"/>
          <w:szCs w:val="24"/>
          <w:lang w:val="en-GB"/>
        </w:rPr>
        <w:t>90</w:t>
      </w:r>
      <w:r>
        <w:rPr>
          <w:rFonts w:hint="eastAsia" w:ascii="宋体" w:hAnsi="宋体" w:cs="宋体"/>
          <w:color w:val="auto"/>
          <w:sz w:val="24"/>
          <w:szCs w:val="24"/>
          <w:lang w:val="en-GB"/>
        </w:rPr>
        <w:t>天投标文件应保持有效。有效期不足的投标文件将被拒绝。</w:t>
      </w:r>
    </w:p>
    <w:p>
      <w:pPr>
        <w:spacing w:line="360" w:lineRule="auto"/>
        <w:ind w:firstLine="480" w:firstLineChars="200"/>
        <w:rPr>
          <w:rFonts w:ascii="宋体"/>
          <w:color w:val="auto"/>
          <w:sz w:val="24"/>
          <w:szCs w:val="24"/>
          <w:lang w:val="en-GB"/>
        </w:rPr>
      </w:pPr>
      <w:r>
        <w:rPr>
          <w:rFonts w:ascii="宋体" w:hAnsi="宋体" w:cs="宋体"/>
          <w:color w:val="auto"/>
          <w:sz w:val="24"/>
          <w:szCs w:val="24"/>
        </w:rPr>
        <w:t>2.</w:t>
      </w:r>
      <w:r>
        <w:rPr>
          <w:rFonts w:hint="eastAsia" w:ascii="宋体" w:hAnsi="宋体" w:cs="宋体"/>
          <w:color w:val="auto"/>
          <w:sz w:val="24"/>
          <w:szCs w:val="24"/>
          <w:lang w:val="en-GB"/>
        </w:rPr>
        <w:t>在特殊情况下，采购人可与投标人协商延长投标文件的有效期，这种要求和答复均以书面形式进行。</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中标人的投标文件自开标之日起至合同履行完毕均应保持有效。</w:t>
      </w:r>
    </w:p>
    <w:p>
      <w:pPr>
        <w:spacing w:line="360" w:lineRule="auto"/>
        <w:rPr>
          <w:rFonts w:ascii="宋体"/>
          <w:color w:val="auto"/>
          <w:sz w:val="24"/>
          <w:szCs w:val="24"/>
        </w:rPr>
      </w:pPr>
      <w:r>
        <w:rPr>
          <w:rFonts w:hint="eastAsia" w:ascii="宋体" w:hAnsi="宋体" w:cs="宋体"/>
          <w:b/>
          <w:bCs/>
          <w:color w:val="auto"/>
          <w:kern w:val="0"/>
          <w:sz w:val="24"/>
          <w:szCs w:val="24"/>
        </w:rPr>
        <w:t>四、</w:t>
      </w:r>
      <w:r>
        <w:rPr>
          <w:rFonts w:hint="eastAsia" w:ascii="宋体" w:hAnsi="宋体" w:cs="宋体"/>
          <w:b/>
          <w:bCs/>
          <w:color w:val="auto"/>
          <w:sz w:val="24"/>
          <w:szCs w:val="24"/>
        </w:rPr>
        <w:t>开标</w:t>
      </w:r>
    </w:p>
    <w:p>
      <w:pPr>
        <w:spacing w:line="360" w:lineRule="auto"/>
        <w:ind w:firstLine="480" w:firstLineChars="200"/>
        <w:rPr>
          <w:rFonts w:ascii="宋体"/>
          <w:color w:val="auto"/>
          <w:sz w:val="24"/>
          <w:szCs w:val="24"/>
        </w:rPr>
      </w:pPr>
      <w:r>
        <w:rPr>
          <w:rFonts w:hint="eastAsia" w:ascii="宋体" w:hAnsi="宋体" w:cs="宋体"/>
          <w:color w:val="auto"/>
          <w:sz w:val="24"/>
          <w:szCs w:val="24"/>
        </w:rPr>
        <w:t>（一）开标事项</w:t>
      </w:r>
    </w:p>
    <w:p>
      <w:pPr>
        <w:spacing w:line="360" w:lineRule="auto"/>
        <w:ind w:firstLine="480" w:firstLineChars="200"/>
        <w:rPr>
          <w:rFonts w:ascii="宋体"/>
          <w:color w:val="auto"/>
          <w:sz w:val="24"/>
          <w:szCs w:val="24"/>
        </w:rPr>
      </w:pPr>
      <w:r>
        <w:rPr>
          <w:rFonts w:hint="eastAsia" w:ascii="宋体" w:hAnsi="宋体" w:cs="宋体"/>
          <w:color w:val="auto"/>
          <w:sz w:val="24"/>
          <w:szCs w:val="24"/>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color w:val="auto"/>
          <w:sz w:val="24"/>
          <w:szCs w:val="24"/>
        </w:rPr>
      </w:pPr>
      <w:r>
        <w:rPr>
          <w:rFonts w:hint="eastAsia" w:ascii="宋体" w:hAnsi="宋体" w:cs="宋体"/>
          <w:color w:val="auto"/>
          <w:sz w:val="24"/>
          <w:szCs w:val="24"/>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）电子交易平台发生故障而无法登录访问的；</w:t>
      </w:r>
      <w:r>
        <w:rPr>
          <w:rFonts w:ascii="宋体" w:hAnsi="宋体" w:cs="宋体"/>
          <w:color w:val="auto"/>
          <w:sz w:val="24"/>
          <w:szCs w:val="24"/>
        </w:rPr>
        <w:t xml:space="preserve"> </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）电子交易平台应用或数据库出现错误，不能进行正常操作的；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）电子交易平台发现严重安全漏洞，有潜在泄密危险的；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）病毒导致不能进行正常操作的；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）其他无法保证电子交易的公平、公正和安全的情况。</w:t>
      </w:r>
    </w:p>
    <w:p>
      <w:pPr>
        <w:spacing w:line="360" w:lineRule="auto"/>
        <w:ind w:firstLine="480" w:firstLineChars="200"/>
        <w:rPr>
          <w:rFonts w:ascii="宋体"/>
          <w:color w:val="auto"/>
          <w:sz w:val="24"/>
          <w:szCs w:val="24"/>
        </w:rPr>
      </w:pPr>
      <w:r>
        <w:rPr>
          <w:rFonts w:hint="eastAsia" w:ascii="宋体" w:hAnsi="宋体" w:cs="宋体"/>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color w:val="auto"/>
          <w:sz w:val="24"/>
          <w:szCs w:val="24"/>
        </w:rPr>
      </w:pPr>
      <w:r>
        <w:rPr>
          <w:rFonts w:hint="eastAsia" w:ascii="宋体" w:hAnsi="宋体" w:cs="宋体"/>
          <w:color w:val="auto"/>
          <w:sz w:val="24"/>
          <w:szCs w:val="24"/>
        </w:rPr>
        <w:t>（二）</w:t>
      </w:r>
      <w:r>
        <w:rPr>
          <w:rFonts w:ascii="宋体" w:hAnsi="宋体" w:cs="宋体"/>
          <w:color w:val="auto"/>
          <w:sz w:val="24"/>
          <w:szCs w:val="24"/>
        </w:rPr>
        <w:t xml:space="preserve"> </w:t>
      </w:r>
      <w:r>
        <w:rPr>
          <w:rFonts w:hint="eastAsia" w:ascii="宋体" w:hAnsi="宋体" w:cs="宋体"/>
          <w:color w:val="auto"/>
          <w:sz w:val="24"/>
          <w:szCs w:val="24"/>
        </w:rPr>
        <w:t>开标程序：</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、开标会由招标项目负责人主持，主持人宣布开标会议开始；</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、主持人介绍参加开标会的人员名单；</w:t>
      </w:r>
      <w:r>
        <w:rPr>
          <w:rFonts w:ascii="宋体" w:hAnsi="宋体" w:cs="宋体"/>
          <w:color w:val="auto"/>
          <w:sz w:val="24"/>
          <w:szCs w:val="24"/>
        </w:rPr>
        <w:t xml:space="preserve"> </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、主持人宣布评标期间的有关事项，告知应当回避的情形，提请有关人员回避；对投标人进行签到验证。</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、采购组织机构点击【开启标书信息】，开启标书成功后进入开标流程。</w:t>
      </w:r>
    </w:p>
    <w:p>
      <w:pPr>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w:t>
      </w:r>
      <w:r>
        <w:rPr>
          <w:rFonts w:hint="eastAsia" w:ascii="宋体" w:hAnsi="宋体" w:cs="宋体"/>
          <w:color w:val="auto"/>
          <w:sz w:val="24"/>
          <w:szCs w:val="24"/>
          <w:lang w:val="zh-CN"/>
        </w:rPr>
        <w:t>资格证明文件和商务技术文件</w:t>
      </w:r>
      <w:r>
        <w:rPr>
          <w:rFonts w:hint="eastAsia" w:ascii="宋体" w:hAnsi="宋体" w:cs="宋体"/>
          <w:color w:val="auto"/>
          <w:sz w:val="24"/>
          <w:szCs w:val="24"/>
        </w:rPr>
        <w:t>评审；</w:t>
      </w:r>
    </w:p>
    <w:p>
      <w:pPr>
        <w:spacing w:line="360" w:lineRule="auto"/>
        <w:ind w:firstLine="480" w:firstLineChars="200"/>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、由主持人公布无效投标的投标人名单、投标无效的原因及其他有效投标的评分汇总分；</w:t>
      </w:r>
    </w:p>
    <w:p>
      <w:pPr>
        <w:spacing w:line="360" w:lineRule="auto"/>
        <w:ind w:firstLine="480" w:firstLineChars="200"/>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、开启报价响应文件：采购代理机构成功开启报价响应文件后，方可查看各供应商报价情况。</w:t>
      </w:r>
    </w:p>
    <w:p>
      <w:pPr>
        <w:spacing w:line="360" w:lineRule="auto"/>
        <w:ind w:firstLine="480" w:firstLineChars="200"/>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、报价文件评审；</w:t>
      </w:r>
    </w:p>
    <w:p>
      <w:pPr>
        <w:spacing w:line="360" w:lineRule="auto"/>
        <w:ind w:firstLine="480" w:firstLineChars="200"/>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、由主持人公布无效投标的投标人名单、投标无效的原因及其他有效投标的报价文件得分；</w:t>
      </w:r>
    </w:p>
    <w:p>
      <w:pPr>
        <w:spacing w:line="360" w:lineRule="auto"/>
        <w:ind w:firstLine="480" w:firstLineChars="200"/>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、宣布综合得分结果及中标候选人名单；</w:t>
      </w:r>
    </w:p>
    <w:p>
      <w:pPr>
        <w:spacing w:line="360" w:lineRule="auto"/>
        <w:ind w:firstLine="480" w:firstLineChars="200"/>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、开标会议结束。</w:t>
      </w:r>
    </w:p>
    <w:p>
      <w:pPr>
        <w:spacing w:line="360" w:lineRule="auto"/>
        <w:rPr>
          <w:rFonts w:ascii="宋体"/>
          <w:b/>
          <w:bCs/>
          <w:color w:val="auto"/>
          <w:sz w:val="24"/>
          <w:szCs w:val="24"/>
        </w:rPr>
      </w:pPr>
      <w:r>
        <w:rPr>
          <w:rFonts w:hint="eastAsia" w:ascii="宋体" w:hAnsi="宋体" w:cs="宋体"/>
          <w:b/>
          <w:bCs/>
          <w:color w:val="auto"/>
          <w:sz w:val="24"/>
          <w:szCs w:val="24"/>
        </w:rPr>
        <w:t>五、评标</w:t>
      </w:r>
    </w:p>
    <w:p>
      <w:pPr>
        <w:spacing w:line="360" w:lineRule="auto"/>
        <w:ind w:firstLine="480" w:firstLineChars="200"/>
        <w:rPr>
          <w:rFonts w:ascii="宋体"/>
          <w:color w:val="auto"/>
          <w:sz w:val="24"/>
          <w:szCs w:val="24"/>
        </w:rPr>
      </w:pPr>
      <w:r>
        <w:rPr>
          <w:rFonts w:hint="eastAsia" w:ascii="宋体" w:hAnsi="宋体" w:cs="宋体"/>
          <w:color w:val="auto"/>
          <w:sz w:val="24"/>
          <w:szCs w:val="24"/>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（一）组建评标委员会</w:t>
      </w:r>
    </w:p>
    <w:p>
      <w:pPr>
        <w:spacing w:line="360" w:lineRule="auto"/>
        <w:ind w:firstLine="480" w:firstLineChars="200"/>
        <w:rPr>
          <w:rFonts w:ascii="宋体"/>
          <w:color w:val="auto"/>
          <w:sz w:val="24"/>
          <w:szCs w:val="24"/>
        </w:rPr>
      </w:pPr>
      <w:r>
        <w:rPr>
          <w:rFonts w:hint="eastAsia" w:ascii="宋体" w:hAnsi="宋体" w:cs="宋体"/>
          <w:color w:val="auto"/>
          <w:sz w:val="24"/>
          <w:szCs w:val="24"/>
        </w:rPr>
        <w:t>评标委员会由评审专家组成，成员人数为</w:t>
      </w:r>
      <w:r>
        <w:rPr>
          <w:rFonts w:ascii="宋体" w:hAnsi="宋体" w:cs="宋体"/>
          <w:color w:val="auto"/>
          <w:sz w:val="24"/>
          <w:szCs w:val="24"/>
        </w:rPr>
        <w:t>5</w:t>
      </w:r>
      <w:r>
        <w:rPr>
          <w:rFonts w:hint="eastAsia" w:ascii="宋体" w:hAnsi="宋体" w:cs="宋体"/>
          <w:color w:val="auto"/>
          <w:sz w:val="24"/>
          <w:szCs w:val="24"/>
        </w:rPr>
        <w:t>人以上单数。</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（二）评标程序</w:t>
      </w:r>
    </w:p>
    <w:p>
      <w:pPr>
        <w:spacing w:line="360" w:lineRule="auto"/>
        <w:ind w:firstLine="482" w:firstLineChars="200"/>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、资格审查</w:t>
      </w:r>
    </w:p>
    <w:p>
      <w:pPr>
        <w:spacing w:line="360" w:lineRule="auto"/>
        <w:ind w:firstLine="480" w:firstLineChars="200"/>
        <w:rPr>
          <w:rFonts w:ascii="宋体"/>
          <w:color w:val="auto"/>
          <w:sz w:val="24"/>
          <w:szCs w:val="24"/>
        </w:rPr>
      </w:pPr>
      <w:r>
        <w:rPr>
          <w:rFonts w:hint="eastAsia" w:ascii="宋体" w:hAnsi="宋体" w:cs="宋体"/>
          <w:color w:val="auto"/>
          <w:sz w:val="24"/>
          <w:szCs w:val="24"/>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、符合性审查</w:t>
      </w:r>
    </w:p>
    <w:p>
      <w:pPr>
        <w:spacing w:line="360" w:lineRule="auto"/>
        <w:ind w:firstLine="480" w:firstLineChars="200"/>
        <w:rPr>
          <w:rFonts w:ascii="宋体"/>
          <w:color w:val="auto"/>
          <w:sz w:val="24"/>
          <w:szCs w:val="24"/>
        </w:rPr>
      </w:pPr>
      <w:r>
        <w:rPr>
          <w:rFonts w:hint="eastAsia" w:ascii="宋体" w:hAnsi="宋体" w:cs="宋体"/>
          <w:color w:val="auto"/>
          <w:sz w:val="24"/>
          <w:szCs w:val="24"/>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、综合比较与评价</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）评标时，评标委员会各成员应当独立对每个投标人的投标文件进行评价，并汇总每个投标人的得分。</w:t>
      </w:r>
    </w:p>
    <w:p>
      <w:pPr>
        <w:spacing w:line="360" w:lineRule="auto"/>
        <w:ind w:firstLine="482" w:firstLineChars="200"/>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、得分确认及评审报告编写</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）评标委员会对报价文件进行复核，对于系统计算出的价格分及总得分进行确认；</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）评标委员会按评标原则及得分情况编写评审报告。</w:t>
      </w:r>
    </w:p>
    <w:p>
      <w:pPr>
        <w:spacing w:line="360" w:lineRule="auto"/>
        <w:ind w:firstLine="482" w:firstLineChars="200"/>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、评价</w:t>
      </w:r>
    </w:p>
    <w:p>
      <w:pPr>
        <w:spacing w:line="360" w:lineRule="auto"/>
        <w:ind w:firstLine="480" w:firstLineChars="200"/>
        <w:rPr>
          <w:rFonts w:ascii="宋体"/>
          <w:color w:val="auto"/>
          <w:sz w:val="24"/>
          <w:szCs w:val="24"/>
        </w:rPr>
      </w:pPr>
      <w:r>
        <w:rPr>
          <w:rFonts w:hint="eastAsia" w:ascii="宋体" w:hAnsi="宋体" w:cs="宋体"/>
          <w:color w:val="auto"/>
          <w:sz w:val="24"/>
          <w:szCs w:val="24"/>
        </w:rPr>
        <w:t>采购组织机构对评标委员会评审专家进行评价。</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（三）澄清问题的形式</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（四）错误修正</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投标文件报价出现前后不一致的，除招标文件另有规定外，按照下列规定修正：</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、投标文件中开标一览表（报价表）内容与投标文件中相应内容不一致的，以开标一览表（报价表）为准；</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、大写金额和小写金额不一致的，以大写金额为准；</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、单价金额小数点或者百分比有明显错位的，以开标一览表的总价为准，并修改单价；</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、总价金额与按单价汇总金额不一致的，以单价金额计算结果为准。</w:t>
      </w:r>
    </w:p>
    <w:p>
      <w:pPr>
        <w:spacing w:line="360" w:lineRule="auto"/>
        <w:ind w:firstLine="480" w:firstLineChars="200"/>
        <w:rPr>
          <w:rFonts w:ascii="宋体"/>
          <w:color w:val="auto"/>
          <w:sz w:val="24"/>
          <w:szCs w:val="24"/>
        </w:rPr>
      </w:pPr>
      <w:r>
        <w:rPr>
          <w:rFonts w:hint="eastAsia" w:ascii="宋体" w:hAnsi="宋体" w:cs="宋体"/>
          <w:color w:val="auto"/>
          <w:sz w:val="24"/>
          <w:szCs w:val="24"/>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（五）投标人存在下列情况之一的，投标无效：</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sz w:val="24"/>
          <w:szCs w:val="24"/>
          <w:lang w:val="zh-CN"/>
        </w:rPr>
        <w:t>资格证明文件、商务技术文件</w:t>
      </w:r>
      <w:r>
        <w:rPr>
          <w:rFonts w:hint="eastAsia" w:ascii="宋体" w:hAnsi="宋体" w:cs="宋体"/>
          <w:color w:val="auto"/>
          <w:sz w:val="24"/>
          <w:szCs w:val="24"/>
        </w:rPr>
        <w:t>跟报价文件出现混装或在</w:t>
      </w:r>
      <w:r>
        <w:rPr>
          <w:rFonts w:hint="eastAsia" w:ascii="宋体" w:hAnsi="宋体" w:cs="宋体"/>
          <w:color w:val="auto"/>
          <w:sz w:val="24"/>
          <w:szCs w:val="24"/>
          <w:lang w:val="zh-CN"/>
        </w:rPr>
        <w:t>资格证明文件、商务技术文件</w:t>
      </w:r>
      <w:r>
        <w:rPr>
          <w:rFonts w:hint="eastAsia" w:ascii="宋体" w:hAnsi="宋体" w:cs="宋体"/>
          <w:color w:val="auto"/>
          <w:sz w:val="24"/>
          <w:szCs w:val="24"/>
        </w:rPr>
        <w:t>中出现投标报价的，或者报价文件中报价的货物跟</w:t>
      </w:r>
      <w:r>
        <w:rPr>
          <w:rFonts w:hint="eastAsia" w:ascii="宋体" w:hAnsi="宋体" w:cs="宋体"/>
          <w:color w:val="auto"/>
          <w:sz w:val="24"/>
          <w:szCs w:val="24"/>
          <w:lang w:val="zh-CN"/>
        </w:rPr>
        <w:t>资格证明文件、商务技术文件</w:t>
      </w:r>
      <w:r>
        <w:rPr>
          <w:rFonts w:hint="eastAsia" w:ascii="宋体" w:hAnsi="宋体" w:cs="宋体"/>
          <w:color w:val="auto"/>
          <w:sz w:val="24"/>
          <w:szCs w:val="24"/>
        </w:rPr>
        <w:t>中的投标货物出现重大偏差的。</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、不具备招标文件中规定的资格要求的。</w:t>
      </w:r>
      <w:r>
        <w:rPr>
          <w:rFonts w:ascii="宋体"/>
          <w:color w:val="auto"/>
          <w:sz w:val="24"/>
          <w:szCs w:val="24"/>
        </w:rPr>
        <w:tab/>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、投标文件含有采购人不能接受的附加条件的。</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、授权委托代理人未能出具身份证明或与法定代表人授权委托人身份不符的。</w:t>
      </w:r>
    </w:p>
    <w:p>
      <w:pPr>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、报价超过招标文件中规定的预算金额</w:t>
      </w:r>
      <w:r>
        <w:rPr>
          <w:rFonts w:ascii="宋体" w:hAnsi="宋体" w:cs="宋体"/>
          <w:color w:val="auto"/>
          <w:sz w:val="24"/>
          <w:szCs w:val="24"/>
        </w:rPr>
        <w:t>/</w:t>
      </w:r>
      <w:r>
        <w:rPr>
          <w:rFonts w:hint="eastAsia" w:ascii="宋体" w:hAnsi="宋体" w:cs="宋体"/>
          <w:color w:val="auto"/>
          <w:sz w:val="24"/>
          <w:szCs w:val="24"/>
        </w:rPr>
        <w:t>最高限价。</w:t>
      </w:r>
    </w:p>
    <w:p>
      <w:pPr>
        <w:spacing w:line="360" w:lineRule="auto"/>
        <w:ind w:firstLine="480" w:firstLineChars="200"/>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、投标参数未如实填写，完全复制粘贴招标参数的。</w:t>
      </w:r>
    </w:p>
    <w:p>
      <w:pPr>
        <w:spacing w:line="360" w:lineRule="auto"/>
        <w:ind w:firstLine="480" w:firstLineChars="200"/>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、投标文件提供虚假材料的。</w:t>
      </w:r>
    </w:p>
    <w:p>
      <w:pPr>
        <w:spacing w:line="360" w:lineRule="auto"/>
        <w:ind w:firstLine="480" w:firstLineChars="200"/>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、投标人的电子投标文件无法按时解密的。</w:t>
      </w:r>
    </w:p>
    <w:p>
      <w:pPr>
        <w:spacing w:line="360" w:lineRule="auto"/>
        <w:ind w:firstLine="480" w:firstLineChars="200"/>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、不符合中华人民共和国财政部令第</w:t>
      </w:r>
      <w:r>
        <w:rPr>
          <w:rFonts w:ascii="宋体" w:hAnsi="宋体" w:cs="宋体"/>
          <w:color w:val="auto"/>
          <w:sz w:val="24"/>
          <w:szCs w:val="24"/>
        </w:rPr>
        <w:t>87</w:t>
      </w:r>
      <w:r>
        <w:rPr>
          <w:rFonts w:hint="eastAsia" w:ascii="宋体" w:hAnsi="宋体" w:cs="宋体"/>
          <w:color w:val="auto"/>
          <w:sz w:val="24"/>
          <w:szCs w:val="24"/>
        </w:rPr>
        <w:t>号《政府采购货物和服务招标投标管理办法》第三十七条情形之一的，视为投标人串通投标，其投标无效，并移送采购监管部门：</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）不同投标人的投标文件由同一单位或者个人编制；不同投标人的投标文件，由同一台电脑编制；</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）不同投标人委托同一单位或者个人办理投标事宜；</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）不同投标人的投标文件载明的项目管理成员或者联系人员为同一人；</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）不同投标人的投标文件异常一致或者投标报价呈规律性差异；</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）不同投标人的投标文件相互混装。</w:t>
      </w:r>
    </w:p>
    <w:p>
      <w:pPr>
        <w:spacing w:line="360" w:lineRule="auto"/>
        <w:ind w:firstLine="480" w:firstLineChars="200"/>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、不符合法律、法规和招标文件中规定的其他实质性要求的（招标文件中打“▲”内容及被拒绝的条款）。</w:t>
      </w:r>
    </w:p>
    <w:p>
      <w:pPr>
        <w:spacing w:line="360" w:lineRule="auto"/>
        <w:ind w:firstLine="480" w:firstLineChars="200"/>
        <w:rPr>
          <w:rFonts w:ascii="宋体"/>
          <w:color w:val="auto"/>
          <w:sz w:val="24"/>
          <w:szCs w:val="24"/>
        </w:rPr>
      </w:pPr>
      <w:r>
        <w:rPr>
          <w:rFonts w:ascii="宋体" w:hAnsi="宋体" w:cs="宋体"/>
          <w:color w:val="auto"/>
          <w:sz w:val="24"/>
          <w:szCs w:val="24"/>
        </w:rPr>
        <w:t>13</w:t>
      </w:r>
      <w:r>
        <w:rPr>
          <w:rFonts w:hint="eastAsia" w:ascii="宋体" w:hAnsi="宋体" w:cs="宋体"/>
          <w:color w:val="auto"/>
          <w:sz w:val="24"/>
          <w:szCs w:val="24"/>
        </w:rPr>
        <w:t>、未传输递交电子投标文件的或者未按规定提供相应的备份投标文件，造成项目开评标活动无法进行下去的。</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（六）有下列情况之一的，本次招标作为废标处理：</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、出现影响采购公正的违法、违规行为的；</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、评标委员会发现招标文件存在歧义、重大缺陷导致评标工作无法进行，或者招标文件内容违反国家有关强制性规定的；</w:t>
      </w:r>
      <w:r>
        <w:rPr>
          <w:rFonts w:ascii="宋体" w:hAnsi="宋体" w:cs="宋体"/>
          <w:color w:val="auto"/>
          <w:sz w:val="24"/>
          <w:szCs w:val="24"/>
        </w:rPr>
        <w:t xml:space="preserve"> </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、因重大变故，采购任务取消的；</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、法律、法规和招标文件规定的其他导致评标结果无效的。</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（七）评标原则和评标办法</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、评标办法。具体评标内容及评分标准等详见《第三章</w:t>
      </w:r>
      <w:r>
        <w:rPr>
          <w:rFonts w:ascii="宋体" w:hAnsi="宋体" w:cs="宋体"/>
          <w:color w:val="auto"/>
          <w:sz w:val="24"/>
          <w:szCs w:val="24"/>
        </w:rPr>
        <w:t xml:space="preserve"> </w:t>
      </w:r>
      <w:r>
        <w:rPr>
          <w:rFonts w:hint="eastAsia" w:ascii="宋体" w:hAnsi="宋体" w:cs="宋体"/>
          <w:color w:val="auto"/>
          <w:sz w:val="24"/>
          <w:szCs w:val="24"/>
        </w:rPr>
        <w:t>评标方法及评分标准》。</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（八）评标过程的监控</w:t>
      </w:r>
    </w:p>
    <w:p>
      <w:pPr>
        <w:spacing w:line="360" w:lineRule="auto"/>
        <w:ind w:firstLine="480" w:firstLineChars="200"/>
        <w:rPr>
          <w:rFonts w:ascii="宋体"/>
          <w:color w:val="auto"/>
          <w:sz w:val="24"/>
          <w:szCs w:val="24"/>
        </w:rPr>
      </w:pPr>
      <w:r>
        <w:rPr>
          <w:rFonts w:hint="eastAsia" w:ascii="宋体" w:hAnsi="宋体" w:cs="宋体"/>
          <w:color w:val="auto"/>
          <w:sz w:val="24"/>
          <w:szCs w:val="24"/>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b/>
          <w:bCs/>
          <w:color w:val="auto"/>
          <w:sz w:val="24"/>
          <w:szCs w:val="24"/>
        </w:rPr>
      </w:pPr>
      <w:r>
        <w:rPr>
          <w:rFonts w:hint="eastAsia" w:ascii="宋体" w:hAnsi="宋体" w:cs="宋体"/>
          <w:b/>
          <w:bCs/>
          <w:color w:val="auto"/>
          <w:sz w:val="24"/>
          <w:szCs w:val="24"/>
        </w:rPr>
        <w:t>六、定标</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、确定中标供应商。评标委员会根据采购单位的《授权意见确认书》，推荐中标候选人或确定中标人。其中推荐中标候选人的，采购组织机构在评审结束后</w:t>
      </w:r>
      <w:r>
        <w:rPr>
          <w:rFonts w:ascii="宋体" w:hAnsi="宋体" w:cs="宋体"/>
          <w:color w:val="auto"/>
          <w:sz w:val="24"/>
          <w:szCs w:val="24"/>
        </w:rPr>
        <w:t>2</w:t>
      </w:r>
      <w:r>
        <w:rPr>
          <w:rFonts w:hint="eastAsia" w:ascii="宋体" w:hAnsi="宋体" w:cs="宋体"/>
          <w:color w:val="auto"/>
          <w:sz w:val="24"/>
          <w:szCs w:val="24"/>
        </w:rPr>
        <w:t>个工作日内将评标报告送采购人，采购人自收到评审报告之日起</w:t>
      </w:r>
      <w:r>
        <w:rPr>
          <w:rFonts w:ascii="宋体" w:hAnsi="宋体" w:cs="宋体"/>
          <w:color w:val="auto"/>
          <w:sz w:val="24"/>
          <w:szCs w:val="24"/>
        </w:rPr>
        <w:t>5</w:t>
      </w:r>
      <w:r>
        <w:rPr>
          <w:rFonts w:hint="eastAsia" w:ascii="宋体" w:hAnsi="宋体" w:cs="宋体"/>
          <w:color w:val="auto"/>
          <w:sz w:val="24"/>
          <w:szCs w:val="24"/>
        </w:rPr>
        <w:t>个工作日内在评审报告推荐的中标候选人中按顺序确定中标人。</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、发布中标结果公告。采购组织机构应当自中标人确定之日起</w:t>
      </w:r>
      <w:r>
        <w:rPr>
          <w:rFonts w:ascii="宋体" w:hAnsi="宋体" w:cs="宋体"/>
          <w:color w:val="auto"/>
          <w:sz w:val="24"/>
          <w:szCs w:val="24"/>
        </w:rPr>
        <w:t>2</w:t>
      </w:r>
      <w:r>
        <w:rPr>
          <w:rFonts w:hint="eastAsia" w:ascii="宋体" w:hAnsi="宋体" w:cs="宋体"/>
          <w:color w:val="auto"/>
          <w:sz w:val="24"/>
          <w:szCs w:val="24"/>
        </w:rPr>
        <w:t>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、发出中标通知书。采购组织机构在发布中标结果的同时，向中标人发出中标通知书。</w:t>
      </w:r>
    </w:p>
    <w:p>
      <w:pPr>
        <w:spacing w:line="360" w:lineRule="auto"/>
        <w:ind w:firstLine="480" w:firstLineChars="200"/>
        <w:jc w:val="left"/>
        <w:rPr>
          <w:rFonts w:ascii="宋体"/>
          <w:color w:val="auto"/>
          <w:sz w:val="24"/>
          <w:szCs w:val="24"/>
          <w:lang w:val="zh-CN"/>
        </w:rPr>
      </w:pPr>
      <w:r>
        <w:rPr>
          <w:rFonts w:ascii="宋体" w:hAnsi="宋体" w:cs="宋体"/>
          <w:color w:val="auto"/>
          <w:sz w:val="24"/>
          <w:szCs w:val="24"/>
          <w:lang w:val="zh-CN"/>
        </w:rPr>
        <w:t>4</w:t>
      </w:r>
      <w:r>
        <w:rPr>
          <w:rFonts w:hint="eastAsia" w:ascii="宋体" w:hAnsi="宋体" w:cs="宋体"/>
          <w:color w:val="auto"/>
          <w:sz w:val="24"/>
          <w:szCs w:val="24"/>
          <w:lang w:val="zh-CN"/>
        </w:rPr>
        <w:t>、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、代理费用：招标代理费用按照</w:t>
      </w:r>
      <w:r>
        <w:rPr>
          <w:rFonts w:hint="eastAsia" w:ascii="宋体" w:hAnsi="宋体" w:cs="宋体"/>
          <w:color w:val="auto"/>
          <w:sz w:val="24"/>
          <w:szCs w:val="24"/>
          <w:lang w:val="zh-CN"/>
        </w:rPr>
        <w:t>《国家发展改革委关于进一步放开建设项目专业服务价格的通知》</w:t>
      </w:r>
      <w:r>
        <w:rPr>
          <w:rFonts w:ascii="宋体" w:hAnsi="宋体" w:cs="宋体"/>
          <w:color w:val="auto"/>
          <w:sz w:val="24"/>
          <w:szCs w:val="24"/>
          <w:lang w:val="zh-CN"/>
        </w:rPr>
        <w:t>(</w:t>
      </w:r>
      <w:r>
        <w:rPr>
          <w:rFonts w:hint="eastAsia" w:ascii="宋体" w:hAnsi="宋体" w:cs="宋体"/>
          <w:color w:val="auto"/>
          <w:sz w:val="24"/>
          <w:szCs w:val="24"/>
          <w:lang w:val="zh-CN"/>
        </w:rPr>
        <w:t>发改价格</w:t>
      </w:r>
      <w:r>
        <w:rPr>
          <w:rFonts w:ascii="宋体" w:hAnsi="宋体" w:cs="宋体"/>
          <w:color w:val="auto"/>
          <w:sz w:val="24"/>
          <w:szCs w:val="24"/>
          <w:lang w:val="zh-CN"/>
        </w:rPr>
        <w:t>2015 299</w:t>
      </w:r>
      <w:r>
        <w:rPr>
          <w:rFonts w:hint="eastAsia" w:ascii="宋体" w:hAnsi="宋体" w:cs="宋体"/>
          <w:color w:val="auto"/>
          <w:sz w:val="24"/>
          <w:szCs w:val="24"/>
          <w:lang w:val="zh-CN"/>
        </w:rPr>
        <w:t>号</w:t>
      </w:r>
      <w:r>
        <w:rPr>
          <w:rFonts w:ascii="宋体" w:hAnsi="宋体" w:cs="宋体"/>
          <w:color w:val="auto"/>
          <w:sz w:val="24"/>
          <w:szCs w:val="24"/>
          <w:lang w:val="zh-CN"/>
        </w:rPr>
        <w:t>)</w:t>
      </w:r>
      <w:r>
        <w:rPr>
          <w:rFonts w:hint="eastAsia" w:ascii="宋体" w:hAnsi="宋体" w:cs="宋体"/>
          <w:color w:val="auto"/>
          <w:sz w:val="24"/>
          <w:szCs w:val="24"/>
          <w:lang w:val="zh-CN"/>
        </w:rPr>
        <w:t>执行，</w:t>
      </w:r>
      <w:r>
        <w:rPr>
          <w:rFonts w:hint="eastAsia" w:ascii="宋体" w:hAnsi="宋体" w:cs="宋体"/>
          <w:color w:val="auto"/>
          <w:sz w:val="24"/>
          <w:szCs w:val="24"/>
        </w:rPr>
        <w:t>按照下列表格中服务类标准向中标单位收取招标代理费，该费用中标方须在中标通知书发出前一次性付清。（户名：浙江五石工程咨询有限公司；账号：</w:t>
      </w:r>
      <w:r>
        <w:rPr>
          <w:rFonts w:ascii="宋体" w:hAnsi="宋体" w:cs="宋体"/>
          <w:color w:val="auto"/>
          <w:sz w:val="24"/>
          <w:szCs w:val="24"/>
        </w:rPr>
        <w:t>1202003209900014176</w:t>
      </w:r>
      <w:r>
        <w:rPr>
          <w:rFonts w:hint="eastAsia" w:ascii="宋体" w:hAnsi="宋体" w:cs="宋体"/>
          <w:color w:val="auto"/>
          <w:sz w:val="24"/>
          <w:szCs w:val="24"/>
        </w:rPr>
        <w:t>；开户银行：中国工商银行杭州市潮王路支行）财务电话：</w:t>
      </w:r>
      <w:r>
        <w:rPr>
          <w:rFonts w:ascii="宋体" w:hAnsi="宋体" w:cs="宋体"/>
          <w:color w:val="auto"/>
          <w:sz w:val="24"/>
          <w:szCs w:val="24"/>
        </w:rPr>
        <w:t>0571-88271625</w:t>
      </w:r>
      <w:r>
        <w:rPr>
          <w:rFonts w:hint="eastAsia" w:ascii="宋体" w:hAnsi="宋体" w:cs="宋体"/>
          <w:color w:val="auto"/>
          <w:sz w:val="24"/>
          <w:szCs w:val="24"/>
        </w:rPr>
        <w:t>。</w:t>
      </w:r>
    </w:p>
    <w:tbl>
      <w:tblPr>
        <w:tblStyle w:val="2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35" w:type="dxa"/>
            <w:vAlign w:val="center"/>
          </w:tcPr>
          <w:p>
            <w:pPr>
              <w:spacing w:line="360" w:lineRule="auto"/>
              <w:jc w:val="center"/>
              <w:rPr>
                <w:rFonts w:ascii="宋体"/>
                <w:color w:val="auto"/>
                <w:sz w:val="24"/>
                <w:szCs w:val="24"/>
              </w:rPr>
            </w:pPr>
            <w:r>
              <w:rPr>
                <w:rFonts w:hint="eastAsia" w:ascii="宋体" w:hAnsi="宋体" w:cs="宋体"/>
                <w:color w:val="auto"/>
                <w:sz w:val="24"/>
                <w:szCs w:val="24"/>
              </w:rPr>
              <w:t>服务类型、费率、中标金额（万元）</w:t>
            </w:r>
          </w:p>
        </w:tc>
        <w:tc>
          <w:tcPr>
            <w:tcW w:w="1777" w:type="dxa"/>
            <w:vAlign w:val="center"/>
          </w:tcPr>
          <w:p>
            <w:pPr>
              <w:spacing w:line="360" w:lineRule="auto"/>
              <w:jc w:val="center"/>
              <w:rPr>
                <w:rFonts w:ascii="宋体"/>
                <w:color w:val="auto"/>
                <w:sz w:val="24"/>
                <w:szCs w:val="24"/>
              </w:rPr>
            </w:pPr>
            <w:r>
              <w:rPr>
                <w:rFonts w:hint="eastAsia" w:ascii="宋体" w:hAnsi="宋体" w:cs="宋体"/>
                <w:color w:val="auto"/>
                <w:sz w:val="24"/>
                <w:szCs w:val="24"/>
              </w:rPr>
              <w:t>货物招标</w:t>
            </w:r>
          </w:p>
        </w:tc>
        <w:tc>
          <w:tcPr>
            <w:tcW w:w="1640" w:type="dxa"/>
            <w:vAlign w:val="center"/>
          </w:tcPr>
          <w:p>
            <w:pPr>
              <w:spacing w:line="360" w:lineRule="auto"/>
              <w:jc w:val="center"/>
              <w:rPr>
                <w:rFonts w:ascii="宋体"/>
                <w:color w:val="auto"/>
                <w:sz w:val="24"/>
                <w:szCs w:val="24"/>
              </w:rPr>
            </w:pPr>
            <w:r>
              <w:rPr>
                <w:rFonts w:hint="eastAsia" w:ascii="宋体" w:hAnsi="宋体" w:cs="宋体"/>
                <w:color w:val="auto"/>
                <w:sz w:val="24"/>
                <w:szCs w:val="24"/>
              </w:rPr>
              <w:t>服务招标</w:t>
            </w:r>
          </w:p>
        </w:tc>
        <w:tc>
          <w:tcPr>
            <w:tcW w:w="2119" w:type="dxa"/>
            <w:vAlign w:val="center"/>
          </w:tcPr>
          <w:p>
            <w:pPr>
              <w:spacing w:line="360" w:lineRule="auto"/>
              <w:jc w:val="center"/>
              <w:rPr>
                <w:rFonts w:ascii="宋体"/>
                <w:color w:val="auto"/>
                <w:sz w:val="24"/>
                <w:szCs w:val="24"/>
              </w:rPr>
            </w:pPr>
            <w:r>
              <w:rPr>
                <w:rFonts w:hint="eastAsia" w:ascii="宋体" w:hAnsi="宋体" w:cs="宋体"/>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35" w:type="dxa"/>
            <w:vAlign w:val="center"/>
          </w:tcPr>
          <w:p>
            <w:pPr>
              <w:spacing w:line="360" w:lineRule="auto"/>
              <w:jc w:val="center"/>
              <w:rPr>
                <w:rFonts w:ascii="宋体"/>
                <w:color w:val="auto"/>
                <w:sz w:val="24"/>
                <w:szCs w:val="24"/>
              </w:rPr>
            </w:pPr>
            <w:r>
              <w:rPr>
                <w:rFonts w:ascii="宋体" w:hAnsi="宋体" w:cs="宋体"/>
                <w:color w:val="auto"/>
                <w:sz w:val="24"/>
                <w:szCs w:val="24"/>
              </w:rPr>
              <w:t>100</w:t>
            </w:r>
            <w:r>
              <w:rPr>
                <w:rFonts w:hint="eastAsia" w:ascii="宋体" w:hAnsi="宋体" w:cs="宋体"/>
                <w:color w:val="auto"/>
                <w:sz w:val="24"/>
                <w:szCs w:val="24"/>
              </w:rPr>
              <w:t>以下</w:t>
            </w:r>
          </w:p>
        </w:tc>
        <w:tc>
          <w:tcPr>
            <w:tcW w:w="1777" w:type="dxa"/>
            <w:vAlign w:val="center"/>
          </w:tcPr>
          <w:p>
            <w:pPr>
              <w:spacing w:line="360" w:lineRule="auto"/>
              <w:jc w:val="center"/>
              <w:rPr>
                <w:rFonts w:ascii="宋体"/>
                <w:color w:val="auto"/>
                <w:sz w:val="24"/>
                <w:szCs w:val="24"/>
              </w:rPr>
            </w:pPr>
            <w:r>
              <w:rPr>
                <w:rFonts w:ascii="宋体" w:hAnsi="宋体" w:cs="宋体"/>
                <w:color w:val="auto"/>
                <w:sz w:val="24"/>
                <w:szCs w:val="24"/>
              </w:rPr>
              <w:t>1.50%</w:t>
            </w:r>
          </w:p>
        </w:tc>
        <w:tc>
          <w:tcPr>
            <w:tcW w:w="1640" w:type="dxa"/>
            <w:vAlign w:val="center"/>
          </w:tcPr>
          <w:p>
            <w:pPr>
              <w:spacing w:line="360" w:lineRule="auto"/>
              <w:jc w:val="center"/>
              <w:rPr>
                <w:rFonts w:ascii="宋体"/>
                <w:color w:val="auto"/>
                <w:sz w:val="24"/>
                <w:szCs w:val="24"/>
              </w:rPr>
            </w:pPr>
            <w:r>
              <w:rPr>
                <w:rFonts w:ascii="宋体" w:hAnsi="宋体" w:cs="宋体"/>
                <w:color w:val="auto"/>
                <w:sz w:val="24"/>
                <w:szCs w:val="24"/>
              </w:rPr>
              <w:t>1.50%</w:t>
            </w:r>
          </w:p>
        </w:tc>
        <w:tc>
          <w:tcPr>
            <w:tcW w:w="2119" w:type="dxa"/>
            <w:vAlign w:val="center"/>
          </w:tcPr>
          <w:p>
            <w:pPr>
              <w:spacing w:line="360" w:lineRule="auto"/>
              <w:jc w:val="center"/>
              <w:rPr>
                <w:rFonts w:ascii="宋体"/>
                <w:color w:val="auto"/>
                <w:sz w:val="24"/>
                <w:szCs w:val="24"/>
              </w:rPr>
            </w:pPr>
            <w:r>
              <w:rPr>
                <w:rFonts w:ascii="宋体" w:hAnsi="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35" w:type="dxa"/>
            <w:vAlign w:val="center"/>
          </w:tcPr>
          <w:p>
            <w:pPr>
              <w:spacing w:line="360" w:lineRule="auto"/>
              <w:jc w:val="center"/>
              <w:rPr>
                <w:rFonts w:ascii="宋体"/>
                <w:color w:val="auto"/>
                <w:sz w:val="24"/>
                <w:szCs w:val="24"/>
              </w:rPr>
            </w:pPr>
            <w:r>
              <w:rPr>
                <w:rFonts w:ascii="宋体" w:hAnsi="宋体" w:cs="宋体"/>
                <w:color w:val="auto"/>
                <w:sz w:val="24"/>
                <w:szCs w:val="24"/>
              </w:rPr>
              <w:t>100-500</w:t>
            </w:r>
          </w:p>
        </w:tc>
        <w:tc>
          <w:tcPr>
            <w:tcW w:w="1777" w:type="dxa"/>
            <w:vAlign w:val="center"/>
          </w:tcPr>
          <w:p>
            <w:pPr>
              <w:spacing w:line="360" w:lineRule="auto"/>
              <w:jc w:val="center"/>
              <w:rPr>
                <w:rFonts w:ascii="宋体"/>
                <w:color w:val="auto"/>
                <w:sz w:val="24"/>
                <w:szCs w:val="24"/>
              </w:rPr>
            </w:pPr>
            <w:r>
              <w:rPr>
                <w:rFonts w:ascii="宋体" w:hAnsi="宋体" w:cs="宋体"/>
                <w:color w:val="auto"/>
                <w:sz w:val="24"/>
                <w:szCs w:val="24"/>
              </w:rPr>
              <w:t>1.10%</w:t>
            </w:r>
          </w:p>
        </w:tc>
        <w:tc>
          <w:tcPr>
            <w:tcW w:w="1640" w:type="dxa"/>
            <w:vAlign w:val="center"/>
          </w:tcPr>
          <w:p>
            <w:pPr>
              <w:spacing w:line="360" w:lineRule="auto"/>
              <w:jc w:val="center"/>
              <w:rPr>
                <w:rFonts w:ascii="宋体"/>
                <w:color w:val="auto"/>
                <w:sz w:val="24"/>
                <w:szCs w:val="24"/>
              </w:rPr>
            </w:pPr>
            <w:r>
              <w:rPr>
                <w:rFonts w:ascii="宋体" w:hAnsi="宋体" w:cs="宋体"/>
                <w:color w:val="auto"/>
                <w:sz w:val="24"/>
                <w:szCs w:val="24"/>
              </w:rPr>
              <w:t>0.80%</w:t>
            </w:r>
          </w:p>
        </w:tc>
        <w:tc>
          <w:tcPr>
            <w:tcW w:w="2119" w:type="dxa"/>
            <w:vAlign w:val="center"/>
          </w:tcPr>
          <w:p>
            <w:pPr>
              <w:spacing w:line="360" w:lineRule="auto"/>
              <w:jc w:val="center"/>
              <w:rPr>
                <w:rFonts w:ascii="宋体"/>
                <w:color w:val="auto"/>
                <w:sz w:val="24"/>
                <w:szCs w:val="24"/>
              </w:rPr>
            </w:pPr>
            <w:r>
              <w:rPr>
                <w:rFonts w:ascii="宋体" w:hAnsi="宋体" w:cs="宋体"/>
                <w:color w:val="auto"/>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35" w:type="dxa"/>
            <w:vAlign w:val="center"/>
          </w:tcPr>
          <w:p>
            <w:pPr>
              <w:spacing w:line="360" w:lineRule="auto"/>
              <w:jc w:val="center"/>
              <w:rPr>
                <w:rFonts w:ascii="宋体"/>
                <w:color w:val="auto"/>
                <w:sz w:val="24"/>
                <w:szCs w:val="24"/>
              </w:rPr>
            </w:pPr>
            <w:r>
              <w:rPr>
                <w:rFonts w:ascii="宋体" w:hAnsi="宋体" w:cs="宋体"/>
                <w:color w:val="auto"/>
                <w:sz w:val="24"/>
                <w:szCs w:val="24"/>
              </w:rPr>
              <w:t>500-1000</w:t>
            </w:r>
          </w:p>
        </w:tc>
        <w:tc>
          <w:tcPr>
            <w:tcW w:w="1777" w:type="dxa"/>
            <w:vAlign w:val="center"/>
          </w:tcPr>
          <w:p>
            <w:pPr>
              <w:spacing w:line="360" w:lineRule="auto"/>
              <w:jc w:val="center"/>
              <w:rPr>
                <w:rFonts w:ascii="宋体"/>
                <w:color w:val="auto"/>
                <w:sz w:val="24"/>
                <w:szCs w:val="24"/>
              </w:rPr>
            </w:pPr>
            <w:r>
              <w:rPr>
                <w:rFonts w:ascii="宋体" w:hAnsi="宋体" w:cs="宋体"/>
                <w:color w:val="auto"/>
                <w:sz w:val="24"/>
                <w:szCs w:val="24"/>
              </w:rPr>
              <w:t>0.80%</w:t>
            </w:r>
          </w:p>
        </w:tc>
        <w:tc>
          <w:tcPr>
            <w:tcW w:w="1640" w:type="dxa"/>
            <w:vAlign w:val="center"/>
          </w:tcPr>
          <w:p>
            <w:pPr>
              <w:spacing w:line="360" w:lineRule="auto"/>
              <w:jc w:val="center"/>
              <w:rPr>
                <w:rFonts w:ascii="宋体"/>
                <w:color w:val="auto"/>
                <w:sz w:val="24"/>
                <w:szCs w:val="24"/>
              </w:rPr>
            </w:pPr>
            <w:r>
              <w:rPr>
                <w:rFonts w:ascii="宋体" w:hAnsi="宋体" w:cs="宋体"/>
                <w:color w:val="auto"/>
                <w:sz w:val="24"/>
                <w:szCs w:val="24"/>
              </w:rPr>
              <w:t>0.45%</w:t>
            </w:r>
          </w:p>
        </w:tc>
        <w:tc>
          <w:tcPr>
            <w:tcW w:w="2119" w:type="dxa"/>
            <w:vAlign w:val="center"/>
          </w:tcPr>
          <w:p>
            <w:pPr>
              <w:spacing w:line="360" w:lineRule="auto"/>
              <w:jc w:val="center"/>
              <w:rPr>
                <w:rFonts w:ascii="宋体"/>
                <w:color w:val="auto"/>
                <w:sz w:val="24"/>
                <w:szCs w:val="24"/>
              </w:rPr>
            </w:pPr>
            <w:r>
              <w:rPr>
                <w:rFonts w:ascii="宋体" w:hAnsi="宋体" w:cs="宋体"/>
                <w:color w:val="auto"/>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35" w:type="dxa"/>
            <w:vAlign w:val="center"/>
          </w:tcPr>
          <w:p>
            <w:pPr>
              <w:spacing w:line="360" w:lineRule="auto"/>
              <w:jc w:val="center"/>
              <w:rPr>
                <w:rFonts w:ascii="宋体"/>
                <w:color w:val="auto"/>
                <w:sz w:val="24"/>
                <w:szCs w:val="24"/>
              </w:rPr>
            </w:pPr>
            <w:r>
              <w:rPr>
                <w:rFonts w:ascii="宋体" w:hAnsi="宋体" w:cs="宋体"/>
                <w:color w:val="auto"/>
                <w:sz w:val="24"/>
                <w:szCs w:val="24"/>
              </w:rPr>
              <w:t>1000-5000</w:t>
            </w:r>
          </w:p>
        </w:tc>
        <w:tc>
          <w:tcPr>
            <w:tcW w:w="1777" w:type="dxa"/>
            <w:vAlign w:val="center"/>
          </w:tcPr>
          <w:p>
            <w:pPr>
              <w:spacing w:line="360" w:lineRule="auto"/>
              <w:jc w:val="center"/>
              <w:rPr>
                <w:rFonts w:ascii="宋体"/>
                <w:color w:val="auto"/>
                <w:sz w:val="24"/>
                <w:szCs w:val="24"/>
              </w:rPr>
            </w:pPr>
            <w:r>
              <w:rPr>
                <w:rFonts w:ascii="宋体" w:hAnsi="宋体" w:cs="宋体"/>
                <w:color w:val="auto"/>
                <w:sz w:val="24"/>
                <w:szCs w:val="24"/>
              </w:rPr>
              <w:t>0.50%</w:t>
            </w:r>
          </w:p>
        </w:tc>
        <w:tc>
          <w:tcPr>
            <w:tcW w:w="1640" w:type="dxa"/>
            <w:vAlign w:val="center"/>
          </w:tcPr>
          <w:p>
            <w:pPr>
              <w:spacing w:line="360" w:lineRule="auto"/>
              <w:jc w:val="center"/>
              <w:rPr>
                <w:rFonts w:ascii="宋体"/>
                <w:color w:val="auto"/>
                <w:sz w:val="24"/>
                <w:szCs w:val="24"/>
              </w:rPr>
            </w:pPr>
            <w:r>
              <w:rPr>
                <w:rFonts w:ascii="宋体" w:hAnsi="宋体" w:cs="宋体"/>
                <w:color w:val="auto"/>
                <w:sz w:val="24"/>
                <w:szCs w:val="24"/>
              </w:rPr>
              <w:t>0.25%</w:t>
            </w:r>
          </w:p>
        </w:tc>
        <w:tc>
          <w:tcPr>
            <w:tcW w:w="2119" w:type="dxa"/>
            <w:vAlign w:val="center"/>
          </w:tcPr>
          <w:p>
            <w:pPr>
              <w:spacing w:line="360" w:lineRule="auto"/>
              <w:jc w:val="center"/>
              <w:rPr>
                <w:rFonts w:ascii="宋体"/>
                <w:color w:val="auto"/>
                <w:sz w:val="24"/>
                <w:szCs w:val="24"/>
              </w:rPr>
            </w:pPr>
            <w:r>
              <w:rPr>
                <w:rFonts w:ascii="宋体" w:hAnsi="宋体" w:cs="宋体"/>
                <w:color w:val="auto"/>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35" w:type="dxa"/>
            <w:vAlign w:val="center"/>
          </w:tcPr>
          <w:p>
            <w:pPr>
              <w:spacing w:line="360" w:lineRule="auto"/>
              <w:jc w:val="center"/>
              <w:rPr>
                <w:rFonts w:ascii="宋体"/>
                <w:color w:val="auto"/>
                <w:sz w:val="24"/>
                <w:szCs w:val="24"/>
              </w:rPr>
            </w:pPr>
            <w:r>
              <w:rPr>
                <w:rFonts w:ascii="宋体" w:hAnsi="宋体" w:cs="宋体"/>
                <w:color w:val="auto"/>
                <w:sz w:val="24"/>
                <w:szCs w:val="24"/>
              </w:rPr>
              <w:t>5000-10000</w:t>
            </w:r>
          </w:p>
        </w:tc>
        <w:tc>
          <w:tcPr>
            <w:tcW w:w="1777" w:type="dxa"/>
            <w:vAlign w:val="center"/>
          </w:tcPr>
          <w:p>
            <w:pPr>
              <w:spacing w:line="360" w:lineRule="auto"/>
              <w:jc w:val="center"/>
              <w:rPr>
                <w:rFonts w:ascii="宋体"/>
                <w:color w:val="auto"/>
                <w:sz w:val="24"/>
                <w:szCs w:val="24"/>
              </w:rPr>
            </w:pPr>
            <w:r>
              <w:rPr>
                <w:rFonts w:ascii="宋体" w:hAnsi="宋体" w:cs="宋体"/>
                <w:color w:val="auto"/>
                <w:sz w:val="24"/>
                <w:szCs w:val="24"/>
              </w:rPr>
              <w:t>0.25%</w:t>
            </w:r>
          </w:p>
        </w:tc>
        <w:tc>
          <w:tcPr>
            <w:tcW w:w="1640" w:type="dxa"/>
            <w:vAlign w:val="center"/>
          </w:tcPr>
          <w:p>
            <w:pPr>
              <w:spacing w:line="360" w:lineRule="auto"/>
              <w:jc w:val="center"/>
              <w:rPr>
                <w:rFonts w:ascii="宋体"/>
                <w:color w:val="auto"/>
                <w:sz w:val="24"/>
                <w:szCs w:val="24"/>
              </w:rPr>
            </w:pPr>
            <w:r>
              <w:rPr>
                <w:rFonts w:ascii="宋体" w:hAnsi="宋体" w:cs="宋体"/>
                <w:color w:val="auto"/>
                <w:sz w:val="24"/>
                <w:szCs w:val="24"/>
              </w:rPr>
              <w:t>0.10%</w:t>
            </w:r>
          </w:p>
        </w:tc>
        <w:tc>
          <w:tcPr>
            <w:tcW w:w="2119" w:type="dxa"/>
            <w:vAlign w:val="center"/>
          </w:tcPr>
          <w:p>
            <w:pPr>
              <w:spacing w:line="360" w:lineRule="auto"/>
              <w:jc w:val="center"/>
              <w:rPr>
                <w:rFonts w:ascii="宋体"/>
                <w:color w:val="auto"/>
                <w:sz w:val="24"/>
                <w:szCs w:val="24"/>
              </w:rPr>
            </w:pPr>
            <w:r>
              <w:rPr>
                <w:rFonts w:ascii="宋体" w:hAnsi="宋体" w:cs="宋体"/>
                <w:color w:val="auto"/>
                <w:sz w:val="24"/>
                <w:szCs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35" w:type="dxa"/>
            <w:vAlign w:val="center"/>
          </w:tcPr>
          <w:p>
            <w:pPr>
              <w:spacing w:line="360" w:lineRule="auto"/>
              <w:jc w:val="center"/>
              <w:rPr>
                <w:rFonts w:ascii="宋体"/>
                <w:color w:val="auto"/>
                <w:sz w:val="24"/>
                <w:szCs w:val="24"/>
              </w:rPr>
            </w:pPr>
            <w:r>
              <w:rPr>
                <w:rFonts w:ascii="宋体" w:hAnsi="宋体" w:cs="宋体"/>
                <w:color w:val="auto"/>
                <w:sz w:val="24"/>
                <w:szCs w:val="24"/>
              </w:rPr>
              <w:t>10000-100000</w:t>
            </w:r>
          </w:p>
        </w:tc>
        <w:tc>
          <w:tcPr>
            <w:tcW w:w="1777" w:type="dxa"/>
            <w:vAlign w:val="center"/>
          </w:tcPr>
          <w:p>
            <w:pPr>
              <w:spacing w:line="360" w:lineRule="auto"/>
              <w:jc w:val="center"/>
              <w:rPr>
                <w:rFonts w:ascii="宋体"/>
                <w:color w:val="auto"/>
                <w:sz w:val="24"/>
                <w:szCs w:val="24"/>
              </w:rPr>
            </w:pPr>
            <w:r>
              <w:rPr>
                <w:rFonts w:ascii="宋体" w:hAnsi="宋体" w:cs="宋体"/>
                <w:color w:val="auto"/>
                <w:sz w:val="24"/>
                <w:szCs w:val="24"/>
              </w:rPr>
              <w:t>0.05%</w:t>
            </w:r>
          </w:p>
        </w:tc>
        <w:tc>
          <w:tcPr>
            <w:tcW w:w="1640" w:type="dxa"/>
            <w:vAlign w:val="center"/>
          </w:tcPr>
          <w:p>
            <w:pPr>
              <w:spacing w:line="360" w:lineRule="auto"/>
              <w:jc w:val="center"/>
              <w:rPr>
                <w:rFonts w:ascii="宋体"/>
                <w:color w:val="auto"/>
                <w:sz w:val="24"/>
                <w:szCs w:val="24"/>
              </w:rPr>
            </w:pPr>
            <w:r>
              <w:rPr>
                <w:rFonts w:ascii="宋体" w:hAnsi="宋体" w:cs="宋体"/>
                <w:color w:val="auto"/>
                <w:sz w:val="24"/>
                <w:szCs w:val="24"/>
              </w:rPr>
              <w:t>0.05%</w:t>
            </w:r>
          </w:p>
        </w:tc>
        <w:tc>
          <w:tcPr>
            <w:tcW w:w="2119" w:type="dxa"/>
            <w:vAlign w:val="center"/>
          </w:tcPr>
          <w:p>
            <w:pPr>
              <w:spacing w:line="360" w:lineRule="auto"/>
              <w:jc w:val="center"/>
              <w:rPr>
                <w:rFonts w:ascii="宋体"/>
                <w:color w:val="auto"/>
                <w:sz w:val="24"/>
                <w:szCs w:val="24"/>
              </w:rPr>
            </w:pPr>
            <w:r>
              <w:rPr>
                <w:rFonts w:ascii="宋体" w:hAnsi="宋体" w:cs="宋体"/>
                <w:color w:val="auto"/>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35" w:type="dxa"/>
            <w:vAlign w:val="center"/>
          </w:tcPr>
          <w:p>
            <w:pPr>
              <w:spacing w:line="360" w:lineRule="auto"/>
              <w:jc w:val="center"/>
              <w:rPr>
                <w:rFonts w:ascii="宋体"/>
                <w:color w:val="auto"/>
                <w:sz w:val="24"/>
                <w:szCs w:val="24"/>
              </w:rPr>
            </w:pPr>
            <w:r>
              <w:rPr>
                <w:rFonts w:ascii="宋体" w:hAnsi="宋体" w:cs="宋体"/>
                <w:color w:val="auto"/>
                <w:sz w:val="24"/>
                <w:szCs w:val="24"/>
              </w:rPr>
              <w:t>100000</w:t>
            </w:r>
            <w:r>
              <w:rPr>
                <w:rFonts w:hint="eastAsia" w:ascii="宋体" w:hAnsi="宋体" w:cs="宋体"/>
                <w:color w:val="auto"/>
                <w:sz w:val="24"/>
                <w:szCs w:val="24"/>
              </w:rPr>
              <w:t>以上</w:t>
            </w:r>
          </w:p>
        </w:tc>
        <w:tc>
          <w:tcPr>
            <w:tcW w:w="1777" w:type="dxa"/>
            <w:vAlign w:val="center"/>
          </w:tcPr>
          <w:p>
            <w:pPr>
              <w:spacing w:line="360" w:lineRule="auto"/>
              <w:jc w:val="center"/>
              <w:rPr>
                <w:rFonts w:ascii="宋体"/>
                <w:color w:val="auto"/>
                <w:sz w:val="24"/>
                <w:szCs w:val="24"/>
              </w:rPr>
            </w:pPr>
            <w:r>
              <w:rPr>
                <w:rFonts w:ascii="宋体" w:hAnsi="宋体" w:cs="宋体"/>
                <w:color w:val="auto"/>
                <w:sz w:val="24"/>
                <w:szCs w:val="24"/>
              </w:rPr>
              <w:t>0.01%</w:t>
            </w:r>
          </w:p>
        </w:tc>
        <w:tc>
          <w:tcPr>
            <w:tcW w:w="1640" w:type="dxa"/>
            <w:vAlign w:val="center"/>
          </w:tcPr>
          <w:p>
            <w:pPr>
              <w:spacing w:line="360" w:lineRule="auto"/>
              <w:jc w:val="center"/>
              <w:rPr>
                <w:rFonts w:ascii="宋体"/>
                <w:color w:val="auto"/>
                <w:sz w:val="24"/>
                <w:szCs w:val="24"/>
              </w:rPr>
            </w:pPr>
            <w:r>
              <w:rPr>
                <w:rFonts w:ascii="宋体" w:hAnsi="宋体" w:cs="宋体"/>
                <w:color w:val="auto"/>
                <w:sz w:val="24"/>
                <w:szCs w:val="24"/>
              </w:rPr>
              <w:t>0.01%</w:t>
            </w:r>
          </w:p>
        </w:tc>
        <w:tc>
          <w:tcPr>
            <w:tcW w:w="2119" w:type="dxa"/>
            <w:vAlign w:val="center"/>
          </w:tcPr>
          <w:p>
            <w:pPr>
              <w:spacing w:line="360" w:lineRule="auto"/>
              <w:jc w:val="center"/>
              <w:rPr>
                <w:rFonts w:ascii="宋体"/>
                <w:color w:val="auto"/>
                <w:sz w:val="24"/>
                <w:szCs w:val="24"/>
              </w:rPr>
            </w:pPr>
            <w:r>
              <w:rPr>
                <w:rFonts w:ascii="宋体" w:hAnsi="宋体" w:cs="宋体"/>
                <w:color w:val="auto"/>
                <w:sz w:val="24"/>
                <w:szCs w:val="24"/>
              </w:rPr>
              <w:t>0.01%</w:t>
            </w:r>
          </w:p>
        </w:tc>
      </w:tr>
    </w:tbl>
    <w:p>
      <w:pPr>
        <w:spacing w:line="360" w:lineRule="auto"/>
        <w:ind w:firstLine="480" w:firstLineChars="200"/>
        <w:rPr>
          <w:rFonts w:ascii="宋体"/>
          <w:color w:val="auto"/>
          <w:sz w:val="24"/>
          <w:szCs w:val="24"/>
        </w:rPr>
      </w:pPr>
    </w:p>
    <w:p>
      <w:pPr>
        <w:spacing w:line="360" w:lineRule="auto"/>
        <w:rPr>
          <w:rFonts w:ascii="宋体"/>
          <w:b/>
          <w:bCs/>
          <w:color w:val="auto"/>
          <w:sz w:val="24"/>
          <w:szCs w:val="24"/>
        </w:rPr>
      </w:pPr>
      <w:r>
        <w:rPr>
          <w:rFonts w:hint="eastAsia" w:ascii="宋体" w:hAnsi="宋体" w:cs="宋体"/>
          <w:b/>
          <w:bCs/>
          <w:color w:val="auto"/>
          <w:sz w:val="24"/>
          <w:szCs w:val="24"/>
        </w:rPr>
        <w:t>七、合同签订及公告</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（一）签订合同</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、采购人应当自中标通知书发出之日起</w:t>
      </w:r>
      <w:r>
        <w:rPr>
          <w:rFonts w:ascii="宋体" w:hAnsi="宋体" w:cs="宋体"/>
          <w:color w:val="auto"/>
          <w:sz w:val="24"/>
          <w:szCs w:val="24"/>
        </w:rPr>
        <w:t>10</w:t>
      </w:r>
      <w:r>
        <w:rPr>
          <w:rFonts w:hint="eastAsia" w:ascii="宋体" w:hAnsi="宋体" w:cs="宋体"/>
          <w:color w:val="auto"/>
          <w:sz w:val="24"/>
          <w:szCs w:val="24"/>
        </w:rPr>
        <w:t>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、采购人不得向中标人提出任何不合理的要求作为签订合同的条件。</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、中标供应商无故拖延、拒签合同的，取消中标资格。</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（二）合同公告及备案</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、采购人应当自政府采购合同签订之日起</w:t>
      </w:r>
      <w:r>
        <w:rPr>
          <w:rFonts w:ascii="宋体" w:hAnsi="宋体" w:cs="宋体"/>
          <w:color w:val="auto"/>
          <w:sz w:val="24"/>
          <w:szCs w:val="24"/>
        </w:rPr>
        <w:t>2</w:t>
      </w:r>
      <w:r>
        <w:rPr>
          <w:rFonts w:hint="eastAsia" w:ascii="宋体" w:hAnsi="宋体" w:cs="宋体"/>
          <w:color w:val="auto"/>
          <w:sz w:val="24"/>
          <w:szCs w:val="24"/>
        </w:rPr>
        <w:t>个工作日内，在省级以上财政部门指定的政府采购信息发布媒体及相关网站上公告。</w:t>
      </w:r>
    </w:p>
    <w:p>
      <w:pPr>
        <w:spacing w:line="360" w:lineRule="auto"/>
        <w:ind w:firstLine="480" w:firstLineChars="200"/>
        <w:rPr>
          <w:rFonts w:ascii="宋体"/>
          <w:b/>
          <w:bCs/>
          <w:color w:val="auto"/>
          <w:sz w:val="36"/>
          <w:szCs w:val="36"/>
        </w:rPr>
      </w:pPr>
      <w:r>
        <w:rPr>
          <w:rFonts w:ascii="宋体" w:hAnsi="宋体" w:cs="宋体"/>
          <w:color w:val="auto"/>
          <w:sz w:val="24"/>
          <w:szCs w:val="24"/>
        </w:rPr>
        <w:t>2</w:t>
      </w:r>
      <w:r>
        <w:rPr>
          <w:rFonts w:hint="eastAsia" w:ascii="宋体" w:hAnsi="宋体" w:cs="宋体"/>
          <w:color w:val="auto"/>
          <w:sz w:val="24"/>
          <w:szCs w:val="24"/>
        </w:rPr>
        <w:t>、采购人应当自政府采购合同签订之日起</w:t>
      </w:r>
      <w:r>
        <w:rPr>
          <w:rFonts w:ascii="宋体" w:hAnsi="宋体" w:cs="宋体"/>
          <w:color w:val="auto"/>
          <w:sz w:val="24"/>
          <w:szCs w:val="24"/>
        </w:rPr>
        <w:t>7</w:t>
      </w:r>
      <w:r>
        <w:rPr>
          <w:rFonts w:hint="eastAsia" w:ascii="宋体" w:hAnsi="宋体" w:cs="宋体"/>
          <w:color w:val="auto"/>
          <w:sz w:val="24"/>
          <w:szCs w:val="24"/>
        </w:rPr>
        <w:t>个工作日内，将政府采购合同副本报同级人民政府财政部门备案以及采购组织机构存档。</w:t>
      </w:r>
    </w:p>
    <w:p>
      <w:pPr>
        <w:spacing w:line="360" w:lineRule="auto"/>
        <w:ind w:firstLine="723" w:firstLineChars="200"/>
        <w:jc w:val="center"/>
        <w:rPr>
          <w:rFonts w:ascii="宋体"/>
          <w:b/>
          <w:bCs/>
          <w:color w:val="auto"/>
          <w:sz w:val="36"/>
          <w:szCs w:val="36"/>
        </w:rPr>
      </w:pPr>
    </w:p>
    <w:p>
      <w:pPr>
        <w:spacing w:line="360" w:lineRule="auto"/>
        <w:ind w:firstLine="723" w:firstLineChars="200"/>
        <w:jc w:val="center"/>
        <w:rPr>
          <w:rFonts w:ascii="宋体"/>
          <w:b/>
          <w:bCs/>
          <w:color w:val="auto"/>
          <w:sz w:val="36"/>
          <w:szCs w:val="36"/>
        </w:rPr>
      </w:pPr>
    </w:p>
    <w:p>
      <w:pPr>
        <w:spacing w:line="360" w:lineRule="auto"/>
        <w:ind w:firstLine="723" w:firstLineChars="200"/>
        <w:jc w:val="center"/>
        <w:rPr>
          <w:rFonts w:ascii="宋体"/>
          <w:b/>
          <w:bCs/>
          <w:color w:val="auto"/>
          <w:sz w:val="36"/>
          <w:szCs w:val="36"/>
        </w:rPr>
      </w:pPr>
    </w:p>
    <w:p>
      <w:pPr>
        <w:spacing w:line="360" w:lineRule="auto"/>
        <w:ind w:firstLine="723" w:firstLineChars="200"/>
        <w:jc w:val="center"/>
        <w:rPr>
          <w:rFonts w:ascii="宋体"/>
          <w:b/>
          <w:bCs/>
          <w:color w:val="auto"/>
          <w:sz w:val="36"/>
          <w:szCs w:val="36"/>
        </w:rPr>
      </w:pPr>
    </w:p>
    <w:p>
      <w:pPr>
        <w:spacing w:line="360" w:lineRule="auto"/>
        <w:ind w:firstLine="723" w:firstLineChars="200"/>
        <w:jc w:val="center"/>
        <w:rPr>
          <w:rFonts w:ascii="宋体"/>
          <w:b/>
          <w:bCs/>
          <w:color w:val="auto"/>
          <w:sz w:val="36"/>
          <w:szCs w:val="36"/>
        </w:rPr>
      </w:pPr>
    </w:p>
    <w:p>
      <w:pPr>
        <w:spacing w:line="360" w:lineRule="auto"/>
        <w:ind w:firstLine="723" w:firstLineChars="200"/>
        <w:jc w:val="center"/>
        <w:rPr>
          <w:rFonts w:ascii="宋体"/>
          <w:b/>
          <w:bCs/>
          <w:color w:val="auto"/>
          <w:sz w:val="36"/>
          <w:szCs w:val="36"/>
        </w:rPr>
      </w:pPr>
    </w:p>
    <w:p>
      <w:pPr>
        <w:spacing w:line="360" w:lineRule="auto"/>
        <w:ind w:firstLine="723" w:firstLineChars="200"/>
        <w:jc w:val="center"/>
        <w:rPr>
          <w:rFonts w:ascii="宋体"/>
          <w:b/>
          <w:bCs/>
          <w:color w:val="auto"/>
          <w:sz w:val="36"/>
          <w:szCs w:val="36"/>
        </w:rPr>
      </w:pPr>
    </w:p>
    <w:p>
      <w:pPr>
        <w:spacing w:line="360" w:lineRule="auto"/>
        <w:ind w:firstLine="723" w:firstLineChars="200"/>
        <w:jc w:val="center"/>
        <w:rPr>
          <w:rFonts w:ascii="宋体"/>
          <w:b/>
          <w:bCs/>
          <w:color w:val="auto"/>
          <w:sz w:val="36"/>
          <w:szCs w:val="36"/>
        </w:rPr>
      </w:pPr>
    </w:p>
    <w:p>
      <w:pPr>
        <w:spacing w:line="360" w:lineRule="auto"/>
        <w:jc w:val="both"/>
        <w:rPr>
          <w:rFonts w:ascii="宋体"/>
          <w:b/>
          <w:bCs/>
          <w:color w:val="auto"/>
          <w:sz w:val="36"/>
          <w:szCs w:val="36"/>
        </w:rPr>
      </w:pPr>
    </w:p>
    <w:p>
      <w:pPr>
        <w:spacing w:line="360" w:lineRule="auto"/>
        <w:ind w:firstLine="723" w:firstLineChars="200"/>
        <w:jc w:val="center"/>
        <w:rPr>
          <w:rFonts w:ascii="宋体"/>
          <w:b/>
          <w:bCs/>
          <w:color w:val="auto"/>
          <w:sz w:val="36"/>
          <w:szCs w:val="36"/>
        </w:rPr>
      </w:pPr>
      <w:r>
        <w:rPr>
          <w:rFonts w:hint="eastAsia" w:ascii="宋体" w:hAnsi="宋体" w:cs="宋体"/>
          <w:b/>
          <w:bCs/>
          <w:color w:val="auto"/>
          <w:sz w:val="36"/>
          <w:szCs w:val="36"/>
        </w:rPr>
        <w:t>第三章</w:t>
      </w:r>
      <w:r>
        <w:rPr>
          <w:rFonts w:ascii="宋体" w:hAnsi="宋体" w:cs="宋体"/>
          <w:b/>
          <w:bCs/>
          <w:color w:val="auto"/>
          <w:sz w:val="36"/>
          <w:szCs w:val="36"/>
        </w:rPr>
        <w:t xml:space="preserve"> </w:t>
      </w:r>
      <w:r>
        <w:rPr>
          <w:rFonts w:hint="eastAsia" w:ascii="宋体" w:hAnsi="宋体" w:cs="宋体"/>
          <w:b/>
          <w:bCs/>
          <w:color w:val="auto"/>
          <w:sz w:val="36"/>
          <w:szCs w:val="36"/>
        </w:rPr>
        <w:t>评标办法及评分标准</w:t>
      </w:r>
    </w:p>
    <w:p>
      <w:pPr>
        <w:spacing w:line="360" w:lineRule="auto"/>
        <w:ind w:firstLine="480" w:firstLineChars="200"/>
        <w:rPr>
          <w:rFonts w:ascii="宋体"/>
          <w:color w:val="auto"/>
          <w:sz w:val="24"/>
          <w:szCs w:val="24"/>
        </w:rPr>
      </w:pPr>
      <w:r>
        <w:rPr>
          <w:rFonts w:hint="eastAsia" w:ascii="宋体" w:hAnsi="宋体" w:cs="宋体"/>
          <w:color w:val="auto"/>
          <w:sz w:val="24"/>
          <w:szCs w:val="24"/>
        </w:rPr>
        <w:t>一、采购组织机构将组织评标委员会，对投标人提供的投标文件进行综合评审。</w:t>
      </w:r>
    </w:p>
    <w:p>
      <w:pPr>
        <w:spacing w:line="360" w:lineRule="auto"/>
        <w:ind w:firstLine="480" w:firstLineChars="200"/>
        <w:rPr>
          <w:rFonts w:ascii="宋体"/>
          <w:color w:val="auto"/>
          <w:sz w:val="24"/>
          <w:szCs w:val="24"/>
        </w:rPr>
      </w:pPr>
      <w:r>
        <w:rPr>
          <w:rFonts w:hint="eastAsia" w:ascii="宋体" w:hAnsi="宋体" w:cs="宋体"/>
          <w:color w:val="auto"/>
          <w:sz w:val="24"/>
          <w:szCs w:val="24"/>
        </w:rPr>
        <w:t>二、本次招标项目的评标方法为综合评分法，总计</w:t>
      </w:r>
      <w:r>
        <w:rPr>
          <w:rFonts w:ascii="宋体" w:hAnsi="宋体" w:cs="宋体"/>
          <w:color w:val="auto"/>
          <w:sz w:val="24"/>
          <w:szCs w:val="24"/>
        </w:rPr>
        <w:t>100</w:t>
      </w:r>
      <w:r>
        <w:rPr>
          <w:rFonts w:hint="eastAsia" w:ascii="宋体" w:hAnsi="宋体" w:cs="宋体"/>
          <w:color w:val="auto"/>
          <w:sz w:val="24"/>
          <w:szCs w:val="24"/>
        </w:rPr>
        <w:t>分。</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（一）商务与技术文件中的客观分由评标委员会讨论后统一打分；其余在规定的分值内单独评定打分。</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（二）各投标人商务与技术文件得分按照评标委员会成员的独立评分结果汇总后的算术平均分计算，计算公式为：</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rPr>
        <w:t>商务与技术文件得分</w:t>
      </w:r>
      <w:r>
        <w:rPr>
          <w:rFonts w:ascii="宋体" w:hAnsi="宋体" w:cs="宋体"/>
          <w:color w:val="auto"/>
          <w:sz w:val="24"/>
          <w:szCs w:val="24"/>
          <w:lang w:val="zh-CN"/>
        </w:rPr>
        <w:t>=</w:t>
      </w:r>
      <w:r>
        <w:rPr>
          <w:rFonts w:hint="eastAsia" w:ascii="宋体" w:hAnsi="宋体" w:cs="宋体"/>
          <w:color w:val="auto"/>
          <w:sz w:val="24"/>
          <w:szCs w:val="24"/>
          <w:lang w:val="zh-CN"/>
        </w:rPr>
        <w:t>评标委员会所有成员评分合计数</w:t>
      </w:r>
      <w:r>
        <w:rPr>
          <w:rFonts w:ascii="宋体" w:hAnsi="宋体" w:cs="宋体"/>
          <w:color w:val="auto"/>
          <w:sz w:val="24"/>
          <w:szCs w:val="24"/>
          <w:lang w:val="zh-CN"/>
        </w:rPr>
        <w:t>/</w:t>
      </w:r>
      <w:r>
        <w:rPr>
          <w:rFonts w:hint="eastAsia" w:ascii="宋体" w:hAnsi="宋体" w:cs="宋体"/>
          <w:color w:val="auto"/>
          <w:sz w:val="24"/>
          <w:szCs w:val="24"/>
          <w:lang w:val="zh-CN"/>
        </w:rPr>
        <w:t>评标委员会组成人员数。</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rPr>
          <w:rFonts w:ascii="宋体"/>
          <w:color w:val="auto"/>
          <w:sz w:val="24"/>
          <w:szCs w:val="24"/>
          <w:u w:val="single"/>
        </w:rPr>
      </w:pPr>
      <w:r>
        <w:rPr>
          <w:rFonts w:hint="eastAsia" w:ascii="宋体" w:hAnsi="宋体" w:cs="宋体"/>
          <w:color w:val="auto"/>
          <w:sz w:val="24"/>
          <w:szCs w:val="24"/>
          <w:u w:val="single"/>
        </w:rPr>
        <w:t>投标报价得分</w:t>
      </w:r>
      <w:r>
        <w:rPr>
          <w:rFonts w:ascii="宋体" w:hAnsi="宋体" w:cs="宋体"/>
          <w:color w:val="auto"/>
          <w:sz w:val="24"/>
          <w:szCs w:val="24"/>
          <w:u w:val="single"/>
        </w:rPr>
        <w:t>=(</w:t>
      </w:r>
      <w:r>
        <w:rPr>
          <w:rFonts w:hint="eastAsia" w:ascii="宋体" w:hAnsi="宋体" w:cs="宋体"/>
          <w:color w:val="auto"/>
          <w:sz w:val="24"/>
          <w:szCs w:val="24"/>
          <w:u w:val="single"/>
        </w:rPr>
        <w:t>评标基准价／投标报价</w:t>
      </w:r>
      <w:r>
        <w:rPr>
          <w:rFonts w:ascii="宋体" w:hAnsi="宋体" w:cs="宋体"/>
          <w:color w:val="auto"/>
          <w:sz w:val="24"/>
          <w:szCs w:val="24"/>
          <w:u w:val="single"/>
        </w:rPr>
        <w:t>)</w:t>
      </w:r>
      <w:r>
        <w:rPr>
          <w:rFonts w:hint="eastAsia" w:ascii="宋体" w:hAnsi="宋体" w:cs="宋体"/>
          <w:color w:val="auto"/>
          <w:sz w:val="24"/>
          <w:szCs w:val="24"/>
          <w:u w:val="single"/>
        </w:rPr>
        <w:t>×</w:t>
      </w:r>
      <w:r>
        <w:rPr>
          <w:rFonts w:ascii="宋体" w:hAnsi="宋体" w:cs="宋体"/>
          <w:color w:val="auto"/>
          <w:sz w:val="24"/>
          <w:szCs w:val="24"/>
          <w:u w:val="single"/>
        </w:rPr>
        <w:t>30%</w:t>
      </w:r>
      <w:r>
        <w:rPr>
          <w:rFonts w:hint="eastAsia" w:ascii="宋体" w:hAnsi="宋体" w:cs="宋体"/>
          <w:color w:val="auto"/>
          <w:sz w:val="24"/>
          <w:szCs w:val="24"/>
          <w:u w:val="single"/>
        </w:rPr>
        <w:t>×</w:t>
      </w:r>
      <w:r>
        <w:rPr>
          <w:rFonts w:ascii="宋体" w:hAnsi="宋体" w:cs="宋体"/>
          <w:color w:val="auto"/>
          <w:sz w:val="24"/>
          <w:szCs w:val="24"/>
          <w:u w:val="single"/>
        </w:rPr>
        <w:t xml:space="preserve">100 </w:t>
      </w:r>
      <w:r>
        <w:rPr>
          <w:rFonts w:hint="eastAsia" w:ascii="宋体" w:hAnsi="宋体" w:cs="宋体"/>
          <w:color w:val="auto"/>
          <w:sz w:val="24"/>
          <w:szCs w:val="24"/>
          <w:u w:val="single"/>
        </w:rPr>
        <w:t>。</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（四）政府采购政策及优惠：</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①组成联合体或者接受分包的小微企业与联合体内其他企业、分包企业之间存在直接控股、管理关系的，不享受价格扣除优惠政策。</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投标文件中须同时出具《政府采购促进中小企业发展管理办法》</w:t>
      </w:r>
      <w:r>
        <w:rPr>
          <w:rFonts w:ascii="宋体" w:hAnsi="宋体" w:cs="宋体"/>
          <w:color w:val="auto"/>
          <w:sz w:val="24"/>
          <w:szCs w:val="24"/>
        </w:rPr>
        <w:t xml:space="preserve"> </w:t>
      </w:r>
      <w:r>
        <w:rPr>
          <w:rFonts w:hint="eastAsia" w:ascii="宋体" w:hAnsi="宋体" w:cs="宋体"/>
          <w:color w:val="auto"/>
          <w:sz w:val="24"/>
          <w:szCs w:val="24"/>
          <w:lang w:val="zh-CN"/>
        </w:rPr>
        <w:t>【财库（</w:t>
      </w:r>
      <w:r>
        <w:rPr>
          <w:rFonts w:ascii="宋体" w:hAnsi="宋体" w:cs="宋体"/>
          <w:color w:val="auto"/>
          <w:sz w:val="24"/>
          <w:szCs w:val="24"/>
          <w:lang w:val="zh-CN"/>
        </w:rPr>
        <w:t>2020</w:t>
      </w:r>
      <w:r>
        <w:rPr>
          <w:rFonts w:hint="eastAsia" w:ascii="宋体" w:hAnsi="宋体" w:cs="宋体"/>
          <w:color w:val="auto"/>
          <w:sz w:val="24"/>
          <w:szCs w:val="24"/>
          <w:lang w:val="zh-CN"/>
        </w:rPr>
        <w:t>）</w:t>
      </w:r>
      <w:r>
        <w:rPr>
          <w:rFonts w:ascii="宋体" w:hAnsi="宋体" w:cs="宋体"/>
          <w:color w:val="auto"/>
          <w:sz w:val="24"/>
          <w:szCs w:val="24"/>
          <w:lang w:val="zh-CN"/>
        </w:rPr>
        <w:t>46</w:t>
      </w:r>
      <w:r>
        <w:rPr>
          <w:rFonts w:hint="eastAsia" w:ascii="宋体" w:hAnsi="宋体" w:cs="宋体"/>
          <w:color w:val="auto"/>
          <w:sz w:val="24"/>
          <w:szCs w:val="24"/>
          <w:lang w:val="zh-CN"/>
        </w:rPr>
        <w:t>号】规定的《中小企业声明函》，否则不得享受价格扣除。</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本项目对符合规定的小微企业（含小型企业）报价给予</w:t>
      </w:r>
      <w:r>
        <w:rPr>
          <w:rFonts w:ascii="宋体" w:hAnsi="宋体" w:cs="宋体"/>
          <w:color w:val="auto"/>
          <w:sz w:val="24"/>
          <w:szCs w:val="24"/>
          <w:lang w:val="zh-CN"/>
        </w:rPr>
        <w:t>6%</w:t>
      </w:r>
      <w:r>
        <w:rPr>
          <w:rFonts w:hint="eastAsia" w:ascii="宋体" w:hAnsi="宋体" w:cs="宋体"/>
          <w:color w:val="auto"/>
          <w:sz w:val="24"/>
          <w:szCs w:val="24"/>
          <w:lang w:val="zh-CN"/>
        </w:rPr>
        <w:t>的扣除。</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对符合规定的联合体或者大中型企业的报价给予</w:t>
      </w:r>
      <w:r>
        <w:rPr>
          <w:rFonts w:ascii="宋体" w:hAnsi="宋体" w:cs="宋体"/>
          <w:color w:val="auto"/>
          <w:sz w:val="24"/>
          <w:szCs w:val="24"/>
          <w:lang w:val="zh-CN"/>
        </w:rPr>
        <w:t>2%</w:t>
      </w:r>
      <w:r>
        <w:rPr>
          <w:rFonts w:hint="eastAsia" w:ascii="宋体" w:hAnsi="宋体" w:cs="宋体"/>
          <w:color w:val="auto"/>
          <w:sz w:val="24"/>
          <w:szCs w:val="24"/>
          <w:lang w:val="zh-CN"/>
        </w:rPr>
        <w:t>的扣除。（不接受联合体投标的，本条不适用）。</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②根据《关于政府采购支持监狱企业发展有关问题的通知》（财库</w:t>
      </w:r>
      <w:r>
        <w:rPr>
          <w:rFonts w:ascii="宋体" w:hAnsi="宋体" w:cs="宋体"/>
          <w:color w:val="auto"/>
          <w:sz w:val="24"/>
          <w:szCs w:val="24"/>
          <w:lang w:val="zh-CN"/>
        </w:rPr>
        <w:t>[2014]68</w:t>
      </w:r>
      <w:r>
        <w:rPr>
          <w:rFonts w:hint="eastAsia" w:ascii="宋体" w:hAnsi="宋体" w:cs="宋体"/>
          <w:color w:val="auto"/>
          <w:sz w:val="24"/>
          <w:szCs w:val="24"/>
          <w:lang w:val="zh-CN"/>
        </w:rPr>
        <w:t>号）的规定，供应商如为监狱企业且所投产品为小型或微型企业生产的，其投标报价扣除</w:t>
      </w:r>
      <w:r>
        <w:rPr>
          <w:rFonts w:ascii="宋体" w:hAnsi="宋体" w:cs="宋体"/>
          <w:color w:val="auto"/>
          <w:sz w:val="24"/>
          <w:szCs w:val="24"/>
          <w:lang w:val="zh-CN"/>
        </w:rPr>
        <w:t>6%</w:t>
      </w:r>
      <w:r>
        <w:rPr>
          <w:rFonts w:hint="eastAsia" w:ascii="宋体" w:hAnsi="宋体" w:cs="宋体"/>
          <w:color w:val="auto"/>
          <w:sz w:val="24"/>
          <w:szCs w:val="24"/>
          <w:lang w:val="zh-CN"/>
        </w:rPr>
        <w:t>后参与评审。</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投标文件中须同时提供：供应商的省级以上监狱管理局、戒毒管理局</w:t>
      </w:r>
      <w:r>
        <w:rPr>
          <w:rFonts w:ascii="宋体" w:hAnsi="宋体" w:cs="宋体"/>
          <w:color w:val="auto"/>
          <w:sz w:val="24"/>
          <w:szCs w:val="24"/>
          <w:lang w:val="zh-CN"/>
        </w:rPr>
        <w:t>(</w:t>
      </w:r>
      <w:r>
        <w:rPr>
          <w:rFonts w:hint="eastAsia" w:ascii="宋体" w:hAnsi="宋体" w:cs="宋体"/>
          <w:color w:val="auto"/>
          <w:sz w:val="24"/>
          <w:szCs w:val="24"/>
          <w:lang w:val="zh-CN"/>
        </w:rPr>
        <w:t>含新疆生产建设兵团</w:t>
      </w:r>
      <w:r>
        <w:rPr>
          <w:rFonts w:ascii="宋体" w:hAnsi="宋体" w:cs="宋体"/>
          <w:color w:val="auto"/>
          <w:sz w:val="24"/>
          <w:szCs w:val="24"/>
          <w:lang w:val="zh-CN"/>
        </w:rPr>
        <w:t>)</w:t>
      </w:r>
      <w:r>
        <w:rPr>
          <w:rFonts w:hint="eastAsia" w:ascii="宋体" w:hAnsi="宋体" w:cs="宋体"/>
          <w:color w:val="auto"/>
          <w:sz w:val="24"/>
          <w:szCs w:val="24"/>
          <w:lang w:val="zh-CN"/>
        </w:rPr>
        <w:t>出具的属于监狱企业的证明文件，未提供完整证明材料的，投标报价不予扣减。</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（一）安置的残疾人占本单位在职职工人数的比例不低于</w:t>
      </w:r>
      <w:r>
        <w:rPr>
          <w:rFonts w:ascii="宋体" w:hAnsi="宋体" w:cs="宋体"/>
          <w:color w:val="auto"/>
          <w:sz w:val="24"/>
          <w:szCs w:val="24"/>
          <w:lang w:val="zh-CN"/>
        </w:rPr>
        <w:t>25%</w:t>
      </w:r>
      <w:r>
        <w:rPr>
          <w:rFonts w:hint="eastAsia" w:ascii="宋体" w:hAnsi="宋体" w:cs="宋体"/>
          <w:color w:val="auto"/>
          <w:sz w:val="24"/>
          <w:szCs w:val="24"/>
          <w:lang w:val="zh-CN"/>
        </w:rPr>
        <w:t>（含</w:t>
      </w:r>
      <w:r>
        <w:rPr>
          <w:rFonts w:ascii="宋体" w:hAnsi="宋体" w:cs="宋体"/>
          <w:color w:val="auto"/>
          <w:sz w:val="24"/>
          <w:szCs w:val="24"/>
          <w:lang w:val="zh-CN"/>
        </w:rPr>
        <w:t>25%</w:t>
      </w:r>
      <w:r>
        <w:rPr>
          <w:rFonts w:hint="eastAsia" w:ascii="宋体" w:hAnsi="宋体" w:cs="宋体"/>
          <w:color w:val="auto"/>
          <w:sz w:val="24"/>
          <w:szCs w:val="24"/>
          <w:lang w:val="zh-CN"/>
        </w:rPr>
        <w:t>），并且安置的残疾人人数不少于</w:t>
      </w:r>
      <w:r>
        <w:rPr>
          <w:rFonts w:ascii="宋体" w:hAnsi="宋体" w:cs="宋体"/>
          <w:color w:val="auto"/>
          <w:sz w:val="24"/>
          <w:szCs w:val="24"/>
          <w:lang w:val="zh-CN"/>
        </w:rPr>
        <w:t>10</w:t>
      </w:r>
      <w:r>
        <w:rPr>
          <w:rFonts w:hint="eastAsia" w:ascii="宋体" w:hAnsi="宋体" w:cs="宋体"/>
          <w:color w:val="auto"/>
          <w:sz w:val="24"/>
          <w:szCs w:val="24"/>
          <w:lang w:val="zh-CN"/>
        </w:rPr>
        <w:t>人（含</w:t>
      </w:r>
      <w:r>
        <w:rPr>
          <w:rFonts w:ascii="宋体" w:hAnsi="宋体" w:cs="宋体"/>
          <w:color w:val="auto"/>
          <w:sz w:val="24"/>
          <w:szCs w:val="24"/>
          <w:lang w:val="zh-CN"/>
        </w:rPr>
        <w:t>10</w:t>
      </w:r>
      <w:r>
        <w:rPr>
          <w:rFonts w:hint="eastAsia" w:ascii="宋体" w:hAnsi="宋体" w:cs="宋体"/>
          <w:color w:val="auto"/>
          <w:sz w:val="24"/>
          <w:szCs w:val="24"/>
          <w:lang w:val="zh-CN"/>
        </w:rPr>
        <w:t>人）；</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前款所称残疾人是指法定劳动年龄内，持有《中华人民共和国残疾人证》或者《中华人民共和国残疾军人证（</w:t>
      </w:r>
      <w:r>
        <w:rPr>
          <w:rFonts w:ascii="宋体" w:hAnsi="宋体" w:cs="宋体"/>
          <w:color w:val="auto"/>
          <w:sz w:val="24"/>
          <w:szCs w:val="24"/>
          <w:lang w:val="zh-CN"/>
        </w:rPr>
        <w:t>1</w:t>
      </w:r>
      <w:r>
        <w:rPr>
          <w:rFonts w:hint="eastAsia" w:ascii="宋体" w:hAnsi="宋体" w:cs="宋体"/>
          <w:color w:val="auto"/>
          <w:sz w:val="24"/>
          <w:szCs w:val="24"/>
          <w:lang w:val="zh-CN"/>
        </w:rPr>
        <w:t>至</w:t>
      </w:r>
      <w:r>
        <w:rPr>
          <w:rFonts w:ascii="宋体" w:hAnsi="宋体" w:cs="宋体"/>
          <w:color w:val="auto"/>
          <w:sz w:val="24"/>
          <w:szCs w:val="24"/>
          <w:lang w:val="zh-CN"/>
        </w:rPr>
        <w:t>8</w:t>
      </w:r>
      <w:r>
        <w:rPr>
          <w:rFonts w:hint="eastAsia" w:ascii="宋体" w:hAnsi="宋体" w:cs="宋体"/>
          <w:color w:val="auto"/>
          <w:sz w:val="24"/>
          <w:szCs w:val="24"/>
          <w:lang w:val="zh-CN"/>
        </w:rPr>
        <w:t>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注：得分以系统计算为准，保留</w:t>
      </w:r>
      <w:r>
        <w:rPr>
          <w:rFonts w:ascii="宋体" w:hAnsi="宋体" w:cs="宋体"/>
          <w:color w:val="auto"/>
          <w:sz w:val="24"/>
          <w:szCs w:val="24"/>
          <w:lang w:val="zh-CN"/>
        </w:rPr>
        <w:t>2</w:t>
      </w:r>
      <w:r>
        <w:rPr>
          <w:rFonts w:hint="eastAsia" w:ascii="宋体" w:hAnsi="宋体" w:cs="宋体"/>
          <w:color w:val="auto"/>
          <w:sz w:val="24"/>
          <w:szCs w:val="24"/>
          <w:lang w:val="zh-CN"/>
        </w:rPr>
        <w:t>位小数。</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五、提供相同品牌产品的不同投标人参加同一合同项下投标的，按一家供应商认定：</w:t>
      </w:r>
    </w:p>
    <w:p>
      <w:p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评审后得分最高的同品牌投标人获得中标人推荐资格；评审得分相同的，由评标委员会集体推荐一个投标人作为中标候选人，其他同品牌投标人不作为中标候选人。</w:t>
      </w:r>
    </w:p>
    <w:p>
      <w:pPr>
        <w:numPr>
          <w:ilvl w:val="0"/>
          <w:numId w:val="2"/>
        </w:numPr>
        <w:spacing w:line="360" w:lineRule="auto"/>
        <w:ind w:firstLine="480" w:firstLineChars="200"/>
        <w:rPr>
          <w:rFonts w:ascii="宋体"/>
          <w:color w:val="auto"/>
          <w:sz w:val="24"/>
          <w:szCs w:val="24"/>
          <w:lang w:val="zh-CN"/>
        </w:rPr>
      </w:pPr>
      <w:r>
        <w:rPr>
          <w:rFonts w:hint="eastAsia" w:ascii="宋体" w:hAnsi="宋体" w:cs="宋体"/>
          <w:color w:val="auto"/>
          <w:sz w:val="24"/>
          <w:szCs w:val="24"/>
          <w:lang w:val="zh-CN"/>
        </w:rPr>
        <w:t>本次评分具体分值细化条款如下表：</w:t>
      </w:r>
    </w:p>
    <w:tbl>
      <w:tblPr>
        <w:tblStyle w:val="24"/>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582"/>
        <w:gridCol w:w="585"/>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2894" w:type="dxa"/>
            <w:gridSpan w:val="3"/>
            <w:vAlign w:val="center"/>
          </w:tcPr>
          <w:p>
            <w:pPr>
              <w:jc w:val="center"/>
              <w:rPr>
                <w:rFonts w:ascii="宋体"/>
                <w:color w:val="auto"/>
                <w:sz w:val="24"/>
                <w:szCs w:val="24"/>
              </w:rPr>
            </w:pPr>
            <w:r>
              <w:rPr>
                <w:rFonts w:hint="eastAsia" w:ascii="宋体" w:hAnsi="宋体" w:cs="宋体"/>
                <w:color w:val="auto"/>
                <w:sz w:val="24"/>
                <w:szCs w:val="24"/>
              </w:rPr>
              <w:t>评审因素与评分值</w:t>
            </w:r>
          </w:p>
        </w:tc>
        <w:tc>
          <w:tcPr>
            <w:tcW w:w="6471" w:type="dxa"/>
            <w:vMerge w:val="restart"/>
            <w:vAlign w:val="center"/>
          </w:tcPr>
          <w:p>
            <w:pPr>
              <w:spacing w:line="360" w:lineRule="auto"/>
              <w:jc w:val="center"/>
              <w:rPr>
                <w:rFonts w:ascii="宋体"/>
                <w:color w:val="auto"/>
                <w:sz w:val="24"/>
                <w:szCs w:val="24"/>
              </w:rPr>
            </w:pPr>
            <w:r>
              <w:rPr>
                <w:rFonts w:hint="eastAsia" w:ascii="宋体" w:hAnsi="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727" w:type="dxa"/>
            <w:vAlign w:val="center"/>
          </w:tcPr>
          <w:p>
            <w:pPr>
              <w:jc w:val="center"/>
              <w:rPr>
                <w:rFonts w:ascii="宋体"/>
                <w:color w:val="auto"/>
                <w:sz w:val="24"/>
                <w:szCs w:val="24"/>
              </w:rPr>
            </w:pPr>
            <w:r>
              <w:rPr>
                <w:rFonts w:hint="eastAsia" w:ascii="宋体" w:hAnsi="宋体" w:cs="宋体"/>
                <w:color w:val="auto"/>
                <w:sz w:val="24"/>
                <w:szCs w:val="24"/>
              </w:rPr>
              <w:t>序号</w:t>
            </w:r>
          </w:p>
        </w:tc>
        <w:tc>
          <w:tcPr>
            <w:tcW w:w="1582" w:type="dxa"/>
            <w:vAlign w:val="center"/>
          </w:tcPr>
          <w:p>
            <w:pPr>
              <w:jc w:val="center"/>
              <w:rPr>
                <w:rFonts w:ascii="宋体"/>
                <w:color w:val="auto"/>
                <w:sz w:val="24"/>
                <w:szCs w:val="24"/>
              </w:rPr>
            </w:pPr>
            <w:r>
              <w:rPr>
                <w:rFonts w:hint="eastAsia" w:ascii="宋体" w:hAnsi="宋体" w:cs="宋体"/>
                <w:color w:val="auto"/>
                <w:sz w:val="24"/>
                <w:szCs w:val="24"/>
              </w:rPr>
              <w:t>评审内容</w:t>
            </w:r>
          </w:p>
        </w:tc>
        <w:tc>
          <w:tcPr>
            <w:tcW w:w="585" w:type="dxa"/>
            <w:vAlign w:val="center"/>
          </w:tcPr>
          <w:p>
            <w:pPr>
              <w:jc w:val="center"/>
              <w:rPr>
                <w:rFonts w:ascii="宋体"/>
                <w:color w:val="auto"/>
                <w:sz w:val="24"/>
                <w:szCs w:val="24"/>
              </w:rPr>
            </w:pPr>
            <w:r>
              <w:rPr>
                <w:rFonts w:hint="eastAsia" w:ascii="宋体" w:hAnsi="宋体" w:cs="宋体"/>
                <w:color w:val="auto"/>
                <w:sz w:val="24"/>
                <w:szCs w:val="24"/>
              </w:rPr>
              <w:t>分值</w:t>
            </w:r>
          </w:p>
        </w:tc>
        <w:tc>
          <w:tcPr>
            <w:tcW w:w="6471" w:type="dxa"/>
            <w:vMerge w:val="continue"/>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7" w:type="dxa"/>
            <w:vAlign w:val="center"/>
          </w:tcPr>
          <w:p>
            <w:pPr>
              <w:jc w:val="center"/>
              <w:rPr>
                <w:rFonts w:ascii="宋体"/>
                <w:color w:val="auto"/>
                <w:sz w:val="24"/>
                <w:szCs w:val="24"/>
              </w:rPr>
            </w:pPr>
            <w:r>
              <w:rPr>
                <w:rFonts w:ascii="宋体" w:hAnsi="宋体" w:cs="宋体"/>
                <w:color w:val="auto"/>
                <w:sz w:val="24"/>
                <w:szCs w:val="24"/>
              </w:rPr>
              <w:t>1</w:t>
            </w:r>
          </w:p>
        </w:tc>
        <w:tc>
          <w:tcPr>
            <w:tcW w:w="1582" w:type="dxa"/>
            <w:vAlign w:val="center"/>
          </w:tcPr>
          <w:p>
            <w:pPr>
              <w:jc w:val="center"/>
              <w:rPr>
                <w:rFonts w:ascii="宋体"/>
                <w:color w:val="auto"/>
                <w:sz w:val="24"/>
                <w:szCs w:val="24"/>
              </w:rPr>
            </w:pPr>
            <w:r>
              <w:rPr>
                <w:rFonts w:hint="eastAsia" w:ascii="宋体" w:hAnsi="宋体" w:cs="宋体"/>
                <w:color w:val="auto"/>
                <w:sz w:val="24"/>
                <w:szCs w:val="24"/>
              </w:rPr>
              <w:t>类似业绩</w:t>
            </w:r>
          </w:p>
        </w:tc>
        <w:tc>
          <w:tcPr>
            <w:tcW w:w="585" w:type="dxa"/>
            <w:vAlign w:val="center"/>
          </w:tcPr>
          <w:p>
            <w:pPr>
              <w:jc w:val="center"/>
              <w:rPr>
                <w:rFonts w:ascii="宋体"/>
                <w:color w:val="auto"/>
                <w:sz w:val="24"/>
                <w:szCs w:val="24"/>
              </w:rPr>
            </w:pPr>
            <w:r>
              <w:rPr>
                <w:rFonts w:ascii="宋体" w:hAnsi="宋体" w:cs="宋体"/>
                <w:color w:val="auto"/>
                <w:sz w:val="24"/>
                <w:szCs w:val="24"/>
              </w:rPr>
              <w:t>8</w:t>
            </w:r>
          </w:p>
        </w:tc>
        <w:tc>
          <w:tcPr>
            <w:tcW w:w="6471" w:type="dxa"/>
            <w:vAlign w:val="center"/>
          </w:tcPr>
          <w:p>
            <w:pPr>
              <w:rPr>
                <w:rFonts w:ascii="宋体"/>
                <w:color w:val="auto"/>
                <w:sz w:val="24"/>
                <w:szCs w:val="24"/>
              </w:rPr>
            </w:pPr>
            <w:r>
              <w:rPr>
                <w:rFonts w:ascii="宋体" w:hAnsi="宋体" w:cs="宋体"/>
                <w:color w:val="auto"/>
                <w:sz w:val="24"/>
                <w:szCs w:val="24"/>
              </w:rPr>
              <w:t>2018</w:t>
            </w:r>
            <w:r>
              <w:rPr>
                <w:rFonts w:hint="eastAsia" w:ascii="宋体" w:hAnsi="宋体" w:cs="宋体"/>
                <w:color w:val="auto"/>
                <w:sz w:val="24"/>
                <w:szCs w:val="24"/>
              </w:rPr>
              <w:t>年</w:t>
            </w:r>
            <w:r>
              <w:rPr>
                <w:rFonts w:ascii="宋体" w:hAnsi="宋体" w:cs="宋体"/>
                <w:color w:val="auto"/>
                <w:sz w:val="24"/>
                <w:szCs w:val="24"/>
              </w:rPr>
              <w:t>1</w:t>
            </w:r>
            <w:r>
              <w:rPr>
                <w:rFonts w:hint="eastAsia" w:ascii="宋体" w:hAnsi="宋体" w:cs="宋体"/>
                <w:color w:val="auto"/>
                <w:sz w:val="24"/>
                <w:szCs w:val="24"/>
              </w:rPr>
              <w:t>月</w:t>
            </w:r>
            <w:r>
              <w:rPr>
                <w:rFonts w:ascii="宋体" w:hAnsi="宋体" w:cs="宋体"/>
                <w:color w:val="auto"/>
                <w:sz w:val="24"/>
                <w:szCs w:val="24"/>
              </w:rPr>
              <w:t>1</w:t>
            </w:r>
            <w:r>
              <w:rPr>
                <w:rFonts w:hint="eastAsia" w:ascii="宋体" w:hAnsi="宋体" w:cs="宋体"/>
                <w:color w:val="auto"/>
                <w:sz w:val="24"/>
                <w:szCs w:val="24"/>
              </w:rPr>
              <w:t>日以来，投标人每拥有</w:t>
            </w:r>
            <w:r>
              <w:rPr>
                <w:rFonts w:ascii="宋体" w:hAnsi="宋体" w:cs="宋体"/>
                <w:color w:val="auto"/>
                <w:sz w:val="24"/>
                <w:szCs w:val="24"/>
              </w:rPr>
              <w:t>1</w:t>
            </w:r>
            <w:r>
              <w:rPr>
                <w:rFonts w:hint="eastAsia" w:ascii="宋体" w:hAnsi="宋体" w:cs="宋体"/>
                <w:color w:val="auto"/>
                <w:sz w:val="24"/>
                <w:szCs w:val="24"/>
              </w:rPr>
              <w:t>个生活垃圾填埋场垃圾渗滤液处理运营项目，排放标准为《生活垃圾填埋场污染控制标准》（</w:t>
            </w:r>
            <w:r>
              <w:rPr>
                <w:rFonts w:ascii="宋体" w:hAnsi="宋体" w:cs="宋体"/>
                <w:color w:val="auto"/>
                <w:sz w:val="24"/>
                <w:szCs w:val="24"/>
              </w:rPr>
              <w:t>GB16889-2008</w:t>
            </w:r>
            <w:r>
              <w:rPr>
                <w:rFonts w:hint="eastAsia" w:ascii="宋体" w:hAnsi="宋体" w:cs="宋体"/>
                <w:color w:val="auto"/>
                <w:sz w:val="24"/>
                <w:szCs w:val="24"/>
              </w:rPr>
              <w:t>）表</w:t>
            </w:r>
            <w:r>
              <w:rPr>
                <w:rFonts w:ascii="宋体" w:hAnsi="宋体" w:cs="宋体"/>
                <w:color w:val="auto"/>
                <w:sz w:val="24"/>
                <w:szCs w:val="24"/>
              </w:rPr>
              <w:t>2</w:t>
            </w:r>
            <w:r>
              <w:rPr>
                <w:rFonts w:hint="eastAsia" w:ascii="宋体" w:hAnsi="宋体" w:cs="宋体"/>
                <w:color w:val="auto"/>
                <w:sz w:val="24"/>
                <w:szCs w:val="24"/>
              </w:rPr>
              <w:t>或以上标准，得</w:t>
            </w:r>
            <w:r>
              <w:rPr>
                <w:rFonts w:ascii="宋体" w:hAnsi="宋体" w:cs="宋体"/>
                <w:color w:val="auto"/>
                <w:sz w:val="24"/>
                <w:szCs w:val="24"/>
              </w:rPr>
              <w:t>2</w:t>
            </w:r>
            <w:r>
              <w:rPr>
                <w:rFonts w:hint="eastAsia" w:ascii="宋体" w:hAnsi="宋体" w:cs="宋体"/>
                <w:color w:val="auto"/>
                <w:sz w:val="24"/>
                <w:szCs w:val="24"/>
              </w:rPr>
              <w:t>分，最高得</w:t>
            </w:r>
            <w:r>
              <w:rPr>
                <w:rFonts w:ascii="宋体" w:hAnsi="宋体" w:cs="宋体"/>
                <w:color w:val="auto"/>
                <w:sz w:val="24"/>
                <w:szCs w:val="24"/>
              </w:rPr>
              <w:t>8</w:t>
            </w:r>
            <w:r>
              <w:rPr>
                <w:rFonts w:hint="eastAsia" w:ascii="宋体" w:hAnsi="宋体" w:cs="宋体"/>
                <w:color w:val="auto"/>
                <w:sz w:val="24"/>
                <w:szCs w:val="24"/>
              </w:rPr>
              <w:t>分。</w:t>
            </w:r>
          </w:p>
          <w:p>
            <w:pPr>
              <w:rPr>
                <w:rFonts w:ascii="宋体"/>
                <w:color w:val="auto"/>
                <w:sz w:val="24"/>
                <w:szCs w:val="24"/>
              </w:rPr>
            </w:pPr>
            <w:r>
              <w:rPr>
                <w:rFonts w:hint="eastAsia" w:ascii="宋体" w:hAnsi="宋体" w:cs="宋体"/>
                <w:color w:val="auto"/>
                <w:sz w:val="24"/>
                <w:szCs w:val="24"/>
              </w:rPr>
              <w:t>①运营合同或</w:t>
            </w:r>
            <w:r>
              <w:rPr>
                <w:rFonts w:ascii="宋体" w:hAnsi="宋体" w:cs="宋体"/>
                <w:color w:val="auto"/>
                <w:sz w:val="24"/>
                <w:szCs w:val="24"/>
              </w:rPr>
              <w:t>BOT</w:t>
            </w:r>
            <w:r>
              <w:rPr>
                <w:rFonts w:hint="eastAsia" w:ascii="宋体" w:hAnsi="宋体" w:cs="宋体"/>
                <w:color w:val="auto"/>
                <w:sz w:val="24"/>
                <w:szCs w:val="24"/>
              </w:rPr>
              <w:t>合同；</w:t>
            </w:r>
          </w:p>
          <w:p>
            <w:pPr>
              <w:rPr>
                <w:rFonts w:ascii="宋体"/>
                <w:color w:val="auto"/>
                <w:sz w:val="24"/>
                <w:szCs w:val="24"/>
              </w:rPr>
            </w:pPr>
            <w:r>
              <w:rPr>
                <w:rFonts w:hint="eastAsia" w:ascii="宋体" w:hAnsi="宋体" w:cs="宋体"/>
                <w:color w:val="auto"/>
                <w:sz w:val="24"/>
                <w:szCs w:val="24"/>
              </w:rPr>
              <w:t>②每个项目运营期间至少二份出水检测报告；</w:t>
            </w:r>
          </w:p>
          <w:p>
            <w:pPr>
              <w:rPr>
                <w:rFonts w:ascii="宋体"/>
                <w:b/>
                <w:bCs/>
                <w:color w:val="auto"/>
                <w:sz w:val="24"/>
                <w:szCs w:val="24"/>
              </w:rPr>
            </w:pPr>
            <w:r>
              <w:rPr>
                <w:rFonts w:hint="eastAsia" w:ascii="宋体" w:hAnsi="宋体" w:cs="宋体"/>
                <w:color w:val="auto"/>
                <w:kern w:val="0"/>
                <w:sz w:val="24"/>
                <w:szCs w:val="24"/>
                <w:highlight w:val="green"/>
              </w:rPr>
              <w:t>提供有效</w:t>
            </w:r>
            <w:r>
              <w:rPr>
                <w:rFonts w:hint="eastAsia" w:ascii="宋体" w:hAnsi="宋体" w:cs="宋体"/>
                <w:color w:val="auto"/>
                <w:kern w:val="0"/>
                <w:sz w:val="24"/>
                <w:szCs w:val="24"/>
                <w:highlight w:val="green"/>
                <w:lang w:val="en-US" w:eastAsia="zh-CN"/>
              </w:rPr>
              <w:t>证明材料</w:t>
            </w:r>
            <w:r>
              <w:rPr>
                <w:rFonts w:hint="eastAsia" w:ascii="宋体" w:hAnsi="宋体" w:cs="宋体"/>
                <w:color w:val="auto"/>
                <w:kern w:val="0"/>
                <w:sz w:val="24"/>
                <w:szCs w:val="24"/>
                <w:highlight w:val="green"/>
              </w:rPr>
              <w:t>复印件加盖投标人公章</w:t>
            </w:r>
            <w:r>
              <w:rPr>
                <w:rFonts w:hint="eastAsia" w:ascii="宋体" w:hAnsi="宋体" w:cs="宋体"/>
                <w:color w:val="auto"/>
                <w:kern w:val="0"/>
                <w:sz w:val="24"/>
                <w:szCs w:val="24"/>
                <w:highlight w:val="green"/>
                <w:lang w:val="en-US" w:eastAsia="zh-CN"/>
              </w:rPr>
              <w:t>编入投标文件，</w:t>
            </w:r>
            <w:r>
              <w:rPr>
                <w:rFonts w:hint="eastAsia" w:ascii="宋体" w:hAnsi="宋体" w:cs="宋体"/>
                <w:color w:val="auto"/>
                <w:kern w:val="0"/>
                <w:sz w:val="24"/>
                <w:szCs w:val="24"/>
                <w:highlight w:val="green"/>
              </w:rPr>
              <w:t>原件备查</w:t>
            </w:r>
            <w:r>
              <w:rPr>
                <w:rFonts w:hint="eastAsia" w:ascii="宋体" w:hAnsi="宋体" w:cs="宋体"/>
                <w:color w:val="auto"/>
                <w:kern w:val="0"/>
                <w:sz w:val="24"/>
                <w:szCs w:val="24"/>
                <w:highlight w:val="green"/>
                <w:lang w:eastAsia="zh-CN"/>
              </w:rPr>
              <w:t>（</w:t>
            </w:r>
            <w:r>
              <w:rPr>
                <w:rFonts w:hint="eastAsia" w:ascii="宋体" w:hAnsi="宋体" w:cs="宋体"/>
                <w:color w:val="auto"/>
                <w:kern w:val="0"/>
                <w:sz w:val="24"/>
                <w:szCs w:val="24"/>
                <w:highlight w:val="green"/>
                <w:lang w:val="en-US" w:eastAsia="zh-CN"/>
              </w:rPr>
              <w:t>可连同备份文件邮寄）</w:t>
            </w:r>
            <w:r>
              <w:rPr>
                <w:rFonts w:hint="eastAsia" w:ascii="宋体" w:hAnsi="宋体" w:cs="宋体"/>
                <w:color w:val="auto"/>
                <w:kern w:val="0"/>
                <w:sz w:val="24"/>
                <w:szCs w:val="24"/>
                <w:highlight w:val="green"/>
                <w:lang w:eastAsia="zh-CN"/>
              </w:rPr>
              <w:t>，</w:t>
            </w:r>
            <w:r>
              <w:rPr>
                <w:rFonts w:hint="eastAsia" w:ascii="宋体" w:hAnsi="宋体" w:cs="宋体"/>
                <w:color w:val="auto"/>
                <w:kern w:val="0"/>
                <w:sz w:val="24"/>
                <w:szCs w:val="24"/>
                <w:highlight w:val="green"/>
                <w:lang w:val="en-US" w:eastAsia="zh-CN"/>
              </w:rPr>
              <w:t>否则不得分</w:t>
            </w:r>
            <w:r>
              <w:rPr>
                <w:rFonts w:hint="eastAsia" w:ascii="宋体" w:hAnsi="宋体" w:cs="宋体"/>
                <w:color w:val="auto"/>
                <w:kern w:val="0"/>
                <w:sz w:val="24"/>
                <w:szCs w:val="24"/>
                <w:highlight w:val="gre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7" w:type="dxa"/>
            <w:vAlign w:val="center"/>
          </w:tcPr>
          <w:p>
            <w:pPr>
              <w:jc w:val="center"/>
              <w:rPr>
                <w:rFonts w:ascii="宋体"/>
                <w:color w:val="auto"/>
                <w:sz w:val="24"/>
                <w:szCs w:val="24"/>
              </w:rPr>
            </w:pPr>
            <w:r>
              <w:rPr>
                <w:rFonts w:ascii="宋体" w:hAnsi="宋体" w:cs="宋体"/>
                <w:color w:val="auto"/>
                <w:sz w:val="24"/>
                <w:szCs w:val="24"/>
              </w:rPr>
              <w:t>2</w:t>
            </w:r>
          </w:p>
        </w:tc>
        <w:tc>
          <w:tcPr>
            <w:tcW w:w="1582" w:type="dxa"/>
            <w:vAlign w:val="center"/>
          </w:tcPr>
          <w:p>
            <w:pPr>
              <w:jc w:val="center"/>
              <w:rPr>
                <w:rFonts w:ascii="宋体"/>
                <w:color w:val="auto"/>
                <w:sz w:val="24"/>
                <w:szCs w:val="24"/>
              </w:rPr>
            </w:pPr>
            <w:r>
              <w:rPr>
                <w:rFonts w:hint="eastAsia" w:ascii="宋体" w:hAnsi="宋体" w:cs="宋体"/>
                <w:color w:val="auto"/>
                <w:sz w:val="24"/>
                <w:szCs w:val="24"/>
              </w:rPr>
              <w:t>管理体系认证情况</w:t>
            </w:r>
          </w:p>
        </w:tc>
        <w:tc>
          <w:tcPr>
            <w:tcW w:w="585" w:type="dxa"/>
            <w:vAlign w:val="center"/>
          </w:tcPr>
          <w:p>
            <w:pPr>
              <w:jc w:val="center"/>
              <w:rPr>
                <w:rFonts w:ascii="宋体"/>
                <w:color w:val="auto"/>
                <w:sz w:val="24"/>
                <w:szCs w:val="24"/>
              </w:rPr>
            </w:pPr>
            <w:r>
              <w:rPr>
                <w:rFonts w:ascii="宋体" w:hAnsi="宋体" w:cs="宋体"/>
                <w:color w:val="auto"/>
                <w:sz w:val="24"/>
                <w:szCs w:val="24"/>
              </w:rPr>
              <w:t>3</w:t>
            </w:r>
          </w:p>
        </w:tc>
        <w:tc>
          <w:tcPr>
            <w:tcW w:w="6471" w:type="dxa"/>
            <w:vAlign w:val="center"/>
          </w:tcPr>
          <w:p>
            <w:pPr>
              <w:rPr>
                <w:rFonts w:ascii="宋体"/>
                <w:color w:val="auto"/>
                <w:sz w:val="24"/>
                <w:szCs w:val="24"/>
              </w:rPr>
            </w:pPr>
            <w:r>
              <w:rPr>
                <w:rFonts w:hint="eastAsia" w:ascii="宋体" w:hAnsi="宋体" w:cs="宋体"/>
                <w:color w:val="auto"/>
                <w:sz w:val="24"/>
                <w:szCs w:val="24"/>
              </w:rPr>
              <w:t>获得质量体系认证证书得</w:t>
            </w:r>
            <w:r>
              <w:rPr>
                <w:rFonts w:ascii="宋体" w:hAnsi="宋体" w:cs="宋体"/>
                <w:color w:val="auto"/>
                <w:sz w:val="24"/>
                <w:szCs w:val="24"/>
              </w:rPr>
              <w:t>1</w:t>
            </w:r>
            <w:r>
              <w:rPr>
                <w:rFonts w:hint="eastAsia" w:ascii="宋体" w:hAnsi="宋体" w:cs="宋体"/>
                <w:color w:val="auto"/>
                <w:sz w:val="24"/>
                <w:szCs w:val="24"/>
              </w:rPr>
              <w:t>分；职业健康安全体系认证证书得</w:t>
            </w:r>
            <w:r>
              <w:rPr>
                <w:rFonts w:ascii="宋体" w:hAnsi="宋体" w:cs="宋体"/>
                <w:color w:val="auto"/>
                <w:sz w:val="24"/>
                <w:szCs w:val="24"/>
              </w:rPr>
              <w:t>1</w:t>
            </w:r>
            <w:r>
              <w:rPr>
                <w:rFonts w:hint="eastAsia" w:ascii="宋体" w:hAnsi="宋体" w:cs="宋体"/>
                <w:color w:val="auto"/>
                <w:sz w:val="24"/>
                <w:szCs w:val="24"/>
              </w:rPr>
              <w:t>分；环境体系认证证书得</w:t>
            </w:r>
            <w:r>
              <w:rPr>
                <w:rFonts w:ascii="宋体" w:hAnsi="宋体" w:cs="宋体"/>
                <w:color w:val="auto"/>
                <w:sz w:val="24"/>
                <w:szCs w:val="24"/>
              </w:rPr>
              <w:t>1</w:t>
            </w:r>
            <w:r>
              <w:rPr>
                <w:rFonts w:hint="eastAsia" w:ascii="宋体" w:hAnsi="宋体" w:cs="宋体"/>
                <w:color w:val="auto"/>
                <w:sz w:val="24"/>
                <w:szCs w:val="24"/>
              </w:rPr>
              <w:t>分。</w:t>
            </w:r>
          </w:p>
          <w:p>
            <w:pPr>
              <w:rPr>
                <w:rFonts w:ascii="宋体"/>
                <w:color w:val="auto"/>
                <w:sz w:val="24"/>
                <w:szCs w:val="24"/>
              </w:rPr>
            </w:pPr>
            <w:r>
              <w:rPr>
                <w:rFonts w:hint="eastAsia" w:ascii="宋体" w:hAnsi="宋体" w:cs="宋体"/>
                <w:color w:val="auto"/>
                <w:kern w:val="0"/>
                <w:sz w:val="24"/>
                <w:szCs w:val="24"/>
                <w:highlight w:val="green"/>
              </w:rPr>
              <w:t>提供有效</w:t>
            </w:r>
            <w:r>
              <w:rPr>
                <w:rFonts w:hint="eastAsia" w:ascii="宋体" w:hAnsi="宋体" w:cs="宋体"/>
                <w:color w:val="auto"/>
                <w:kern w:val="0"/>
                <w:sz w:val="24"/>
                <w:szCs w:val="24"/>
                <w:highlight w:val="green"/>
                <w:lang w:val="en-US" w:eastAsia="zh-CN"/>
              </w:rPr>
              <w:t>证明材料</w:t>
            </w:r>
            <w:r>
              <w:rPr>
                <w:rFonts w:hint="eastAsia" w:ascii="宋体" w:hAnsi="宋体" w:cs="宋体"/>
                <w:color w:val="auto"/>
                <w:kern w:val="0"/>
                <w:sz w:val="24"/>
                <w:szCs w:val="24"/>
                <w:highlight w:val="green"/>
              </w:rPr>
              <w:t>复印件加盖投标人公章</w:t>
            </w:r>
            <w:r>
              <w:rPr>
                <w:rFonts w:hint="eastAsia" w:ascii="宋体" w:hAnsi="宋体" w:cs="宋体"/>
                <w:color w:val="auto"/>
                <w:kern w:val="0"/>
                <w:sz w:val="24"/>
                <w:szCs w:val="24"/>
                <w:highlight w:val="green"/>
                <w:lang w:val="en-US" w:eastAsia="zh-CN"/>
              </w:rPr>
              <w:t>编入投标文件，</w:t>
            </w:r>
            <w:r>
              <w:rPr>
                <w:rFonts w:hint="eastAsia" w:ascii="宋体" w:hAnsi="宋体" w:cs="宋体"/>
                <w:color w:val="auto"/>
                <w:kern w:val="0"/>
                <w:sz w:val="24"/>
                <w:szCs w:val="24"/>
                <w:highlight w:val="green"/>
              </w:rPr>
              <w:t>原件备查</w:t>
            </w:r>
            <w:r>
              <w:rPr>
                <w:rFonts w:hint="eastAsia" w:ascii="宋体" w:hAnsi="宋体" w:cs="宋体"/>
                <w:color w:val="auto"/>
                <w:kern w:val="0"/>
                <w:sz w:val="24"/>
                <w:szCs w:val="24"/>
                <w:highlight w:val="green"/>
                <w:lang w:eastAsia="zh-CN"/>
              </w:rPr>
              <w:t>（</w:t>
            </w:r>
            <w:r>
              <w:rPr>
                <w:rFonts w:hint="eastAsia" w:ascii="宋体" w:hAnsi="宋体" w:cs="宋体"/>
                <w:color w:val="auto"/>
                <w:kern w:val="0"/>
                <w:sz w:val="24"/>
                <w:szCs w:val="24"/>
                <w:highlight w:val="green"/>
                <w:lang w:val="en-US" w:eastAsia="zh-CN"/>
              </w:rPr>
              <w:t>可连同备份文件邮寄）</w:t>
            </w:r>
            <w:r>
              <w:rPr>
                <w:rFonts w:hint="eastAsia" w:ascii="宋体" w:hAnsi="宋体" w:cs="宋体"/>
                <w:color w:val="auto"/>
                <w:kern w:val="0"/>
                <w:sz w:val="24"/>
                <w:szCs w:val="24"/>
                <w:highlight w:val="green"/>
                <w:lang w:eastAsia="zh-CN"/>
              </w:rPr>
              <w:t>，</w:t>
            </w:r>
            <w:r>
              <w:rPr>
                <w:rFonts w:hint="eastAsia" w:ascii="宋体" w:hAnsi="宋体" w:cs="宋体"/>
                <w:color w:val="auto"/>
                <w:kern w:val="0"/>
                <w:sz w:val="24"/>
                <w:szCs w:val="24"/>
                <w:highlight w:val="green"/>
                <w:lang w:val="en-US" w:eastAsia="zh-CN"/>
              </w:rPr>
              <w:t>否则不得分</w:t>
            </w:r>
            <w:r>
              <w:rPr>
                <w:rFonts w:hint="eastAsia" w:ascii="宋体" w:hAnsi="宋体" w:cs="宋体"/>
                <w:color w:val="auto"/>
                <w:kern w:val="0"/>
                <w:sz w:val="24"/>
                <w:szCs w:val="24"/>
                <w:highlight w:val="gre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7" w:type="dxa"/>
            <w:vAlign w:val="center"/>
          </w:tcPr>
          <w:p>
            <w:pPr>
              <w:jc w:val="center"/>
              <w:rPr>
                <w:rFonts w:ascii="宋体"/>
                <w:color w:val="auto"/>
                <w:sz w:val="24"/>
                <w:szCs w:val="24"/>
              </w:rPr>
            </w:pPr>
            <w:r>
              <w:rPr>
                <w:rFonts w:ascii="宋体" w:hAnsi="宋体" w:cs="宋体"/>
                <w:color w:val="auto"/>
                <w:sz w:val="24"/>
                <w:szCs w:val="24"/>
              </w:rPr>
              <w:t>4</w:t>
            </w:r>
          </w:p>
        </w:tc>
        <w:tc>
          <w:tcPr>
            <w:tcW w:w="1582" w:type="dxa"/>
            <w:vAlign w:val="center"/>
          </w:tcPr>
          <w:p>
            <w:pPr>
              <w:jc w:val="center"/>
              <w:rPr>
                <w:rFonts w:ascii="宋体"/>
                <w:color w:val="auto"/>
                <w:sz w:val="24"/>
                <w:szCs w:val="24"/>
              </w:rPr>
            </w:pPr>
            <w:r>
              <w:rPr>
                <w:rFonts w:hint="eastAsia" w:ascii="宋体" w:hAnsi="宋体" w:cs="宋体"/>
                <w:color w:val="auto"/>
                <w:kern w:val="0"/>
                <w:sz w:val="24"/>
                <w:szCs w:val="24"/>
              </w:rPr>
              <w:t>科技技术企业</w:t>
            </w:r>
          </w:p>
        </w:tc>
        <w:tc>
          <w:tcPr>
            <w:tcW w:w="585" w:type="dxa"/>
            <w:vAlign w:val="center"/>
          </w:tcPr>
          <w:p>
            <w:pPr>
              <w:spacing w:line="300" w:lineRule="exact"/>
              <w:jc w:val="center"/>
              <w:rPr>
                <w:rFonts w:ascii="宋体"/>
                <w:color w:val="auto"/>
                <w:sz w:val="24"/>
                <w:szCs w:val="24"/>
              </w:rPr>
            </w:pPr>
            <w:r>
              <w:rPr>
                <w:rFonts w:ascii="宋体" w:hAnsi="宋体" w:cs="宋体"/>
                <w:color w:val="auto"/>
                <w:sz w:val="24"/>
                <w:szCs w:val="24"/>
              </w:rPr>
              <w:t>2</w:t>
            </w:r>
          </w:p>
        </w:tc>
        <w:tc>
          <w:tcPr>
            <w:tcW w:w="6471" w:type="dxa"/>
            <w:vAlign w:val="center"/>
          </w:tcPr>
          <w:p>
            <w:pPr>
              <w:kinsoku w:val="0"/>
              <w:overflowPunct w:val="0"/>
              <w:adjustRightInd w:val="0"/>
              <w:snapToGrid w:val="0"/>
              <w:spacing w:line="300" w:lineRule="exact"/>
              <w:rPr>
                <w:rFonts w:ascii="宋体"/>
                <w:color w:val="auto"/>
                <w:sz w:val="24"/>
                <w:szCs w:val="24"/>
                <w:highlight w:val="green"/>
              </w:rPr>
            </w:pPr>
            <w:r>
              <w:rPr>
                <w:rFonts w:hint="eastAsia" w:ascii="宋体" w:hAnsi="宋体" w:cs="宋体"/>
                <w:color w:val="auto"/>
                <w:kern w:val="0"/>
                <w:sz w:val="24"/>
                <w:szCs w:val="24"/>
                <w:highlight w:val="green"/>
              </w:rPr>
              <w:t>投标人为省级及以上高新技术企业得</w:t>
            </w:r>
            <w:r>
              <w:rPr>
                <w:rFonts w:ascii="宋体" w:hAnsi="宋体" w:cs="宋体"/>
                <w:color w:val="auto"/>
                <w:kern w:val="0"/>
                <w:sz w:val="24"/>
                <w:szCs w:val="24"/>
                <w:highlight w:val="green"/>
              </w:rPr>
              <w:t>1</w:t>
            </w:r>
            <w:r>
              <w:rPr>
                <w:rFonts w:hint="eastAsia" w:ascii="宋体" w:hAnsi="宋体" w:cs="宋体"/>
                <w:color w:val="auto"/>
                <w:kern w:val="0"/>
                <w:sz w:val="24"/>
                <w:szCs w:val="24"/>
                <w:highlight w:val="green"/>
              </w:rPr>
              <w:t>分，省级或以上科技型企业得</w:t>
            </w:r>
            <w:r>
              <w:rPr>
                <w:rFonts w:ascii="宋体" w:hAnsi="宋体" w:cs="宋体"/>
                <w:color w:val="auto"/>
                <w:kern w:val="0"/>
                <w:sz w:val="24"/>
                <w:szCs w:val="24"/>
                <w:highlight w:val="green"/>
              </w:rPr>
              <w:t>1</w:t>
            </w:r>
            <w:r>
              <w:rPr>
                <w:rFonts w:hint="eastAsia" w:ascii="宋体" w:hAnsi="宋体" w:cs="宋体"/>
                <w:color w:val="auto"/>
                <w:kern w:val="0"/>
                <w:sz w:val="24"/>
                <w:szCs w:val="24"/>
                <w:highlight w:val="green"/>
              </w:rPr>
              <w:t>分。提供有效</w:t>
            </w:r>
            <w:r>
              <w:rPr>
                <w:rFonts w:hint="eastAsia" w:ascii="宋体" w:hAnsi="宋体" w:cs="宋体"/>
                <w:color w:val="auto"/>
                <w:kern w:val="0"/>
                <w:sz w:val="24"/>
                <w:szCs w:val="24"/>
                <w:highlight w:val="green"/>
                <w:lang w:val="en-US" w:eastAsia="zh-CN"/>
              </w:rPr>
              <w:t>证明材料</w:t>
            </w:r>
            <w:r>
              <w:rPr>
                <w:rFonts w:hint="eastAsia" w:ascii="宋体" w:hAnsi="宋体" w:cs="宋体"/>
                <w:color w:val="auto"/>
                <w:kern w:val="0"/>
                <w:sz w:val="24"/>
                <w:szCs w:val="24"/>
                <w:highlight w:val="green"/>
              </w:rPr>
              <w:t>复印件加盖投标人公章</w:t>
            </w:r>
            <w:r>
              <w:rPr>
                <w:rFonts w:hint="eastAsia" w:ascii="宋体" w:hAnsi="宋体" w:cs="宋体"/>
                <w:color w:val="auto"/>
                <w:kern w:val="0"/>
                <w:sz w:val="24"/>
                <w:szCs w:val="24"/>
                <w:highlight w:val="green"/>
                <w:lang w:val="en-US" w:eastAsia="zh-CN"/>
              </w:rPr>
              <w:t>编入投标文件，</w:t>
            </w:r>
            <w:r>
              <w:rPr>
                <w:rFonts w:hint="eastAsia" w:ascii="宋体" w:hAnsi="宋体" w:cs="宋体"/>
                <w:color w:val="auto"/>
                <w:kern w:val="0"/>
                <w:sz w:val="24"/>
                <w:szCs w:val="24"/>
                <w:highlight w:val="green"/>
              </w:rPr>
              <w:t>原件备查</w:t>
            </w:r>
            <w:r>
              <w:rPr>
                <w:rFonts w:hint="eastAsia" w:ascii="宋体" w:hAnsi="宋体" w:cs="宋体"/>
                <w:color w:val="auto"/>
                <w:kern w:val="0"/>
                <w:sz w:val="24"/>
                <w:szCs w:val="24"/>
                <w:highlight w:val="green"/>
                <w:lang w:eastAsia="zh-CN"/>
              </w:rPr>
              <w:t>（</w:t>
            </w:r>
            <w:r>
              <w:rPr>
                <w:rFonts w:hint="eastAsia" w:ascii="宋体" w:hAnsi="宋体" w:cs="宋体"/>
                <w:color w:val="auto"/>
                <w:kern w:val="0"/>
                <w:sz w:val="24"/>
                <w:szCs w:val="24"/>
                <w:highlight w:val="green"/>
                <w:lang w:val="en-US" w:eastAsia="zh-CN"/>
              </w:rPr>
              <w:t>可连同备份文件邮寄）</w:t>
            </w:r>
            <w:r>
              <w:rPr>
                <w:rFonts w:hint="eastAsia" w:ascii="宋体" w:hAnsi="宋体" w:cs="宋体"/>
                <w:color w:val="auto"/>
                <w:kern w:val="0"/>
                <w:sz w:val="24"/>
                <w:szCs w:val="24"/>
                <w:highlight w:val="green"/>
                <w:lang w:eastAsia="zh-CN"/>
              </w:rPr>
              <w:t>，</w:t>
            </w:r>
            <w:r>
              <w:rPr>
                <w:rFonts w:hint="eastAsia" w:ascii="宋体" w:hAnsi="宋体" w:cs="宋体"/>
                <w:color w:val="auto"/>
                <w:kern w:val="0"/>
                <w:sz w:val="24"/>
                <w:szCs w:val="24"/>
                <w:highlight w:val="green"/>
                <w:lang w:val="en-US" w:eastAsia="zh-CN"/>
              </w:rPr>
              <w:t>否则不得分</w:t>
            </w:r>
            <w:r>
              <w:rPr>
                <w:rFonts w:hint="eastAsia" w:ascii="宋体" w:hAnsi="宋体" w:cs="宋体"/>
                <w:color w:val="auto"/>
                <w:kern w:val="0"/>
                <w:sz w:val="24"/>
                <w:szCs w:val="24"/>
                <w:highlight w:val="gre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7" w:type="dxa"/>
            <w:vAlign w:val="center"/>
          </w:tcPr>
          <w:p>
            <w:pPr>
              <w:spacing w:line="300" w:lineRule="exact"/>
              <w:jc w:val="center"/>
              <w:rPr>
                <w:rFonts w:ascii="宋体"/>
                <w:color w:val="auto"/>
                <w:sz w:val="24"/>
                <w:szCs w:val="24"/>
              </w:rPr>
            </w:pPr>
            <w:r>
              <w:rPr>
                <w:rFonts w:ascii="宋体" w:hAnsi="宋体" w:cs="宋体"/>
                <w:color w:val="auto"/>
                <w:sz w:val="24"/>
                <w:szCs w:val="24"/>
              </w:rPr>
              <w:t>5</w:t>
            </w:r>
          </w:p>
        </w:tc>
        <w:tc>
          <w:tcPr>
            <w:tcW w:w="1582"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项目管理班子</w:t>
            </w:r>
          </w:p>
        </w:tc>
        <w:tc>
          <w:tcPr>
            <w:tcW w:w="585" w:type="dxa"/>
            <w:vAlign w:val="center"/>
          </w:tcPr>
          <w:p>
            <w:pPr>
              <w:spacing w:line="300" w:lineRule="exact"/>
              <w:jc w:val="center"/>
              <w:rPr>
                <w:rFonts w:ascii="宋体"/>
                <w:color w:val="auto"/>
                <w:sz w:val="24"/>
                <w:szCs w:val="24"/>
              </w:rPr>
            </w:pPr>
            <w:r>
              <w:rPr>
                <w:rFonts w:ascii="宋体" w:hAnsi="宋体" w:cs="宋体"/>
                <w:color w:val="auto"/>
                <w:sz w:val="24"/>
                <w:szCs w:val="24"/>
              </w:rPr>
              <w:t>9</w:t>
            </w:r>
          </w:p>
        </w:tc>
        <w:tc>
          <w:tcPr>
            <w:tcW w:w="6471" w:type="dxa"/>
            <w:vAlign w:val="center"/>
          </w:tcPr>
          <w:p>
            <w:pPr>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kern w:val="0"/>
                <w:sz w:val="24"/>
                <w:szCs w:val="24"/>
              </w:rPr>
              <w:t>投标人</w:t>
            </w:r>
            <w:r>
              <w:rPr>
                <w:rFonts w:hint="eastAsia" w:ascii="宋体" w:hAnsi="宋体" w:cs="宋体"/>
                <w:color w:val="auto"/>
                <w:sz w:val="24"/>
                <w:szCs w:val="24"/>
              </w:rPr>
              <w:t>拟派项目负责人同时具有环境工程专业</w:t>
            </w:r>
            <w:r>
              <w:rPr>
                <w:rFonts w:hint="eastAsia" w:ascii="宋体" w:hAnsi="宋体" w:cs="宋体"/>
                <w:color w:val="auto"/>
                <w:sz w:val="24"/>
                <w:szCs w:val="24"/>
                <w:lang w:val="en-US" w:eastAsia="zh-CN"/>
              </w:rPr>
              <w:t>中</w:t>
            </w:r>
            <w:r>
              <w:rPr>
                <w:rFonts w:hint="eastAsia" w:ascii="宋体" w:hAnsi="宋体" w:cs="宋体"/>
                <w:color w:val="auto"/>
                <w:sz w:val="24"/>
                <w:szCs w:val="24"/>
              </w:rPr>
              <w:t>级工程师或以上技术职称和注册环保工程师执业资格的，得</w:t>
            </w:r>
            <w:r>
              <w:rPr>
                <w:rFonts w:ascii="宋体" w:hAnsi="宋体" w:cs="宋体"/>
                <w:color w:val="auto"/>
                <w:sz w:val="24"/>
                <w:szCs w:val="24"/>
              </w:rPr>
              <w:t>3</w:t>
            </w:r>
            <w:r>
              <w:rPr>
                <w:rFonts w:hint="eastAsia" w:ascii="宋体" w:hAnsi="宋体" w:cs="宋体"/>
                <w:color w:val="auto"/>
                <w:sz w:val="24"/>
                <w:szCs w:val="24"/>
              </w:rPr>
              <w:t>分，</w:t>
            </w:r>
          </w:p>
          <w:p>
            <w:pPr>
              <w:rPr>
                <w:rFonts w:ascii="宋体"/>
                <w:color w:val="auto"/>
                <w:sz w:val="24"/>
                <w:szCs w:val="24"/>
              </w:rPr>
            </w:pPr>
            <w:r>
              <w:rPr>
                <w:rFonts w:ascii="宋体" w:hAnsi="宋体" w:cs="宋体"/>
                <w:color w:val="auto"/>
                <w:kern w:val="0"/>
                <w:sz w:val="24"/>
                <w:szCs w:val="24"/>
              </w:rPr>
              <w:t>2</w:t>
            </w:r>
            <w:r>
              <w:rPr>
                <w:rFonts w:hint="eastAsia" w:ascii="宋体" w:hAnsi="宋体" w:cs="宋体"/>
                <w:color w:val="auto"/>
                <w:kern w:val="0"/>
                <w:sz w:val="24"/>
                <w:szCs w:val="24"/>
              </w:rPr>
              <w:t>、投标人拟委派技术组成人员具有环境工程专业高级工程师技术职称、注册环保工程师执业资格、注册给排水工程师、注册电气工程师资格的每个得</w:t>
            </w:r>
            <w:r>
              <w:rPr>
                <w:rFonts w:ascii="宋体" w:hAnsi="宋体" w:cs="宋体"/>
                <w:color w:val="auto"/>
                <w:kern w:val="0"/>
                <w:sz w:val="24"/>
                <w:szCs w:val="24"/>
              </w:rPr>
              <w:t>1</w:t>
            </w:r>
            <w:r>
              <w:rPr>
                <w:rFonts w:hint="eastAsia" w:ascii="宋体" w:hAnsi="宋体" w:cs="宋体"/>
                <w:color w:val="auto"/>
                <w:kern w:val="0"/>
                <w:sz w:val="24"/>
                <w:szCs w:val="24"/>
              </w:rPr>
              <w:t>分，每个专业最多得</w:t>
            </w:r>
            <w:r>
              <w:rPr>
                <w:rFonts w:ascii="宋体" w:hAnsi="宋体" w:cs="宋体"/>
                <w:color w:val="auto"/>
                <w:kern w:val="0"/>
                <w:sz w:val="24"/>
                <w:szCs w:val="24"/>
              </w:rPr>
              <w:t>1</w:t>
            </w:r>
            <w:r>
              <w:rPr>
                <w:rFonts w:hint="eastAsia" w:ascii="宋体" w:hAnsi="宋体" w:cs="宋体"/>
                <w:color w:val="auto"/>
                <w:kern w:val="0"/>
                <w:sz w:val="24"/>
                <w:szCs w:val="24"/>
              </w:rPr>
              <w:t>分，最高得</w:t>
            </w:r>
            <w:r>
              <w:rPr>
                <w:rFonts w:ascii="宋体" w:hAnsi="宋体" w:cs="宋体"/>
                <w:color w:val="auto"/>
                <w:kern w:val="0"/>
                <w:sz w:val="24"/>
                <w:szCs w:val="24"/>
              </w:rPr>
              <w:t>4</w:t>
            </w:r>
            <w:r>
              <w:rPr>
                <w:rFonts w:hint="eastAsia" w:ascii="宋体" w:hAnsi="宋体" w:cs="宋体"/>
                <w:color w:val="auto"/>
                <w:kern w:val="0"/>
                <w:sz w:val="24"/>
                <w:szCs w:val="24"/>
              </w:rPr>
              <w:t>分</w:t>
            </w:r>
            <w:r>
              <w:rPr>
                <w:rFonts w:hint="eastAsia" w:ascii="宋体" w:hAnsi="宋体" w:cs="宋体"/>
                <w:color w:val="auto"/>
                <w:sz w:val="24"/>
                <w:szCs w:val="24"/>
              </w:rPr>
              <w:t>。</w:t>
            </w:r>
          </w:p>
          <w:p>
            <w:pPr>
              <w:pStyle w:val="2"/>
              <w:spacing w:line="240" w:lineRule="auto"/>
              <w:jc w:val="left"/>
              <w:rPr>
                <w:rFonts w:eastAsia="宋体"/>
                <w:b w:val="0"/>
                <w:bCs w:val="0"/>
                <w:color w:val="auto"/>
                <w:lang w:val="en-US"/>
              </w:rPr>
            </w:pPr>
            <w:r>
              <w:rPr>
                <w:rFonts w:ascii="宋体" w:hAnsi="宋体" w:eastAsia="宋体" w:cs="宋体"/>
                <w:b w:val="0"/>
                <w:bCs w:val="0"/>
                <w:color w:val="auto"/>
                <w:sz w:val="24"/>
                <w:szCs w:val="24"/>
                <w:lang w:val="en-US"/>
              </w:rPr>
              <w:t>3</w:t>
            </w:r>
            <w:r>
              <w:rPr>
                <w:rFonts w:hint="eastAsia" w:ascii="宋体" w:hAnsi="宋体" w:eastAsia="宋体" w:cs="宋体"/>
                <w:b w:val="0"/>
                <w:bCs w:val="0"/>
                <w:color w:val="auto"/>
                <w:sz w:val="24"/>
                <w:szCs w:val="24"/>
                <w:lang w:val="en-US"/>
              </w:rPr>
              <w:t>、投标人拟委派安全负责人同时具有环境工程专业工程师或以上职称和专职安全员安全生产考核合格证书（</w:t>
            </w:r>
            <w:r>
              <w:rPr>
                <w:rFonts w:ascii="宋体" w:hAnsi="宋体" w:eastAsia="宋体" w:cs="宋体"/>
                <w:b w:val="0"/>
                <w:bCs w:val="0"/>
                <w:color w:val="auto"/>
                <w:sz w:val="24"/>
                <w:szCs w:val="24"/>
                <w:lang w:val="en-US"/>
              </w:rPr>
              <w:t>C</w:t>
            </w:r>
            <w:r>
              <w:rPr>
                <w:rFonts w:hint="eastAsia" w:ascii="宋体" w:hAnsi="宋体" w:eastAsia="宋体" w:cs="宋体"/>
                <w:b w:val="0"/>
                <w:bCs w:val="0"/>
                <w:color w:val="auto"/>
                <w:sz w:val="24"/>
                <w:szCs w:val="24"/>
                <w:lang w:val="en-US"/>
              </w:rPr>
              <w:t>证</w:t>
            </w:r>
            <w:r>
              <w:rPr>
                <w:rFonts w:hint="eastAsia" w:ascii="宋体" w:hAnsi="宋体" w:eastAsia="宋体" w:cs="宋体"/>
                <w:b w:val="0"/>
                <w:bCs w:val="0"/>
                <w:color w:val="auto"/>
                <w:sz w:val="24"/>
                <w:szCs w:val="24"/>
                <w:lang w:val="en-US" w:eastAsia="zh-CN"/>
              </w:rPr>
              <w:t>及以上</w:t>
            </w:r>
            <w:r>
              <w:rPr>
                <w:rFonts w:hint="eastAsia" w:ascii="宋体" w:hAnsi="宋体" w:eastAsia="宋体" w:cs="宋体"/>
                <w:b w:val="0"/>
                <w:bCs w:val="0"/>
                <w:color w:val="auto"/>
                <w:sz w:val="24"/>
                <w:szCs w:val="24"/>
                <w:lang w:val="en-US"/>
              </w:rPr>
              <w:t>）的得</w:t>
            </w:r>
            <w:r>
              <w:rPr>
                <w:rFonts w:ascii="宋体" w:hAnsi="宋体" w:eastAsia="宋体" w:cs="宋体"/>
                <w:b w:val="0"/>
                <w:bCs w:val="0"/>
                <w:color w:val="auto"/>
                <w:sz w:val="24"/>
                <w:szCs w:val="24"/>
                <w:lang w:val="en-US"/>
              </w:rPr>
              <w:t>2</w:t>
            </w:r>
            <w:r>
              <w:rPr>
                <w:rFonts w:hint="eastAsia" w:ascii="宋体" w:hAnsi="宋体" w:eastAsia="宋体" w:cs="宋体"/>
                <w:b w:val="0"/>
                <w:bCs w:val="0"/>
                <w:color w:val="auto"/>
                <w:sz w:val="24"/>
                <w:szCs w:val="24"/>
                <w:lang w:val="en-US"/>
              </w:rPr>
              <w:t>分。</w:t>
            </w:r>
          </w:p>
          <w:p>
            <w:pPr>
              <w:rPr>
                <w:rFonts w:ascii="宋体"/>
                <w:color w:val="auto"/>
                <w:sz w:val="24"/>
                <w:szCs w:val="24"/>
              </w:rPr>
            </w:pPr>
            <w:r>
              <w:rPr>
                <w:rFonts w:hint="eastAsia" w:ascii="宋体" w:hAnsi="宋体" w:cs="宋体"/>
                <w:b/>
                <w:bCs/>
                <w:color w:val="auto"/>
                <w:sz w:val="24"/>
                <w:szCs w:val="24"/>
              </w:rPr>
              <w:t>注：以上人员不能兼任，证书需在有效期内，并提供上述人员开标前</w:t>
            </w:r>
            <w:r>
              <w:rPr>
                <w:rFonts w:ascii="宋体" w:hAnsi="宋体" w:cs="宋体"/>
                <w:b/>
                <w:bCs/>
                <w:color w:val="auto"/>
                <w:sz w:val="24"/>
                <w:szCs w:val="24"/>
              </w:rPr>
              <w:t>6</w:t>
            </w:r>
            <w:r>
              <w:rPr>
                <w:rFonts w:hint="eastAsia" w:ascii="宋体" w:hAnsi="宋体" w:cs="宋体"/>
                <w:b/>
                <w:bCs/>
                <w:color w:val="auto"/>
                <w:sz w:val="24"/>
                <w:szCs w:val="24"/>
              </w:rPr>
              <w:t>个月及以上在投标人单位社保缴费证明核查，</w:t>
            </w:r>
            <w:r>
              <w:rPr>
                <w:rFonts w:hint="eastAsia" w:ascii="宋体" w:hAnsi="宋体" w:cs="宋体"/>
                <w:color w:val="auto"/>
                <w:kern w:val="0"/>
                <w:sz w:val="24"/>
                <w:szCs w:val="24"/>
                <w:highlight w:val="green"/>
              </w:rPr>
              <w:t>提供有效</w:t>
            </w:r>
            <w:r>
              <w:rPr>
                <w:rFonts w:hint="eastAsia" w:ascii="宋体" w:hAnsi="宋体" w:cs="宋体"/>
                <w:color w:val="auto"/>
                <w:kern w:val="0"/>
                <w:sz w:val="24"/>
                <w:szCs w:val="24"/>
                <w:highlight w:val="green"/>
                <w:lang w:val="en-US" w:eastAsia="zh-CN"/>
              </w:rPr>
              <w:t>证明材料</w:t>
            </w:r>
            <w:r>
              <w:rPr>
                <w:rFonts w:hint="eastAsia" w:ascii="宋体" w:hAnsi="宋体" w:cs="宋体"/>
                <w:color w:val="auto"/>
                <w:kern w:val="0"/>
                <w:sz w:val="24"/>
                <w:szCs w:val="24"/>
                <w:highlight w:val="green"/>
              </w:rPr>
              <w:t>复印件加盖投标人公章</w:t>
            </w:r>
            <w:r>
              <w:rPr>
                <w:rFonts w:hint="eastAsia" w:ascii="宋体" w:hAnsi="宋体" w:cs="宋体"/>
                <w:color w:val="auto"/>
                <w:kern w:val="0"/>
                <w:sz w:val="24"/>
                <w:szCs w:val="24"/>
                <w:highlight w:val="green"/>
                <w:lang w:val="en-US" w:eastAsia="zh-CN"/>
              </w:rPr>
              <w:t>编入投标文件，</w:t>
            </w:r>
            <w:r>
              <w:rPr>
                <w:rFonts w:hint="eastAsia" w:ascii="宋体" w:hAnsi="宋体" w:cs="宋体"/>
                <w:color w:val="auto"/>
                <w:kern w:val="0"/>
                <w:sz w:val="24"/>
                <w:szCs w:val="24"/>
                <w:highlight w:val="green"/>
              </w:rPr>
              <w:t>原件备查</w:t>
            </w:r>
            <w:r>
              <w:rPr>
                <w:rFonts w:hint="eastAsia" w:ascii="宋体" w:hAnsi="宋体" w:cs="宋体"/>
                <w:color w:val="auto"/>
                <w:kern w:val="0"/>
                <w:sz w:val="24"/>
                <w:szCs w:val="24"/>
                <w:highlight w:val="green"/>
                <w:lang w:eastAsia="zh-CN"/>
              </w:rPr>
              <w:t>（</w:t>
            </w:r>
            <w:r>
              <w:rPr>
                <w:rFonts w:hint="eastAsia" w:ascii="宋体" w:hAnsi="宋体" w:cs="宋体"/>
                <w:color w:val="auto"/>
                <w:kern w:val="0"/>
                <w:sz w:val="24"/>
                <w:szCs w:val="24"/>
                <w:highlight w:val="green"/>
                <w:lang w:val="en-US" w:eastAsia="zh-CN"/>
              </w:rPr>
              <w:t>可连同备份文件邮寄）</w:t>
            </w:r>
            <w:r>
              <w:rPr>
                <w:rFonts w:hint="eastAsia" w:ascii="宋体" w:hAnsi="宋体" w:cs="宋体"/>
                <w:color w:val="auto"/>
                <w:kern w:val="0"/>
                <w:sz w:val="24"/>
                <w:szCs w:val="24"/>
                <w:highlight w:val="green"/>
                <w:lang w:eastAsia="zh-CN"/>
              </w:rPr>
              <w:t>，</w:t>
            </w:r>
            <w:r>
              <w:rPr>
                <w:rFonts w:hint="eastAsia" w:ascii="宋体" w:hAnsi="宋体" w:cs="宋体"/>
                <w:color w:val="auto"/>
                <w:kern w:val="0"/>
                <w:sz w:val="24"/>
                <w:szCs w:val="24"/>
                <w:highlight w:val="green"/>
                <w:lang w:val="en-US" w:eastAsia="zh-CN"/>
              </w:rPr>
              <w:t>否则不得分</w:t>
            </w:r>
            <w:r>
              <w:rPr>
                <w:rFonts w:hint="eastAsia" w:ascii="宋体" w:hAnsi="宋体" w:cs="宋体"/>
                <w:color w:val="auto"/>
                <w:kern w:val="0"/>
                <w:sz w:val="24"/>
                <w:szCs w:val="24"/>
                <w:highlight w:val="gre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7" w:type="dxa"/>
            <w:vAlign w:val="center"/>
          </w:tcPr>
          <w:p>
            <w:pPr>
              <w:spacing w:line="300" w:lineRule="exact"/>
              <w:jc w:val="center"/>
              <w:rPr>
                <w:rFonts w:ascii="宋体"/>
                <w:color w:val="auto"/>
                <w:sz w:val="24"/>
                <w:szCs w:val="24"/>
              </w:rPr>
            </w:pPr>
            <w:r>
              <w:rPr>
                <w:rFonts w:ascii="宋体" w:hAnsi="宋体" w:cs="宋体"/>
                <w:color w:val="auto"/>
                <w:sz w:val="24"/>
                <w:szCs w:val="24"/>
              </w:rPr>
              <w:t>6</w:t>
            </w:r>
          </w:p>
        </w:tc>
        <w:tc>
          <w:tcPr>
            <w:tcW w:w="1582"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运行方案</w:t>
            </w:r>
          </w:p>
        </w:tc>
        <w:tc>
          <w:tcPr>
            <w:tcW w:w="585" w:type="dxa"/>
            <w:vAlign w:val="center"/>
          </w:tcPr>
          <w:p>
            <w:pPr>
              <w:spacing w:line="300" w:lineRule="exact"/>
              <w:jc w:val="center"/>
              <w:rPr>
                <w:rFonts w:ascii="宋体"/>
                <w:color w:val="auto"/>
                <w:sz w:val="24"/>
                <w:szCs w:val="24"/>
              </w:rPr>
            </w:pPr>
            <w:r>
              <w:rPr>
                <w:rFonts w:ascii="宋体" w:hAnsi="宋体" w:cs="宋体"/>
                <w:color w:val="auto"/>
                <w:sz w:val="24"/>
                <w:szCs w:val="24"/>
              </w:rPr>
              <w:t>40</w:t>
            </w:r>
          </w:p>
        </w:tc>
        <w:tc>
          <w:tcPr>
            <w:tcW w:w="6471" w:type="dxa"/>
            <w:vAlign w:val="center"/>
          </w:tcPr>
          <w:p>
            <w:pPr>
              <w:kinsoku w:val="0"/>
              <w:overflowPunct w:val="0"/>
              <w:adjustRightInd w:val="0"/>
              <w:snapToGrid w:val="0"/>
              <w:ind w:firstLine="240" w:firstLineChars="100"/>
              <w:rPr>
                <w:rFonts w:ascii="宋体"/>
                <w:color w:val="auto"/>
                <w:sz w:val="24"/>
                <w:szCs w:val="24"/>
              </w:rPr>
            </w:pPr>
            <w:r>
              <w:rPr>
                <w:rFonts w:hint="eastAsia" w:ascii="宋体" w:hAnsi="宋体" w:cs="宋体"/>
                <w:color w:val="auto"/>
                <w:sz w:val="24"/>
                <w:szCs w:val="24"/>
              </w:rPr>
              <w:t>运行方案应切合现场运行实际情况，考虑全面，无漏项，管理思路、管理制度、工具配置及巡检记录合理有效，能保证出水水质及水量。包括但不仅限于：</w:t>
            </w:r>
          </w:p>
          <w:p>
            <w:pPr>
              <w:numPr>
                <w:ilvl w:val="0"/>
                <w:numId w:val="3"/>
              </w:numPr>
              <w:kinsoku w:val="0"/>
              <w:overflowPunct w:val="0"/>
              <w:adjustRightInd w:val="0"/>
              <w:snapToGrid w:val="0"/>
              <w:ind w:firstLine="240" w:firstLineChars="100"/>
              <w:rPr>
                <w:rFonts w:ascii="宋体"/>
                <w:color w:val="auto"/>
                <w:sz w:val="24"/>
                <w:szCs w:val="24"/>
              </w:rPr>
            </w:pPr>
            <w:r>
              <w:rPr>
                <w:rFonts w:hint="eastAsia" w:ascii="宋体" w:hAnsi="宋体" w:cs="宋体"/>
                <w:color w:val="auto"/>
                <w:sz w:val="24"/>
                <w:szCs w:val="24"/>
              </w:rPr>
              <w:t>运营组织架构评分（</w:t>
            </w:r>
            <w:r>
              <w:rPr>
                <w:rFonts w:ascii="宋体" w:cs="宋体"/>
                <w:color w:val="auto"/>
                <w:sz w:val="24"/>
                <w:szCs w:val="24"/>
              </w:rPr>
              <w:t>0-</w:t>
            </w:r>
            <w:r>
              <w:rPr>
                <w:rFonts w:ascii="宋体" w:hAnsi="宋体" w:cs="宋体"/>
                <w:color w:val="auto"/>
                <w:sz w:val="24"/>
                <w:szCs w:val="24"/>
              </w:rPr>
              <w:t>4</w:t>
            </w:r>
            <w:r>
              <w:rPr>
                <w:rFonts w:hint="eastAsia" w:ascii="宋体" w:hAnsi="宋体" w:cs="宋体"/>
                <w:color w:val="auto"/>
                <w:sz w:val="24"/>
                <w:szCs w:val="24"/>
              </w:rPr>
              <w:t>）</w:t>
            </w:r>
          </w:p>
          <w:p>
            <w:pPr>
              <w:pStyle w:val="2"/>
              <w:spacing w:line="240" w:lineRule="auto"/>
              <w:jc w:val="both"/>
              <w:rPr>
                <w:rFonts w:eastAsia="宋体"/>
                <w:b w:val="0"/>
                <w:bCs w:val="0"/>
                <w:color w:val="auto"/>
                <w:sz w:val="24"/>
                <w:szCs w:val="24"/>
                <w:lang w:val="en-US"/>
              </w:rPr>
            </w:pPr>
            <w:r>
              <w:rPr>
                <w:rFonts w:hint="eastAsia" w:ascii="宋体" w:hAnsi="宋体" w:eastAsia="宋体" w:cs="宋体"/>
                <w:b w:val="0"/>
                <w:bCs w:val="0"/>
                <w:color w:val="auto"/>
                <w:sz w:val="24"/>
                <w:szCs w:val="24"/>
                <w:lang w:val="en-US"/>
              </w:rPr>
              <w:t>有明确的组织架构并有明确的运营组织架构方式、方法得</w:t>
            </w:r>
            <w:r>
              <w:rPr>
                <w:rFonts w:ascii="宋体" w:hAnsi="宋体" w:eastAsia="宋体" w:cs="宋体"/>
                <w:b w:val="0"/>
                <w:bCs w:val="0"/>
                <w:color w:val="auto"/>
                <w:sz w:val="24"/>
                <w:szCs w:val="24"/>
                <w:lang w:val="en-US"/>
              </w:rPr>
              <w:t>2-4</w:t>
            </w:r>
            <w:r>
              <w:rPr>
                <w:rFonts w:hint="eastAsia" w:ascii="宋体" w:hAnsi="宋体" w:eastAsia="宋体" w:cs="宋体"/>
                <w:b w:val="0"/>
                <w:bCs w:val="0"/>
                <w:color w:val="auto"/>
                <w:sz w:val="24"/>
                <w:szCs w:val="24"/>
                <w:lang w:val="en-US"/>
              </w:rPr>
              <w:t>分，有比较明确的组织架构及运营组织方案的</w:t>
            </w:r>
            <w:r>
              <w:rPr>
                <w:rFonts w:ascii="宋体" w:hAnsi="宋体" w:eastAsia="宋体" w:cs="宋体"/>
                <w:b w:val="0"/>
                <w:bCs w:val="0"/>
                <w:color w:val="auto"/>
                <w:sz w:val="24"/>
                <w:szCs w:val="24"/>
                <w:lang w:val="en-US"/>
              </w:rPr>
              <w:t>0.1-1.9</w:t>
            </w:r>
            <w:r>
              <w:rPr>
                <w:rFonts w:hint="eastAsia" w:ascii="宋体" w:hAnsi="宋体" w:eastAsia="宋体" w:cs="宋体"/>
                <w:b w:val="0"/>
                <w:bCs w:val="0"/>
                <w:color w:val="auto"/>
                <w:sz w:val="24"/>
                <w:szCs w:val="24"/>
                <w:lang w:val="en-US"/>
              </w:rPr>
              <w:t>分。未提供不得分。</w:t>
            </w:r>
          </w:p>
          <w:p>
            <w:pPr>
              <w:numPr>
                <w:ilvl w:val="0"/>
                <w:numId w:val="3"/>
              </w:numPr>
              <w:kinsoku w:val="0"/>
              <w:overflowPunct w:val="0"/>
              <w:adjustRightInd w:val="0"/>
              <w:snapToGrid w:val="0"/>
              <w:ind w:firstLine="240" w:firstLineChars="100"/>
              <w:rPr>
                <w:rFonts w:ascii="宋体"/>
                <w:color w:val="auto"/>
                <w:sz w:val="24"/>
                <w:szCs w:val="24"/>
              </w:rPr>
            </w:pPr>
            <w:r>
              <w:rPr>
                <w:rFonts w:hint="eastAsia" w:ascii="宋体" w:hAnsi="宋体" w:cs="宋体"/>
                <w:color w:val="auto"/>
                <w:sz w:val="24"/>
                <w:szCs w:val="24"/>
              </w:rPr>
              <w:t>运行质量保证措施评分（</w:t>
            </w:r>
            <w:r>
              <w:rPr>
                <w:rFonts w:ascii="宋体" w:cs="宋体"/>
                <w:color w:val="auto"/>
                <w:sz w:val="24"/>
                <w:szCs w:val="24"/>
              </w:rPr>
              <w:t>0-</w:t>
            </w:r>
            <w:r>
              <w:rPr>
                <w:rFonts w:ascii="宋体" w:hAnsi="宋体" w:cs="宋体"/>
                <w:color w:val="auto"/>
                <w:sz w:val="24"/>
                <w:szCs w:val="24"/>
              </w:rPr>
              <w:t>4</w:t>
            </w:r>
            <w:r>
              <w:rPr>
                <w:rFonts w:hint="eastAsia" w:ascii="宋体" w:hAnsi="宋体" w:cs="宋体"/>
                <w:color w:val="auto"/>
                <w:sz w:val="24"/>
                <w:szCs w:val="24"/>
              </w:rPr>
              <w:t>）</w:t>
            </w:r>
          </w:p>
          <w:p>
            <w:pPr>
              <w:kinsoku w:val="0"/>
              <w:overflowPunct w:val="0"/>
              <w:adjustRightInd w:val="0"/>
              <w:snapToGrid w:val="0"/>
              <w:ind w:firstLine="480" w:firstLineChars="200"/>
              <w:rPr>
                <w:rFonts w:ascii="宋体"/>
                <w:color w:val="auto"/>
                <w:sz w:val="24"/>
                <w:szCs w:val="24"/>
              </w:rPr>
            </w:pPr>
            <w:r>
              <w:rPr>
                <w:rFonts w:hint="eastAsia" w:ascii="宋体" w:hAnsi="宋体" w:cs="宋体"/>
                <w:color w:val="auto"/>
                <w:sz w:val="24"/>
                <w:szCs w:val="24"/>
              </w:rPr>
              <w:t>有明确的运行质量保证措施，质量保证措施针对项目运行展开，有具体的方式方法得</w:t>
            </w:r>
            <w:r>
              <w:rPr>
                <w:rFonts w:ascii="宋体" w:hAnsi="宋体" w:cs="宋体"/>
                <w:color w:val="auto"/>
                <w:sz w:val="24"/>
                <w:szCs w:val="24"/>
              </w:rPr>
              <w:t>2-4</w:t>
            </w:r>
            <w:r>
              <w:rPr>
                <w:rFonts w:hint="eastAsia" w:ascii="宋体" w:hAnsi="宋体" w:cs="宋体"/>
                <w:color w:val="auto"/>
                <w:sz w:val="24"/>
                <w:szCs w:val="24"/>
              </w:rPr>
              <w:t>分，有较明确的质量保证措施，但未详细阐述得</w:t>
            </w:r>
            <w:r>
              <w:rPr>
                <w:rFonts w:ascii="宋体" w:hAnsi="宋体" w:cs="宋体"/>
                <w:color w:val="auto"/>
                <w:sz w:val="24"/>
                <w:szCs w:val="24"/>
              </w:rPr>
              <w:t>0.1-1.9</w:t>
            </w:r>
            <w:r>
              <w:rPr>
                <w:rFonts w:hint="eastAsia" w:ascii="宋体" w:hAnsi="宋体" w:cs="宋体"/>
                <w:color w:val="auto"/>
                <w:sz w:val="24"/>
                <w:szCs w:val="24"/>
              </w:rPr>
              <w:t>分。未提供不得分。</w:t>
            </w:r>
          </w:p>
          <w:p>
            <w:pPr>
              <w:numPr>
                <w:ilvl w:val="0"/>
                <w:numId w:val="3"/>
              </w:numPr>
              <w:kinsoku w:val="0"/>
              <w:overflowPunct w:val="0"/>
              <w:adjustRightInd w:val="0"/>
              <w:snapToGrid w:val="0"/>
              <w:ind w:firstLine="240" w:firstLineChars="100"/>
              <w:rPr>
                <w:rFonts w:ascii="宋体"/>
                <w:color w:val="auto"/>
                <w:sz w:val="24"/>
                <w:szCs w:val="24"/>
              </w:rPr>
            </w:pPr>
            <w:r>
              <w:rPr>
                <w:rFonts w:hint="eastAsia" w:ascii="宋体" w:hAnsi="宋体" w:cs="宋体"/>
                <w:color w:val="auto"/>
                <w:sz w:val="24"/>
                <w:szCs w:val="24"/>
              </w:rPr>
              <w:t>内部管理规章制度评分（</w:t>
            </w:r>
            <w:r>
              <w:rPr>
                <w:rFonts w:ascii="宋体" w:cs="宋体"/>
                <w:color w:val="auto"/>
                <w:sz w:val="24"/>
                <w:szCs w:val="24"/>
              </w:rPr>
              <w:t>0-</w:t>
            </w:r>
            <w:r>
              <w:rPr>
                <w:rFonts w:ascii="宋体" w:hAnsi="宋体" w:cs="宋体"/>
                <w:color w:val="auto"/>
                <w:sz w:val="24"/>
                <w:szCs w:val="24"/>
              </w:rPr>
              <w:t>3</w:t>
            </w:r>
            <w:r>
              <w:rPr>
                <w:rFonts w:hint="eastAsia" w:ascii="宋体" w:hAnsi="宋体" w:cs="宋体"/>
                <w:color w:val="auto"/>
                <w:sz w:val="24"/>
                <w:szCs w:val="24"/>
              </w:rPr>
              <w:t>）</w:t>
            </w:r>
          </w:p>
          <w:p>
            <w:pPr>
              <w:kinsoku w:val="0"/>
              <w:overflowPunct w:val="0"/>
              <w:adjustRightInd w:val="0"/>
              <w:snapToGrid w:val="0"/>
              <w:ind w:firstLine="480" w:firstLineChars="200"/>
              <w:rPr>
                <w:rFonts w:ascii="宋体"/>
                <w:color w:val="auto"/>
                <w:sz w:val="24"/>
                <w:szCs w:val="24"/>
              </w:rPr>
            </w:pPr>
            <w:r>
              <w:rPr>
                <w:rFonts w:hint="eastAsia" w:ascii="宋体" w:hAnsi="宋体" w:cs="宋体"/>
                <w:color w:val="auto"/>
                <w:sz w:val="24"/>
                <w:szCs w:val="24"/>
              </w:rPr>
              <w:t>内部管理制度健全、有明确的奖惩措施得</w:t>
            </w:r>
            <w:r>
              <w:rPr>
                <w:rFonts w:ascii="宋体" w:hAnsi="宋体" w:cs="宋体"/>
                <w:color w:val="auto"/>
                <w:sz w:val="24"/>
                <w:szCs w:val="24"/>
              </w:rPr>
              <w:t>2-3</w:t>
            </w:r>
            <w:r>
              <w:rPr>
                <w:rFonts w:hint="eastAsia" w:ascii="宋体" w:hAnsi="宋体" w:cs="宋体"/>
                <w:color w:val="auto"/>
                <w:sz w:val="24"/>
                <w:szCs w:val="24"/>
              </w:rPr>
              <w:t>分，有管理制度，但内容不够详尽得</w:t>
            </w:r>
            <w:r>
              <w:rPr>
                <w:rFonts w:ascii="宋体" w:hAnsi="宋体" w:cs="宋体"/>
                <w:color w:val="auto"/>
                <w:sz w:val="24"/>
                <w:szCs w:val="24"/>
              </w:rPr>
              <w:t>0.1-1.9</w:t>
            </w:r>
            <w:r>
              <w:rPr>
                <w:rFonts w:hint="eastAsia" w:ascii="宋体" w:hAnsi="宋体" w:cs="宋体"/>
                <w:color w:val="auto"/>
                <w:sz w:val="24"/>
                <w:szCs w:val="24"/>
              </w:rPr>
              <w:t>分。未提供不得分。</w:t>
            </w:r>
          </w:p>
          <w:p>
            <w:pPr>
              <w:numPr>
                <w:ilvl w:val="0"/>
                <w:numId w:val="3"/>
              </w:numPr>
              <w:kinsoku w:val="0"/>
              <w:overflowPunct w:val="0"/>
              <w:adjustRightInd w:val="0"/>
              <w:snapToGrid w:val="0"/>
              <w:ind w:firstLine="240" w:firstLineChars="100"/>
              <w:rPr>
                <w:rFonts w:ascii="宋体"/>
                <w:color w:val="auto"/>
                <w:sz w:val="24"/>
                <w:szCs w:val="24"/>
              </w:rPr>
            </w:pPr>
            <w:r>
              <w:rPr>
                <w:rFonts w:hint="eastAsia" w:ascii="宋体" w:hAnsi="宋体" w:cs="宋体"/>
                <w:color w:val="auto"/>
                <w:sz w:val="24"/>
                <w:szCs w:val="24"/>
              </w:rPr>
              <w:t>材料更换与设备检修计划评分（</w:t>
            </w:r>
            <w:r>
              <w:rPr>
                <w:rFonts w:ascii="宋体" w:cs="宋体"/>
                <w:color w:val="auto"/>
                <w:sz w:val="24"/>
                <w:szCs w:val="24"/>
              </w:rPr>
              <w:t>0-</w:t>
            </w:r>
            <w:r>
              <w:rPr>
                <w:rFonts w:ascii="宋体" w:hAnsi="宋体" w:cs="宋体"/>
                <w:color w:val="auto"/>
                <w:sz w:val="24"/>
                <w:szCs w:val="24"/>
              </w:rPr>
              <w:t>4</w:t>
            </w:r>
            <w:r>
              <w:rPr>
                <w:rFonts w:hint="eastAsia" w:ascii="宋体" w:hAnsi="宋体" w:cs="宋体"/>
                <w:color w:val="auto"/>
                <w:sz w:val="24"/>
                <w:szCs w:val="24"/>
              </w:rPr>
              <w:t>）</w:t>
            </w:r>
          </w:p>
          <w:p>
            <w:pPr>
              <w:kinsoku w:val="0"/>
              <w:overflowPunct w:val="0"/>
              <w:adjustRightInd w:val="0"/>
              <w:snapToGrid w:val="0"/>
              <w:ind w:firstLine="480" w:firstLineChars="200"/>
              <w:rPr>
                <w:rFonts w:ascii="宋体"/>
                <w:color w:val="auto"/>
                <w:sz w:val="24"/>
                <w:szCs w:val="24"/>
              </w:rPr>
            </w:pPr>
            <w:r>
              <w:rPr>
                <w:rFonts w:hint="eastAsia" w:ascii="宋体" w:hAnsi="宋体" w:cs="宋体"/>
                <w:color w:val="auto"/>
                <w:sz w:val="24"/>
                <w:szCs w:val="24"/>
              </w:rPr>
              <w:t>材料更换要求符合实际、检修计划详细、明确的时间节点以及明确的人员安排得</w:t>
            </w:r>
            <w:r>
              <w:rPr>
                <w:rFonts w:ascii="宋体" w:hAnsi="宋体" w:cs="宋体"/>
                <w:color w:val="auto"/>
                <w:sz w:val="24"/>
                <w:szCs w:val="24"/>
              </w:rPr>
              <w:t>2-4</w:t>
            </w:r>
            <w:r>
              <w:rPr>
                <w:rFonts w:hint="eastAsia" w:ascii="宋体" w:hAnsi="宋体" w:cs="宋体"/>
                <w:color w:val="auto"/>
                <w:sz w:val="24"/>
                <w:szCs w:val="24"/>
              </w:rPr>
              <w:t>分，有提供材料更换方案及设备检修计划，但方案内容描述简略得</w:t>
            </w:r>
            <w:r>
              <w:rPr>
                <w:rFonts w:ascii="宋体" w:hAnsi="宋体" w:cs="宋体"/>
                <w:color w:val="auto"/>
                <w:sz w:val="24"/>
                <w:szCs w:val="24"/>
              </w:rPr>
              <w:t>0-1.9</w:t>
            </w:r>
            <w:r>
              <w:rPr>
                <w:rFonts w:hint="eastAsia" w:ascii="宋体" w:hAnsi="宋体" w:cs="宋体"/>
                <w:color w:val="auto"/>
                <w:sz w:val="24"/>
                <w:szCs w:val="24"/>
              </w:rPr>
              <w:t>分。</w:t>
            </w:r>
          </w:p>
          <w:p>
            <w:pPr>
              <w:numPr>
                <w:ilvl w:val="0"/>
                <w:numId w:val="3"/>
              </w:numPr>
              <w:kinsoku w:val="0"/>
              <w:overflowPunct w:val="0"/>
              <w:adjustRightInd w:val="0"/>
              <w:snapToGrid w:val="0"/>
              <w:ind w:firstLine="240" w:firstLineChars="100"/>
              <w:rPr>
                <w:rFonts w:ascii="宋体"/>
                <w:color w:val="auto"/>
                <w:sz w:val="24"/>
                <w:szCs w:val="24"/>
              </w:rPr>
            </w:pPr>
            <w:r>
              <w:rPr>
                <w:rFonts w:hint="eastAsia" w:ascii="宋体" w:hAnsi="宋体" w:cs="宋体"/>
                <w:color w:val="auto"/>
                <w:sz w:val="24"/>
                <w:szCs w:val="24"/>
              </w:rPr>
              <w:t>运行与环境监测计划进行评价（</w:t>
            </w:r>
            <w:r>
              <w:rPr>
                <w:rFonts w:ascii="宋体" w:cs="宋体"/>
                <w:color w:val="auto"/>
                <w:sz w:val="24"/>
                <w:szCs w:val="24"/>
              </w:rPr>
              <w:t>0-</w:t>
            </w:r>
            <w:r>
              <w:rPr>
                <w:rFonts w:ascii="宋体" w:hAnsi="宋体" w:cs="宋体"/>
                <w:color w:val="auto"/>
                <w:sz w:val="24"/>
                <w:szCs w:val="24"/>
              </w:rPr>
              <w:t>4</w:t>
            </w:r>
            <w:r>
              <w:rPr>
                <w:rFonts w:hint="eastAsia" w:ascii="宋体" w:hAnsi="宋体" w:cs="宋体"/>
                <w:color w:val="auto"/>
                <w:sz w:val="24"/>
                <w:szCs w:val="24"/>
              </w:rPr>
              <w:t>）</w:t>
            </w:r>
          </w:p>
          <w:p>
            <w:pPr>
              <w:pStyle w:val="2"/>
              <w:spacing w:line="240" w:lineRule="auto"/>
              <w:ind w:firstLine="480" w:firstLineChars="200"/>
              <w:jc w:val="both"/>
              <w:rPr>
                <w:b w:val="0"/>
                <w:bCs w:val="0"/>
                <w:color w:val="auto"/>
                <w:lang w:val="en-US"/>
              </w:rPr>
            </w:pPr>
            <w:r>
              <w:rPr>
                <w:rFonts w:hint="eastAsia" w:ascii="宋体" w:hAnsi="宋体" w:eastAsia="宋体" w:cs="宋体"/>
                <w:b w:val="0"/>
                <w:bCs w:val="0"/>
                <w:color w:val="auto"/>
                <w:kern w:val="2"/>
                <w:sz w:val="24"/>
                <w:szCs w:val="24"/>
                <w:lang w:val="en-US"/>
              </w:rPr>
              <w:t>有明确的运行与环境监测计划，计划涵盖具体的时间、监测措施，内容详细、叙述符合实际得</w:t>
            </w:r>
            <w:r>
              <w:rPr>
                <w:rFonts w:ascii="宋体" w:hAnsi="宋体" w:eastAsia="宋体" w:cs="宋体"/>
                <w:b w:val="0"/>
                <w:bCs w:val="0"/>
                <w:color w:val="auto"/>
                <w:kern w:val="2"/>
                <w:sz w:val="24"/>
                <w:szCs w:val="24"/>
                <w:lang w:val="en-US"/>
              </w:rPr>
              <w:t>2-4</w:t>
            </w:r>
            <w:r>
              <w:rPr>
                <w:rFonts w:hint="eastAsia" w:ascii="宋体" w:hAnsi="宋体" w:eastAsia="宋体" w:cs="宋体"/>
                <w:b w:val="0"/>
                <w:bCs w:val="0"/>
                <w:color w:val="auto"/>
                <w:kern w:val="2"/>
                <w:sz w:val="24"/>
                <w:szCs w:val="24"/>
                <w:lang w:val="en-US"/>
              </w:rPr>
              <w:t>分，有较明确的方案，但内容未详细列明得</w:t>
            </w:r>
            <w:r>
              <w:rPr>
                <w:rFonts w:ascii="宋体" w:hAnsi="宋体" w:eastAsia="宋体" w:cs="宋体"/>
                <w:b w:val="0"/>
                <w:bCs w:val="0"/>
                <w:color w:val="auto"/>
                <w:kern w:val="2"/>
                <w:sz w:val="24"/>
                <w:szCs w:val="24"/>
                <w:lang w:val="en-US"/>
              </w:rPr>
              <w:t>0-1.9</w:t>
            </w:r>
            <w:r>
              <w:rPr>
                <w:rFonts w:hint="eastAsia" w:ascii="宋体" w:hAnsi="宋体" w:eastAsia="宋体" w:cs="宋体"/>
                <w:b w:val="0"/>
                <w:bCs w:val="0"/>
                <w:color w:val="auto"/>
                <w:kern w:val="2"/>
                <w:sz w:val="24"/>
                <w:szCs w:val="24"/>
                <w:lang w:val="en-US"/>
              </w:rPr>
              <w:t>分。</w:t>
            </w:r>
          </w:p>
          <w:p>
            <w:pPr>
              <w:kinsoku w:val="0"/>
              <w:overflowPunct w:val="0"/>
              <w:adjustRightInd w:val="0"/>
              <w:snapToGrid w:val="0"/>
              <w:ind w:firstLine="240" w:firstLineChars="100"/>
              <w:rPr>
                <w:rFonts w:ascii="宋体"/>
                <w:color w:val="auto"/>
                <w:sz w:val="24"/>
                <w:szCs w:val="24"/>
              </w:rPr>
            </w:pPr>
          </w:p>
          <w:p>
            <w:pPr>
              <w:numPr>
                <w:ilvl w:val="0"/>
                <w:numId w:val="3"/>
              </w:numPr>
              <w:kinsoku w:val="0"/>
              <w:overflowPunct w:val="0"/>
              <w:adjustRightInd w:val="0"/>
              <w:snapToGrid w:val="0"/>
              <w:ind w:firstLine="240" w:firstLineChars="100"/>
              <w:rPr>
                <w:rFonts w:ascii="宋体"/>
                <w:color w:val="auto"/>
                <w:sz w:val="24"/>
                <w:szCs w:val="24"/>
              </w:rPr>
            </w:pPr>
            <w:r>
              <w:rPr>
                <w:rFonts w:hint="eastAsia" w:ascii="宋体" w:hAnsi="宋体" w:cs="宋体"/>
                <w:color w:val="auto"/>
                <w:sz w:val="24"/>
                <w:szCs w:val="24"/>
              </w:rPr>
              <w:t>安全保障计划评分（</w:t>
            </w:r>
            <w:r>
              <w:rPr>
                <w:rFonts w:ascii="宋体" w:cs="宋体"/>
                <w:color w:val="auto"/>
                <w:sz w:val="24"/>
                <w:szCs w:val="24"/>
              </w:rPr>
              <w:t>0-</w:t>
            </w:r>
            <w:r>
              <w:rPr>
                <w:rFonts w:ascii="宋体" w:hAnsi="宋体" w:cs="宋体"/>
                <w:color w:val="auto"/>
                <w:sz w:val="24"/>
                <w:szCs w:val="24"/>
              </w:rPr>
              <w:t>4</w:t>
            </w:r>
            <w:r>
              <w:rPr>
                <w:rFonts w:hint="eastAsia" w:ascii="宋体" w:hAnsi="宋体" w:cs="宋体"/>
                <w:color w:val="auto"/>
                <w:sz w:val="24"/>
                <w:szCs w:val="24"/>
              </w:rPr>
              <w:t>）</w:t>
            </w:r>
          </w:p>
          <w:p>
            <w:pPr>
              <w:pStyle w:val="2"/>
              <w:spacing w:line="240" w:lineRule="auto"/>
              <w:ind w:firstLine="480" w:firstLineChars="200"/>
              <w:jc w:val="both"/>
              <w:rPr>
                <w:rFonts w:ascii="宋体" w:hAnsi="宋体" w:eastAsia="宋体"/>
                <w:b w:val="0"/>
                <w:bCs w:val="0"/>
                <w:color w:val="auto"/>
                <w:kern w:val="2"/>
                <w:sz w:val="24"/>
                <w:szCs w:val="24"/>
                <w:lang w:val="en-US"/>
              </w:rPr>
            </w:pPr>
            <w:r>
              <w:rPr>
                <w:rFonts w:hint="eastAsia" w:ascii="宋体" w:hAnsi="宋体" w:eastAsia="宋体" w:cs="宋体"/>
                <w:b w:val="0"/>
                <w:bCs w:val="0"/>
                <w:color w:val="auto"/>
                <w:kern w:val="2"/>
                <w:sz w:val="24"/>
                <w:szCs w:val="24"/>
                <w:lang w:val="en-US"/>
              </w:rPr>
              <w:t>有明确得安全保障计划，计划内容能全面列明会产生的安全问题及针对性的解决措施与工作计划得</w:t>
            </w:r>
            <w:r>
              <w:rPr>
                <w:rFonts w:ascii="宋体" w:hAnsi="宋体" w:eastAsia="宋体" w:cs="宋体"/>
                <w:b w:val="0"/>
                <w:bCs w:val="0"/>
                <w:color w:val="auto"/>
                <w:kern w:val="2"/>
                <w:sz w:val="24"/>
                <w:szCs w:val="24"/>
                <w:lang w:val="en-US"/>
              </w:rPr>
              <w:t>2-4</w:t>
            </w:r>
            <w:r>
              <w:rPr>
                <w:rFonts w:hint="eastAsia" w:ascii="宋体" w:hAnsi="宋体" w:eastAsia="宋体" w:cs="宋体"/>
                <w:b w:val="0"/>
                <w:bCs w:val="0"/>
                <w:color w:val="auto"/>
                <w:kern w:val="2"/>
                <w:sz w:val="24"/>
                <w:szCs w:val="24"/>
                <w:lang w:val="en-US"/>
              </w:rPr>
              <w:t>分，有安全保障计划，但未结合项目实际得</w:t>
            </w:r>
            <w:r>
              <w:rPr>
                <w:rFonts w:ascii="宋体" w:hAnsi="宋体" w:eastAsia="宋体" w:cs="宋体"/>
                <w:b w:val="0"/>
                <w:bCs w:val="0"/>
                <w:color w:val="auto"/>
                <w:kern w:val="2"/>
                <w:sz w:val="24"/>
                <w:szCs w:val="24"/>
                <w:lang w:val="en-US"/>
              </w:rPr>
              <w:t>0.1-1.9</w:t>
            </w:r>
            <w:r>
              <w:rPr>
                <w:rFonts w:hint="eastAsia" w:ascii="宋体" w:hAnsi="宋体" w:eastAsia="宋体" w:cs="宋体"/>
                <w:b w:val="0"/>
                <w:bCs w:val="0"/>
                <w:color w:val="auto"/>
                <w:kern w:val="2"/>
                <w:sz w:val="24"/>
                <w:szCs w:val="24"/>
                <w:lang w:val="en-US"/>
              </w:rPr>
              <w:t>分，未提供不得分。</w:t>
            </w:r>
          </w:p>
          <w:p>
            <w:pPr>
              <w:numPr>
                <w:ilvl w:val="0"/>
                <w:numId w:val="3"/>
              </w:numPr>
              <w:kinsoku w:val="0"/>
              <w:overflowPunct w:val="0"/>
              <w:adjustRightInd w:val="0"/>
              <w:snapToGrid w:val="0"/>
              <w:ind w:firstLine="240" w:firstLineChars="100"/>
              <w:rPr>
                <w:rFonts w:ascii="宋体"/>
                <w:color w:val="auto"/>
                <w:sz w:val="24"/>
                <w:szCs w:val="24"/>
              </w:rPr>
            </w:pPr>
            <w:r>
              <w:rPr>
                <w:rFonts w:hint="eastAsia" w:ascii="宋体" w:hAnsi="宋体" w:cs="宋体"/>
                <w:color w:val="auto"/>
                <w:sz w:val="24"/>
                <w:szCs w:val="24"/>
              </w:rPr>
              <w:t>技术方案进行评分（</w:t>
            </w:r>
            <w:r>
              <w:rPr>
                <w:rFonts w:ascii="宋体" w:hAnsi="宋体" w:cs="宋体"/>
                <w:color w:val="auto"/>
                <w:sz w:val="24"/>
                <w:szCs w:val="24"/>
              </w:rPr>
              <w:t>0-6</w:t>
            </w:r>
            <w:r>
              <w:rPr>
                <w:rFonts w:hint="eastAsia" w:ascii="宋体" w:hAnsi="宋体" w:cs="宋体"/>
                <w:color w:val="auto"/>
                <w:sz w:val="24"/>
                <w:szCs w:val="24"/>
              </w:rPr>
              <w:t>）</w:t>
            </w:r>
          </w:p>
          <w:p>
            <w:pPr>
              <w:kinsoku w:val="0"/>
              <w:overflowPunct w:val="0"/>
              <w:adjustRightInd w:val="0"/>
              <w:snapToGrid w:val="0"/>
              <w:ind w:firstLine="480" w:firstLineChars="200"/>
              <w:rPr>
                <w:rFonts w:ascii="宋体"/>
                <w:color w:val="auto"/>
                <w:sz w:val="24"/>
                <w:szCs w:val="24"/>
              </w:rPr>
            </w:pPr>
            <w:r>
              <w:rPr>
                <w:rFonts w:hint="eastAsia" w:ascii="宋体" w:hAnsi="宋体" w:cs="宋体"/>
                <w:color w:val="auto"/>
                <w:sz w:val="24"/>
                <w:szCs w:val="24"/>
              </w:rPr>
              <w:t>方案内容齐全、所提方案能适应</w:t>
            </w:r>
            <w:r>
              <w:rPr>
                <w:rFonts w:hint="eastAsia" w:ascii="宋体" w:hAnsi="宋体" w:cs="宋体"/>
                <w:color w:val="auto"/>
                <w:sz w:val="24"/>
                <w:szCs w:val="24"/>
                <w:highlight w:val="none"/>
              </w:rPr>
              <w:t>进水水量</w:t>
            </w:r>
            <w:r>
              <w:rPr>
                <w:rFonts w:hint="eastAsia" w:ascii="宋体" w:hAnsi="宋体" w:cs="宋体"/>
                <w:color w:val="auto"/>
                <w:sz w:val="24"/>
                <w:szCs w:val="24"/>
              </w:rPr>
              <w:t>、水质的变化，治理及工艺采用行业内成熟技术得</w:t>
            </w:r>
            <w:r>
              <w:rPr>
                <w:rFonts w:ascii="宋体" w:hAnsi="宋体" w:cs="宋体"/>
                <w:color w:val="auto"/>
                <w:sz w:val="24"/>
                <w:szCs w:val="24"/>
              </w:rPr>
              <w:t>4-6</w:t>
            </w:r>
            <w:r>
              <w:rPr>
                <w:rFonts w:hint="eastAsia" w:ascii="宋体" w:hAnsi="宋体" w:cs="宋体"/>
                <w:color w:val="auto"/>
                <w:sz w:val="24"/>
                <w:szCs w:val="24"/>
              </w:rPr>
              <w:t>分，方案内容基本齐全，基本满足进水水量、水质变化要求，治理技术及工艺水平较低得</w:t>
            </w:r>
            <w:r>
              <w:rPr>
                <w:rFonts w:ascii="宋体" w:hAnsi="宋体" w:cs="宋体"/>
                <w:color w:val="auto"/>
                <w:sz w:val="24"/>
                <w:szCs w:val="24"/>
              </w:rPr>
              <w:t>0.1-3.9</w:t>
            </w:r>
            <w:r>
              <w:rPr>
                <w:rFonts w:hint="eastAsia" w:ascii="宋体" w:hAnsi="宋体" w:cs="宋体"/>
                <w:color w:val="auto"/>
                <w:sz w:val="24"/>
                <w:szCs w:val="24"/>
              </w:rPr>
              <w:t>分。</w:t>
            </w:r>
          </w:p>
          <w:p>
            <w:pPr>
              <w:numPr>
                <w:ilvl w:val="0"/>
                <w:numId w:val="3"/>
              </w:numPr>
              <w:kinsoku w:val="0"/>
              <w:overflowPunct w:val="0"/>
              <w:adjustRightInd w:val="0"/>
              <w:snapToGrid w:val="0"/>
              <w:ind w:firstLine="240" w:firstLineChars="100"/>
              <w:rPr>
                <w:rFonts w:ascii="宋体"/>
                <w:color w:val="auto"/>
                <w:sz w:val="24"/>
                <w:szCs w:val="24"/>
              </w:rPr>
            </w:pPr>
            <w:r>
              <w:rPr>
                <w:rFonts w:hint="eastAsia" w:ascii="宋体" w:hAnsi="宋体" w:cs="宋体"/>
                <w:color w:val="auto"/>
                <w:sz w:val="24"/>
                <w:szCs w:val="24"/>
              </w:rPr>
              <w:t>备品管理与设施设备检修维护的制度、计划、措施方案评分（</w:t>
            </w:r>
            <w:r>
              <w:rPr>
                <w:rFonts w:ascii="宋体" w:hAnsi="宋体" w:cs="宋体"/>
                <w:color w:val="auto"/>
                <w:sz w:val="24"/>
                <w:szCs w:val="24"/>
              </w:rPr>
              <w:t>0-3</w:t>
            </w:r>
            <w:r>
              <w:rPr>
                <w:rFonts w:hint="eastAsia" w:ascii="宋体" w:hAnsi="宋体" w:cs="宋体"/>
                <w:color w:val="auto"/>
                <w:sz w:val="24"/>
                <w:szCs w:val="24"/>
              </w:rPr>
              <w:t>）有具体得备品、备件管理方案及设备维修、维护制度，有具体得计划时间及方法措施得</w:t>
            </w:r>
            <w:r>
              <w:rPr>
                <w:rFonts w:ascii="宋体" w:hAnsi="宋体" w:cs="宋体"/>
                <w:color w:val="auto"/>
                <w:sz w:val="24"/>
                <w:szCs w:val="24"/>
              </w:rPr>
              <w:t>2-3</w:t>
            </w:r>
            <w:r>
              <w:rPr>
                <w:rFonts w:hint="eastAsia" w:ascii="宋体" w:hAnsi="宋体" w:cs="宋体"/>
                <w:color w:val="auto"/>
                <w:sz w:val="24"/>
                <w:szCs w:val="24"/>
              </w:rPr>
              <w:t>分，方案内容未提供齐全，内容简略得</w:t>
            </w:r>
            <w:r>
              <w:rPr>
                <w:rFonts w:ascii="宋体" w:hAnsi="宋体" w:cs="宋体"/>
                <w:color w:val="auto"/>
                <w:sz w:val="24"/>
                <w:szCs w:val="24"/>
              </w:rPr>
              <w:t>0-1.9</w:t>
            </w:r>
            <w:r>
              <w:rPr>
                <w:rFonts w:hint="eastAsia" w:ascii="宋体" w:hAnsi="宋体" w:cs="宋体"/>
                <w:color w:val="auto"/>
                <w:sz w:val="24"/>
                <w:szCs w:val="24"/>
              </w:rPr>
              <w:t>分。</w:t>
            </w:r>
          </w:p>
          <w:p>
            <w:pPr>
              <w:kinsoku w:val="0"/>
              <w:overflowPunct w:val="0"/>
              <w:adjustRightInd w:val="0"/>
              <w:snapToGrid w:val="0"/>
              <w:ind w:firstLine="240" w:firstLineChars="1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9</w:t>
            </w:r>
            <w:r>
              <w:rPr>
                <w:rFonts w:hint="eastAsia" w:ascii="宋体" w:hAnsi="宋体" w:cs="宋体"/>
                <w:color w:val="auto"/>
                <w:sz w:val="24"/>
                <w:szCs w:val="24"/>
              </w:rPr>
              <w:t>）项目总体作业方案及各项保证措施比较评分（</w:t>
            </w:r>
            <w:r>
              <w:rPr>
                <w:rFonts w:ascii="宋体" w:cs="宋体"/>
                <w:color w:val="auto"/>
                <w:sz w:val="24"/>
                <w:szCs w:val="24"/>
              </w:rPr>
              <w:t>0-</w:t>
            </w:r>
            <w:r>
              <w:rPr>
                <w:rFonts w:ascii="宋体" w:hAnsi="宋体" w:cs="宋体"/>
                <w:color w:val="auto"/>
                <w:sz w:val="24"/>
                <w:szCs w:val="24"/>
              </w:rPr>
              <w:t>8</w:t>
            </w:r>
            <w:r>
              <w:rPr>
                <w:rFonts w:hint="eastAsia" w:ascii="宋体" w:hAnsi="宋体" w:cs="宋体"/>
                <w:color w:val="auto"/>
                <w:sz w:val="24"/>
                <w:szCs w:val="24"/>
              </w:rPr>
              <w:t>）</w:t>
            </w:r>
          </w:p>
          <w:p>
            <w:pPr>
              <w:kinsoku w:val="0"/>
              <w:overflowPunct w:val="0"/>
              <w:adjustRightInd w:val="0"/>
              <w:snapToGrid w:val="0"/>
              <w:ind w:firstLine="240" w:firstLineChars="100"/>
              <w:rPr>
                <w:rFonts w:ascii="宋体" w:cs="宋体"/>
                <w:color w:val="auto"/>
                <w:sz w:val="24"/>
                <w:szCs w:val="24"/>
              </w:rPr>
            </w:pPr>
            <w:r>
              <w:rPr>
                <w:rFonts w:hint="eastAsia" w:ascii="宋体" w:hAnsi="宋体" w:cs="宋体"/>
                <w:color w:val="auto"/>
                <w:sz w:val="24"/>
                <w:szCs w:val="24"/>
                <w:lang w:val="zh-CN"/>
              </w:rPr>
              <w:t>投标人对本项目的</w:t>
            </w:r>
            <w:r>
              <w:rPr>
                <w:rFonts w:hint="eastAsia" w:ascii="宋体" w:hAnsi="宋体" w:cs="宋体"/>
                <w:color w:val="auto"/>
                <w:sz w:val="24"/>
                <w:szCs w:val="24"/>
              </w:rPr>
              <w:t>总体</w:t>
            </w:r>
            <w:r>
              <w:rPr>
                <w:rFonts w:hint="eastAsia" w:ascii="宋体" w:hAnsi="宋体" w:cs="宋体"/>
                <w:color w:val="auto"/>
                <w:sz w:val="24"/>
                <w:szCs w:val="24"/>
                <w:lang w:val="zh-CN"/>
              </w:rPr>
              <w:t>理解与认识准确有深度，工作实施方案的科学、合理、可操作性</w:t>
            </w:r>
            <w:r>
              <w:rPr>
                <w:rFonts w:hint="eastAsia" w:ascii="宋体" w:hAnsi="宋体" w:cs="宋体"/>
                <w:color w:val="auto"/>
                <w:sz w:val="24"/>
                <w:szCs w:val="24"/>
              </w:rPr>
              <w:t>强</w:t>
            </w:r>
            <w:r>
              <w:rPr>
                <w:rFonts w:hint="eastAsia" w:ascii="宋体" w:hAnsi="宋体" w:cs="宋体"/>
                <w:color w:val="auto"/>
                <w:sz w:val="24"/>
                <w:szCs w:val="24"/>
                <w:lang w:val="zh-CN"/>
              </w:rPr>
              <w:t>，重点、难点分析及解决措施</w:t>
            </w:r>
            <w:r>
              <w:rPr>
                <w:rFonts w:hint="eastAsia" w:ascii="宋体" w:hAnsi="宋体" w:cs="宋体"/>
                <w:color w:val="auto"/>
                <w:sz w:val="24"/>
                <w:szCs w:val="24"/>
              </w:rPr>
              <w:t>具体</w:t>
            </w:r>
            <w:r>
              <w:rPr>
                <w:rFonts w:hint="eastAsia" w:ascii="宋体" w:hAnsi="宋体" w:cs="宋体"/>
                <w:color w:val="auto"/>
                <w:sz w:val="24"/>
                <w:szCs w:val="24"/>
                <w:lang w:val="zh-CN"/>
              </w:rPr>
              <w:t>，</w:t>
            </w:r>
            <w:r>
              <w:rPr>
                <w:rFonts w:hint="eastAsia" w:ascii="宋体" w:hAnsi="宋体" w:cs="宋体"/>
                <w:color w:val="auto"/>
                <w:sz w:val="24"/>
                <w:szCs w:val="24"/>
              </w:rPr>
              <w:t>能</w:t>
            </w:r>
            <w:r>
              <w:rPr>
                <w:rFonts w:hint="eastAsia" w:ascii="宋体" w:hAnsi="宋体" w:cs="宋体"/>
                <w:color w:val="auto"/>
                <w:sz w:val="24"/>
                <w:szCs w:val="24"/>
                <w:lang w:val="zh-CN"/>
              </w:rPr>
              <w:t>提出</w:t>
            </w:r>
            <w:r>
              <w:rPr>
                <w:rFonts w:hint="eastAsia" w:ascii="宋体" w:hAnsi="宋体" w:cs="宋体"/>
                <w:color w:val="auto"/>
                <w:sz w:val="24"/>
                <w:szCs w:val="24"/>
              </w:rPr>
              <w:t>多个</w:t>
            </w:r>
            <w:r>
              <w:rPr>
                <w:rFonts w:hint="eastAsia" w:ascii="宋体" w:hAnsi="宋体" w:cs="宋体"/>
                <w:color w:val="auto"/>
                <w:sz w:val="24"/>
                <w:szCs w:val="24"/>
                <w:lang w:val="zh-CN"/>
              </w:rPr>
              <w:t>建设性意见与建议</w:t>
            </w:r>
            <w:r>
              <w:rPr>
                <w:rFonts w:hint="eastAsia" w:ascii="宋体" w:hAnsi="宋体" w:cs="宋体"/>
                <w:color w:val="auto"/>
                <w:sz w:val="24"/>
                <w:szCs w:val="24"/>
              </w:rPr>
              <w:t>并制定对应的保证措施得</w:t>
            </w:r>
            <w:r>
              <w:rPr>
                <w:rFonts w:ascii="宋体" w:hAnsi="宋体" w:cs="宋体"/>
                <w:color w:val="auto"/>
                <w:sz w:val="24"/>
                <w:szCs w:val="24"/>
              </w:rPr>
              <w:t>6-8</w:t>
            </w:r>
            <w:r>
              <w:rPr>
                <w:rFonts w:hint="eastAsia" w:ascii="宋体" w:hAnsi="宋体" w:cs="宋体"/>
                <w:color w:val="auto"/>
                <w:sz w:val="24"/>
                <w:szCs w:val="24"/>
              </w:rPr>
              <w:t>分；</w:t>
            </w:r>
            <w:r>
              <w:rPr>
                <w:rFonts w:hint="eastAsia" w:ascii="宋体" w:hAnsi="宋体" w:cs="宋体"/>
                <w:color w:val="auto"/>
                <w:sz w:val="24"/>
                <w:szCs w:val="24"/>
                <w:lang w:val="zh-CN"/>
              </w:rPr>
              <w:t>投标人对本项目的理解与认识</w:t>
            </w:r>
            <w:r>
              <w:rPr>
                <w:rFonts w:hint="eastAsia" w:ascii="宋体" w:hAnsi="宋体" w:cs="宋体"/>
                <w:color w:val="auto"/>
                <w:sz w:val="24"/>
                <w:szCs w:val="24"/>
              </w:rPr>
              <w:t>较清晰，各项保证措施比较具体，具有一定操作性，重难点分析未能详细具体展开，提出意见建议较少得</w:t>
            </w:r>
            <w:r>
              <w:rPr>
                <w:rFonts w:ascii="宋体" w:hAnsi="宋体" w:cs="宋体"/>
                <w:color w:val="auto"/>
                <w:sz w:val="24"/>
                <w:szCs w:val="24"/>
              </w:rPr>
              <w:t>3-5.9</w:t>
            </w:r>
            <w:r>
              <w:rPr>
                <w:rFonts w:hint="eastAsia" w:ascii="宋体" w:hAnsi="宋体" w:cs="宋体"/>
                <w:color w:val="auto"/>
                <w:sz w:val="24"/>
                <w:szCs w:val="24"/>
              </w:rPr>
              <w:t>分，方案内容较简略，内容缺漏比较明显得</w:t>
            </w:r>
            <w:r>
              <w:rPr>
                <w:rFonts w:ascii="宋体" w:hAnsi="宋体" w:cs="宋体"/>
                <w:color w:val="auto"/>
                <w:sz w:val="24"/>
                <w:szCs w:val="24"/>
              </w:rPr>
              <w:t>0.1-2.9</w:t>
            </w:r>
            <w:r>
              <w:rPr>
                <w:rFonts w:hint="eastAsia" w:ascii="宋体" w:hAnsi="宋体" w:cs="宋体"/>
                <w:color w:val="auto"/>
                <w:sz w:val="24"/>
                <w:szCs w:val="24"/>
              </w:rPr>
              <w:t>分</w:t>
            </w:r>
            <w:r>
              <w:rPr>
                <w:rFonts w:hint="eastAsia" w:ascii="宋体" w:hAnsi="宋体" w:cs="宋体"/>
                <w:color w:val="auto"/>
                <w:sz w:val="24"/>
                <w:szCs w:val="24"/>
                <w:lang w:val="zh-CN"/>
              </w:rPr>
              <w:t>。</w:t>
            </w:r>
            <w:r>
              <w:rPr>
                <w:rFonts w:hint="eastAsia" w:ascii="宋体" w:hAnsi="宋体" w:cs="宋体"/>
                <w:color w:val="auto"/>
                <w:sz w:val="24"/>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7" w:type="dxa"/>
            <w:vAlign w:val="center"/>
          </w:tcPr>
          <w:p>
            <w:pPr>
              <w:spacing w:line="300" w:lineRule="exact"/>
              <w:jc w:val="center"/>
              <w:rPr>
                <w:rFonts w:ascii="宋体"/>
                <w:color w:val="auto"/>
                <w:sz w:val="24"/>
                <w:szCs w:val="24"/>
              </w:rPr>
            </w:pPr>
            <w:r>
              <w:rPr>
                <w:rFonts w:ascii="宋体" w:hAnsi="宋体" w:cs="宋体"/>
                <w:color w:val="auto"/>
                <w:sz w:val="24"/>
                <w:szCs w:val="24"/>
              </w:rPr>
              <w:t>7</w:t>
            </w:r>
          </w:p>
        </w:tc>
        <w:tc>
          <w:tcPr>
            <w:tcW w:w="1582" w:type="dxa"/>
            <w:vAlign w:val="center"/>
          </w:tcPr>
          <w:p>
            <w:pPr>
              <w:spacing w:line="300" w:lineRule="exact"/>
              <w:jc w:val="center"/>
              <w:rPr>
                <w:rFonts w:ascii="宋体"/>
                <w:color w:val="auto"/>
                <w:kern w:val="0"/>
                <w:sz w:val="24"/>
                <w:szCs w:val="24"/>
              </w:rPr>
            </w:pPr>
            <w:r>
              <w:rPr>
                <w:rFonts w:hint="eastAsia" w:ascii="宋体" w:hAnsi="宋体" w:cs="宋体"/>
                <w:color w:val="auto"/>
                <w:sz w:val="24"/>
                <w:szCs w:val="24"/>
              </w:rPr>
              <w:t>应急预案</w:t>
            </w:r>
          </w:p>
        </w:tc>
        <w:tc>
          <w:tcPr>
            <w:tcW w:w="585" w:type="dxa"/>
            <w:vAlign w:val="center"/>
          </w:tcPr>
          <w:p>
            <w:pPr>
              <w:spacing w:line="300" w:lineRule="exact"/>
              <w:jc w:val="center"/>
              <w:rPr>
                <w:rFonts w:ascii="宋体"/>
                <w:color w:val="auto"/>
                <w:sz w:val="24"/>
                <w:szCs w:val="24"/>
              </w:rPr>
            </w:pPr>
            <w:r>
              <w:rPr>
                <w:rFonts w:ascii="宋体" w:hAnsi="宋体" w:cs="宋体"/>
                <w:color w:val="auto"/>
                <w:sz w:val="24"/>
                <w:szCs w:val="24"/>
              </w:rPr>
              <w:t>6</w:t>
            </w:r>
          </w:p>
        </w:tc>
        <w:tc>
          <w:tcPr>
            <w:tcW w:w="6471" w:type="dxa"/>
            <w:vAlign w:val="center"/>
          </w:tcPr>
          <w:p>
            <w:pPr>
              <w:spacing w:line="300" w:lineRule="exact"/>
              <w:rPr>
                <w:rFonts w:ascii="宋体"/>
                <w:color w:val="auto"/>
                <w:kern w:val="0"/>
                <w:sz w:val="24"/>
                <w:szCs w:val="24"/>
              </w:rPr>
            </w:pPr>
            <w:r>
              <w:rPr>
                <w:rFonts w:hint="eastAsia" w:ascii="宋体" w:hAnsi="宋体" w:cs="宋体"/>
                <w:color w:val="auto"/>
                <w:sz w:val="24"/>
                <w:szCs w:val="24"/>
                <w:highlight w:val="none"/>
              </w:rPr>
              <w:t>根据应急预案的可行性、合理性进行评分。有明确的应急预案内容，内容均围绕项目实际展开，并能逐一的制定解决措施得</w:t>
            </w:r>
            <w:r>
              <w:rPr>
                <w:rFonts w:ascii="宋体" w:hAnsi="宋体" w:cs="宋体"/>
                <w:color w:val="auto"/>
                <w:sz w:val="24"/>
                <w:szCs w:val="24"/>
                <w:highlight w:val="none"/>
              </w:rPr>
              <w:t>4-6</w:t>
            </w:r>
            <w:r>
              <w:rPr>
                <w:rFonts w:hint="eastAsia" w:ascii="宋体" w:hAnsi="宋体" w:cs="宋体"/>
                <w:color w:val="auto"/>
                <w:sz w:val="24"/>
                <w:szCs w:val="24"/>
                <w:highlight w:val="none"/>
              </w:rPr>
              <w:t>分，方案内容较明确，能提出存在应急问题但未能一一对应提出解决方案得</w:t>
            </w:r>
            <w:r>
              <w:rPr>
                <w:rFonts w:ascii="宋体" w:hAnsi="宋体" w:cs="宋体"/>
                <w:color w:val="auto"/>
                <w:sz w:val="24"/>
                <w:szCs w:val="24"/>
                <w:highlight w:val="none"/>
              </w:rPr>
              <w:t>0.1-3.9</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7" w:type="dxa"/>
            <w:vAlign w:val="center"/>
          </w:tcPr>
          <w:p>
            <w:pPr>
              <w:spacing w:line="300" w:lineRule="exact"/>
              <w:jc w:val="center"/>
              <w:rPr>
                <w:rFonts w:ascii="宋体"/>
                <w:color w:val="auto"/>
                <w:sz w:val="24"/>
                <w:szCs w:val="24"/>
              </w:rPr>
            </w:pPr>
            <w:r>
              <w:rPr>
                <w:rFonts w:ascii="宋体" w:hAnsi="宋体" w:cs="宋体"/>
                <w:color w:val="auto"/>
                <w:sz w:val="24"/>
                <w:szCs w:val="24"/>
              </w:rPr>
              <w:t>8</w:t>
            </w:r>
          </w:p>
        </w:tc>
        <w:tc>
          <w:tcPr>
            <w:tcW w:w="1582" w:type="dxa"/>
            <w:vAlign w:val="center"/>
          </w:tcPr>
          <w:p>
            <w:pPr>
              <w:spacing w:line="300" w:lineRule="exact"/>
              <w:jc w:val="center"/>
              <w:rPr>
                <w:rFonts w:ascii="宋体"/>
                <w:color w:val="auto"/>
                <w:sz w:val="24"/>
                <w:szCs w:val="24"/>
              </w:rPr>
            </w:pPr>
            <w:r>
              <w:rPr>
                <w:rFonts w:hint="eastAsia" w:ascii="宋体" w:hAnsi="宋体" w:cs="宋体"/>
                <w:color w:val="auto"/>
                <w:sz w:val="24"/>
                <w:szCs w:val="24"/>
              </w:rPr>
              <w:t>故障维修</w:t>
            </w:r>
          </w:p>
        </w:tc>
        <w:tc>
          <w:tcPr>
            <w:tcW w:w="585" w:type="dxa"/>
            <w:vAlign w:val="center"/>
          </w:tcPr>
          <w:p>
            <w:pPr>
              <w:spacing w:line="300" w:lineRule="exact"/>
              <w:jc w:val="center"/>
              <w:rPr>
                <w:rFonts w:ascii="宋体"/>
                <w:color w:val="auto"/>
                <w:sz w:val="24"/>
                <w:szCs w:val="24"/>
              </w:rPr>
            </w:pPr>
            <w:r>
              <w:rPr>
                <w:rFonts w:ascii="宋体" w:hAnsi="宋体" w:cs="宋体"/>
                <w:color w:val="auto"/>
                <w:sz w:val="24"/>
                <w:szCs w:val="24"/>
              </w:rPr>
              <w:t>2</w:t>
            </w:r>
          </w:p>
        </w:tc>
        <w:tc>
          <w:tcPr>
            <w:tcW w:w="6471" w:type="dxa"/>
            <w:vAlign w:val="center"/>
          </w:tcPr>
          <w:p>
            <w:pPr>
              <w:spacing w:line="300" w:lineRule="exact"/>
              <w:rPr>
                <w:rFonts w:ascii="宋体"/>
                <w:color w:val="auto"/>
                <w:sz w:val="24"/>
                <w:szCs w:val="24"/>
              </w:rPr>
            </w:pPr>
            <w:r>
              <w:rPr>
                <w:rFonts w:hint="eastAsia" w:ascii="宋体" w:hAnsi="宋体" w:cs="宋体"/>
                <w:color w:val="auto"/>
                <w:sz w:val="24"/>
                <w:szCs w:val="24"/>
              </w:rPr>
              <w:t>承诺在运营过程中，设备出现故障后在</w:t>
            </w:r>
            <w:r>
              <w:rPr>
                <w:rFonts w:ascii="宋体" w:hAnsi="宋体" w:cs="宋体"/>
                <w:color w:val="auto"/>
                <w:sz w:val="24"/>
                <w:szCs w:val="24"/>
              </w:rPr>
              <w:t>24</w:t>
            </w:r>
            <w:r>
              <w:rPr>
                <w:rFonts w:hint="eastAsia" w:ascii="宋体" w:hAnsi="宋体" w:cs="宋体"/>
                <w:color w:val="auto"/>
                <w:sz w:val="24"/>
                <w:szCs w:val="24"/>
              </w:rPr>
              <w:t>小时内排除故障的，得</w:t>
            </w:r>
            <w:r>
              <w:rPr>
                <w:rFonts w:ascii="宋体" w:hAnsi="宋体" w:cs="宋体"/>
                <w:color w:val="auto"/>
                <w:sz w:val="24"/>
                <w:szCs w:val="24"/>
              </w:rPr>
              <w:t>2</w:t>
            </w:r>
            <w:r>
              <w:rPr>
                <w:rFonts w:hint="eastAsia" w:ascii="宋体" w:hAnsi="宋体" w:cs="宋体"/>
                <w:color w:val="auto"/>
                <w:sz w:val="24"/>
                <w:szCs w:val="24"/>
              </w:rPr>
              <w:t>分；超过</w:t>
            </w:r>
            <w:r>
              <w:rPr>
                <w:rFonts w:ascii="宋体" w:hAnsi="宋体" w:cs="宋体"/>
                <w:color w:val="auto"/>
                <w:sz w:val="24"/>
                <w:szCs w:val="24"/>
              </w:rPr>
              <w:t>24</w:t>
            </w:r>
            <w:r>
              <w:rPr>
                <w:rFonts w:hint="eastAsia" w:ascii="宋体" w:hAnsi="宋体" w:cs="宋体"/>
                <w:color w:val="auto"/>
                <w:sz w:val="24"/>
                <w:szCs w:val="24"/>
              </w:rPr>
              <w:t>小时排除故障的，本项不得分。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09" w:type="dxa"/>
            <w:gridSpan w:val="2"/>
            <w:vAlign w:val="center"/>
          </w:tcPr>
          <w:p>
            <w:pPr>
              <w:jc w:val="center"/>
              <w:rPr>
                <w:rFonts w:ascii="宋体"/>
                <w:b/>
                <w:bCs/>
                <w:color w:val="auto"/>
                <w:sz w:val="24"/>
                <w:szCs w:val="24"/>
              </w:rPr>
            </w:pPr>
            <w:r>
              <w:rPr>
                <w:rFonts w:hint="eastAsia" w:ascii="宋体" w:hAnsi="宋体" w:cs="宋体"/>
                <w:b/>
                <w:bCs/>
                <w:color w:val="auto"/>
                <w:sz w:val="24"/>
                <w:szCs w:val="24"/>
              </w:rPr>
              <w:t>合计</w:t>
            </w:r>
          </w:p>
        </w:tc>
        <w:tc>
          <w:tcPr>
            <w:tcW w:w="585" w:type="dxa"/>
            <w:vAlign w:val="center"/>
          </w:tcPr>
          <w:p>
            <w:pPr>
              <w:jc w:val="center"/>
              <w:rPr>
                <w:rFonts w:ascii="宋体"/>
                <w:b/>
                <w:bCs/>
                <w:color w:val="auto"/>
                <w:sz w:val="24"/>
                <w:szCs w:val="24"/>
              </w:rPr>
            </w:pPr>
            <w:r>
              <w:rPr>
                <w:rFonts w:ascii="宋体" w:hAnsi="宋体" w:cs="宋体"/>
                <w:b/>
                <w:bCs/>
                <w:color w:val="auto"/>
                <w:sz w:val="24"/>
                <w:szCs w:val="24"/>
              </w:rPr>
              <w:t>70</w:t>
            </w:r>
          </w:p>
        </w:tc>
        <w:tc>
          <w:tcPr>
            <w:tcW w:w="6471" w:type="dxa"/>
            <w:vAlign w:val="center"/>
          </w:tcPr>
          <w:p>
            <w:pPr>
              <w:jc w:val="left"/>
              <w:rPr>
                <w:rFonts w:ascii="宋体"/>
                <w:color w:val="auto"/>
                <w:sz w:val="24"/>
                <w:szCs w:val="24"/>
              </w:rPr>
            </w:pPr>
          </w:p>
        </w:tc>
      </w:tr>
    </w:tbl>
    <w:p>
      <w:pPr>
        <w:pStyle w:val="23"/>
        <w:ind w:left="0" w:leftChars="0" w:firstLine="0"/>
        <w:rPr>
          <w:rFonts w:ascii="宋体"/>
          <w:b/>
          <w:bCs/>
          <w:color w:val="auto"/>
          <w:sz w:val="36"/>
          <w:szCs w:val="36"/>
        </w:rPr>
      </w:pPr>
    </w:p>
    <w:p>
      <w:pPr>
        <w:pStyle w:val="23"/>
        <w:ind w:left="0" w:leftChars="0" w:firstLine="0"/>
        <w:rPr>
          <w:rFonts w:ascii="宋体"/>
          <w:b/>
          <w:bCs/>
          <w:color w:val="auto"/>
          <w:sz w:val="36"/>
          <w:szCs w:val="36"/>
        </w:rPr>
      </w:pPr>
    </w:p>
    <w:p>
      <w:pPr>
        <w:pStyle w:val="23"/>
        <w:ind w:left="0" w:leftChars="0" w:firstLine="0"/>
        <w:rPr>
          <w:rFonts w:ascii="宋体"/>
          <w:b/>
          <w:bCs/>
          <w:color w:val="auto"/>
          <w:sz w:val="36"/>
          <w:szCs w:val="36"/>
        </w:rPr>
      </w:pPr>
    </w:p>
    <w:p>
      <w:pPr>
        <w:pStyle w:val="23"/>
        <w:ind w:left="0" w:leftChars="0" w:firstLine="0"/>
        <w:rPr>
          <w:rFonts w:ascii="宋体"/>
          <w:b/>
          <w:bCs/>
          <w:color w:val="auto"/>
          <w:sz w:val="36"/>
          <w:szCs w:val="36"/>
        </w:rPr>
      </w:pPr>
    </w:p>
    <w:p>
      <w:pPr>
        <w:pStyle w:val="23"/>
        <w:ind w:left="0" w:leftChars="0" w:firstLine="0"/>
        <w:rPr>
          <w:rFonts w:ascii="宋体"/>
          <w:b/>
          <w:bCs/>
          <w:color w:val="auto"/>
          <w:sz w:val="36"/>
          <w:szCs w:val="36"/>
        </w:rPr>
      </w:pPr>
    </w:p>
    <w:p>
      <w:pPr>
        <w:pStyle w:val="23"/>
        <w:ind w:left="0" w:leftChars="0" w:firstLine="0"/>
        <w:rPr>
          <w:rFonts w:ascii="宋体"/>
          <w:b/>
          <w:bCs/>
          <w:color w:val="auto"/>
          <w:sz w:val="36"/>
          <w:szCs w:val="36"/>
        </w:rPr>
      </w:pPr>
    </w:p>
    <w:p>
      <w:pPr>
        <w:pStyle w:val="23"/>
        <w:ind w:left="0" w:leftChars="0" w:firstLine="0"/>
        <w:rPr>
          <w:rFonts w:ascii="宋体"/>
          <w:b/>
          <w:bCs/>
          <w:color w:val="auto"/>
          <w:sz w:val="36"/>
          <w:szCs w:val="36"/>
        </w:rPr>
      </w:pPr>
    </w:p>
    <w:p>
      <w:pPr>
        <w:pStyle w:val="23"/>
        <w:ind w:left="0" w:leftChars="0" w:firstLine="0"/>
        <w:rPr>
          <w:rFonts w:ascii="宋体"/>
          <w:b/>
          <w:bCs/>
          <w:color w:val="auto"/>
          <w:sz w:val="36"/>
          <w:szCs w:val="36"/>
        </w:rPr>
      </w:pPr>
    </w:p>
    <w:p>
      <w:pPr>
        <w:pStyle w:val="23"/>
        <w:ind w:left="0" w:leftChars="0" w:firstLine="0"/>
        <w:rPr>
          <w:rFonts w:ascii="宋体"/>
          <w:b/>
          <w:bCs/>
          <w:color w:val="auto"/>
          <w:sz w:val="36"/>
          <w:szCs w:val="36"/>
        </w:rPr>
      </w:pPr>
    </w:p>
    <w:p>
      <w:pPr>
        <w:spacing w:line="360" w:lineRule="auto"/>
        <w:ind w:firstLine="723" w:firstLineChars="200"/>
        <w:jc w:val="center"/>
        <w:rPr>
          <w:rFonts w:hint="eastAsia" w:ascii="宋体" w:hAnsi="宋体" w:cs="宋体"/>
          <w:b/>
          <w:bCs/>
          <w:color w:val="auto"/>
          <w:sz w:val="36"/>
          <w:szCs w:val="36"/>
        </w:rPr>
      </w:pPr>
    </w:p>
    <w:p>
      <w:pPr>
        <w:spacing w:line="360" w:lineRule="auto"/>
        <w:ind w:firstLine="723" w:firstLineChars="200"/>
        <w:jc w:val="center"/>
        <w:rPr>
          <w:rFonts w:hint="eastAsia" w:ascii="宋体" w:hAnsi="宋体" w:cs="宋体"/>
          <w:b/>
          <w:bCs/>
          <w:color w:val="auto"/>
          <w:sz w:val="36"/>
          <w:szCs w:val="36"/>
        </w:rPr>
      </w:pPr>
    </w:p>
    <w:p>
      <w:pPr>
        <w:spacing w:line="360" w:lineRule="auto"/>
        <w:ind w:firstLine="723" w:firstLineChars="200"/>
        <w:jc w:val="center"/>
        <w:rPr>
          <w:rFonts w:ascii="宋体"/>
          <w:b/>
          <w:bCs/>
          <w:color w:val="auto"/>
          <w:sz w:val="36"/>
          <w:szCs w:val="36"/>
        </w:rPr>
      </w:pPr>
      <w:r>
        <w:rPr>
          <w:rFonts w:hint="eastAsia" w:ascii="宋体" w:hAnsi="宋体" w:cs="宋体"/>
          <w:b/>
          <w:bCs/>
          <w:color w:val="auto"/>
          <w:sz w:val="36"/>
          <w:szCs w:val="36"/>
        </w:rPr>
        <w:t>第四章</w:t>
      </w:r>
      <w:r>
        <w:rPr>
          <w:rFonts w:ascii="宋体" w:hAnsi="宋体" w:cs="宋体"/>
          <w:b/>
          <w:bCs/>
          <w:color w:val="auto"/>
          <w:sz w:val="36"/>
          <w:szCs w:val="36"/>
        </w:rPr>
        <w:t xml:space="preserve"> </w:t>
      </w:r>
      <w:r>
        <w:rPr>
          <w:rFonts w:hint="eastAsia" w:ascii="宋体" w:hAnsi="宋体" w:cs="宋体"/>
          <w:b/>
          <w:bCs/>
          <w:color w:val="auto"/>
          <w:sz w:val="36"/>
          <w:szCs w:val="36"/>
        </w:rPr>
        <w:t>公开招标需求</w:t>
      </w:r>
    </w:p>
    <w:p>
      <w:pPr>
        <w:overflowPunct w:val="0"/>
        <w:spacing w:line="360" w:lineRule="auto"/>
        <w:ind w:firstLine="422" w:firstLineChars="200"/>
        <w:rPr>
          <w:rFonts w:ascii="宋体"/>
          <w:b/>
          <w:bCs/>
          <w:color w:val="auto"/>
        </w:rPr>
      </w:pPr>
      <w:r>
        <w:rPr>
          <w:rFonts w:hint="eastAsia" w:ascii="宋体" w:hAnsi="宋体" w:cs="宋体"/>
          <w:b/>
          <w:bCs/>
          <w:color w:val="auto"/>
        </w:rPr>
        <w:t>一、项目概况</w:t>
      </w:r>
    </w:p>
    <w:p>
      <w:pPr>
        <w:spacing w:beforeLines="25" w:afterLines="25" w:line="360" w:lineRule="auto"/>
        <w:ind w:firstLine="480" w:firstLineChars="200"/>
        <w:rPr>
          <w:rFonts w:ascii="宋体"/>
          <w:color w:val="auto"/>
          <w:kern w:val="10"/>
          <w:sz w:val="24"/>
          <w:szCs w:val="24"/>
        </w:rPr>
      </w:pPr>
      <w:bookmarkStart w:id="8" w:name="_Toc59503465"/>
      <w:bookmarkStart w:id="9" w:name="_Toc145899824"/>
      <w:bookmarkStart w:id="10" w:name="_Toc305465078"/>
      <w:bookmarkStart w:id="11" w:name="_Toc145991793"/>
      <w:bookmarkStart w:id="12" w:name="_Toc145871755"/>
      <w:bookmarkStart w:id="13" w:name="_Toc173033269"/>
      <w:bookmarkStart w:id="14" w:name="_Toc133030965"/>
      <w:bookmarkStart w:id="15" w:name="_Toc145871627"/>
      <w:bookmarkStart w:id="16" w:name="_Toc15965694"/>
      <w:r>
        <w:rPr>
          <w:rFonts w:ascii="宋体" w:hAnsi="宋体" w:cs="宋体"/>
          <w:color w:val="auto"/>
          <w:kern w:val="10"/>
          <w:sz w:val="24"/>
          <w:szCs w:val="24"/>
        </w:rPr>
        <w:t xml:space="preserve">1.1 </w:t>
      </w:r>
      <w:r>
        <w:rPr>
          <w:rFonts w:hint="eastAsia" w:ascii="宋体" w:hAnsi="宋体" w:cs="宋体"/>
          <w:color w:val="auto"/>
          <w:kern w:val="10"/>
          <w:sz w:val="24"/>
          <w:szCs w:val="24"/>
        </w:rPr>
        <w:t>项目名称</w:t>
      </w:r>
      <w:bookmarkEnd w:id="8"/>
      <w:bookmarkEnd w:id="9"/>
      <w:bookmarkEnd w:id="10"/>
      <w:bookmarkEnd w:id="11"/>
      <w:bookmarkEnd w:id="12"/>
      <w:bookmarkEnd w:id="13"/>
      <w:bookmarkEnd w:id="14"/>
      <w:bookmarkEnd w:id="15"/>
      <w:bookmarkEnd w:id="16"/>
      <w:r>
        <w:rPr>
          <w:rFonts w:hint="eastAsia" w:ascii="宋体" w:hAnsi="宋体" w:cs="宋体"/>
          <w:color w:val="auto"/>
          <w:kern w:val="10"/>
          <w:sz w:val="24"/>
          <w:szCs w:val="24"/>
        </w:rPr>
        <w:t>：</w:t>
      </w:r>
      <w:bookmarkStart w:id="17" w:name="_Toc173033270"/>
      <w:bookmarkStart w:id="18" w:name="_Toc145871628"/>
      <w:bookmarkStart w:id="19" w:name="_Toc145871756"/>
      <w:bookmarkStart w:id="20" w:name="_Toc133030966"/>
      <w:bookmarkStart w:id="21" w:name="_Toc15965695"/>
      <w:bookmarkStart w:id="22" w:name="_Toc305465079"/>
      <w:bookmarkStart w:id="23" w:name="_Toc145899825"/>
      <w:bookmarkStart w:id="24" w:name="_Toc59503466"/>
      <w:bookmarkStart w:id="25" w:name="_Toc145991794"/>
      <w:r>
        <w:rPr>
          <w:rFonts w:hint="eastAsia" w:ascii="宋体" w:hAnsi="宋体" w:cs="宋体"/>
          <w:color w:val="auto"/>
          <w:kern w:val="10"/>
          <w:sz w:val="24"/>
          <w:szCs w:val="24"/>
        </w:rPr>
        <w:t>台州市路桥区垃圾填埋场渗滤液处理运管服务项目</w:t>
      </w:r>
    </w:p>
    <w:p>
      <w:pPr>
        <w:spacing w:beforeLines="25" w:afterLines="25" w:line="360" w:lineRule="auto"/>
        <w:ind w:firstLine="480" w:firstLineChars="200"/>
        <w:rPr>
          <w:rFonts w:ascii="宋体"/>
          <w:color w:val="auto"/>
          <w:kern w:val="10"/>
          <w:sz w:val="24"/>
          <w:szCs w:val="24"/>
        </w:rPr>
      </w:pPr>
      <w:r>
        <w:rPr>
          <w:rFonts w:ascii="宋体" w:hAnsi="宋体" w:cs="宋体"/>
          <w:color w:val="auto"/>
          <w:kern w:val="10"/>
          <w:sz w:val="24"/>
          <w:szCs w:val="24"/>
        </w:rPr>
        <w:t xml:space="preserve">1.2 </w:t>
      </w:r>
      <w:r>
        <w:rPr>
          <w:rFonts w:hint="eastAsia" w:ascii="宋体" w:hAnsi="宋体" w:cs="宋体"/>
          <w:color w:val="auto"/>
          <w:kern w:val="10"/>
          <w:sz w:val="24"/>
          <w:szCs w:val="24"/>
        </w:rPr>
        <w:t>项目承办单位</w:t>
      </w:r>
      <w:bookmarkEnd w:id="17"/>
      <w:bookmarkEnd w:id="18"/>
      <w:bookmarkEnd w:id="19"/>
      <w:bookmarkEnd w:id="20"/>
      <w:bookmarkEnd w:id="21"/>
      <w:bookmarkEnd w:id="22"/>
      <w:bookmarkEnd w:id="23"/>
      <w:bookmarkEnd w:id="24"/>
      <w:bookmarkEnd w:id="25"/>
      <w:r>
        <w:rPr>
          <w:rFonts w:hint="eastAsia" w:ascii="宋体" w:hAnsi="宋体" w:cs="宋体"/>
          <w:color w:val="auto"/>
          <w:kern w:val="10"/>
          <w:sz w:val="24"/>
          <w:szCs w:val="24"/>
        </w:rPr>
        <w:t>：</w:t>
      </w:r>
      <w:bookmarkStart w:id="26" w:name="_Toc173033271"/>
      <w:bookmarkStart w:id="27" w:name="_Toc59503467"/>
      <w:bookmarkStart w:id="28" w:name="_Toc145871629"/>
      <w:bookmarkStart w:id="29" w:name="_Toc15965696"/>
      <w:bookmarkStart w:id="30" w:name="_Toc145899826"/>
      <w:bookmarkStart w:id="31" w:name="_Toc145991795"/>
      <w:bookmarkStart w:id="32" w:name="_Toc133030967"/>
      <w:bookmarkStart w:id="33" w:name="_Toc92880229"/>
      <w:bookmarkStart w:id="34" w:name="_Toc92880431"/>
      <w:bookmarkStart w:id="35" w:name="_Toc111356065"/>
      <w:bookmarkStart w:id="36" w:name="_Toc145871757"/>
      <w:r>
        <w:rPr>
          <w:rFonts w:hint="eastAsia" w:ascii="宋体" w:hAnsi="宋体" w:cs="宋体"/>
          <w:color w:val="auto"/>
          <w:kern w:val="10"/>
          <w:sz w:val="24"/>
          <w:szCs w:val="24"/>
        </w:rPr>
        <w:t>台州市路桥区环卫园林服务中心</w:t>
      </w:r>
    </w:p>
    <w:bookmarkEnd w:id="26"/>
    <w:bookmarkEnd w:id="27"/>
    <w:bookmarkEnd w:id="28"/>
    <w:bookmarkEnd w:id="29"/>
    <w:bookmarkEnd w:id="30"/>
    <w:bookmarkEnd w:id="31"/>
    <w:bookmarkEnd w:id="32"/>
    <w:bookmarkEnd w:id="33"/>
    <w:bookmarkEnd w:id="34"/>
    <w:bookmarkEnd w:id="35"/>
    <w:bookmarkEnd w:id="36"/>
    <w:p>
      <w:pPr>
        <w:spacing w:line="360" w:lineRule="auto"/>
        <w:ind w:firstLine="480" w:firstLineChars="200"/>
        <w:rPr>
          <w:rFonts w:ascii="宋体"/>
          <w:color w:val="auto"/>
          <w:kern w:val="0"/>
          <w:sz w:val="24"/>
          <w:szCs w:val="24"/>
          <w:highlight w:val="none"/>
        </w:rPr>
      </w:pPr>
      <w:bookmarkStart w:id="37" w:name="_Toc512812256"/>
      <w:r>
        <w:rPr>
          <w:rFonts w:ascii="宋体" w:hAnsi="宋体" w:cs="宋体"/>
          <w:color w:val="auto"/>
          <w:kern w:val="10"/>
          <w:sz w:val="24"/>
          <w:szCs w:val="24"/>
        </w:rPr>
        <w:t xml:space="preserve">1.3 </w:t>
      </w:r>
      <w:r>
        <w:rPr>
          <w:rFonts w:hint="eastAsia" w:ascii="宋体" w:hAnsi="宋体" w:cs="宋体"/>
          <w:color w:val="auto"/>
          <w:kern w:val="10"/>
          <w:sz w:val="24"/>
          <w:szCs w:val="24"/>
        </w:rPr>
        <w:t>项目建设地点</w:t>
      </w:r>
      <w:bookmarkEnd w:id="37"/>
      <w:r>
        <w:rPr>
          <w:rFonts w:hint="eastAsia" w:ascii="宋体" w:hAnsi="宋体" w:cs="宋体"/>
          <w:color w:val="auto"/>
          <w:kern w:val="10"/>
          <w:sz w:val="24"/>
          <w:szCs w:val="24"/>
        </w:rPr>
        <w:t>：</w:t>
      </w:r>
      <w:bookmarkStart w:id="38" w:name="_Toc512812257"/>
      <w:r>
        <w:rPr>
          <w:rFonts w:hint="eastAsia" w:ascii="宋体" w:hAnsi="宋体" w:cs="宋体"/>
          <w:color w:val="auto"/>
          <w:kern w:val="0"/>
          <w:sz w:val="24"/>
          <w:szCs w:val="24"/>
          <w:highlight w:val="none"/>
        </w:rPr>
        <w:t>位于台州滨海工业区东面，路桥区金清镇十塘的路桥区生活垃圾填埋场内。</w:t>
      </w:r>
    </w:p>
    <w:p>
      <w:pPr>
        <w:spacing w:beforeLines="25" w:afterLines="25" w:line="360" w:lineRule="auto"/>
        <w:ind w:firstLine="480" w:firstLineChars="200"/>
        <w:rPr>
          <w:rFonts w:ascii="宋体"/>
          <w:color w:val="auto"/>
          <w:kern w:val="10"/>
          <w:sz w:val="24"/>
          <w:szCs w:val="24"/>
        </w:rPr>
      </w:pPr>
      <w:r>
        <w:rPr>
          <w:rFonts w:ascii="宋体" w:hAnsi="宋体" w:cs="宋体"/>
          <w:color w:val="auto"/>
          <w:kern w:val="10"/>
          <w:sz w:val="24"/>
          <w:szCs w:val="24"/>
        </w:rPr>
        <w:t xml:space="preserve">1.4 </w:t>
      </w:r>
      <w:r>
        <w:rPr>
          <w:rFonts w:hint="eastAsia" w:ascii="宋体" w:hAnsi="宋体" w:cs="宋体"/>
          <w:color w:val="auto"/>
          <w:kern w:val="10"/>
          <w:sz w:val="24"/>
          <w:szCs w:val="24"/>
        </w:rPr>
        <w:t>项目概况</w:t>
      </w:r>
      <w:bookmarkEnd w:id="38"/>
    </w:p>
    <w:p>
      <w:pPr>
        <w:spacing w:beforeLines="25" w:afterLines="25" w:line="360" w:lineRule="auto"/>
        <w:ind w:firstLine="480" w:firstLineChars="200"/>
        <w:rPr>
          <w:rFonts w:ascii="宋体"/>
          <w:color w:val="auto"/>
          <w:kern w:val="10"/>
          <w:sz w:val="24"/>
          <w:szCs w:val="24"/>
        </w:rPr>
      </w:pPr>
      <w:r>
        <w:rPr>
          <w:rFonts w:hint="eastAsia" w:ascii="宋体" w:hAnsi="宋体" w:cs="宋体"/>
          <w:color w:val="auto"/>
          <w:sz w:val="24"/>
          <w:szCs w:val="24"/>
        </w:rPr>
        <w:t>台州市路桥区生活垃圾填埋场渗滤液处理项目设计规模</w:t>
      </w:r>
      <w:r>
        <w:rPr>
          <w:rFonts w:ascii="宋体" w:hAnsi="宋体" w:cs="宋体"/>
          <w:color w:val="auto"/>
          <w:sz w:val="24"/>
          <w:szCs w:val="24"/>
        </w:rPr>
        <w:t>250m</w:t>
      </w:r>
      <w:r>
        <w:rPr>
          <w:rFonts w:ascii="宋体" w:hAnsi="宋体" w:cs="宋体"/>
          <w:color w:val="auto"/>
          <w:sz w:val="24"/>
          <w:szCs w:val="24"/>
          <w:vertAlign w:val="superscript"/>
        </w:rPr>
        <w:t>3</w:t>
      </w:r>
      <w:r>
        <w:rPr>
          <w:rFonts w:ascii="宋体" w:hAnsi="宋体" w:cs="宋体"/>
          <w:color w:val="auto"/>
          <w:sz w:val="24"/>
          <w:szCs w:val="24"/>
        </w:rPr>
        <w:t>/d</w:t>
      </w:r>
      <w:r>
        <w:rPr>
          <w:rFonts w:hint="eastAsia" w:ascii="宋体" w:hAnsi="宋体" w:cs="宋体"/>
          <w:color w:val="auto"/>
          <w:sz w:val="24"/>
          <w:szCs w:val="24"/>
        </w:rPr>
        <w:t>，主体工艺采用“两级</w:t>
      </w:r>
      <w:r>
        <w:rPr>
          <w:rFonts w:ascii="宋体" w:hAnsi="宋体" w:cs="宋体"/>
          <w:color w:val="auto"/>
          <w:sz w:val="24"/>
          <w:szCs w:val="24"/>
        </w:rPr>
        <w:t>A/O+</w:t>
      </w:r>
      <w:r>
        <w:rPr>
          <w:rFonts w:hint="eastAsia" w:ascii="宋体" w:hAnsi="宋体" w:cs="宋体"/>
          <w:color w:val="auto"/>
          <w:sz w:val="24"/>
          <w:szCs w:val="24"/>
        </w:rPr>
        <w:t>超滤</w:t>
      </w:r>
      <w:r>
        <w:rPr>
          <w:rFonts w:ascii="宋体" w:hAnsi="宋体" w:cs="宋体"/>
          <w:color w:val="auto"/>
          <w:sz w:val="24"/>
          <w:szCs w:val="24"/>
        </w:rPr>
        <w:t>+</w:t>
      </w:r>
      <w:r>
        <w:rPr>
          <w:rFonts w:hint="eastAsia" w:ascii="宋体" w:hAnsi="宋体" w:cs="宋体"/>
          <w:color w:val="auto"/>
          <w:sz w:val="24"/>
          <w:szCs w:val="24"/>
        </w:rPr>
        <w:t>反渗透处理”；浓缩液处理规模</w:t>
      </w:r>
      <w:r>
        <w:rPr>
          <w:rFonts w:ascii="宋体" w:hAnsi="宋体" w:cs="宋体"/>
          <w:color w:val="auto"/>
          <w:sz w:val="24"/>
          <w:szCs w:val="24"/>
        </w:rPr>
        <w:t>75 m</w:t>
      </w:r>
      <w:r>
        <w:rPr>
          <w:rFonts w:ascii="宋体" w:hAnsi="宋体" w:cs="宋体"/>
          <w:color w:val="auto"/>
          <w:sz w:val="24"/>
          <w:szCs w:val="24"/>
          <w:vertAlign w:val="superscript"/>
        </w:rPr>
        <w:t>3</w:t>
      </w:r>
      <w:r>
        <w:rPr>
          <w:rFonts w:ascii="宋体" w:hAnsi="宋体" w:cs="宋体"/>
          <w:color w:val="auto"/>
          <w:sz w:val="24"/>
          <w:szCs w:val="24"/>
        </w:rPr>
        <w:t>/d</w:t>
      </w:r>
      <w:r>
        <w:rPr>
          <w:rFonts w:hint="eastAsia" w:ascii="宋体" w:hAnsi="宋体" w:cs="宋体"/>
          <w:color w:val="auto"/>
          <w:sz w:val="24"/>
          <w:szCs w:val="24"/>
        </w:rPr>
        <w:t>，处理工艺为“</w:t>
      </w:r>
      <w:r>
        <w:rPr>
          <w:rFonts w:ascii="宋体" w:hAnsi="宋体" w:cs="宋体"/>
          <w:color w:val="auto"/>
          <w:sz w:val="24"/>
          <w:szCs w:val="24"/>
        </w:rPr>
        <w:t>Fenton+</w:t>
      </w:r>
      <w:r>
        <w:rPr>
          <w:rFonts w:hint="eastAsia" w:ascii="宋体" w:hAnsi="宋体" w:cs="宋体"/>
          <w:color w:val="auto"/>
          <w:sz w:val="24"/>
          <w:szCs w:val="24"/>
        </w:rPr>
        <w:t>混凝沉淀</w:t>
      </w:r>
      <w:r>
        <w:rPr>
          <w:rFonts w:ascii="宋体" w:hAnsi="宋体" w:cs="宋体"/>
          <w:color w:val="auto"/>
          <w:sz w:val="24"/>
          <w:szCs w:val="24"/>
        </w:rPr>
        <w:t>+</w:t>
      </w:r>
      <w:r>
        <w:rPr>
          <w:rFonts w:hint="eastAsia" w:ascii="宋体" w:hAnsi="宋体" w:cs="宋体"/>
          <w:color w:val="auto"/>
          <w:sz w:val="24"/>
          <w:szCs w:val="24"/>
        </w:rPr>
        <w:t>臭氧氧化”；污泥处理采用“污泥浓缩</w:t>
      </w:r>
      <w:r>
        <w:rPr>
          <w:rFonts w:ascii="宋体" w:hAnsi="宋体" w:cs="宋体"/>
          <w:color w:val="auto"/>
          <w:sz w:val="24"/>
          <w:szCs w:val="24"/>
        </w:rPr>
        <w:t>+</w:t>
      </w:r>
      <w:r>
        <w:rPr>
          <w:rFonts w:hint="eastAsia" w:ascii="宋体" w:hAnsi="宋体" w:cs="宋体"/>
          <w:color w:val="auto"/>
          <w:sz w:val="24"/>
          <w:szCs w:val="24"/>
        </w:rPr>
        <w:t>离心脱水机”；臭气系统处理量</w:t>
      </w:r>
      <w:r>
        <w:rPr>
          <w:rFonts w:ascii="宋体" w:hAnsi="宋体" w:cs="宋体"/>
          <w:color w:val="auto"/>
          <w:sz w:val="24"/>
          <w:szCs w:val="24"/>
        </w:rPr>
        <w:t>4000m</w:t>
      </w:r>
      <w:r>
        <w:rPr>
          <w:rFonts w:ascii="宋体" w:hAnsi="宋体" w:cs="宋体"/>
          <w:color w:val="auto"/>
          <w:sz w:val="24"/>
          <w:szCs w:val="24"/>
          <w:vertAlign w:val="superscript"/>
        </w:rPr>
        <w:t>3</w:t>
      </w:r>
      <w:r>
        <w:rPr>
          <w:rFonts w:ascii="宋体" w:hAnsi="宋体" w:cs="宋体"/>
          <w:color w:val="auto"/>
          <w:sz w:val="24"/>
          <w:szCs w:val="24"/>
        </w:rPr>
        <w:t>/h</w:t>
      </w:r>
      <w:r>
        <w:rPr>
          <w:rFonts w:hint="eastAsia" w:ascii="宋体" w:hAnsi="宋体" w:cs="宋体"/>
          <w:color w:val="auto"/>
          <w:sz w:val="24"/>
          <w:szCs w:val="24"/>
        </w:rPr>
        <w:t>，采用“生物滴滤处理”工艺</w:t>
      </w:r>
      <w:r>
        <w:rPr>
          <w:rFonts w:hint="eastAsia" w:ascii="宋体" w:hAnsi="宋体" w:cs="宋体"/>
          <w:color w:val="auto"/>
          <w:kern w:val="10"/>
          <w:sz w:val="24"/>
          <w:szCs w:val="24"/>
        </w:rPr>
        <w:t>。</w:t>
      </w:r>
    </w:p>
    <w:p>
      <w:pPr>
        <w:pStyle w:val="23"/>
        <w:spacing w:line="360" w:lineRule="auto"/>
        <w:ind w:left="0" w:leftChars="0" w:firstLine="480"/>
        <w:rPr>
          <w:rFonts w:ascii="宋体"/>
          <w:color w:val="auto"/>
          <w:sz w:val="24"/>
          <w:szCs w:val="24"/>
        </w:rPr>
      </w:pPr>
      <w:r>
        <w:rPr>
          <w:rFonts w:hint="eastAsia" w:ascii="宋体" w:hAnsi="宋体" w:cs="宋体"/>
          <w:color w:val="auto"/>
          <w:sz w:val="24"/>
          <w:szCs w:val="24"/>
        </w:rPr>
        <w:t>排放标准执行《生活垃圾填埋场污染控制标准》（</w:t>
      </w:r>
      <w:r>
        <w:rPr>
          <w:rFonts w:ascii="宋体" w:hAnsi="宋体" w:cs="宋体"/>
          <w:color w:val="auto"/>
          <w:sz w:val="24"/>
          <w:szCs w:val="24"/>
        </w:rPr>
        <w:t>GB16889-2008</w:t>
      </w:r>
      <w:r>
        <w:rPr>
          <w:rFonts w:hint="eastAsia" w:ascii="宋体" w:hAnsi="宋体" w:cs="宋体"/>
          <w:color w:val="auto"/>
          <w:sz w:val="24"/>
          <w:szCs w:val="24"/>
        </w:rPr>
        <w:t>）表</w:t>
      </w:r>
      <w:r>
        <w:rPr>
          <w:rFonts w:ascii="宋体" w:hAnsi="宋体" w:cs="宋体"/>
          <w:color w:val="auto"/>
          <w:sz w:val="24"/>
          <w:szCs w:val="24"/>
        </w:rPr>
        <w:t>2</w:t>
      </w:r>
      <w:r>
        <w:rPr>
          <w:rFonts w:hint="eastAsia" w:ascii="宋体" w:hAnsi="宋体" w:cs="宋体"/>
          <w:color w:val="auto"/>
          <w:sz w:val="24"/>
          <w:szCs w:val="24"/>
        </w:rPr>
        <w:t>的排放限值。</w:t>
      </w:r>
    </w:p>
    <w:p>
      <w:pPr>
        <w:spacing w:beforeLines="25" w:afterLines="25" w:line="360" w:lineRule="auto"/>
        <w:ind w:firstLine="480" w:firstLineChars="200"/>
        <w:rPr>
          <w:rFonts w:ascii="宋体"/>
          <w:color w:val="auto"/>
          <w:kern w:val="10"/>
          <w:sz w:val="24"/>
          <w:szCs w:val="24"/>
        </w:rPr>
      </w:pPr>
      <w:r>
        <w:rPr>
          <w:rFonts w:ascii="宋体" w:hAnsi="宋体" w:cs="宋体"/>
          <w:color w:val="auto"/>
          <w:kern w:val="10"/>
          <w:sz w:val="24"/>
          <w:szCs w:val="24"/>
        </w:rPr>
        <w:t xml:space="preserve">1.5 </w:t>
      </w:r>
      <w:r>
        <w:rPr>
          <w:rFonts w:hint="eastAsia" w:ascii="宋体" w:hAnsi="宋体" w:cs="宋体"/>
          <w:color w:val="auto"/>
          <w:kern w:val="10"/>
          <w:sz w:val="24"/>
          <w:szCs w:val="24"/>
        </w:rPr>
        <w:t>项目标的上限：</w:t>
      </w:r>
    </w:p>
    <w:p>
      <w:pPr>
        <w:pStyle w:val="23"/>
        <w:spacing w:line="360" w:lineRule="auto"/>
        <w:ind w:left="31680" w:firstLine="480"/>
        <w:rPr>
          <w:rFonts w:ascii="宋体"/>
          <w:color w:val="auto"/>
          <w:sz w:val="24"/>
          <w:szCs w:val="24"/>
        </w:rPr>
      </w:pPr>
      <w:r>
        <w:rPr>
          <w:rFonts w:hint="eastAsia" w:ascii="宋体" w:hAnsi="宋体" w:cs="宋体"/>
          <w:color w:val="auto"/>
          <w:sz w:val="24"/>
          <w:szCs w:val="24"/>
        </w:rPr>
        <w:t>项目运行费用：</w:t>
      </w:r>
      <w:r>
        <w:rPr>
          <w:rFonts w:ascii="宋体" w:hAnsi="宋体" w:cs="宋体"/>
          <w:color w:val="auto"/>
          <w:sz w:val="24"/>
          <w:szCs w:val="24"/>
        </w:rPr>
        <w:t>501.875</w:t>
      </w:r>
      <w:r>
        <w:rPr>
          <w:rFonts w:hint="eastAsia" w:ascii="宋体" w:hAnsi="宋体" w:cs="宋体"/>
          <w:color w:val="auto"/>
          <w:sz w:val="24"/>
          <w:szCs w:val="24"/>
        </w:rPr>
        <w:t>万元</w:t>
      </w:r>
      <w:r>
        <w:rPr>
          <w:rFonts w:ascii="宋体" w:hAnsi="宋体" w:cs="宋体"/>
          <w:color w:val="auto"/>
          <w:sz w:val="24"/>
          <w:szCs w:val="24"/>
        </w:rPr>
        <w:t>/</w:t>
      </w:r>
      <w:r>
        <w:rPr>
          <w:rFonts w:hint="eastAsia" w:ascii="宋体" w:hAnsi="宋体" w:cs="宋体"/>
          <w:color w:val="auto"/>
          <w:sz w:val="24"/>
          <w:szCs w:val="24"/>
        </w:rPr>
        <w:t>年，运营期限为三年。</w:t>
      </w:r>
    </w:p>
    <w:p>
      <w:pPr>
        <w:spacing w:beforeLines="25" w:afterLines="25" w:line="360" w:lineRule="auto"/>
        <w:ind w:firstLine="960" w:firstLineChars="400"/>
        <w:rPr>
          <w:rFonts w:ascii="宋体"/>
          <w:color w:val="auto"/>
          <w:kern w:val="10"/>
          <w:sz w:val="24"/>
          <w:szCs w:val="24"/>
        </w:rPr>
      </w:pPr>
      <w:r>
        <w:rPr>
          <w:rFonts w:hint="eastAsia" w:ascii="宋体" w:hAnsi="宋体" w:cs="宋体"/>
          <w:color w:val="auto"/>
          <w:kern w:val="10"/>
          <w:sz w:val="24"/>
          <w:szCs w:val="24"/>
        </w:rPr>
        <w:t>单价上限：</w:t>
      </w:r>
      <w:r>
        <w:rPr>
          <w:rFonts w:ascii="宋体" w:hAnsi="宋体" w:cs="宋体"/>
          <w:color w:val="auto"/>
          <w:kern w:val="10"/>
          <w:sz w:val="24"/>
          <w:szCs w:val="24"/>
        </w:rPr>
        <w:t>55</w:t>
      </w:r>
      <w:r>
        <w:rPr>
          <w:rFonts w:hint="eastAsia" w:ascii="宋体" w:hAnsi="宋体" w:cs="宋体"/>
          <w:color w:val="auto"/>
          <w:kern w:val="10"/>
          <w:sz w:val="24"/>
          <w:szCs w:val="24"/>
        </w:rPr>
        <w:t>元</w:t>
      </w:r>
      <w:r>
        <w:rPr>
          <w:rFonts w:ascii="宋体" w:hAnsi="宋体" w:cs="宋体"/>
          <w:color w:val="auto"/>
          <w:kern w:val="10"/>
          <w:sz w:val="24"/>
          <w:szCs w:val="24"/>
        </w:rPr>
        <w:t>/</w:t>
      </w:r>
      <w:r>
        <w:rPr>
          <w:rFonts w:hint="eastAsia" w:ascii="宋体" w:hAnsi="宋体" w:cs="宋体"/>
          <w:color w:val="auto"/>
          <w:kern w:val="10"/>
          <w:sz w:val="24"/>
          <w:szCs w:val="24"/>
        </w:rPr>
        <w:t>立方米</w:t>
      </w:r>
    </w:p>
    <w:p>
      <w:pPr>
        <w:overflowPunct w:val="0"/>
        <w:spacing w:line="360" w:lineRule="auto"/>
        <w:ind w:firstLine="482" w:firstLineChars="200"/>
        <w:rPr>
          <w:rFonts w:ascii="宋体"/>
          <w:b/>
          <w:bCs/>
          <w:color w:val="auto"/>
          <w:sz w:val="24"/>
          <w:szCs w:val="24"/>
        </w:rPr>
      </w:pPr>
      <w:r>
        <w:rPr>
          <w:rFonts w:hint="eastAsia" w:ascii="宋体" w:hAnsi="宋体" w:cs="宋体"/>
          <w:b/>
          <w:bCs/>
          <w:color w:val="auto"/>
          <w:sz w:val="24"/>
          <w:szCs w:val="24"/>
        </w:rPr>
        <w:t>二、项目需求</w:t>
      </w:r>
    </w:p>
    <w:p>
      <w:pPr>
        <w:overflowPunct w:val="0"/>
        <w:spacing w:line="360" w:lineRule="auto"/>
        <w:ind w:firstLine="482" w:firstLineChars="200"/>
        <w:rPr>
          <w:rFonts w:ascii="宋体"/>
          <w:b/>
          <w:bCs/>
          <w:color w:val="auto"/>
          <w:sz w:val="24"/>
          <w:szCs w:val="24"/>
        </w:rPr>
      </w:pPr>
      <w:r>
        <w:rPr>
          <w:rFonts w:hint="eastAsia" w:ascii="宋体" w:hAnsi="宋体" w:cs="宋体"/>
          <w:b/>
          <w:bCs/>
          <w:color w:val="auto"/>
          <w:sz w:val="24"/>
          <w:szCs w:val="24"/>
        </w:rPr>
        <w:t>（一）采购内容</w:t>
      </w:r>
    </w:p>
    <w:p>
      <w:pPr>
        <w:spacing w:line="360" w:lineRule="auto"/>
        <w:ind w:firstLine="540" w:firstLineChars="225"/>
        <w:rPr>
          <w:rFonts w:ascii="宋体"/>
          <w:color w:val="auto"/>
          <w:sz w:val="24"/>
          <w:szCs w:val="24"/>
          <w:highlight w:val="none"/>
        </w:rPr>
      </w:pPr>
      <w:r>
        <w:rPr>
          <w:rFonts w:hint="eastAsia" w:ascii="宋体" w:hAnsi="宋体" w:cs="宋体"/>
          <w:color w:val="auto"/>
          <w:sz w:val="24"/>
          <w:szCs w:val="24"/>
        </w:rPr>
        <w:t>路桥区生活垃圾填埋场</w:t>
      </w:r>
      <w:r>
        <w:rPr>
          <w:rFonts w:hint="eastAsia" w:ascii="宋体" w:hAnsi="宋体" w:cs="宋体"/>
          <w:color w:val="auto"/>
          <w:sz w:val="24"/>
          <w:szCs w:val="24"/>
          <w:highlight w:val="none"/>
        </w:rPr>
        <w:t>已建</w:t>
      </w:r>
      <w:r>
        <w:rPr>
          <w:rFonts w:ascii="宋体" w:hAnsi="宋体" w:cs="宋体"/>
          <w:color w:val="auto"/>
          <w:sz w:val="24"/>
          <w:szCs w:val="24"/>
        </w:rPr>
        <w:t>250m</w:t>
      </w:r>
      <w:r>
        <w:rPr>
          <w:rFonts w:ascii="宋体" w:hAnsi="宋体" w:cs="宋体"/>
          <w:color w:val="auto"/>
          <w:sz w:val="24"/>
          <w:szCs w:val="24"/>
          <w:vertAlign w:val="superscript"/>
        </w:rPr>
        <w:t>3</w:t>
      </w:r>
      <w:r>
        <w:rPr>
          <w:rFonts w:ascii="宋体" w:hAnsi="宋体" w:cs="宋体"/>
          <w:color w:val="auto"/>
          <w:sz w:val="24"/>
          <w:szCs w:val="24"/>
        </w:rPr>
        <w:t>/d</w:t>
      </w:r>
      <w:r>
        <w:rPr>
          <w:rFonts w:hint="eastAsia" w:ascii="宋体" w:hAnsi="宋体" w:cs="宋体"/>
          <w:color w:val="auto"/>
          <w:sz w:val="24"/>
          <w:szCs w:val="24"/>
        </w:rPr>
        <w:t>垃圾渗滤液处理设施</w:t>
      </w:r>
      <w:r>
        <w:rPr>
          <w:rFonts w:hint="eastAsia" w:ascii="宋体" w:hAnsi="宋体" w:cs="宋体"/>
          <w:color w:val="auto"/>
          <w:sz w:val="24"/>
          <w:szCs w:val="24"/>
          <w:lang w:val="en-US" w:eastAsia="zh-CN"/>
        </w:rPr>
        <w:t>及75m³/d浓缩液处理设施</w:t>
      </w:r>
      <w:r>
        <w:rPr>
          <w:rFonts w:hint="eastAsia" w:ascii="宋体" w:hAnsi="宋体" w:cs="宋体"/>
          <w:color w:val="auto"/>
          <w:sz w:val="24"/>
          <w:szCs w:val="24"/>
        </w:rPr>
        <w:t>的</w:t>
      </w:r>
      <w:r>
        <w:rPr>
          <w:rFonts w:hint="eastAsia" w:ascii="宋体" w:hAnsi="宋体" w:cs="宋体"/>
          <w:color w:val="auto"/>
          <w:sz w:val="24"/>
          <w:szCs w:val="24"/>
          <w:highlight w:val="none"/>
        </w:rPr>
        <w:t>运营服务管理</w:t>
      </w:r>
      <w:r>
        <w:rPr>
          <w:rFonts w:hint="eastAsia" w:ascii="宋体" w:hAnsi="宋体" w:cs="宋体"/>
          <w:color w:val="auto"/>
          <w:sz w:val="24"/>
          <w:szCs w:val="24"/>
        </w:rPr>
        <w:t>；运营费用包括电费、自来水费、药剂费、人工费、污泥处理费、化验费、浓缩液处理费、日常维护费、企业管理费、利润和税金。</w:t>
      </w:r>
      <w:r>
        <w:rPr>
          <w:rFonts w:hint="eastAsia" w:ascii="宋体" w:hAnsi="宋体" w:cs="宋体"/>
          <w:color w:val="auto"/>
          <w:sz w:val="24"/>
          <w:szCs w:val="24"/>
          <w:highlight w:val="none"/>
        </w:rPr>
        <w:t>其中反渗透膜更换由采购人负责，不包含在本次合同价格内。</w:t>
      </w:r>
    </w:p>
    <w:p>
      <w:pPr>
        <w:widowControl/>
        <w:adjustRightInd w:val="0"/>
        <w:spacing w:line="360" w:lineRule="auto"/>
        <w:ind w:firstLine="480" w:firstLineChars="200"/>
        <w:jc w:val="left"/>
        <w:rPr>
          <w:rFonts w:ascii="宋体"/>
          <w:color w:val="auto"/>
          <w:sz w:val="24"/>
          <w:szCs w:val="24"/>
        </w:rPr>
      </w:pPr>
      <w:r>
        <w:rPr>
          <w:rFonts w:hint="eastAsia" w:ascii="宋体" w:hAnsi="宋体" w:cs="宋体"/>
          <w:color w:val="auto"/>
          <w:sz w:val="24"/>
          <w:szCs w:val="24"/>
        </w:rPr>
        <w:t>（二）</w:t>
      </w:r>
      <w:r>
        <w:rPr>
          <w:rFonts w:hint="eastAsia" w:ascii="宋体" w:hAnsi="宋体" w:cs="宋体"/>
          <w:color w:val="auto"/>
          <w:kern w:val="0"/>
          <w:sz w:val="24"/>
          <w:szCs w:val="24"/>
        </w:rPr>
        <w:t>服务期限：</w:t>
      </w:r>
      <w:r>
        <w:rPr>
          <w:rFonts w:ascii="宋体" w:hAnsi="宋体" w:cs="宋体"/>
          <w:color w:val="auto"/>
          <w:kern w:val="0"/>
          <w:sz w:val="24"/>
          <w:szCs w:val="24"/>
        </w:rPr>
        <w:t>3</w:t>
      </w:r>
      <w:r>
        <w:rPr>
          <w:rFonts w:hint="eastAsia" w:ascii="宋体" w:hAnsi="宋体" w:cs="宋体"/>
          <w:color w:val="auto"/>
          <w:kern w:val="0"/>
          <w:sz w:val="24"/>
          <w:szCs w:val="24"/>
        </w:rPr>
        <w:t>年</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合同一年一签</w:t>
      </w:r>
      <w:r>
        <w:rPr>
          <w:rFonts w:hint="eastAsia" w:ascii="宋体" w:hAnsi="宋体" w:cs="宋体"/>
          <w:color w:val="auto"/>
          <w:kern w:val="0"/>
          <w:sz w:val="24"/>
          <w:szCs w:val="24"/>
        </w:rPr>
        <w:t>。</w:t>
      </w:r>
      <w:r>
        <w:rPr>
          <w:rFonts w:hint="default" w:cs="Times New Roman"/>
          <w:color w:val="auto"/>
          <w:sz w:val="24"/>
          <w:szCs w:val="24"/>
          <w:lang w:val="en-US" w:eastAsia="zh-CN"/>
        </w:rPr>
        <w:t>续签年份财政预算金额未达到原合同金额且中标供应商不同意按新的预算金额续签合同的或者续签年份财政预算未通过的，续签合同的约定自动失效，续签最多二次，新合同中供应商利益不得高于原合同，新合同签订之前必须报监督部门审批并备案</w:t>
      </w:r>
      <w:r>
        <w:rPr>
          <w:rFonts w:hint="eastAsia" w:cs="Times New Roman"/>
          <w:color w:val="auto"/>
          <w:sz w:val="24"/>
          <w:szCs w:val="24"/>
          <w:lang w:val="en-US" w:eastAsia="zh-CN"/>
        </w:rPr>
        <w:t>。</w:t>
      </w:r>
    </w:p>
    <w:p>
      <w:pPr>
        <w:snapToGrid w:val="0"/>
        <w:spacing w:line="360" w:lineRule="auto"/>
        <w:ind w:firstLine="482" w:firstLineChars="200"/>
        <w:rPr>
          <w:rFonts w:ascii="宋体"/>
          <w:b/>
          <w:bCs/>
          <w:color w:val="auto"/>
          <w:sz w:val="24"/>
          <w:szCs w:val="24"/>
        </w:rPr>
      </w:pPr>
      <w:r>
        <w:rPr>
          <w:rFonts w:hint="eastAsia" w:ascii="宋体" w:hAnsi="宋体" w:cs="宋体"/>
          <w:b/>
          <w:bCs/>
          <w:color w:val="auto"/>
          <w:sz w:val="24"/>
          <w:szCs w:val="24"/>
        </w:rPr>
        <w:t>（三）项目运行标准及要求</w:t>
      </w:r>
    </w:p>
    <w:p>
      <w:pPr>
        <w:spacing w:line="360" w:lineRule="auto"/>
        <w:ind w:left="420" w:left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、在整个运营期间日均处理量不低于设计处理量的</w:t>
      </w:r>
      <w:r>
        <w:rPr>
          <w:rFonts w:ascii="宋体" w:hAnsi="宋体" w:cs="宋体"/>
          <w:color w:val="auto"/>
          <w:sz w:val="24"/>
          <w:szCs w:val="24"/>
        </w:rPr>
        <w:t>90%</w:t>
      </w:r>
      <w:r>
        <w:rPr>
          <w:rFonts w:hint="eastAsia" w:ascii="宋体" w:hAnsi="宋体" w:cs="宋体"/>
          <w:color w:val="auto"/>
          <w:sz w:val="24"/>
          <w:szCs w:val="24"/>
        </w:rPr>
        <w:t>，即渗滤液处理不低于</w:t>
      </w:r>
      <w:r>
        <w:rPr>
          <w:rFonts w:ascii="宋体" w:hAnsi="宋体" w:cs="宋体"/>
          <w:color w:val="auto"/>
          <w:sz w:val="24"/>
          <w:szCs w:val="24"/>
        </w:rPr>
        <w:t>225m3/d</w:t>
      </w:r>
      <w:r>
        <w:rPr>
          <w:rFonts w:hint="eastAsia" w:ascii="宋体" w:hAnsi="宋体" w:cs="宋体"/>
          <w:color w:val="auto"/>
          <w:sz w:val="24"/>
          <w:szCs w:val="24"/>
        </w:rPr>
        <w:t>，污泥处理后含水率降至</w:t>
      </w:r>
      <w:r>
        <w:rPr>
          <w:rFonts w:ascii="宋体" w:hAnsi="宋体" w:cs="宋体"/>
          <w:color w:val="auto"/>
          <w:sz w:val="24"/>
          <w:szCs w:val="24"/>
        </w:rPr>
        <w:t>80%</w:t>
      </w:r>
      <w:r>
        <w:rPr>
          <w:rFonts w:hint="eastAsia" w:ascii="宋体" w:hAnsi="宋体" w:cs="宋体"/>
          <w:color w:val="auto"/>
          <w:sz w:val="24"/>
          <w:szCs w:val="24"/>
        </w:rPr>
        <w:t>以下，脱水污泥按照相关规范要求进行处置，并做好台账。</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、在整个运维期内中标人应自行承担费用和风险，负责本项目的运营、管理、维护和修理，以及设备更新优化等，使本项目处于良好的运营状态并能够安全、稳定地处理渗滤液使之达到规定的出水标准。</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、中标单位负责承担采购人提供的办公室、中控室、化验室、食堂进行整修。其整修方案需经采购人认可，整修效果满足中标人项目运营和符合采购人的要求。</w:t>
      </w:r>
    </w:p>
    <w:p>
      <w:pPr>
        <w:spacing w:line="360" w:lineRule="auto"/>
        <w:ind w:firstLine="480" w:firstLineChars="200"/>
        <w:rPr>
          <w:rFonts w:hint="eastAsia" w:ascii="宋体" w:hAnsi="宋体" w:eastAsia="宋体" w:cs="宋体"/>
          <w:color w:val="auto"/>
          <w:sz w:val="24"/>
          <w:szCs w:val="24"/>
          <w:lang w:eastAsia="zh-CN"/>
        </w:rPr>
      </w:pPr>
      <w:r>
        <w:rPr>
          <w:rFonts w:ascii="宋体" w:hAnsi="宋体" w:cs="宋体"/>
          <w:color w:val="auto"/>
          <w:sz w:val="24"/>
          <w:szCs w:val="24"/>
        </w:rPr>
        <w:t>4</w:t>
      </w:r>
      <w:r>
        <w:rPr>
          <w:rFonts w:hint="eastAsia" w:ascii="宋体" w:hAnsi="宋体" w:cs="宋体"/>
          <w:color w:val="auto"/>
          <w:sz w:val="24"/>
          <w:szCs w:val="24"/>
        </w:rPr>
        <w:t>、出水水质要求：出水水质执行《生活垃圾填埋场污染控制标准》（</w:t>
      </w:r>
      <w:r>
        <w:rPr>
          <w:rFonts w:ascii="宋体" w:hAnsi="宋体" w:cs="宋体"/>
          <w:color w:val="auto"/>
          <w:sz w:val="24"/>
          <w:szCs w:val="24"/>
        </w:rPr>
        <w:t>GB16889-2008</w:t>
      </w:r>
      <w:r>
        <w:rPr>
          <w:rFonts w:hint="eastAsia" w:ascii="宋体" w:hAnsi="宋体" w:cs="宋体"/>
          <w:color w:val="auto"/>
          <w:sz w:val="24"/>
          <w:szCs w:val="24"/>
        </w:rPr>
        <w:t>）表</w:t>
      </w:r>
      <w:r>
        <w:rPr>
          <w:rFonts w:ascii="宋体" w:hAnsi="宋体" w:cs="宋体"/>
          <w:color w:val="auto"/>
          <w:sz w:val="24"/>
          <w:szCs w:val="24"/>
        </w:rPr>
        <w:t>2</w:t>
      </w:r>
      <w:r>
        <w:rPr>
          <w:rFonts w:hint="eastAsia" w:ascii="宋体" w:hAnsi="宋体" w:cs="宋体"/>
          <w:color w:val="auto"/>
          <w:sz w:val="24"/>
          <w:szCs w:val="24"/>
        </w:rPr>
        <w:t>的排放限值</w:t>
      </w:r>
      <w:r>
        <w:rPr>
          <w:rFonts w:hint="eastAsia" w:ascii="宋体" w:hAnsi="宋体" w:cs="宋体"/>
          <w:color w:val="auto"/>
          <w:sz w:val="24"/>
          <w:szCs w:val="24"/>
          <w:lang w:eastAsia="zh-CN"/>
        </w:rPr>
        <w:t>。</w:t>
      </w:r>
    </w:p>
    <w:p>
      <w:pPr>
        <w:pStyle w:val="2"/>
        <w:numPr>
          <w:ilvl w:val="0"/>
          <w:numId w:val="4"/>
        </w:numPr>
        <w:spacing w:line="360" w:lineRule="auto"/>
        <w:ind w:left="481" w:leftChars="0" w:firstLine="0" w:firstLineChars="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制定各类应急预案措施：包括污水超标排放应急措施、污水不达标处理策略、</w:t>
      </w:r>
    </w:p>
    <w:p>
      <w:pPr>
        <w:pStyle w:val="2"/>
        <w:numPr>
          <w:ilvl w:val="0"/>
          <w:numId w:val="0"/>
        </w:num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突然停电应急预案、台风和暴雨突发事故应急措施、药剂车间盐酸泄露应急措施、触电应急处理、机械伤害事故应急措施、腐蚀性液体伤害应急处理、反渗透膜更换期间的应急措施等。</w:t>
      </w:r>
    </w:p>
    <w:p>
      <w:pPr>
        <w:numPr>
          <w:ilvl w:val="0"/>
          <w:numId w:val="4"/>
        </w:numPr>
        <w:spacing w:line="360" w:lineRule="auto"/>
        <w:ind w:left="481"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故障维修要求：非不可抗拒原因本项目故障维修要求不超过24小时</w:t>
      </w:r>
      <w:r>
        <w:rPr>
          <w:rFonts w:hint="eastAsia" w:ascii="宋体" w:hAnsi="宋体" w:cs="宋体"/>
          <w:color w:val="auto"/>
          <w:sz w:val="24"/>
          <w:szCs w:val="24"/>
          <w:lang w:val="en-US" w:eastAsia="zh-CN"/>
        </w:rPr>
        <w:t>。</w:t>
      </w:r>
    </w:p>
    <w:p>
      <w:pPr>
        <w:snapToGrid w:val="0"/>
        <w:spacing w:line="360" w:lineRule="auto"/>
        <w:ind w:firstLine="482" w:firstLineChars="200"/>
        <w:rPr>
          <w:rFonts w:ascii="宋体"/>
          <w:b/>
          <w:bCs/>
          <w:color w:val="auto"/>
          <w:sz w:val="24"/>
          <w:szCs w:val="24"/>
        </w:rPr>
      </w:pPr>
      <w:r>
        <w:rPr>
          <w:rFonts w:hint="eastAsia" w:ascii="宋体" w:hAnsi="宋体" w:cs="宋体"/>
          <w:b/>
          <w:bCs/>
          <w:color w:val="auto"/>
          <w:sz w:val="24"/>
          <w:szCs w:val="24"/>
        </w:rPr>
        <w:t>（四）需满足的国家相关标准、行业标准、地方标准或者其他标准、规范。</w:t>
      </w:r>
    </w:p>
    <w:p>
      <w:pPr>
        <w:numPr>
          <w:ilvl w:val="0"/>
          <w:numId w:val="5"/>
        </w:numPr>
        <w:spacing w:line="360" w:lineRule="auto"/>
        <w:ind w:left="0" w:firstLine="480" w:firstLineChars="200"/>
        <w:rPr>
          <w:rFonts w:ascii="宋体"/>
          <w:color w:val="auto"/>
          <w:sz w:val="24"/>
          <w:szCs w:val="24"/>
        </w:rPr>
      </w:pPr>
      <w:bookmarkStart w:id="39" w:name="_Toc18703"/>
      <w:bookmarkStart w:id="40" w:name="_Toc24024"/>
      <w:bookmarkStart w:id="41" w:name="_Toc8225"/>
      <w:r>
        <w:rPr>
          <w:rFonts w:hint="eastAsia" w:ascii="宋体" w:hAnsi="宋体" w:cs="宋体"/>
          <w:color w:val="auto"/>
          <w:sz w:val="24"/>
          <w:szCs w:val="24"/>
        </w:rPr>
        <w:t>《生活垃圾渗滤液处理技术规范》</w:t>
      </w:r>
      <w:r>
        <w:rPr>
          <w:rFonts w:ascii="宋体" w:hAnsi="宋体" w:cs="宋体"/>
          <w:color w:val="auto"/>
          <w:sz w:val="24"/>
          <w:szCs w:val="24"/>
        </w:rPr>
        <w:t>CJJ150-2010</w:t>
      </w:r>
      <w:bookmarkEnd w:id="39"/>
      <w:bookmarkEnd w:id="40"/>
      <w:bookmarkEnd w:id="41"/>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《水污染物排放标准》</w:t>
      </w:r>
      <w:r>
        <w:rPr>
          <w:rFonts w:ascii="宋体" w:hAnsi="宋体" w:cs="宋体"/>
          <w:color w:val="auto"/>
          <w:sz w:val="24"/>
          <w:szCs w:val="24"/>
        </w:rPr>
        <w:t>(DB11/307-2013)B</w:t>
      </w:r>
      <w:r>
        <w:rPr>
          <w:rFonts w:hint="eastAsia" w:ascii="宋体" w:hAnsi="宋体" w:cs="宋体"/>
          <w:color w:val="auto"/>
          <w:sz w:val="24"/>
          <w:szCs w:val="24"/>
        </w:rPr>
        <w:t>级</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《生活垃圾填埋场污染控制标准》</w:t>
      </w:r>
      <w:r>
        <w:rPr>
          <w:rFonts w:ascii="宋体" w:hAnsi="宋体" w:cs="宋体"/>
          <w:color w:val="auto"/>
          <w:sz w:val="24"/>
          <w:szCs w:val="24"/>
        </w:rPr>
        <w:t>GB16889-2008</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《环境空气质量标准》</w:t>
      </w:r>
      <w:r>
        <w:rPr>
          <w:rFonts w:ascii="宋体" w:hAnsi="宋体" w:cs="宋体"/>
          <w:color w:val="auto"/>
          <w:sz w:val="24"/>
          <w:szCs w:val="24"/>
        </w:rPr>
        <w:t>GB3095-2012</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《声环境质量标准》</w:t>
      </w:r>
      <w:r>
        <w:rPr>
          <w:rFonts w:ascii="宋体" w:hAnsi="宋体" w:cs="宋体"/>
          <w:color w:val="auto"/>
          <w:sz w:val="24"/>
          <w:szCs w:val="24"/>
        </w:rPr>
        <w:t>GB3096-2008</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《恶臭污染物排放标准》</w:t>
      </w:r>
      <w:r>
        <w:rPr>
          <w:rFonts w:ascii="宋体" w:hAnsi="宋体" w:cs="宋体"/>
          <w:color w:val="auto"/>
          <w:sz w:val="24"/>
          <w:szCs w:val="24"/>
        </w:rPr>
        <w:t>GB14554-93</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《室外排水设计规范》</w:t>
      </w:r>
      <w:r>
        <w:rPr>
          <w:rFonts w:ascii="宋体" w:hAnsi="宋体" w:cs="宋体"/>
          <w:color w:val="auto"/>
          <w:sz w:val="24"/>
          <w:szCs w:val="24"/>
        </w:rPr>
        <w:t>GB50014-2006</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《室外给水设计规范》</w:t>
      </w:r>
      <w:r>
        <w:rPr>
          <w:rFonts w:ascii="宋体" w:hAnsi="宋体" w:cs="宋体"/>
          <w:color w:val="auto"/>
          <w:sz w:val="24"/>
          <w:szCs w:val="24"/>
        </w:rPr>
        <w:t>GB50013-2006</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《建筑结构荷载规范》</w:t>
      </w:r>
      <w:r>
        <w:rPr>
          <w:rFonts w:ascii="宋体" w:hAnsi="宋体" w:cs="宋体"/>
          <w:color w:val="auto"/>
          <w:sz w:val="24"/>
          <w:szCs w:val="24"/>
        </w:rPr>
        <w:t>GB50009-2012</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《给水排水工程构筑物结构设计规范》</w:t>
      </w:r>
      <w:r>
        <w:rPr>
          <w:rFonts w:ascii="宋体" w:hAnsi="宋体" w:cs="宋体"/>
          <w:color w:val="auto"/>
          <w:sz w:val="24"/>
          <w:szCs w:val="24"/>
        </w:rPr>
        <w:t>GB50069-2002</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《水工混凝土结构设计规范》</w:t>
      </w:r>
      <w:r>
        <w:rPr>
          <w:rFonts w:ascii="宋体" w:hAnsi="宋体" w:cs="宋体"/>
          <w:color w:val="auto"/>
          <w:sz w:val="24"/>
          <w:szCs w:val="24"/>
        </w:rPr>
        <w:t>DL-T5057-2009</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《建筑设计防火规范》</w:t>
      </w:r>
      <w:r>
        <w:rPr>
          <w:rFonts w:ascii="宋体" w:hAnsi="宋体" w:cs="宋体"/>
          <w:color w:val="auto"/>
          <w:sz w:val="24"/>
          <w:szCs w:val="24"/>
        </w:rPr>
        <w:t>GB50016-2014</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《生活垃圾卫生填埋技术规范》</w:t>
      </w:r>
      <w:r>
        <w:rPr>
          <w:rFonts w:ascii="宋体" w:hAnsi="宋体" w:cs="宋体"/>
          <w:color w:val="auto"/>
          <w:sz w:val="24"/>
          <w:szCs w:val="24"/>
        </w:rPr>
        <w:t>CJJ17-2004</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《给水排水管道工程施工及验收规范》</w:t>
      </w:r>
      <w:r>
        <w:rPr>
          <w:rFonts w:ascii="宋体" w:hAnsi="宋体" w:cs="宋体"/>
          <w:color w:val="auto"/>
          <w:sz w:val="24"/>
          <w:szCs w:val="24"/>
        </w:rPr>
        <w:t>GB50268-2008</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《生活垃圾焚烧污染控制标准》</w:t>
      </w:r>
      <w:r>
        <w:rPr>
          <w:rFonts w:ascii="宋体" w:hAnsi="宋体" w:cs="宋体"/>
          <w:color w:val="auto"/>
          <w:sz w:val="24"/>
          <w:szCs w:val="24"/>
        </w:rPr>
        <w:t>GB18485-2014</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《电厂用水处理设备质量验收标准》</w:t>
      </w:r>
      <w:r>
        <w:rPr>
          <w:rFonts w:ascii="宋体" w:hAnsi="宋体" w:cs="宋体"/>
          <w:color w:val="auto"/>
          <w:sz w:val="24"/>
          <w:szCs w:val="24"/>
        </w:rPr>
        <w:t>DL 543-2009</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《水处理设备制造技术条件》</w:t>
      </w:r>
      <w:r>
        <w:rPr>
          <w:rFonts w:ascii="宋体" w:hAnsi="宋体" w:cs="宋体"/>
          <w:color w:val="auto"/>
          <w:sz w:val="24"/>
          <w:szCs w:val="24"/>
        </w:rPr>
        <w:t>JB/T2932-1999</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《水处理设备技术件》</w:t>
      </w:r>
      <w:r>
        <w:rPr>
          <w:rFonts w:ascii="宋体" w:hAnsi="宋体" w:cs="宋体"/>
          <w:color w:val="auto"/>
          <w:sz w:val="24"/>
          <w:szCs w:val="24"/>
        </w:rPr>
        <w:t>JB/Z360-89</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《钢制压力容器》</w:t>
      </w:r>
      <w:r>
        <w:rPr>
          <w:rFonts w:ascii="宋体" w:hAnsi="宋体" w:cs="宋体"/>
          <w:color w:val="auto"/>
          <w:sz w:val="24"/>
          <w:szCs w:val="24"/>
        </w:rPr>
        <w:t>GB150-2011</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《钢制焊接常压容器技术条件》</w:t>
      </w:r>
      <w:r>
        <w:rPr>
          <w:rFonts w:ascii="宋体" w:hAnsi="宋体" w:cs="宋体"/>
          <w:color w:val="auto"/>
          <w:sz w:val="24"/>
          <w:szCs w:val="24"/>
        </w:rPr>
        <w:t>JB/T4735-1997</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《水处理设备原材料入厂检验》</w:t>
      </w:r>
      <w:r>
        <w:rPr>
          <w:rFonts w:ascii="宋体" w:hAnsi="宋体" w:cs="宋体"/>
          <w:color w:val="auto"/>
          <w:sz w:val="24"/>
          <w:szCs w:val="24"/>
        </w:rPr>
        <w:t>ZBJ98004-87</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《水处理设备油漆、包装技术条件》</w:t>
      </w:r>
      <w:r>
        <w:rPr>
          <w:rFonts w:ascii="宋体" w:hAnsi="宋体" w:cs="宋体"/>
          <w:color w:val="auto"/>
          <w:sz w:val="24"/>
          <w:szCs w:val="24"/>
        </w:rPr>
        <w:t xml:space="preserve">ZBJ98003-87 </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《采暖通风与空气调节设计规范》</w:t>
      </w:r>
      <w:r>
        <w:rPr>
          <w:rFonts w:ascii="宋体" w:hAnsi="宋体" w:cs="宋体"/>
          <w:color w:val="auto"/>
          <w:sz w:val="24"/>
          <w:szCs w:val="24"/>
        </w:rPr>
        <w:t>GB50019-2003</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《泵站设计规范》</w:t>
      </w:r>
      <w:r>
        <w:rPr>
          <w:rFonts w:ascii="宋体" w:hAnsi="宋体" w:cs="宋体"/>
          <w:color w:val="auto"/>
          <w:sz w:val="24"/>
          <w:szCs w:val="24"/>
        </w:rPr>
        <w:t>GB/T50265-2010</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《工业企业噪声控制设计规范》</w:t>
      </w:r>
      <w:r>
        <w:rPr>
          <w:rFonts w:ascii="宋体" w:hAnsi="宋体" w:cs="宋体"/>
          <w:color w:val="auto"/>
          <w:sz w:val="24"/>
          <w:szCs w:val="24"/>
        </w:rPr>
        <w:t>GB/T50087-2013</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《建筑抗震设计规范》</w:t>
      </w:r>
      <w:r>
        <w:rPr>
          <w:rFonts w:ascii="宋体" w:hAnsi="宋体" w:cs="宋体"/>
          <w:color w:val="auto"/>
          <w:sz w:val="24"/>
          <w:szCs w:val="24"/>
        </w:rPr>
        <w:t>GB50011-2010</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《构筑物抗震设计规范》</w:t>
      </w:r>
      <w:r>
        <w:rPr>
          <w:rFonts w:ascii="宋体" w:hAnsi="宋体" w:cs="宋体"/>
          <w:color w:val="auto"/>
          <w:sz w:val="24"/>
          <w:szCs w:val="24"/>
        </w:rPr>
        <w:t>GB50191-2012</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《供配电系统设计规范》</w:t>
      </w:r>
      <w:r>
        <w:rPr>
          <w:rFonts w:ascii="宋体" w:hAnsi="宋体" w:cs="宋体"/>
          <w:color w:val="auto"/>
          <w:sz w:val="24"/>
          <w:szCs w:val="24"/>
        </w:rPr>
        <w:t>GB50052-2009</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《建筑照明设计标准》</w:t>
      </w:r>
      <w:r>
        <w:rPr>
          <w:rFonts w:ascii="宋体" w:hAnsi="宋体" w:cs="宋体"/>
          <w:color w:val="auto"/>
          <w:sz w:val="24"/>
          <w:szCs w:val="24"/>
        </w:rPr>
        <w:t>GB50034-2013</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《室内空气质量标准》</w:t>
      </w:r>
      <w:r>
        <w:rPr>
          <w:rFonts w:ascii="宋体" w:hAnsi="宋体" w:cs="宋体"/>
          <w:color w:val="auto"/>
          <w:sz w:val="24"/>
          <w:szCs w:val="24"/>
        </w:rPr>
        <w:t>GB/T18883-2002</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《继电保护和安全自动装置技术规程》</w:t>
      </w:r>
      <w:r>
        <w:rPr>
          <w:rFonts w:ascii="宋体" w:hAnsi="宋体" w:cs="宋体"/>
          <w:color w:val="auto"/>
          <w:sz w:val="24"/>
          <w:szCs w:val="24"/>
        </w:rPr>
        <w:t>GB14285-2016</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《交流电装置的接地设计规范》</w:t>
      </w:r>
      <w:r>
        <w:rPr>
          <w:rFonts w:ascii="宋体" w:hAnsi="宋体" w:cs="宋体"/>
          <w:color w:val="auto"/>
          <w:sz w:val="24"/>
          <w:szCs w:val="24"/>
        </w:rPr>
        <w:t>GB50065-2011</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《工业企业设计卫生标准》</w:t>
      </w:r>
      <w:r>
        <w:rPr>
          <w:rFonts w:ascii="宋体" w:hAnsi="宋体" w:cs="宋体"/>
          <w:color w:val="auto"/>
          <w:sz w:val="24"/>
          <w:szCs w:val="24"/>
        </w:rPr>
        <w:t xml:space="preserve">GBZ1-2010 </w:t>
      </w:r>
    </w:p>
    <w:p>
      <w:pPr>
        <w:numPr>
          <w:ilvl w:val="0"/>
          <w:numId w:val="5"/>
        </w:numPr>
        <w:spacing w:line="360" w:lineRule="auto"/>
        <w:ind w:left="0" w:firstLine="480" w:firstLineChars="200"/>
        <w:rPr>
          <w:rFonts w:ascii="宋体"/>
          <w:color w:val="auto"/>
          <w:sz w:val="24"/>
          <w:szCs w:val="24"/>
        </w:rPr>
      </w:pPr>
      <w:r>
        <w:rPr>
          <w:rFonts w:hint="eastAsia" w:ascii="宋体" w:hAnsi="宋体" w:cs="宋体"/>
          <w:color w:val="auto"/>
          <w:sz w:val="24"/>
          <w:szCs w:val="24"/>
        </w:rPr>
        <w:t>《三相异步电动机试验方法》</w:t>
      </w:r>
      <w:r>
        <w:rPr>
          <w:rFonts w:ascii="宋体" w:hAnsi="宋体" w:cs="宋体"/>
          <w:color w:val="auto"/>
          <w:sz w:val="24"/>
          <w:szCs w:val="24"/>
        </w:rPr>
        <w:t xml:space="preserve"> GB/T1032-2012</w:t>
      </w:r>
    </w:p>
    <w:p>
      <w:pPr>
        <w:numPr>
          <w:ilvl w:val="0"/>
          <w:numId w:val="5"/>
        </w:numPr>
        <w:spacing w:line="360" w:lineRule="auto"/>
        <w:ind w:left="0" w:firstLine="480" w:firstLineChars="200"/>
        <w:rPr>
          <w:rFonts w:ascii="宋体"/>
          <w:b/>
          <w:bCs/>
          <w:color w:val="auto"/>
          <w:sz w:val="24"/>
          <w:szCs w:val="24"/>
        </w:rPr>
      </w:pPr>
      <w:r>
        <w:rPr>
          <w:rFonts w:hint="eastAsia" w:ascii="宋体" w:hAnsi="宋体" w:cs="宋体"/>
          <w:color w:val="auto"/>
          <w:sz w:val="24"/>
          <w:szCs w:val="24"/>
        </w:rPr>
        <w:t>《水处理设备制造技术条件》</w:t>
      </w:r>
      <w:r>
        <w:rPr>
          <w:rFonts w:ascii="宋体" w:hAnsi="宋体" w:cs="宋体"/>
          <w:color w:val="auto"/>
          <w:sz w:val="24"/>
          <w:szCs w:val="24"/>
        </w:rPr>
        <w:t>JB2932-1999</w:t>
      </w:r>
    </w:p>
    <w:p>
      <w:pPr>
        <w:overflowPunct w:val="0"/>
        <w:spacing w:line="360" w:lineRule="auto"/>
        <w:ind w:firstLine="482" w:firstLineChars="200"/>
        <w:rPr>
          <w:rFonts w:ascii="宋体"/>
          <w:b/>
          <w:bCs/>
          <w:color w:val="auto"/>
          <w:sz w:val="24"/>
          <w:szCs w:val="24"/>
        </w:rPr>
      </w:pPr>
      <w:r>
        <w:rPr>
          <w:rFonts w:hint="eastAsia" w:ascii="宋体" w:hAnsi="宋体" w:cs="宋体"/>
          <w:b/>
          <w:bCs/>
          <w:color w:val="auto"/>
          <w:sz w:val="24"/>
          <w:szCs w:val="24"/>
        </w:rPr>
        <w:t>（五）、项目交付或者实施的时间和地点。</w:t>
      </w:r>
    </w:p>
    <w:p>
      <w:pPr>
        <w:overflowPunct w:val="0"/>
        <w:spacing w:line="360" w:lineRule="auto"/>
        <w:ind w:firstLine="520" w:firstLineChars="200"/>
        <w:rPr>
          <w:rFonts w:ascii="宋体"/>
          <w:color w:val="auto"/>
          <w:spacing w:val="10"/>
          <w:kern w:val="0"/>
          <w:sz w:val="24"/>
          <w:szCs w:val="24"/>
        </w:rPr>
      </w:pPr>
      <w:r>
        <w:rPr>
          <w:rFonts w:hint="eastAsia" w:ascii="宋体" w:hAnsi="宋体" w:cs="宋体"/>
          <w:color w:val="auto"/>
          <w:spacing w:val="10"/>
          <w:kern w:val="0"/>
          <w:sz w:val="24"/>
          <w:szCs w:val="24"/>
        </w:rPr>
        <w:t>时间</w:t>
      </w:r>
      <w:r>
        <w:rPr>
          <w:rFonts w:hint="eastAsia" w:ascii="宋体" w:hAnsi="宋体" w:cs="宋体"/>
          <w:color w:val="auto"/>
          <w:spacing w:val="10"/>
          <w:kern w:val="0"/>
          <w:sz w:val="24"/>
          <w:szCs w:val="24"/>
          <w:highlight w:val="green"/>
        </w:rPr>
        <w:t>：合同签订后</w:t>
      </w:r>
      <w:r>
        <w:rPr>
          <w:rFonts w:hint="eastAsia" w:ascii="宋体" w:hAnsi="宋体" w:cs="宋体"/>
          <w:color w:val="auto"/>
          <w:spacing w:val="10"/>
          <w:kern w:val="0"/>
          <w:sz w:val="24"/>
          <w:szCs w:val="24"/>
          <w:highlight w:val="green"/>
          <w:u w:val="none"/>
          <w:lang w:val="en-US" w:eastAsia="zh-CN"/>
        </w:rPr>
        <w:t>确保2021年11月1日</w:t>
      </w:r>
      <w:r>
        <w:rPr>
          <w:rFonts w:hint="eastAsia" w:ascii="宋体" w:hAnsi="宋体" w:cs="宋体"/>
          <w:color w:val="auto"/>
          <w:spacing w:val="10"/>
          <w:kern w:val="0"/>
          <w:sz w:val="24"/>
          <w:szCs w:val="24"/>
        </w:rPr>
        <w:t>开始渗滤液处理系统运营管理。</w:t>
      </w:r>
    </w:p>
    <w:p>
      <w:pPr>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rPr>
        <w:t>地点</w:t>
      </w:r>
      <w:r>
        <w:rPr>
          <w:rFonts w:hint="eastAsia" w:ascii="宋体" w:hAnsi="宋体" w:cs="宋体"/>
          <w:color w:val="auto"/>
          <w:kern w:val="0"/>
          <w:sz w:val="24"/>
          <w:szCs w:val="24"/>
          <w:highlight w:val="none"/>
        </w:rPr>
        <w:t>：位于台州滨海工业区东面，路桥区金清镇十塘的路桥区生活垃圾填埋场内。</w:t>
      </w:r>
    </w:p>
    <w:p>
      <w:pPr>
        <w:widowControl/>
        <w:shd w:val="clear" w:color="auto" w:fill="FFFFFF"/>
        <w:tabs>
          <w:tab w:val="left" w:pos="1560"/>
        </w:tabs>
        <w:spacing w:line="360" w:lineRule="auto"/>
        <w:ind w:firstLine="482" w:firstLineChars="200"/>
        <w:textAlignment w:val="bottom"/>
        <w:rPr>
          <w:color w:val="auto"/>
          <w:sz w:val="24"/>
          <w:szCs w:val="24"/>
        </w:rPr>
      </w:pPr>
      <w:r>
        <w:rPr>
          <w:rFonts w:hint="eastAsia" w:ascii="宋体" w:hAnsi="宋体" w:cs="宋体"/>
          <w:b/>
          <w:bCs/>
          <w:color w:val="auto"/>
          <w:sz w:val="24"/>
          <w:szCs w:val="24"/>
        </w:rPr>
        <w:t>（六）、付款方式：合同签订后乙方须支付年合同金额的</w:t>
      </w:r>
      <w:r>
        <w:rPr>
          <w:rFonts w:ascii="宋体" w:hAnsi="宋体" w:cs="宋体"/>
          <w:b/>
          <w:bCs/>
          <w:color w:val="auto"/>
          <w:sz w:val="24"/>
          <w:szCs w:val="24"/>
        </w:rPr>
        <w:t>5%</w:t>
      </w:r>
      <w:r>
        <w:rPr>
          <w:rFonts w:hint="eastAsia" w:ascii="宋体" w:hAnsi="宋体" w:cs="宋体"/>
          <w:b/>
          <w:bCs/>
          <w:color w:val="auto"/>
          <w:sz w:val="24"/>
          <w:szCs w:val="24"/>
        </w:rPr>
        <w:t>作为履约保证金，项目完成后，合同金额</w:t>
      </w:r>
      <w:r>
        <w:rPr>
          <w:rFonts w:ascii="宋体" w:hAnsi="宋体" w:cs="宋体"/>
          <w:b/>
          <w:bCs/>
          <w:color w:val="auto"/>
          <w:sz w:val="24"/>
          <w:szCs w:val="24"/>
        </w:rPr>
        <w:t>5%</w:t>
      </w:r>
      <w:r>
        <w:rPr>
          <w:rFonts w:hint="eastAsia" w:ascii="宋体" w:hAnsi="宋体" w:cs="宋体"/>
          <w:b/>
          <w:bCs/>
          <w:color w:val="auto"/>
          <w:sz w:val="24"/>
          <w:szCs w:val="24"/>
        </w:rPr>
        <w:t>的履约保证金在服务期满</w:t>
      </w:r>
      <w:r>
        <w:rPr>
          <w:rFonts w:ascii="宋体" w:hAnsi="宋体" w:cs="宋体"/>
          <w:b/>
          <w:bCs/>
          <w:color w:val="auto"/>
          <w:sz w:val="24"/>
          <w:szCs w:val="24"/>
        </w:rPr>
        <w:t>15</w:t>
      </w:r>
      <w:r>
        <w:rPr>
          <w:rFonts w:hint="eastAsia" w:ascii="宋体" w:hAnsi="宋体" w:cs="宋体"/>
          <w:b/>
          <w:bCs/>
          <w:color w:val="auto"/>
          <w:sz w:val="24"/>
          <w:szCs w:val="24"/>
        </w:rPr>
        <w:t>个工作日内退还</w:t>
      </w:r>
      <w:r>
        <w:rPr>
          <w:rFonts w:ascii="宋体" w:cs="宋体"/>
          <w:b/>
          <w:bCs/>
          <w:color w:val="auto"/>
          <w:sz w:val="24"/>
          <w:szCs w:val="24"/>
        </w:rPr>
        <w:t>,</w:t>
      </w:r>
      <w:r>
        <w:rPr>
          <w:rFonts w:hint="eastAsia" w:ascii="宋体" w:hAnsi="宋体" w:cs="宋体"/>
          <w:b/>
          <w:bCs/>
          <w:color w:val="auto"/>
          <w:sz w:val="24"/>
          <w:szCs w:val="24"/>
        </w:rPr>
        <w:t>不计利息。</w:t>
      </w:r>
    </w:p>
    <w:p>
      <w:pPr>
        <w:widowControl/>
        <w:shd w:val="clear" w:color="auto" w:fill="FFFFFF"/>
        <w:tabs>
          <w:tab w:val="left" w:pos="1560"/>
        </w:tabs>
        <w:spacing w:line="360" w:lineRule="auto"/>
        <w:ind w:firstLine="482" w:firstLineChars="200"/>
        <w:textAlignment w:val="bottom"/>
        <w:rPr>
          <w:rFonts w:ascii="宋体"/>
          <w:b/>
          <w:bCs/>
          <w:color w:val="auto"/>
          <w:sz w:val="24"/>
          <w:szCs w:val="24"/>
        </w:rPr>
      </w:pPr>
      <w:r>
        <w:rPr>
          <w:rFonts w:hint="eastAsia" w:ascii="宋体" w:hAnsi="宋体" w:cs="宋体"/>
          <w:b/>
          <w:bCs/>
          <w:color w:val="auto"/>
          <w:sz w:val="24"/>
          <w:szCs w:val="24"/>
        </w:rPr>
        <w:t>甲方按月向乙方支付运营服务费。</w:t>
      </w:r>
    </w:p>
    <w:p>
      <w:pPr>
        <w:widowControl/>
        <w:shd w:val="clear" w:color="auto" w:fill="FFFFFF"/>
        <w:tabs>
          <w:tab w:val="left" w:pos="1560"/>
        </w:tabs>
        <w:spacing w:line="360" w:lineRule="auto"/>
        <w:ind w:firstLine="482" w:firstLineChars="200"/>
        <w:textAlignment w:val="bottom"/>
        <w:rPr>
          <w:rFonts w:ascii="宋体"/>
          <w:b/>
          <w:bCs/>
          <w:color w:val="auto"/>
          <w:sz w:val="24"/>
          <w:szCs w:val="24"/>
        </w:rPr>
      </w:pPr>
      <w:r>
        <w:rPr>
          <w:rFonts w:hint="eastAsia" w:ascii="宋体" w:hAnsi="宋体" w:cs="宋体"/>
          <w:b/>
          <w:bCs/>
          <w:color w:val="auto"/>
          <w:sz w:val="24"/>
          <w:szCs w:val="24"/>
        </w:rPr>
        <w:t>月运营服务费</w:t>
      </w:r>
      <w:r>
        <w:rPr>
          <w:rFonts w:ascii="宋体" w:hAnsi="宋体" w:cs="宋体"/>
          <w:b/>
          <w:bCs/>
          <w:color w:val="auto"/>
          <w:sz w:val="24"/>
          <w:szCs w:val="24"/>
        </w:rPr>
        <w:t>=</w:t>
      </w:r>
      <w:r>
        <w:rPr>
          <w:rFonts w:hint="eastAsia" w:ascii="宋体" w:hAnsi="宋体" w:cs="宋体"/>
          <w:b/>
          <w:bCs/>
          <w:color w:val="auto"/>
          <w:sz w:val="24"/>
          <w:szCs w:val="24"/>
        </w:rPr>
        <w:t>中标单价（元</w:t>
      </w:r>
      <w:r>
        <w:rPr>
          <w:rFonts w:ascii="宋体" w:hAnsi="宋体" w:cs="宋体"/>
          <w:b/>
          <w:bCs/>
          <w:color w:val="auto"/>
          <w:sz w:val="24"/>
          <w:szCs w:val="24"/>
        </w:rPr>
        <w:t>/</w:t>
      </w:r>
      <w:r>
        <w:rPr>
          <w:rFonts w:hint="eastAsia" w:ascii="宋体" w:hAnsi="宋体" w:cs="宋体"/>
          <w:b/>
          <w:bCs/>
          <w:color w:val="auto"/>
          <w:sz w:val="24"/>
          <w:szCs w:val="24"/>
        </w:rPr>
        <w:t>立方米）乘以当月运营水量（吨</w:t>
      </w:r>
      <w:r>
        <w:rPr>
          <w:rFonts w:ascii="宋体" w:hAnsi="宋体" w:cs="宋体"/>
          <w:b/>
          <w:bCs/>
          <w:color w:val="auto"/>
          <w:sz w:val="24"/>
          <w:szCs w:val="24"/>
        </w:rPr>
        <w:t>/</w:t>
      </w:r>
      <w:r>
        <w:rPr>
          <w:rFonts w:hint="eastAsia" w:ascii="宋体" w:hAnsi="宋体" w:cs="宋体"/>
          <w:b/>
          <w:bCs/>
          <w:color w:val="auto"/>
          <w:sz w:val="24"/>
          <w:szCs w:val="24"/>
        </w:rPr>
        <w:t>月）</w:t>
      </w:r>
      <w:r>
        <w:rPr>
          <w:rFonts w:ascii="宋体" w:hAnsi="宋体" w:cs="宋体"/>
          <w:b/>
          <w:bCs/>
          <w:color w:val="auto"/>
          <w:sz w:val="24"/>
          <w:szCs w:val="24"/>
        </w:rPr>
        <w:t>(</w:t>
      </w:r>
      <w:r>
        <w:rPr>
          <w:rFonts w:hint="eastAsia" w:ascii="宋体" w:hAnsi="宋体" w:cs="宋体"/>
          <w:b/>
          <w:bCs/>
          <w:color w:val="auto"/>
          <w:sz w:val="24"/>
          <w:szCs w:val="24"/>
        </w:rPr>
        <w:t>以进水流量计计量为准）</w:t>
      </w:r>
    </w:p>
    <w:p>
      <w:pPr>
        <w:spacing w:line="360" w:lineRule="auto"/>
        <w:ind w:right="-359" w:rightChars="-171"/>
        <w:rPr>
          <w:rFonts w:hint="eastAsia" w:ascii="宋体" w:hAnsi="宋体" w:cs="宋体"/>
          <w:b/>
          <w:bCs/>
          <w:color w:val="auto"/>
          <w:sz w:val="36"/>
          <w:szCs w:val="36"/>
        </w:rPr>
      </w:pPr>
      <w:r>
        <w:rPr>
          <w:rStyle w:val="27"/>
          <w:rFonts w:ascii="宋体" w:hAnsi="宋体" w:eastAsia="宋体" w:cs="宋体"/>
          <w:b/>
          <w:bCs/>
          <w:color w:val="auto"/>
          <w:sz w:val="32"/>
          <w:szCs w:val="32"/>
        </w:rPr>
        <w:t xml:space="preserve">                </w:t>
      </w:r>
    </w:p>
    <w:p>
      <w:pPr>
        <w:keepNext/>
        <w:keepLines/>
        <w:spacing w:before="340" w:after="330" w:line="360" w:lineRule="auto"/>
        <w:ind w:firstLine="1807" w:firstLineChars="500"/>
        <w:outlineLvl w:val="0"/>
        <w:rPr>
          <w:rFonts w:hint="eastAsia" w:ascii="宋体" w:hAnsi="宋体" w:cs="宋体"/>
          <w:b/>
          <w:bCs/>
          <w:color w:val="auto"/>
          <w:sz w:val="36"/>
          <w:szCs w:val="36"/>
        </w:rPr>
      </w:pPr>
    </w:p>
    <w:p>
      <w:pPr>
        <w:keepNext/>
        <w:keepLines/>
        <w:spacing w:before="340" w:after="330" w:line="360" w:lineRule="auto"/>
        <w:ind w:firstLine="1807" w:firstLineChars="500"/>
        <w:outlineLvl w:val="0"/>
        <w:rPr>
          <w:rFonts w:hint="eastAsia" w:ascii="宋体" w:hAnsi="宋体" w:cs="宋体"/>
          <w:b/>
          <w:bCs/>
          <w:color w:val="auto"/>
          <w:sz w:val="36"/>
          <w:szCs w:val="36"/>
        </w:rPr>
      </w:pPr>
    </w:p>
    <w:p>
      <w:pPr>
        <w:keepNext/>
        <w:keepLines/>
        <w:spacing w:before="340" w:after="330" w:line="360" w:lineRule="auto"/>
        <w:ind w:firstLine="1807" w:firstLineChars="500"/>
        <w:outlineLvl w:val="0"/>
        <w:rPr>
          <w:rFonts w:hint="eastAsia" w:ascii="宋体" w:hAnsi="宋体" w:cs="宋体"/>
          <w:b/>
          <w:bCs/>
          <w:color w:val="auto"/>
          <w:sz w:val="36"/>
          <w:szCs w:val="36"/>
        </w:rPr>
      </w:pPr>
    </w:p>
    <w:p>
      <w:pPr>
        <w:keepNext/>
        <w:keepLines/>
        <w:spacing w:before="340" w:after="330" w:line="360" w:lineRule="auto"/>
        <w:ind w:firstLine="1807" w:firstLineChars="500"/>
        <w:outlineLvl w:val="0"/>
        <w:rPr>
          <w:rFonts w:hint="eastAsia" w:ascii="宋体" w:hAnsi="宋体" w:cs="宋体"/>
          <w:b/>
          <w:bCs/>
          <w:color w:val="auto"/>
          <w:sz w:val="36"/>
          <w:szCs w:val="36"/>
        </w:rPr>
      </w:pPr>
    </w:p>
    <w:p>
      <w:pPr>
        <w:keepNext/>
        <w:keepLines/>
        <w:spacing w:before="340" w:after="330" w:line="360" w:lineRule="auto"/>
        <w:ind w:firstLine="1807" w:firstLineChars="500"/>
        <w:outlineLvl w:val="0"/>
        <w:rPr>
          <w:rFonts w:hint="eastAsia" w:ascii="宋体" w:hAnsi="宋体" w:cs="宋体"/>
          <w:b/>
          <w:bCs/>
          <w:color w:val="auto"/>
          <w:sz w:val="36"/>
          <w:szCs w:val="36"/>
        </w:rPr>
      </w:pPr>
    </w:p>
    <w:p>
      <w:pPr>
        <w:keepNext/>
        <w:keepLines/>
        <w:spacing w:before="340" w:after="330" w:line="360" w:lineRule="auto"/>
        <w:ind w:firstLine="1807" w:firstLineChars="500"/>
        <w:outlineLvl w:val="0"/>
        <w:rPr>
          <w:rFonts w:hint="eastAsia" w:ascii="宋体" w:hAnsi="宋体" w:cs="宋体"/>
          <w:b/>
          <w:bCs/>
          <w:color w:val="auto"/>
          <w:sz w:val="36"/>
          <w:szCs w:val="36"/>
        </w:rPr>
      </w:pPr>
    </w:p>
    <w:p>
      <w:pPr>
        <w:pStyle w:val="2"/>
        <w:rPr>
          <w:rFonts w:hint="eastAsia"/>
          <w:color w:val="auto"/>
        </w:rPr>
      </w:pPr>
    </w:p>
    <w:p>
      <w:pPr>
        <w:keepNext/>
        <w:keepLines/>
        <w:spacing w:before="340" w:after="330" w:line="360" w:lineRule="auto"/>
        <w:ind w:firstLine="1807" w:firstLineChars="500"/>
        <w:outlineLvl w:val="0"/>
        <w:rPr>
          <w:rFonts w:ascii="宋体"/>
          <w:b/>
          <w:bCs/>
          <w:color w:val="auto"/>
          <w:sz w:val="36"/>
          <w:szCs w:val="36"/>
        </w:rPr>
      </w:pPr>
      <w:r>
        <w:rPr>
          <w:rFonts w:hint="eastAsia" w:ascii="宋体" w:hAnsi="宋体" w:cs="宋体"/>
          <w:b/>
          <w:bCs/>
          <w:color w:val="auto"/>
          <w:sz w:val="36"/>
          <w:szCs w:val="36"/>
        </w:rPr>
        <w:t>第五章</w:t>
      </w:r>
      <w:r>
        <w:rPr>
          <w:rFonts w:ascii="宋体" w:hAnsi="宋体" w:cs="宋体"/>
          <w:b/>
          <w:bCs/>
          <w:color w:val="auto"/>
          <w:sz w:val="36"/>
          <w:szCs w:val="36"/>
        </w:rPr>
        <w:t xml:space="preserve"> </w:t>
      </w:r>
      <w:r>
        <w:rPr>
          <w:rFonts w:hint="eastAsia" w:ascii="宋体" w:hAnsi="宋体" w:cs="宋体"/>
          <w:b/>
          <w:bCs/>
          <w:color w:val="auto"/>
          <w:sz w:val="36"/>
          <w:szCs w:val="36"/>
        </w:rPr>
        <w:t>合同主要条款（</w:t>
      </w:r>
      <w:r>
        <w:rPr>
          <w:rFonts w:hint="eastAsia" w:cs="宋体"/>
          <w:b/>
          <w:bCs/>
          <w:color w:val="auto"/>
          <w:kern w:val="44"/>
          <w:sz w:val="32"/>
          <w:szCs w:val="32"/>
        </w:rPr>
        <w:t>理运营项目运营合同）</w:t>
      </w:r>
    </w:p>
    <w:p>
      <w:pPr>
        <w:keepNext/>
        <w:keepLines/>
        <w:spacing w:before="260" w:after="260" w:line="360" w:lineRule="auto"/>
        <w:jc w:val="center"/>
        <w:outlineLvl w:val="1"/>
        <w:rPr>
          <w:rFonts w:ascii="Arial" w:hAnsi="Arial" w:eastAsia="黑体"/>
          <w:b/>
          <w:bCs/>
          <w:color w:val="auto"/>
          <w:sz w:val="32"/>
          <w:szCs w:val="32"/>
        </w:rPr>
      </w:pPr>
      <w:bookmarkStart w:id="42" w:name="_Toc521685602"/>
      <w:r>
        <w:rPr>
          <w:rFonts w:hint="eastAsia" w:ascii="Arial" w:hAnsi="Arial" w:eastAsia="黑体" w:cs="黑体"/>
          <w:b/>
          <w:bCs/>
          <w:color w:val="auto"/>
          <w:sz w:val="32"/>
          <w:szCs w:val="32"/>
        </w:rPr>
        <w:t>第一节</w:t>
      </w:r>
      <w:r>
        <w:rPr>
          <w:rFonts w:ascii="Arial" w:hAnsi="Arial" w:eastAsia="黑体" w:cs="Arial"/>
          <w:b/>
          <w:bCs/>
          <w:color w:val="auto"/>
          <w:sz w:val="32"/>
          <w:szCs w:val="32"/>
        </w:rPr>
        <w:t xml:space="preserve"> </w:t>
      </w:r>
      <w:r>
        <w:rPr>
          <w:rFonts w:hint="eastAsia" w:ascii="Arial" w:hAnsi="Arial" w:eastAsia="黑体" w:cs="黑体"/>
          <w:b/>
          <w:bCs/>
          <w:color w:val="auto"/>
          <w:sz w:val="32"/>
          <w:szCs w:val="32"/>
        </w:rPr>
        <w:t>合同协议书</w:t>
      </w:r>
      <w:bookmarkEnd w:id="42"/>
    </w:p>
    <w:p>
      <w:pPr>
        <w:spacing w:line="360" w:lineRule="auto"/>
        <w:jc w:val="left"/>
        <w:rPr>
          <w:rFonts w:ascii="宋体"/>
          <w:color w:val="auto"/>
          <w:sz w:val="24"/>
          <w:szCs w:val="24"/>
        </w:rPr>
      </w:pPr>
      <w:r>
        <w:rPr>
          <w:rFonts w:hint="eastAsia" w:ascii="宋体" w:hAnsi="宋体" w:cs="宋体"/>
          <w:color w:val="auto"/>
          <w:sz w:val="24"/>
          <w:szCs w:val="24"/>
        </w:rPr>
        <w:t>项目名称：台州市路桥区垃圾填埋场渗滤液处理运管服务项目</w:t>
      </w:r>
    </w:p>
    <w:p>
      <w:pPr>
        <w:spacing w:line="360" w:lineRule="auto"/>
        <w:jc w:val="left"/>
        <w:rPr>
          <w:rFonts w:ascii="宋体"/>
          <w:color w:val="auto"/>
          <w:sz w:val="24"/>
          <w:szCs w:val="24"/>
        </w:rPr>
      </w:pPr>
      <w:r>
        <w:rPr>
          <w:rFonts w:hint="eastAsia" w:ascii="宋体" w:hAnsi="宋体" w:cs="宋体"/>
          <w:color w:val="auto"/>
          <w:sz w:val="24"/>
          <w:szCs w:val="24"/>
        </w:rPr>
        <w:t>项目编号：</w:t>
      </w:r>
      <w:r>
        <w:rPr>
          <w:rFonts w:ascii="宋体" w:hAnsi="宋体" w:cs="宋体"/>
          <w:color w:val="auto"/>
          <w:sz w:val="24"/>
          <w:szCs w:val="24"/>
        </w:rPr>
        <w:t>ZJWS2021-LQ127</w:t>
      </w:r>
    </w:p>
    <w:p>
      <w:pPr>
        <w:spacing w:line="360" w:lineRule="auto"/>
        <w:jc w:val="left"/>
        <w:rPr>
          <w:rFonts w:ascii="宋体"/>
          <w:color w:val="auto"/>
          <w:sz w:val="24"/>
          <w:szCs w:val="24"/>
          <w:lang w:val="zh-CN"/>
        </w:rPr>
      </w:pPr>
      <w:r>
        <w:rPr>
          <w:rFonts w:hint="eastAsia" w:ascii="宋体" w:hAnsi="宋体" w:cs="宋体"/>
          <w:color w:val="auto"/>
          <w:sz w:val="24"/>
          <w:szCs w:val="24"/>
          <w:lang w:val="zh-CN"/>
        </w:rPr>
        <w:t>甲方（采购人）：</w:t>
      </w:r>
      <w:r>
        <w:rPr>
          <w:rFonts w:hint="eastAsia" w:ascii="宋体" w:hAnsi="宋体" w:cs="宋体"/>
          <w:color w:val="auto"/>
          <w:sz w:val="24"/>
          <w:szCs w:val="24"/>
        </w:rPr>
        <w:t>台州市路桥区环卫园林服务中心</w:t>
      </w:r>
    </w:p>
    <w:p>
      <w:pPr>
        <w:spacing w:line="360" w:lineRule="auto"/>
        <w:jc w:val="left"/>
        <w:rPr>
          <w:rFonts w:ascii="宋体"/>
          <w:color w:val="auto"/>
          <w:sz w:val="24"/>
          <w:szCs w:val="24"/>
          <w:lang w:val="zh-CN"/>
        </w:rPr>
      </w:pPr>
      <w:r>
        <w:rPr>
          <w:rFonts w:hint="eastAsia" w:ascii="宋体" w:hAnsi="宋体" w:cs="宋体"/>
          <w:color w:val="auto"/>
          <w:sz w:val="24"/>
          <w:szCs w:val="24"/>
          <w:lang w:val="zh-CN"/>
        </w:rPr>
        <w:t>乙方（中标方）：</w:t>
      </w:r>
    </w:p>
    <w:p>
      <w:pPr>
        <w:spacing w:line="360" w:lineRule="auto"/>
        <w:ind w:firstLine="540" w:firstLineChars="225"/>
        <w:rPr>
          <w:rFonts w:ascii="宋体"/>
          <w:color w:val="auto"/>
          <w:sz w:val="24"/>
          <w:szCs w:val="24"/>
        </w:rPr>
      </w:pPr>
      <w:r>
        <w:rPr>
          <w:rFonts w:hint="eastAsia" w:ascii="宋体" w:hAnsi="宋体" w:cs="宋体"/>
          <w:color w:val="auto"/>
          <w:sz w:val="24"/>
          <w:szCs w:val="24"/>
        </w:rPr>
        <w:t>依照《中华人民共和国</w:t>
      </w:r>
      <w:r>
        <w:rPr>
          <w:rFonts w:hint="eastAsia" w:ascii="宋体" w:hAnsi="宋体" w:cs="宋体"/>
          <w:color w:val="auto"/>
          <w:sz w:val="24"/>
          <w:szCs w:val="24"/>
          <w:lang w:val="en-US" w:eastAsia="zh-CN"/>
        </w:rPr>
        <w:t>民法典</w:t>
      </w:r>
      <w:r>
        <w:rPr>
          <w:rFonts w:hint="eastAsia" w:ascii="宋体" w:hAnsi="宋体" w:cs="宋体"/>
          <w:color w:val="auto"/>
          <w:sz w:val="24"/>
          <w:szCs w:val="24"/>
        </w:rPr>
        <w:t>》及其他有关法律、行政法规，遵循平等、自愿、公平和诚实信用的原则，双方就本项目运营事项协商一致，订立本合同。</w:t>
      </w:r>
    </w:p>
    <w:p>
      <w:pPr>
        <w:spacing w:line="360" w:lineRule="auto"/>
        <w:ind w:firstLine="542" w:firstLineChars="225"/>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、项目概况</w:t>
      </w:r>
    </w:p>
    <w:p>
      <w:pPr>
        <w:spacing w:line="360" w:lineRule="auto"/>
        <w:ind w:firstLine="540" w:firstLineChars="225"/>
        <w:rPr>
          <w:rFonts w:ascii="宋体"/>
          <w:b w:val="0"/>
          <w:bCs w:val="0"/>
          <w:color w:val="auto"/>
          <w:sz w:val="24"/>
          <w:szCs w:val="24"/>
        </w:rPr>
      </w:pPr>
      <w:r>
        <w:rPr>
          <w:rFonts w:hint="eastAsia" w:ascii="宋体" w:hAnsi="宋体" w:cs="宋体"/>
          <w:b w:val="0"/>
          <w:bCs w:val="0"/>
          <w:color w:val="auto"/>
          <w:sz w:val="24"/>
          <w:szCs w:val="24"/>
        </w:rPr>
        <w:t>项目名称：</w:t>
      </w:r>
      <w:r>
        <w:rPr>
          <w:rFonts w:hint="eastAsia" w:ascii="宋体" w:hAnsi="宋体" w:cs="宋体"/>
          <w:b w:val="0"/>
          <w:bCs w:val="0"/>
          <w:color w:val="auto"/>
          <w:sz w:val="24"/>
          <w:szCs w:val="24"/>
          <w:u w:val="single"/>
        </w:rPr>
        <w:t>台州市路桥区垃圾填埋场渗滤液处理运管服务项目</w:t>
      </w:r>
      <w:r>
        <w:rPr>
          <w:rFonts w:ascii="宋体" w:hAnsi="宋体" w:cs="宋体"/>
          <w:b w:val="0"/>
          <w:bCs w:val="0"/>
          <w:color w:val="auto"/>
          <w:sz w:val="24"/>
          <w:szCs w:val="24"/>
          <w:u w:val="single"/>
        </w:rPr>
        <w:t xml:space="preserve">     </w:t>
      </w:r>
    </w:p>
    <w:p>
      <w:pPr>
        <w:spacing w:line="360" w:lineRule="auto"/>
        <w:ind w:firstLine="540" w:firstLineChars="225"/>
        <w:rPr>
          <w:rFonts w:ascii="宋体"/>
          <w:b w:val="0"/>
          <w:bCs w:val="0"/>
          <w:color w:val="auto"/>
          <w:sz w:val="24"/>
          <w:szCs w:val="24"/>
          <w:u w:val="single"/>
        </w:rPr>
      </w:pPr>
      <w:r>
        <w:rPr>
          <w:rFonts w:hint="eastAsia" w:ascii="宋体" w:hAnsi="宋体" w:cs="宋体"/>
          <w:b w:val="0"/>
          <w:bCs w:val="0"/>
          <w:color w:val="auto"/>
          <w:sz w:val="24"/>
          <w:szCs w:val="24"/>
        </w:rPr>
        <w:t>项目地点：</w:t>
      </w:r>
      <w:r>
        <w:rPr>
          <w:rFonts w:hint="eastAsia" w:ascii="宋体" w:hAnsi="宋体" w:cs="宋体"/>
          <w:b w:val="0"/>
          <w:bCs w:val="0"/>
          <w:color w:val="auto"/>
          <w:kern w:val="0"/>
          <w:sz w:val="24"/>
          <w:szCs w:val="24"/>
          <w:highlight w:val="none"/>
          <w:u w:val="single"/>
        </w:rPr>
        <w:t>台州滨海工业区东面，路桥区金清镇十塘的路桥区生活垃圾填埋场内</w:t>
      </w:r>
      <w:r>
        <w:rPr>
          <w:rFonts w:ascii="宋体" w:hAnsi="宋体" w:cs="宋体"/>
          <w:b w:val="0"/>
          <w:bCs w:val="0"/>
          <w:color w:val="auto"/>
          <w:sz w:val="24"/>
          <w:szCs w:val="24"/>
          <w:u w:val="single"/>
        </w:rPr>
        <w:t xml:space="preserve">                      </w:t>
      </w:r>
    </w:p>
    <w:p>
      <w:pPr>
        <w:spacing w:line="360" w:lineRule="auto"/>
        <w:ind w:firstLine="540" w:firstLineChars="225"/>
        <w:rPr>
          <w:rFonts w:ascii="宋体"/>
          <w:b w:val="0"/>
          <w:bCs w:val="0"/>
          <w:color w:val="auto"/>
          <w:sz w:val="24"/>
          <w:szCs w:val="24"/>
          <w:highlight w:val="none"/>
        </w:rPr>
      </w:pPr>
      <w:r>
        <w:rPr>
          <w:rFonts w:hint="eastAsia" w:ascii="宋体" w:hAnsi="宋体" w:cs="宋体"/>
          <w:b w:val="0"/>
          <w:bCs w:val="0"/>
          <w:color w:val="auto"/>
          <w:sz w:val="24"/>
          <w:szCs w:val="24"/>
        </w:rPr>
        <w:t>项目规模：</w:t>
      </w:r>
      <w:r>
        <w:rPr>
          <w:rFonts w:hint="eastAsia" w:ascii="宋体" w:hAnsi="宋体" w:cs="宋体"/>
          <w:b w:val="0"/>
          <w:bCs w:val="0"/>
          <w:color w:val="auto"/>
          <w:sz w:val="24"/>
          <w:szCs w:val="24"/>
          <w:highlight w:val="none"/>
          <w:u w:val="single"/>
        </w:rPr>
        <w:t>渗滤液处理量</w:t>
      </w:r>
      <w:r>
        <w:rPr>
          <w:rFonts w:ascii="宋体" w:hAnsi="宋体" w:cs="宋体"/>
          <w:b w:val="0"/>
          <w:bCs w:val="0"/>
          <w:color w:val="auto"/>
          <w:sz w:val="24"/>
          <w:szCs w:val="24"/>
          <w:highlight w:val="none"/>
          <w:u w:val="single"/>
        </w:rPr>
        <w:t>250</w:t>
      </w:r>
      <w:r>
        <w:rPr>
          <w:rFonts w:hint="eastAsia" w:ascii="宋体" w:hAnsi="宋体" w:cs="宋体"/>
          <w:b w:val="0"/>
          <w:bCs w:val="0"/>
          <w:color w:val="auto"/>
          <w:sz w:val="24"/>
          <w:szCs w:val="24"/>
          <w:highlight w:val="none"/>
          <w:u w:val="single"/>
        </w:rPr>
        <w:t>吨</w:t>
      </w:r>
      <w:r>
        <w:rPr>
          <w:rFonts w:ascii="宋体" w:hAnsi="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rPr>
        <w:t>天，浓缩液处理量</w:t>
      </w:r>
      <w:r>
        <w:rPr>
          <w:rFonts w:ascii="宋体" w:hAnsi="宋体" w:cs="宋体"/>
          <w:b w:val="0"/>
          <w:bCs w:val="0"/>
          <w:color w:val="auto"/>
          <w:sz w:val="24"/>
          <w:szCs w:val="24"/>
          <w:highlight w:val="none"/>
          <w:u w:val="single"/>
        </w:rPr>
        <w:t>75</w:t>
      </w:r>
      <w:r>
        <w:rPr>
          <w:rFonts w:hint="eastAsia" w:ascii="宋体" w:hAnsi="宋体" w:cs="宋体"/>
          <w:b w:val="0"/>
          <w:bCs w:val="0"/>
          <w:color w:val="auto"/>
          <w:sz w:val="24"/>
          <w:szCs w:val="24"/>
          <w:highlight w:val="none"/>
          <w:u w:val="single"/>
        </w:rPr>
        <w:t>吨</w:t>
      </w:r>
      <w:r>
        <w:rPr>
          <w:rFonts w:ascii="宋体" w:hAnsi="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rPr>
        <w:t>天</w:t>
      </w:r>
      <w:r>
        <w:rPr>
          <w:rFonts w:ascii="宋体" w:hAnsi="宋体" w:cs="宋体"/>
          <w:b w:val="0"/>
          <w:bCs w:val="0"/>
          <w:color w:val="auto"/>
          <w:sz w:val="24"/>
          <w:szCs w:val="24"/>
          <w:highlight w:val="none"/>
          <w:u w:val="single"/>
        </w:rPr>
        <w:t xml:space="preserve"> </w:t>
      </w:r>
    </w:p>
    <w:p>
      <w:pPr>
        <w:spacing w:line="360" w:lineRule="auto"/>
        <w:ind w:firstLine="542" w:firstLineChars="225"/>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、工程承包范围</w:t>
      </w:r>
    </w:p>
    <w:p>
      <w:pPr>
        <w:spacing w:line="360" w:lineRule="auto"/>
        <w:ind w:firstLine="540" w:firstLineChars="225"/>
        <w:rPr>
          <w:rFonts w:ascii="宋体"/>
          <w:b w:val="0"/>
          <w:bCs w:val="0"/>
          <w:color w:val="auto"/>
          <w:sz w:val="24"/>
          <w:szCs w:val="24"/>
        </w:rPr>
      </w:pPr>
      <w:r>
        <w:rPr>
          <w:rFonts w:hint="eastAsia" w:ascii="宋体" w:hAnsi="宋体" w:cs="宋体"/>
          <w:b w:val="0"/>
          <w:bCs w:val="0"/>
          <w:color w:val="auto"/>
          <w:sz w:val="24"/>
          <w:szCs w:val="24"/>
        </w:rPr>
        <w:t>承包范围：</w:t>
      </w:r>
      <w:r>
        <w:rPr>
          <w:rFonts w:hint="eastAsia" w:ascii="宋体" w:hAnsi="宋体" w:cs="宋体"/>
          <w:b w:val="0"/>
          <w:bCs w:val="0"/>
          <w:color w:val="auto"/>
          <w:sz w:val="24"/>
          <w:szCs w:val="24"/>
          <w:u w:val="single"/>
        </w:rPr>
        <w:t>渗滤液处理站日常运营服务，含浓缩液处理、污泥处理和臭气处理。</w:t>
      </w:r>
    </w:p>
    <w:p>
      <w:pPr>
        <w:spacing w:line="360" w:lineRule="auto"/>
        <w:ind w:firstLine="542" w:firstLineChars="225"/>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、合同履约期</w:t>
      </w:r>
    </w:p>
    <w:p>
      <w:pPr>
        <w:spacing w:line="360" w:lineRule="auto"/>
        <w:ind w:firstLine="540" w:firstLineChars="225"/>
        <w:rPr>
          <w:rFonts w:ascii="宋体"/>
          <w:color w:val="auto"/>
          <w:sz w:val="24"/>
          <w:szCs w:val="24"/>
        </w:rPr>
      </w:pPr>
      <w:r>
        <w:rPr>
          <w:rFonts w:hint="eastAsia" w:ascii="宋体" w:hAnsi="宋体" w:cs="宋体"/>
          <w:color w:val="auto"/>
          <w:sz w:val="24"/>
          <w:szCs w:val="24"/>
        </w:rPr>
        <w:t>三年，</w:t>
      </w:r>
      <w:r>
        <w:rPr>
          <w:rFonts w:hint="eastAsia" w:ascii="宋体" w:hAnsi="宋体" w:cs="宋体"/>
          <w:color w:val="auto"/>
          <w:sz w:val="24"/>
          <w:szCs w:val="24"/>
          <w:lang w:val="en-US" w:eastAsia="zh-CN"/>
        </w:rPr>
        <w:t>合同一年一签</w:t>
      </w:r>
      <w:r>
        <w:rPr>
          <w:rFonts w:hint="eastAsia" w:ascii="宋体" w:hAnsi="宋体" w:cs="宋体"/>
          <w:color w:val="auto"/>
          <w:sz w:val="24"/>
          <w:szCs w:val="24"/>
        </w:rPr>
        <w:t>。</w:t>
      </w:r>
      <w:r>
        <w:rPr>
          <w:rFonts w:hint="eastAsia" w:ascii="宋体" w:hAnsi="宋体" w:cs="宋体"/>
          <w:color w:val="auto"/>
          <w:sz w:val="24"/>
          <w:szCs w:val="24"/>
        </w:rPr>
        <w:t>采购人在第一年合同期到期前一个月，结合中标人履约表现，通过年度项目验收，绩效评价好，可续签下一年合同，最多续签</w:t>
      </w:r>
      <w:r>
        <w:rPr>
          <w:rFonts w:ascii="宋体" w:hAnsi="宋体" w:cs="宋体"/>
          <w:color w:val="auto"/>
          <w:sz w:val="24"/>
          <w:szCs w:val="24"/>
        </w:rPr>
        <w:t>2</w:t>
      </w:r>
      <w:r>
        <w:rPr>
          <w:rFonts w:hint="eastAsia" w:ascii="宋体" w:hAnsi="宋体" w:cs="宋体"/>
          <w:color w:val="auto"/>
          <w:sz w:val="24"/>
          <w:szCs w:val="24"/>
        </w:rPr>
        <w:t>次。明确第一年合同中标价一次性包死，若续签，第二年、第三年合同中标价不作调整。</w:t>
      </w:r>
    </w:p>
    <w:p>
      <w:pPr>
        <w:spacing w:line="360" w:lineRule="auto"/>
        <w:ind w:firstLine="540" w:firstLineChars="225"/>
        <w:rPr>
          <w:rFonts w:ascii="宋体"/>
          <w:color w:val="auto"/>
          <w:sz w:val="24"/>
          <w:szCs w:val="24"/>
        </w:rPr>
      </w:pPr>
      <w:r>
        <w:rPr>
          <w:rFonts w:hint="eastAsia" w:ascii="宋体" w:hAnsi="宋体" w:cs="宋体"/>
          <w:color w:val="auto"/>
          <w:sz w:val="24"/>
          <w:szCs w:val="24"/>
        </w:rPr>
        <w:t>第一年开始运营日期：</w:t>
      </w:r>
      <w:r>
        <w:rPr>
          <w:rFonts w:ascii="宋体" w:hAnsi="宋体" w:cs="宋体"/>
          <w:color w:val="auto"/>
          <w:sz w:val="24"/>
          <w:szCs w:val="24"/>
          <w:u w:val="single"/>
        </w:rPr>
        <w:t xml:space="preserve">   </w:t>
      </w:r>
      <w:r>
        <w:rPr>
          <w:rFonts w:hint="eastAsia" w:ascii="宋体" w:hAnsi="宋体" w:cs="宋体"/>
          <w:color w:val="auto"/>
          <w:sz w:val="24"/>
          <w:szCs w:val="24"/>
          <w:u w:val="single"/>
        </w:rPr>
        <w:t>年</w:t>
      </w:r>
      <w:r>
        <w:rPr>
          <w:rFonts w:ascii="宋体" w:hAnsi="宋体" w:cs="宋体"/>
          <w:color w:val="auto"/>
          <w:sz w:val="24"/>
          <w:szCs w:val="24"/>
          <w:u w:val="single"/>
        </w:rPr>
        <w:t xml:space="preserve">  </w:t>
      </w:r>
      <w:r>
        <w:rPr>
          <w:rFonts w:hint="eastAsia" w:ascii="宋体" w:hAnsi="宋体" w:cs="宋体"/>
          <w:color w:val="auto"/>
          <w:sz w:val="24"/>
          <w:szCs w:val="24"/>
          <w:u w:val="single"/>
        </w:rPr>
        <w:t>月</w:t>
      </w:r>
      <w:r>
        <w:rPr>
          <w:rFonts w:ascii="宋体" w:hAnsi="宋体" w:cs="宋体"/>
          <w:color w:val="auto"/>
          <w:sz w:val="24"/>
          <w:szCs w:val="24"/>
          <w:u w:val="single"/>
        </w:rPr>
        <w:t xml:space="preserve">  </w:t>
      </w:r>
      <w:r>
        <w:rPr>
          <w:rFonts w:hint="eastAsia" w:ascii="宋体" w:hAnsi="宋体" w:cs="宋体"/>
          <w:color w:val="auto"/>
          <w:sz w:val="24"/>
          <w:szCs w:val="24"/>
          <w:u w:val="single"/>
        </w:rPr>
        <w:t>日</w:t>
      </w:r>
      <w:r>
        <w:rPr>
          <w:rFonts w:hint="eastAsia" w:ascii="宋体" w:hAnsi="宋体" w:cs="宋体"/>
          <w:color w:val="auto"/>
          <w:sz w:val="24"/>
          <w:szCs w:val="24"/>
        </w:rPr>
        <w:t>。</w:t>
      </w:r>
    </w:p>
    <w:p>
      <w:pPr>
        <w:spacing w:line="360" w:lineRule="auto"/>
        <w:ind w:firstLine="542" w:firstLineChars="225"/>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、质量标准</w:t>
      </w:r>
    </w:p>
    <w:p>
      <w:pPr>
        <w:spacing w:line="360" w:lineRule="auto"/>
        <w:ind w:firstLine="540" w:firstLineChars="225"/>
        <w:rPr>
          <w:rFonts w:ascii="宋体"/>
          <w:color w:val="auto"/>
          <w:sz w:val="24"/>
          <w:szCs w:val="24"/>
          <w:u w:val="single"/>
        </w:rPr>
      </w:pPr>
      <w:r>
        <w:rPr>
          <w:rFonts w:hint="eastAsia" w:ascii="宋体" w:hAnsi="宋体" w:cs="宋体"/>
          <w:color w:val="auto"/>
          <w:sz w:val="24"/>
          <w:szCs w:val="24"/>
        </w:rPr>
        <w:t>运营质量标准：</w:t>
      </w:r>
      <w:r>
        <w:rPr>
          <w:rFonts w:ascii="宋体" w:hAnsi="宋体" w:cs="宋体"/>
          <w:color w:val="auto"/>
          <w:sz w:val="24"/>
          <w:szCs w:val="24"/>
          <w:u w:val="single"/>
        </w:rPr>
        <w:t xml:space="preserve"> </w:t>
      </w:r>
      <w:r>
        <w:rPr>
          <w:rFonts w:hint="eastAsia" w:ascii="宋体" w:hAnsi="宋体" w:cs="宋体"/>
          <w:color w:val="auto"/>
          <w:sz w:val="24"/>
          <w:szCs w:val="24"/>
          <w:u w:val="single"/>
        </w:rPr>
        <w:t>出水水质达到《生活垃圾填埋场污染控制标准》（</w:t>
      </w:r>
      <w:r>
        <w:rPr>
          <w:rFonts w:ascii="宋体" w:hAnsi="宋体" w:cs="宋体"/>
          <w:color w:val="auto"/>
          <w:sz w:val="24"/>
          <w:szCs w:val="24"/>
          <w:u w:val="single"/>
        </w:rPr>
        <w:t>GB16889-2008</w:t>
      </w:r>
      <w:r>
        <w:rPr>
          <w:rFonts w:hint="eastAsia" w:ascii="宋体" w:hAnsi="宋体" w:cs="宋体"/>
          <w:color w:val="auto"/>
          <w:sz w:val="24"/>
          <w:szCs w:val="24"/>
          <w:u w:val="single"/>
        </w:rPr>
        <w:t>）表</w:t>
      </w:r>
      <w:r>
        <w:rPr>
          <w:rFonts w:ascii="宋体" w:hAnsi="宋体" w:cs="宋体"/>
          <w:color w:val="auto"/>
          <w:sz w:val="24"/>
          <w:szCs w:val="24"/>
          <w:u w:val="single"/>
        </w:rPr>
        <w:t>2</w:t>
      </w:r>
      <w:r>
        <w:rPr>
          <w:rFonts w:hint="eastAsia" w:ascii="宋体" w:hAnsi="宋体" w:cs="宋体"/>
          <w:color w:val="auto"/>
          <w:sz w:val="24"/>
          <w:szCs w:val="24"/>
          <w:u w:val="single"/>
        </w:rPr>
        <w:t>限值标准</w:t>
      </w:r>
      <w:r>
        <w:rPr>
          <w:rFonts w:ascii="宋体" w:hAnsi="宋体" w:cs="宋体"/>
          <w:color w:val="auto"/>
          <w:sz w:val="24"/>
          <w:szCs w:val="24"/>
          <w:u w:val="single"/>
        </w:rPr>
        <w:t xml:space="preserve">  </w:t>
      </w:r>
    </w:p>
    <w:p>
      <w:pPr>
        <w:spacing w:line="360" w:lineRule="auto"/>
        <w:ind w:firstLine="542" w:firstLineChars="225"/>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、合同价款</w:t>
      </w:r>
    </w:p>
    <w:p>
      <w:pPr>
        <w:spacing w:line="360" w:lineRule="auto"/>
        <w:ind w:firstLine="540" w:firstLineChars="225"/>
        <w:rPr>
          <w:rFonts w:ascii="宋体"/>
          <w:color w:val="auto"/>
          <w:sz w:val="24"/>
          <w:szCs w:val="24"/>
          <w:u w:val="single"/>
        </w:rPr>
      </w:pPr>
      <w:r>
        <w:rPr>
          <w:rFonts w:hint="eastAsia" w:ascii="宋体" w:hAnsi="宋体" w:cs="宋体"/>
          <w:color w:val="auto"/>
          <w:sz w:val="24"/>
          <w:szCs w:val="24"/>
        </w:rPr>
        <w:t>中标运营单价（按进水量计算）：</w:t>
      </w:r>
      <w:r>
        <w:rPr>
          <w:rFonts w:hint="eastAsia" w:ascii="宋体" w:hAnsi="宋体" w:cs="宋体"/>
          <w:color w:val="auto"/>
          <w:sz w:val="24"/>
          <w:szCs w:val="24"/>
          <w:u w:val="single"/>
        </w:rPr>
        <w:t>（大写）人民币</w:t>
      </w:r>
      <w:r>
        <w:rPr>
          <w:rFonts w:ascii="宋体" w:hAnsi="宋体" w:cs="宋体"/>
          <w:color w:val="auto"/>
          <w:sz w:val="24"/>
          <w:szCs w:val="24"/>
          <w:u w:val="single"/>
        </w:rPr>
        <w:t xml:space="preserve">           </w:t>
      </w:r>
      <w:r>
        <w:rPr>
          <w:rFonts w:hint="eastAsia" w:ascii="宋体" w:hAnsi="宋体" w:cs="宋体"/>
          <w:color w:val="auto"/>
          <w:sz w:val="24"/>
          <w:szCs w:val="24"/>
          <w:u w:val="single"/>
        </w:rPr>
        <w:t>元</w:t>
      </w:r>
      <w:r>
        <w:rPr>
          <w:rFonts w:ascii="宋体" w:hAnsi="宋体" w:cs="宋体"/>
          <w:color w:val="auto"/>
          <w:sz w:val="24"/>
          <w:szCs w:val="24"/>
          <w:u w:val="single"/>
        </w:rPr>
        <w:t>/</w:t>
      </w:r>
      <w:r>
        <w:rPr>
          <w:rFonts w:hint="eastAsia" w:ascii="宋体" w:hAnsi="宋体" w:cs="宋体"/>
          <w:color w:val="auto"/>
          <w:sz w:val="24"/>
          <w:szCs w:val="24"/>
          <w:u w:val="single"/>
        </w:rPr>
        <w:t>吨</w:t>
      </w:r>
      <w:r>
        <w:rPr>
          <w:rFonts w:ascii="宋体" w:hAnsi="宋体" w:cs="宋体"/>
          <w:color w:val="auto"/>
          <w:sz w:val="24"/>
          <w:szCs w:val="24"/>
          <w:u w:val="single"/>
        </w:rPr>
        <w:t xml:space="preserve">   </w:t>
      </w:r>
    </w:p>
    <w:p>
      <w:pPr>
        <w:spacing w:line="360" w:lineRule="auto"/>
        <w:ind w:firstLine="540" w:firstLineChars="225"/>
        <w:rPr>
          <w:rFonts w:ascii="宋体"/>
          <w:color w:val="auto"/>
          <w:sz w:val="24"/>
          <w:szCs w:val="24"/>
          <w:u w:val="single"/>
        </w:rPr>
      </w:pPr>
      <w:r>
        <w:rPr>
          <w:rFonts w:ascii="宋体" w:hAnsi="宋体" w:cs="宋体"/>
          <w:color w:val="auto"/>
          <w:sz w:val="24"/>
          <w:szCs w:val="24"/>
        </w:rPr>
        <w:t xml:space="preserve">                            </w:t>
      </w:r>
      <w:r>
        <w:rPr>
          <w:rFonts w:hint="eastAsia" w:ascii="宋体" w:hAnsi="宋体" w:cs="宋体"/>
          <w:color w:val="auto"/>
          <w:sz w:val="24"/>
          <w:szCs w:val="24"/>
          <w:u w:val="single"/>
        </w:rPr>
        <w:t>（小写）</w:t>
      </w:r>
      <w:r>
        <w:rPr>
          <w:rFonts w:ascii="宋体" w:hAnsi="宋体" w:cs="宋体"/>
          <w:color w:val="auto"/>
          <w:sz w:val="24"/>
          <w:szCs w:val="24"/>
          <w:u w:val="single"/>
        </w:rPr>
        <w:t xml:space="preserve">  </w:t>
      </w:r>
      <w:r>
        <w:rPr>
          <w:rFonts w:hint="eastAsia" w:ascii="宋体" w:hAnsi="宋体" w:cs="宋体"/>
          <w:color w:val="auto"/>
          <w:sz w:val="24"/>
          <w:szCs w:val="24"/>
          <w:u w:val="single"/>
        </w:rPr>
        <w:t>￥</w:t>
      </w:r>
      <w:r>
        <w:rPr>
          <w:rFonts w:ascii="宋体" w:hAnsi="宋体" w:cs="宋体"/>
          <w:color w:val="auto"/>
          <w:sz w:val="24"/>
          <w:szCs w:val="24"/>
          <w:u w:val="single"/>
        </w:rPr>
        <w:t xml:space="preserve">             </w:t>
      </w:r>
      <w:r>
        <w:rPr>
          <w:rFonts w:hint="eastAsia" w:ascii="宋体" w:hAnsi="宋体" w:cs="宋体"/>
          <w:color w:val="auto"/>
          <w:sz w:val="24"/>
          <w:szCs w:val="24"/>
          <w:u w:val="single"/>
        </w:rPr>
        <w:t>元</w:t>
      </w:r>
      <w:r>
        <w:rPr>
          <w:rFonts w:ascii="宋体" w:hAnsi="宋体" w:cs="宋体"/>
          <w:color w:val="auto"/>
          <w:sz w:val="24"/>
          <w:szCs w:val="24"/>
          <w:u w:val="single"/>
        </w:rPr>
        <w:t>/</w:t>
      </w:r>
      <w:r>
        <w:rPr>
          <w:rFonts w:hint="eastAsia" w:ascii="宋体" w:hAnsi="宋体" w:cs="宋体"/>
          <w:color w:val="auto"/>
          <w:sz w:val="24"/>
          <w:szCs w:val="24"/>
          <w:u w:val="single"/>
        </w:rPr>
        <w:t>吨</w:t>
      </w:r>
      <w:r>
        <w:rPr>
          <w:rFonts w:ascii="宋体" w:hAnsi="宋体" w:cs="宋体"/>
          <w:color w:val="auto"/>
          <w:sz w:val="24"/>
          <w:szCs w:val="24"/>
          <w:u w:val="single"/>
        </w:rPr>
        <w:t xml:space="preserve">     </w:t>
      </w:r>
    </w:p>
    <w:p>
      <w:pPr>
        <w:spacing w:line="360" w:lineRule="auto"/>
        <w:ind w:firstLine="540" w:firstLineChars="225"/>
        <w:rPr>
          <w:rFonts w:ascii="宋体"/>
          <w:color w:val="auto"/>
          <w:sz w:val="24"/>
          <w:szCs w:val="24"/>
        </w:rPr>
      </w:pPr>
      <w:r>
        <w:rPr>
          <w:rFonts w:hint="eastAsia" w:ascii="宋体" w:hAnsi="宋体" w:cs="宋体"/>
          <w:color w:val="auto"/>
          <w:sz w:val="24"/>
          <w:szCs w:val="24"/>
        </w:rPr>
        <w:t>注：运营费用包括电费、自来水费、药剂费、人工费、污泥处理费、日常化验费、浓缩液处理费、膜更换费用、日常维护费、企业管理费、利润和税金（增值税专用发票，税率</w:t>
      </w:r>
      <w:r>
        <w:rPr>
          <w:rFonts w:ascii="宋体" w:hAnsi="宋体" w:cs="宋体"/>
          <w:color w:val="auto"/>
          <w:sz w:val="24"/>
          <w:szCs w:val="24"/>
        </w:rPr>
        <w:t>6%</w:t>
      </w:r>
      <w:r>
        <w:rPr>
          <w:rFonts w:hint="eastAsia" w:ascii="宋体" w:hAnsi="宋体" w:cs="宋体"/>
          <w:color w:val="auto"/>
          <w:sz w:val="24"/>
          <w:szCs w:val="24"/>
        </w:rPr>
        <w:t>），不包含甲方委托第三方检测费用。</w:t>
      </w:r>
      <w:r>
        <w:rPr>
          <w:rFonts w:hint="eastAsia" w:ascii="宋体" w:hAnsi="宋体" w:cs="宋体"/>
          <w:color w:val="auto"/>
          <w:sz w:val="24"/>
          <w:szCs w:val="24"/>
        </w:rPr>
        <w:t>其中反渗透膜更换由甲方负责，不包含在本次合同价格内。</w:t>
      </w:r>
    </w:p>
    <w:p>
      <w:pPr>
        <w:spacing w:line="360" w:lineRule="auto"/>
        <w:ind w:firstLine="540" w:firstLineChars="225"/>
        <w:rPr>
          <w:color w:val="auto"/>
          <w:lang w:val="en-US"/>
        </w:rPr>
      </w:pPr>
      <w:r>
        <w:rPr>
          <w:rFonts w:hint="eastAsia" w:ascii="宋体" w:hAnsi="宋体" w:cs="宋体"/>
          <w:color w:val="auto"/>
          <w:sz w:val="24"/>
          <w:szCs w:val="24"/>
          <w:u w:val="single"/>
        </w:rPr>
        <w:t>月运营费用</w:t>
      </w:r>
      <w:r>
        <w:rPr>
          <w:rFonts w:ascii="宋体" w:hAnsi="宋体" w:cs="宋体"/>
          <w:color w:val="auto"/>
          <w:sz w:val="24"/>
          <w:szCs w:val="24"/>
          <w:u w:val="single"/>
        </w:rPr>
        <w:t>=</w:t>
      </w:r>
      <w:r>
        <w:rPr>
          <w:rFonts w:hint="eastAsia" w:ascii="宋体" w:hAnsi="宋体" w:cs="宋体"/>
          <w:color w:val="auto"/>
          <w:sz w:val="24"/>
          <w:szCs w:val="24"/>
          <w:u w:val="single"/>
        </w:rPr>
        <w:t>中标运营单价（元</w:t>
      </w:r>
      <w:r>
        <w:rPr>
          <w:rFonts w:ascii="宋体" w:hAnsi="宋体" w:cs="宋体"/>
          <w:color w:val="auto"/>
          <w:sz w:val="24"/>
          <w:szCs w:val="24"/>
          <w:u w:val="single"/>
        </w:rPr>
        <w:t>/</w:t>
      </w:r>
      <w:r>
        <w:rPr>
          <w:rFonts w:hint="eastAsia" w:ascii="宋体" w:hAnsi="宋体" w:cs="宋体"/>
          <w:color w:val="auto"/>
          <w:sz w:val="24"/>
          <w:szCs w:val="24"/>
          <w:u w:val="single"/>
        </w:rPr>
        <w:t>吨）×当月运营水量（吨</w:t>
      </w:r>
      <w:r>
        <w:rPr>
          <w:rFonts w:ascii="宋体" w:hAnsi="宋体" w:cs="宋体"/>
          <w:color w:val="auto"/>
          <w:sz w:val="24"/>
          <w:szCs w:val="24"/>
          <w:u w:val="single"/>
        </w:rPr>
        <w:t>/</w:t>
      </w:r>
      <w:r>
        <w:rPr>
          <w:rFonts w:hint="eastAsia" w:ascii="宋体" w:hAnsi="宋体" w:cs="宋体"/>
          <w:color w:val="auto"/>
          <w:sz w:val="24"/>
          <w:szCs w:val="24"/>
          <w:u w:val="single"/>
        </w:rPr>
        <w:t>月）（以进水流量计计量数据为准）</w:t>
      </w:r>
    </w:p>
    <w:p>
      <w:pPr>
        <w:spacing w:line="360" w:lineRule="auto"/>
        <w:ind w:firstLine="542" w:firstLineChars="225"/>
        <w:rPr>
          <w:rFonts w:ascii="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、组成合同的文件</w:t>
      </w:r>
    </w:p>
    <w:p>
      <w:pPr>
        <w:spacing w:line="360" w:lineRule="auto"/>
        <w:ind w:firstLine="540" w:firstLineChars="225"/>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组成本合同的文件包括</w:t>
      </w:r>
      <w:r>
        <w:rPr>
          <w:rFonts w:ascii="宋体" w:hAnsi="宋体" w:cs="宋体"/>
          <w:color w:val="auto"/>
          <w:sz w:val="24"/>
          <w:szCs w:val="24"/>
        </w:rPr>
        <w:t>:</w:t>
      </w:r>
    </w:p>
    <w:p>
      <w:pPr>
        <w:spacing w:line="360" w:lineRule="auto"/>
        <w:ind w:firstLine="540" w:firstLineChars="225"/>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本合同协议书</w:t>
      </w:r>
    </w:p>
    <w:p>
      <w:pPr>
        <w:spacing w:line="360" w:lineRule="auto"/>
        <w:ind w:firstLine="540" w:firstLineChars="225"/>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中标通知书</w:t>
      </w:r>
    </w:p>
    <w:p>
      <w:pPr>
        <w:spacing w:line="360" w:lineRule="auto"/>
        <w:ind w:firstLine="540" w:firstLineChars="225"/>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招标文件</w:t>
      </w:r>
    </w:p>
    <w:p>
      <w:pPr>
        <w:spacing w:line="360" w:lineRule="auto"/>
        <w:ind w:firstLine="540" w:firstLineChars="225"/>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本合同主要条款</w:t>
      </w:r>
    </w:p>
    <w:p>
      <w:pPr>
        <w:spacing w:line="360" w:lineRule="auto"/>
        <w:ind w:firstLine="540" w:firstLineChars="225"/>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投标书及其附件</w:t>
      </w:r>
    </w:p>
    <w:p>
      <w:pPr>
        <w:spacing w:line="360" w:lineRule="auto"/>
        <w:ind w:firstLine="540" w:firstLineChars="225"/>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标准、规范及有关技术文件</w:t>
      </w:r>
    </w:p>
    <w:p>
      <w:pPr>
        <w:spacing w:line="360" w:lineRule="auto"/>
        <w:ind w:firstLine="540" w:firstLineChars="225"/>
        <w:rPr>
          <w:rFonts w:ascii="宋体"/>
          <w:b/>
          <w:bCs/>
          <w:color w:val="auto"/>
          <w:sz w:val="24"/>
          <w:szCs w:val="24"/>
        </w:rPr>
      </w:pPr>
      <w:r>
        <w:rPr>
          <w:rFonts w:ascii="宋体" w:hAnsi="宋体" w:cs="宋体"/>
          <w:color w:val="auto"/>
          <w:sz w:val="24"/>
          <w:szCs w:val="24"/>
        </w:rPr>
        <w:t>6.2</w:t>
      </w:r>
      <w:r>
        <w:rPr>
          <w:rFonts w:hint="eastAsia" w:ascii="宋体" w:hAnsi="宋体" w:cs="宋体"/>
          <w:color w:val="auto"/>
          <w:sz w:val="24"/>
          <w:szCs w:val="24"/>
        </w:rPr>
        <w:t>双方有关项目的洽商、变更等书面协议或文件视为本合同的组成部分。</w:t>
      </w:r>
    </w:p>
    <w:p>
      <w:pPr>
        <w:spacing w:line="360" w:lineRule="auto"/>
        <w:ind w:firstLine="542" w:firstLineChars="225"/>
        <w:rPr>
          <w:rFonts w:ascii="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、甲方向乙方承诺按照合同约定的期限和方式支付合同价款及其他应当支付的款项。</w:t>
      </w:r>
    </w:p>
    <w:p>
      <w:pPr>
        <w:spacing w:line="360" w:lineRule="auto"/>
        <w:ind w:firstLine="542" w:firstLineChars="225"/>
        <w:rPr>
          <w:rFonts w:ascii="宋体"/>
          <w:b/>
          <w:bCs/>
          <w:color w:val="auto"/>
          <w:sz w:val="24"/>
          <w:szCs w:val="24"/>
        </w:rPr>
      </w:pPr>
      <w:r>
        <w:rPr>
          <w:rFonts w:ascii="宋体" w:hAnsi="宋体" w:cs="宋体"/>
          <w:b/>
          <w:bCs/>
          <w:color w:val="auto"/>
          <w:sz w:val="24"/>
          <w:szCs w:val="24"/>
        </w:rPr>
        <w:t>8</w:t>
      </w:r>
      <w:r>
        <w:rPr>
          <w:rFonts w:hint="eastAsia" w:ascii="宋体" w:hAnsi="宋体" w:cs="宋体"/>
          <w:b/>
          <w:bCs/>
          <w:color w:val="auto"/>
          <w:sz w:val="24"/>
          <w:szCs w:val="24"/>
        </w:rPr>
        <w:t>、合同生效</w:t>
      </w:r>
    </w:p>
    <w:p>
      <w:pPr>
        <w:spacing w:line="360" w:lineRule="auto"/>
        <w:ind w:firstLine="540" w:firstLineChars="225"/>
        <w:rPr>
          <w:rFonts w:ascii="宋体"/>
          <w:color w:val="auto"/>
          <w:sz w:val="24"/>
          <w:szCs w:val="24"/>
        </w:rPr>
      </w:pPr>
      <w:r>
        <w:rPr>
          <w:rFonts w:ascii="宋体" w:hAnsi="宋体" w:cs="宋体"/>
          <w:color w:val="auto"/>
          <w:sz w:val="24"/>
          <w:szCs w:val="24"/>
        </w:rPr>
        <w:t>8.1</w:t>
      </w:r>
      <w:r>
        <w:rPr>
          <w:rFonts w:hint="eastAsia" w:ascii="宋体" w:hAnsi="宋体" w:cs="宋体"/>
          <w:color w:val="auto"/>
          <w:sz w:val="24"/>
          <w:szCs w:val="24"/>
        </w:rPr>
        <w:t>合同订立时间</w:t>
      </w:r>
      <w:r>
        <w:rPr>
          <w:rFonts w:ascii="宋体" w:hAnsi="宋体" w:cs="宋体"/>
          <w:color w:val="auto"/>
          <w:sz w:val="24"/>
          <w:szCs w:val="24"/>
        </w:rPr>
        <w:t>:</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hint="eastAsia" w:ascii="宋体" w:hAnsi="宋体" w:cs="宋体"/>
          <w:color w:val="auto"/>
          <w:sz w:val="24"/>
          <w:szCs w:val="24"/>
        </w:rPr>
        <w:t>日</w:t>
      </w:r>
    </w:p>
    <w:p>
      <w:pPr>
        <w:spacing w:line="360" w:lineRule="auto"/>
        <w:ind w:firstLine="540" w:firstLineChars="225"/>
        <w:rPr>
          <w:rFonts w:ascii="宋体"/>
          <w:color w:val="auto"/>
          <w:sz w:val="24"/>
          <w:szCs w:val="24"/>
          <w:u w:val="single"/>
        </w:rPr>
      </w:pPr>
      <w:r>
        <w:rPr>
          <w:rFonts w:ascii="宋体" w:hAnsi="宋体" w:cs="宋体"/>
          <w:color w:val="auto"/>
          <w:sz w:val="24"/>
          <w:szCs w:val="24"/>
        </w:rPr>
        <w:t>8.2</w:t>
      </w:r>
      <w:r>
        <w:rPr>
          <w:rFonts w:hint="eastAsia" w:ascii="宋体" w:hAnsi="宋体" w:cs="宋体"/>
          <w:color w:val="auto"/>
          <w:sz w:val="24"/>
          <w:szCs w:val="24"/>
        </w:rPr>
        <w:t>合同订立地点</w:t>
      </w:r>
      <w:r>
        <w:rPr>
          <w:rFonts w:ascii="宋体" w:hAnsi="宋体" w:cs="宋体"/>
          <w:color w:val="auto"/>
          <w:sz w:val="24"/>
          <w:szCs w:val="24"/>
        </w:rPr>
        <w:t>:</w:t>
      </w:r>
      <w:r>
        <w:rPr>
          <w:rFonts w:ascii="宋体" w:hAnsi="宋体" w:cs="宋体"/>
          <w:color w:val="auto"/>
          <w:sz w:val="24"/>
          <w:szCs w:val="24"/>
          <w:u w:val="single"/>
        </w:rPr>
        <w:t xml:space="preserve">           </w:t>
      </w:r>
    </w:p>
    <w:p>
      <w:pPr>
        <w:spacing w:line="360" w:lineRule="auto"/>
        <w:ind w:firstLine="540" w:firstLineChars="225"/>
        <w:rPr>
          <w:rFonts w:ascii="宋体" w:cs="宋体"/>
          <w:color w:val="auto"/>
          <w:sz w:val="24"/>
          <w:szCs w:val="24"/>
        </w:rPr>
      </w:pPr>
      <w:r>
        <w:rPr>
          <w:rFonts w:ascii="宋体" w:hAnsi="宋体" w:cs="宋体"/>
          <w:color w:val="auto"/>
          <w:sz w:val="24"/>
          <w:szCs w:val="24"/>
        </w:rPr>
        <w:t>8.3</w:t>
      </w:r>
      <w:r>
        <w:rPr>
          <w:rFonts w:hint="eastAsia" w:ascii="宋体" w:hAnsi="宋体" w:cs="宋体"/>
          <w:color w:val="auto"/>
          <w:sz w:val="24"/>
          <w:szCs w:val="24"/>
        </w:rPr>
        <w:t>本合同双方约定</w:t>
      </w:r>
      <w:r>
        <w:rPr>
          <w:rFonts w:ascii="宋体" w:hAnsi="宋体" w:cs="宋体"/>
          <w:color w:val="auto"/>
          <w:sz w:val="24"/>
          <w:szCs w:val="24"/>
          <w:u w:val="single"/>
        </w:rPr>
        <w:t xml:space="preserve">     </w:t>
      </w:r>
      <w:r>
        <w:rPr>
          <w:rFonts w:hint="eastAsia" w:ascii="宋体" w:hAnsi="宋体" w:cs="宋体"/>
          <w:color w:val="auto"/>
          <w:sz w:val="24"/>
          <w:szCs w:val="24"/>
          <w:u w:val="single"/>
        </w:rPr>
        <w:t>签字盖章</w:t>
      </w:r>
      <w:r>
        <w:rPr>
          <w:rFonts w:ascii="宋体" w:hAnsi="宋体" w:cs="宋体"/>
          <w:color w:val="auto"/>
          <w:sz w:val="24"/>
          <w:szCs w:val="24"/>
          <w:u w:val="single"/>
        </w:rPr>
        <w:t xml:space="preserve">    </w:t>
      </w:r>
      <w:r>
        <w:rPr>
          <w:rFonts w:hint="eastAsia" w:ascii="宋体" w:hAnsi="宋体" w:cs="宋体"/>
          <w:color w:val="auto"/>
          <w:sz w:val="24"/>
          <w:szCs w:val="24"/>
        </w:rPr>
        <w:t>后生效</w:t>
      </w:r>
      <w:r>
        <w:rPr>
          <w:rFonts w:ascii="宋体" w:cs="宋体"/>
          <w:color w:val="auto"/>
          <w:sz w:val="24"/>
          <w:szCs w:val="24"/>
        </w:rPr>
        <w:t>.</w:t>
      </w:r>
    </w:p>
    <w:p>
      <w:pPr>
        <w:widowControl/>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9</w:t>
      </w:r>
      <w:r>
        <w:rPr>
          <w:rFonts w:hint="eastAsia" w:ascii="宋体" w:hAnsi="宋体" w:cs="宋体"/>
          <w:color w:val="auto"/>
          <w:kern w:val="0"/>
          <w:sz w:val="24"/>
          <w:szCs w:val="24"/>
        </w:rPr>
        <w:t>、其他</w:t>
      </w:r>
    </w:p>
    <w:p>
      <w:pPr>
        <w:widowControl/>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本合同中所述通知，必须为书面形式，并且送达签收。</w:t>
      </w:r>
    </w:p>
    <w:p>
      <w:pPr>
        <w:widowControl/>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关于合同争议，应双方友好协商解决，协商不一致，任何一方均可向台州仲裁委员会提请仲裁。</w:t>
      </w:r>
    </w:p>
    <w:p>
      <w:pPr>
        <w:widowControl/>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如双方同意，可以书面修改或补充本合同条款；合同的附件、修改（补充）件均与本合同同效。</w:t>
      </w:r>
    </w:p>
    <w:p>
      <w:pPr>
        <w:widowControl/>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、未尽事宜，按国家相关法律、法规执行。</w:t>
      </w:r>
    </w:p>
    <w:p>
      <w:pPr>
        <w:widowControl/>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本合同一式壹拾份，甲方六份，乙方二份，代理机构及台州市路桥区财政局各一份留档。</w:t>
      </w:r>
    </w:p>
    <w:p>
      <w:pPr>
        <w:spacing w:line="360" w:lineRule="auto"/>
        <w:ind w:firstLine="480" w:firstLineChars="200"/>
        <w:rPr>
          <w:rFonts w:ascii="宋体"/>
          <w:color w:val="auto"/>
          <w:kern w:val="0"/>
          <w:sz w:val="24"/>
          <w:szCs w:val="24"/>
        </w:rPr>
      </w:pPr>
      <w:r>
        <w:rPr>
          <w:rFonts w:ascii="宋体" w:hAnsi="宋体" w:cs="宋体"/>
          <w:color w:val="auto"/>
          <w:kern w:val="0"/>
          <w:sz w:val="24"/>
          <w:szCs w:val="24"/>
        </w:rPr>
        <w:t>6.</w:t>
      </w:r>
      <w:r>
        <w:rPr>
          <w:rFonts w:hint="eastAsia" w:ascii="宋体" w:hAnsi="宋体" w:cs="宋体"/>
          <w:color w:val="auto"/>
          <w:kern w:val="0"/>
          <w:sz w:val="24"/>
          <w:szCs w:val="24"/>
        </w:rPr>
        <w:t>合同签定地点：</w:t>
      </w:r>
      <w:r>
        <w:rPr>
          <w:rFonts w:hint="eastAsia" w:ascii="宋体" w:hAnsi="宋体" w:cs="宋体"/>
          <w:color w:val="auto"/>
          <w:kern w:val="0"/>
          <w:sz w:val="24"/>
          <w:szCs w:val="24"/>
          <w:u w:val="single"/>
        </w:rPr>
        <w:t>位于台州滨海工业区东面，路桥区金清镇十塘的路桥区生活垃圾填埋场内。</w:t>
      </w:r>
    </w:p>
    <w:p>
      <w:pPr>
        <w:widowControl/>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10.</w:t>
      </w:r>
      <w:r>
        <w:rPr>
          <w:rFonts w:hint="eastAsia" w:ascii="宋体" w:hAnsi="宋体" w:cs="宋体"/>
          <w:color w:val="auto"/>
          <w:kern w:val="0"/>
          <w:sz w:val="24"/>
          <w:szCs w:val="24"/>
        </w:rPr>
        <w:t>合同有效期</w:t>
      </w:r>
    </w:p>
    <w:p>
      <w:pPr>
        <w:widowControl/>
        <w:spacing w:line="360" w:lineRule="auto"/>
        <w:jc w:val="left"/>
        <w:rPr>
          <w:rFonts w:ascii="宋体"/>
          <w:color w:val="auto"/>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本合同有效期自</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日至</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年</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日。</w:t>
      </w:r>
    </w:p>
    <w:p>
      <w:pPr>
        <w:spacing w:line="360" w:lineRule="auto"/>
        <w:rPr>
          <w:rFonts w:ascii="宋体"/>
          <w:color w:val="auto"/>
          <w:sz w:val="24"/>
          <w:szCs w:val="24"/>
        </w:rPr>
      </w:pPr>
      <w:r>
        <w:rPr>
          <w:rFonts w:hint="eastAsia" w:ascii="宋体" w:hAnsi="宋体" w:cs="宋体"/>
          <w:color w:val="auto"/>
          <w:sz w:val="24"/>
          <w:szCs w:val="24"/>
        </w:rPr>
        <w:t>甲方：</w:t>
      </w:r>
      <w:r>
        <w:rPr>
          <w:rFonts w:ascii="宋体" w:hAnsi="宋体" w:cs="宋体"/>
          <w:color w:val="auto"/>
          <w:sz w:val="24"/>
          <w:szCs w:val="24"/>
        </w:rPr>
        <w:t xml:space="preserve">                                         </w:t>
      </w:r>
      <w:r>
        <w:rPr>
          <w:rFonts w:hint="eastAsia" w:ascii="宋体" w:hAnsi="宋体" w:cs="宋体"/>
          <w:color w:val="auto"/>
          <w:sz w:val="24"/>
          <w:szCs w:val="24"/>
        </w:rPr>
        <w:t>乙方：</w:t>
      </w:r>
      <w:r>
        <w:rPr>
          <w:rFonts w:ascii="宋体" w:hAnsi="宋体" w:cs="宋体"/>
          <w:color w:val="auto"/>
          <w:sz w:val="24"/>
          <w:szCs w:val="24"/>
        </w:rPr>
        <w:t xml:space="preserve">        </w:t>
      </w:r>
    </w:p>
    <w:p>
      <w:pPr>
        <w:spacing w:line="360" w:lineRule="auto"/>
        <w:rPr>
          <w:rFonts w:ascii="宋体"/>
          <w:color w:val="auto"/>
          <w:sz w:val="24"/>
          <w:szCs w:val="24"/>
        </w:rPr>
      </w:pPr>
      <w:r>
        <w:rPr>
          <w:rFonts w:hint="eastAsia" w:ascii="宋体" w:hAnsi="宋体" w:cs="宋体"/>
          <w:color w:val="auto"/>
          <w:sz w:val="24"/>
          <w:szCs w:val="24"/>
        </w:rPr>
        <w:t>地址：</w:t>
      </w:r>
      <w:r>
        <w:rPr>
          <w:rFonts w:ascii="宋体" w:hAnsi="宋体" w:cs="宋体"/>
          <w:color w:val="auto"/>
          <w:sz w:val="24"/>
          <w:szCs w:val="24"/>
        </w:rPr>
        <w:t xml:space="preserve">                                         </w:t>
      </w:r>
      <w:r>
        <w:rPr>
          <w:rFonts w:hint="eastAsia" w:ascii="宋体" w:hAnsi="宋体" w:cs="宋体"/>
          <w:color w:val="auto"/>
          <w:sz w:val="24"/>
          <w:szCs w:val="24"/>
        </w:rPr>
        <w:t>地址：</w:t>
      </w:r>
      <w:r>
        <w:rPr>
          <w:rFonts w:ascii="宋体" w:hAnsi="宋体" w:cs="宋体"/>
          <w:color w:val="auto"/>
          <w:sz w:val="24"/>
          <w:szCs w:val="24"/>
        </w:rPr>
        <w:t xml:space="preserve">               </w:t>
      </w:r>
    </w:p>
    <w:p>
      <w:pPr>
        <w:spacing w:line="360" w:lineRule="auto"/>
        <w:rPr>
          <w:rFonts w:ascii="宋体"/>
          <w:color w:val="auto"/>
          <w:sz w:val="24"/>
          <w:szCs w:val="24"/>
        </w:rPr>
      </w:pPr>
      <w:r>
        <w:rPr>
          <w:rFonts w:hint="eastAsia" w:ascii="宋体" w:hAnsi="宋体" w:cs="宋体"/>
          <w:color w:val="auto"/>
          <w:sz w:val="24"/>
          <w:szCs w:val="24"/>
        </w:rPr>
        <w:t>法定代表人：</w:t>
      </w:r>
      <w:r>
        <w:rPr>
          <w:rFonts w:ascii="宋体" w:hAnsi="宋体" w:cs="宋体"/>
          <w:color w:val="auto"/>
          <w:sz w:val="24"/>
          <w:szCs w:val="24"/>
        </w:rPr>
        <w:t xml:space="preserve">                                   </w:t>
      </w:r>
      <w:r>
        <w:rPr>
          <w:rFonts w:hint="eastAsia" w:ascii="宋体" w:hAnsi="宋体" w:cs="宋体"/>
          <w:color w:val="auto"/>
          <w:sz w:val="24"/>
          <w:szCs w:val="24"/>
        </w:rPr>
        <w:t>法定代表人（负责人）：</w:t>
      </w:r>
    </w:p>
    <w:p>
      <w:pPr>
        <w:spacing w:line="360" w:lineRule="auto"/>
        <w:rPr>
          <w:rFonts w:ascii="宋体"/>
          <w:color w:val="auto"/>
          <w:sz w:val="24"/>
          <w:szCs w:val="24"/>
        </w:rPr>
      </w:pPr>
      <w:r>
        <w:rPr>
          <w:rFonts w:hint="eastAsia" w:ascii="宋体" w:hAnsi="宋体" w:cs="宋体"/>
          <w:color w:val="auto"/>
          <w:sz w:val="24"/>
          <w:szCs w:val="24"/>
        </w:rPr>
        <w:t>联系方式：</w:t>
      </w:r>
      <w:r>
        <w:rPr>
          <w:rFonts w:ascii="宋体" w:hAnsi="宋体" w:cs="宋体"/>
          <w:color w:val="auto"/>
          <w:sz w:val="24"/>
          <w:szCs w:val="24"/>
        </w:rPr>
        <w:t xml:space="preserve">                                     </w:t>
      </w:r>
      <w:r>
        <w:rPr>
          <w:rFonts w:hint="eastAsia" w:ascii="宋体" w:hAnsi="宋体" w:cs="宋体"/>
          <w:color w:val="auto"/>
          <w:sz w:val="24"/>
          <w:szCs w:val="24"/>
        </w:rPr>
        <w:t>联系方式：</w:t>
      </w:r>
      <w:r>
        <w:rPr>
          <w:rFonts w:ascii="宋体" w:hAnsi="宋体" w:cs="宋体"/>
          <w:color w:val="auto"/>
          <w:sz w:val="24"/>
          <w:szCs w:val="24"/>
        </w:rPr>
        <w:t xml:space="preserve">  </w:t>
      </w:r>
    </w:p>
    <w:p>
      <w:pPr>
        <w:spacing w:line="360" w:lineRule="auto"/>
        <w:rPr>
          <w:rFonts w:ascii="宋体"/>
          <w:color w:val="auto"/>
          <w:sz w:val="24"/>
          <w:szCs w:val="24"/>
        </w:rPr>
      </w:pPr>
      <w:r>
        <w:rPr>
          <w:rFonts w:hint="eastAsia" w:ascii="宋体" w:hAnsi="宋体" w:cs="宋体"/>
          <w:color w:val="auto"/>
          <w:sz w:val="24"/>
          <w:szCs w:val="24"/>
        </w:rPr>
        <w:t>开户行：</w:t>
      </w:r>
      <w:r>
        <w:rPr>
          <w:rFonts w:ascii="宋体" w:hAnsi="宋体" w:cs="宋体"/>
          <w:color w:val="auto"/>
          <w:sz w:val="24"/>
          <w:szCs w:val="24"/>
        </w:rPr>
        <w:t xml:space="preserve">                                       </w:t>
      </w:r>
      <w:r>
        <w:rPr>
          <w:rFonts w:hint="eastAsia" w:ascii="宋体" w:hAnsi="宋体" w:cs="宋体"/>
          <w:color w:val="auto"/>
          <w:sz w:val="24"/>
          <w:szCs w:val="24"/>
        </w:rPr>
        <w:t>开户行：</w:t>
      </w:r>
      <w:r>
        <w:rPr>
          <w:rFonts w:ascii="宋体" w:hAnsi="宋体" w:cs="宋体"/>
          <w:color w:val="auto"/>
          <w:sz w:val="24"/>
          <w:szCs w:val="24"/>
        </w:rPr>
        <w:t xml:space="preserve"> </w:t>
      </w:r>
    </w:p>
    <w:p>
      <w:pPr>
        <w:spacing w:line="360" w:lineRule="auto"/>
        <w:rPr>
          <w:rFonts w:ascii="宋体"/>
          <w:color w:val="auto"/>
          <w:sz w:val="24"/>
          <w:szCs w:val="24"/>
        </w:rPr>
      </w:pPr>
      <w:r>
        <w:rPr>
          <w:rFonts w:hint="eastAsia" w:ascii="宋体" w:hAnsi="宋体" w:cs="宋体"/>
          <w:color w:val="auto"/>
          <w:sz w:val="24"/>
          <w:szCs w:val="24"/>
        </w:rPr>
        <w:t>账号：</w:t>
      </w:r>
      <w:r>
        <w:rPr>
          <w:rFonts w:ascii="宋体" w:hAnsi="宋体" w:cs="宋体"/>
          <w:color w:val="auto"/>
          <w:sz w:val="24"/>
          <w:szCs w:val="24"/>
        </w:rPr>
        <w:t xml:space="preserve">                                         </w:t>
      </w:r>
      <w:r>
        <w:rPr>
          <w:rFonts w:hint="eastAsia" w:ascii="宋体" w:hAnsi="宋体" w:cs="宋体"/>
          <w:color w:val="auto"/>
          <w:sz w:val="24"/>
          <w:szCs w:val="24"/>
        </w:rPr>
        <w:t>账号：</w:t>
      </w:r>
      <w:r>
        <w:rPr>
          <w:rFonts w:ascii="宋体" w:hAnsi="宋体" w:cs="宋体"/>
          <w:color w:val="auto"/>
          <w:sz w:val="24"/>
          <w:szCs w:val="24"/>
        </w:rPr>
        <w:t xml:space="preserve">                           </w:t>
      </w:r>
    </w:p>
    <w:p>
      <w:pPr>
        <w:spacing w:line="360" w:lineRule="auto"/>
        <w:rPr>
          <w:rFonts w:ascii="宋体"/>
          <w:color w:val="auto"/>
          <w:sz w:val="24"/>
          <w:szCs w:val="24"/>
        </w:rPr>
      </w:pPr>
      <w:r>
        <w:rPr>
          <w:rFonts w:hint="eastAsia" w:ascii="宋体" w:hAnsi="宋体" w:cs="宋体"/>
          <w:color w:val="auto"/>
          <w:sz w:val="24"/>
          <w:szCs w:val="24"/>
        </w:rPr>
        <w:t>签字日期：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spacing w:line="360" w:lineRule="auto"/>
        <w:rPr>
          <w:rFonts w:ascii="Arial" w:hAnsi="Arial" w:eastAsia="黑体"/>
          <w:b/>
          <w:bCs/>
          <w:color w:val="auto"/>
          <w:sz w:val="32"/>
          <w:szCs w:val="32"/>
        </w:rPr>
      </w:pPr>
      <w:r>
        <w:rPr>
          <w:rFonts w:hint="eastAsia" w:ascii="宋体" w:hAnsi="宋体" w:cs="宋体"/>
          <w:color w:val="auto"/>
          <w:sz w:val="24"/>
          <w:szCs w:val="24"/>
        </w:rPr>
        <w:t>鉴证方（鉴证章）</w:t>
      </w:r>
    </w:p>
    <w:p>
      <w:pPr>
        <w:keepNext/>
        <w:keepLines/>
        <w:spacing w:before="260" w:after="260" w:line="415" w:lineRule="auto"/>
        <w:ind w:firstLine="2891" w:firstLineChars="900"/>
        <w:outlineLvl w:val="1"/>
        <w:rPr>
          <w:rFonts w:hint="eastAsia" w:ascii="Arial" w:hAnsi="Arial" w:eastAsia="黑体" w:cs="黑体"/>
          <w:b/>
          <w:bCs/>
          <w:color w:val="auto"/>
          <w:sz w:val="32"/>
          <w:szCs w:val="32"/>
        </w:rPr>
      </w:pPr>
    </w:p>
    <w:p>
      <w:pPr>
        <w:keepNext/>
        <w:keepLines/>
        <w:spacing w:before="260" w:after="260" w:line="415" w:lineRule="auto"/>
        <w:ind w:firstLine="2891" w:firstLineChars="900"/>
        <w:outlineLvl w:val="1"/>
        <w:rPr>
          <w:rFonts w:ascii="Arial" w:hAnsi="Arial" w:eastAsia="黑体"/>
          <w:b/>
          <w:bCs/>
          <w:color w:val="auto"/>
          <w:sz w:val="32"/>
          <w:szCs w:val="32"/>
        </w:rPr>
      </w:pPr>
      <w:r>
        <w:rPr>
          <w:rFonts w:hint="eastAsia" w:ascii="Arial" w:hAnsi="Arial" w:eastAsia="黑体" w:cs="黑体"/>
          <w:b/>
          <w:bCs/>
          <w:color w:val="auto"/>
          <w:sz w:val="32"/>
          <w:szCs w:val="32"/>
        </w:rPr>
        <w:t>第二节</w:t>
      </w:r>
      <w:r>
        <w:rPr>
          <w:rFonts w:ascii="Arial" w:hAnsi="Arial" w:eastAsia="黑体" w:cs="Arial"/>
          <w:b/>
          <w:bCs/>
          <w:color w:val="auto"/>
          <w:sz w:val="32"/>
          <w:szCs w:val="32"/>
        </w:rPr>
        <w:t xml:space="preserve"> </w:t>
      </w:r>
      <w:r>
        <w:rPr>
          <w:rFonts w:hint="eastAsia" w:ascii="Arial" w:hAnsi="Arial" w:eastAsia="黑体" w:cs="黑体"/>
          <w:b/>
          <w:bCs/>
          <w:color w:val="auto"/>
          <w:sz w:val="32"/>
          <w:szCs w:val="32"/>
        </w:rPr>
        <w:t>合同主要条款</w:t>
      </w:r>
    </w:p>
    <w:p>
      <w:pPr>
        <w:keepNext/>
        <w:keepLines/>
        <w:spacing w:before="260" w:after="260"/>
        <w:jc w:val="center"/>
        <w:outlineLvl w:val="1"/>
        <w:rPr>
          <w:rFonts w:ascii="宋体"/>
          <w:b/>
          <w:bCs/>
          <w:color w:val="auto"/>
          <w:sz w:val="24"/>
          <w:szCs w:val="24"/>
        </w:rPr>
      </w:pPr>
      <w:bookmarkStart w:id="43" w:name="_Toc68078662"/>
      <w:bookmarkStart w:id="44" w:name="_Toc521685604"/>
      <w:bookmarkStart w:id="45" w:name="_Toc68078130"/>
      <w:bookmarkStart w:id="46" w:name="_Toc71780640"/>
      <w:bookmarkStart w:id="47" w:name="_Toc136332495"/>
      <w:bookmarkStart w:id="48" w:name="_Toc68075690"/>
      <w:bookmarkStart w:id="49" w:name="_Toc404263585"/>
      <w:bookmarkStart w:id="50" w:name="_Toc68078432"/>
      <w:r>
        <w:rPr>
          <w:rFonts w:hint="eastAsia" w:ascii="宋体" w:hAnsi="宋体" w:cs="宋体"/>
          <w:b/>
          <w:bCs/>
          <w:color w:val="auto"/>
          <w:sz w:val="24"/>
          <w:szCs w:val="24"/>
        </w:rPr>
        <w:t>第１条</w:t>
      </w:r>
      <w:r>
        <w:rPr>
          <w:rFonts w:ascii="宋体" w:hAnsi="宋体" w:cs="宋体"/>
          <w:b/>
          <w:bCs/>
          <w:color w:val="auto"/>
          <w:sz w:val="24"/>
          <w:szCs w:val="24"/>
        </w:rPr>
        <w:t xml:space="preserve">  </w:t>
      </w:r>
      <w:r>
        <w:rPr>
          <w:rFonts w:hint="eastAsia" w:ascii="宋体" w:hAnsi="宋体" w:cs="宋体"/>
          <w:b/>
          <w:bCs/>
          <w:color w:val="auto"/>
          <w:sz w:val="24"/>
          <w:szCs w:val="24"/>
        </w:rPr>
        <w:t>术语定义</w:t>
      </w:r>
      <w:bookmarkEnd w:id="43"/>
      <w:bookmarkEnd w:id="44"/>
      <w:bookmarkEnd w:id="45"/>
      <w:bookmarkEnd w:id="46"/>
      <w:bookmarkEnd w:id="47"/>
      <w:bookmarkEnd w:id="48"/>
      <w:bookmarkEnd w:id="49"/>
      <w:bookmarkEnd w:id="50"/>
    </w:p>
    <w:p>
      <w:pPr>
        <w:keepNext/>
        <w:keepLines/>
        <w:spacing w:before="260" w:after="260"/>
        <w:jc w:val="left"/>
        <w:outlineLvl w:val="2"/>
        <w:rPr>
          <w:rFonts w:ascii="宋体"/>
          <w:b/>
          <w:bCs/>
          <w:color w:val="auto"/>
          <w:sz w:val="24"/>
          <w:szCs w:val="24"/>
        </w:rPr>
      </w:pPr>
      <w:bookmarkStart w:id="51" w:name="_Toc68078663"/>
      <w:bookmarkStart w:id="52" w:name="_Toc521685605"/>
      <w:bookmarkStart w:id="53" w:name="_Toc68075691"/>
      <w:bookmarkStart w:id="54" w:name="_Toc68078131"/>
      <w:bookmarkStart w:id="55" w:name="_Toc136332496"/>
      <w:bookmarkStart w:id="56" w:name="_Toc68078433"/>
      <w:bookmarkStart w:id="57" w:name="_Toc404263586"/>
      <w:r>
        <w:rPr>
          <w:rFonts w:ascii="宋体" w:hAnsi="宋体" w:cs="宋体"/>
          <w:b/>
          <w:bCs/>
          <w:color w:val="auto"/>
          <w:sz w:val="24"/>
          <w:szCs w:val="24"/>
        </w:rPr>
        <w:t xml:space="preserve">1.1  </w:t>
      </w:r>
      <w:r>
        <w:rPr>
          <w:rFonts w:hint="eastAsia" w:ascii="宋体" w:hAnsi="宋体" w:cs="宋体"/>
          <w:b/>
          <w:bCs/>
          <w:color w:val="auto"/>
          <w:sz w:val="24"/>
          <w:szCs w:val="24"/>
        </w:rPr>
        <w:t>术语定义</w:t>
      </w:r>
      <w:bookmarkEnd w:id="51"/>
      <w:bookmarkEnd w:id="52"/>
      <w:bookmarkEnd w:id="53"/>
      <w:bookmarkEnd w:id="54"/>
      <w:bookmarkEnd w:id="55"/>
      <w:bookmarkEnd w:id="56"/>
      <w:bookmarkEnd w:id="57"/>
    </w:p>
    <w:p>
      <w:pPr>
        <w:rPr>
          <w:rFonts w:ascii="宋体"/>
          <w:color w:val="auto"/>
          <w:sz w:val="24"/>
          <w:szCs w:val="24"/>
        </w:rPr>
      </w:pPr>
      <w:r>
        <w:rPr>
          <w:rFonts w:hint="eastAsia" w:ascii="宋体" w:hAnsi="宋体" w:cs="宋体"/>
          <w:color w:val="auto"/>
          <w:sz w:val="24"/>
          <w:szCs w:val="24"/>
        </w:rPr>
        <w:t>在本协议中，下述术语具有下列含义：（以术语的拼音字母排序）</w:t>
      </w:r>
    </w:p>
    <w:p>
      <w:pPr>
        <w:rPr>
          <w:rFonts w:ascii="宋体"/>
          <w:b/>
          <w:bCs/>
          <w:color w:val="auto"/>
          <w:sz w:val="24"/>
          <w:szCs w:val="24"/>
        </w:rPr>
      </w:pPr>
    </w:p>
    <w:tbl>
      <w:tblPr>
        <w:tblStyle w:val="24"/>
        <w:tblW w:w="0" w:type="auto"/>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18"/>
        <w:gridCol w:w="67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tabs>
                <w:tab w:val="left" w:pos="5580"/>
              </w:tabs>
              <w:rPr>
                <w:rFonts w:ascii="宋体"/>
                <w:color w:val="auto"/>
                <w:sz w:val="24"/>
                <w:szCs w:val="24"/>
              </w:rPr>
            </w:pPr>
            <w:r>
              <w:rPr>
                <w:rFonts w:hint="eastAsia" w:ascii="宋体" w:hAnsi="宋体" w:cs="宋体"/>
                <w:color w:val="auto"/>
                <w:sz w:val="24"/>
                <w:szCs w:val="24"/>
              </w:rPr>
              <w:t>“出水采样点”</w:t>
            </w:r>
          </w:p>
        </w:tc>
        <w:tc>
          <w:tcPr>
            <w:tcW w:w="6768" w:type="dxa"/>
          </w:tcPr>
          <w:p>
            <w:pPr>
              <w:tabs>
                <w:tab w:val="left" w:pos="5580"/>
              </w:tabs>
              <w:rPr>
                <w:rFonts w:ascii="宋体"/>
                <w:color w:val="auto"/>
                <w:sz w:val="24"/>
                <w:szCs w:val="24"/>
              </w:rPr>
            </w:pPr>
            <w:r>
              <w:rPr>
                <w:rFonts w:hint="eastAsia" w:ascii="宋体" w:hAnsi="宋体" w:cs="宋体"/>
                <w:color w:val="auto"/>
                <w:sz w:val="24"/>
                <w:szCs w:val="24"/>
              </w:rPr>
              <w:t>指为检测出水质量对出水进行采样之处。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b/>
                <w:bCs/>
                <w:color w:val="auto"/>
                <w:sz w:val="24"/>
                <w:szCs w:val="24"/>
              </w:rPr>
            </w:pPr>
            <w:r>
              <w:rPr>
                <w:rFonts w:hint="eastAsia" w:ascii="宋体" w:hAnsi="宋体" w:cs="宋体"/>
                <w:color w:val="auto"/>
                <w:sz w:val="24"/>
                <w:szCs w:val="24"/>
              </w:rPr>
              <w:t>“法律变更”</w:t>
            </w:r>
            <w:r>
              <w:rPr>
                <w:rFonts w:ascii="宋体" w:hAnsi="宋体" w:cs="宋体"/>
                <w:color w:val="auto"/>
                <w:sz w:val="24"/>
                <w:szCs w:val="24"/>
              </w:rPr>
              <w:t xml:space="preserve">  </w:t>
            </w:r>
          </w:p>
        </w:tc>
        <w:tc>
          <w:tcPr>
            <w:tcW w:w="6768" w:type="dxa"/>
          </w:tcPr>
          <w:p>
            <w:pPr>
              <w:rPr>
                <w:rFonts w:ascii="宋体"/>
                <w:color w:val="auto"/>
                <w:sz w:val="24"/>
                <w:szCs w:val="24"/>
              </w:rPr>
            </w:pPr>
            <w:r>
              <w:rPr>
                <w:rFonts w:hint="eastAsia" w:ascii="宋体" w:hAnsi="宋体" w:cs="宋体"/>
                <w:color w:val="auto"/>
                <w:sz w:val="24"/>
                <w:szCs w:val="24"/>
              </w:rPr>
              <w:t>指：</w:t>
            </w:r>
          </w:p>
          <w:p>
            <w:pPr>
              <w:numPr>
                <w:ilvl w:val="0"/>
                <w:numId w:val="6"/>
              </w:numPr>
              <w:rPr>
                <w:rFonts w:ascii="宋体"/>
                <w:color w:val="auto"/>
                <w:sz w:val="24"/>
                <w:szCs w:val="24"/>
              </w:rPr>
            </w:pPr>
            <w:r>
              <w:rPr>
                <w:rFonts w:hint="eastAsia" w:ascii="宋体" w:hAnsi="宋体" w:cs="宋体"/>
                <w:color w:val="auto"/>
                <w:sz w:val="24"/>
                <w:szCs w:val="24"/>
              </w:rPr>
              <w:t>在本协议签署之后，中国任何政府部门颁布、修改、废除或重新解释的任何适用法律；或者</w:t>
            </w:r>
          </w:p>
          <w:p>
            <w:pPr>
              <w:numPr>
                <w:ilvl w:val="0"/>
                <w:numId w:val="6"/>
              </w:numPr>
              <w:rPr>
                <w:rFonts w:ascii="宋体"/>
                <w:color w:val="auto"/>
                <w:sz w:val="24"/>
                <w:szCs w:val="24"/>
              </w:rPr>
            </w:pPr>
            <w:r>
              <w:rPr>
                <w:rFonts w:hint="eastAsia" w:ascii="宋体" w:hAnsi="宋体" w:cs="宋体"/>
                <w:color w:val="auto"/>
                <w:sz w:val="24"/>
                <w:szCs w:val="24"/>
              </w:rPr>
              <w:t>甲方的任何上级政府部门在本协议签署日之后修改任何批准的重要条件或增加任何重要的额外条件。</w:t>
            </w:r>
          </w:p>
          <w:p>
            <w:pPr>
              <w:rPr>
                <w:rFonts w:ascii="宋体"/>
                <w:color w:val="auto"/>
                <w:sz w:val="24"/>
                <w:szCs w:val="24"/>
              </w:rPr>
            </w:pPr>
            <w:r>
              <w:rPr>
                <w:rFonts w:hint="eastAsia" w:ascii="宋体" w:hAnsi="宋体" w:cs="宋体"/>
                <w:color w:val="auto"/>
                <w:sz w:val="24"/>
                <w:szCs w:val="24"/>
              </w:rPr>
              <w:t>并且，上述任何一种情况导致：</w:t>
            </w:r>
            <w:r>
              <w:rPr>
                <w:rFonts w:ascii="宋体" w:hAnsi="宋体" w:cs="宋体"/>
                <w:color w:val="auto"/>
                <w:sz w:val="24"/>
                <w:szCs w:val="24"/>
              </w:rPr>
              <w:t xml:space="preserve">   </w:t>
            </w:r>
          </w:p>
          <w:p>
            <w:pPr>
              <w:numPr>
                <w:ilvl w:val="0"/>
                <w:numId w:val="7"/>
              </w:numPr>
              <w:rPr>
                <w:rFonts w:ascii="宋体"/>
                <w:color w:val="auto"/>
                <w:sz w:val="24"/>
                <w:szCs w:val="24"/>
              </w:rPr>
            </w:pPr>
            <w:r>
              <w:rPr>
                <w:rFonts w:hint="eastAsia" w:ascii="宋体" w:hAnsi="宋体" w:cs="宋体"/>
                <w:color w:val="auto"/>
                <w:sz w:val="24"/>
                <w:szCs w:val="24"/>
              </w:rPr>
              <w:t>适用于乙方或由乙方承担的税收、税收优惠或关税发生任何变化；或</w:t>
            </w:r>
          </w:p>
          <w:p>
            <w:pPr>
              <w:numPr>
                <w:ilvl w:val="0"/>
                <w:numId w:val="7"/>
              </w:numPr>
              <w:rPr>
                <w:rFonts w:ascii="宋体"/>
                <w:color w:val="auto"/>
                <w:sz w:val="24"/>
                <w:szCs w:val="24"/>
              </w:rPr>
            </w:pPr>
            <w:r>
              <w:rPr>
                <w:rFonts w:hint="eastAsia" w:ascii="宋体" w:hAnsi="宋体" w:cs="宋体"/>
                <w:color w:val="auto"/>
                <w:sz w:val="24"/>
                <w:szCs w:val="24"/>
              </w:rPr>
              <w:t>对项目的运行维护和移交的要求发生的任何变化。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“工作日”</w:t>
            </w:r>
          </w:p>
        </w:tc>
        <w:tc>
          <w:tcPr>
            <w:tcW w:w="6768" w:type="dxa"/>
          </w:tcPr>
          <w:p>
            <w:pPr>
              <w:rPr>
                <w:rFonts w:ascii="宋体"/>
                <w:color w:val="auto"/>
                <w:sz w:val="24"/>
                <w:szCs w:val="24"/>
              </w:rPr>
            </w:pPr>
            <w:r>
              <w:rPr>
                <w:rFonts w:hint="eastAsia" w:ascii="宋体" w:hAnsi="宋体" w:cs="宋体"/>
                <w:color w:val="auto"/>
                <w:sz w:val="24"/>
                <w:szCs w:val="24"/>
              </w:rPr>
              <w:t>指法定的正常工作日。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“化学品”</w:t>
            </w:r>
            <w:r>
              <w:rPr>
                <w:rFonts w:ascii="宋体" w:hAnsi="宋体" w:cs="宋体"/>
                <w:color w:val="auto"/>
                <w:sz w:val="24"/>
                <w:szCs w:val="24"/>
              </w:rPr>
              <w:t xml:space="preserve"> </w:t>
            </w:r>
          </w:p>
        </w:tc>
        <w:tc>
          <w:tcPr>
            <w:tcW w:w="6768" w:type="dxa"/>
          </w:tcPr>
          <w:p>
            <w:pPr>
              <w:rPr>
                <w:rFonts w:ascii="宋体"/>
                <w:color w:val="auto"/>
                <w:sz w:val="24"/>
                <w:szCs w:val="24"/>
              </w:rPr>
            </w:pPr>
            <w:r>
              <w:rPr>
                <w:rFonts w:hint="eastAsia" w:ascii="宋体" w:hAnsi="宋体" w:cs="宋体"/>
                <w:color w:val="auto"/>
                <w:sz w:val="24"/>
                <w:szCs w:val="24"/>
              </w:rPr>
              <w:t>指工程技术方案中所述的用于渗滤液处理的化学品。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“保底水量”</w:t>
            </w:r>
          </w:p>
        </w:tc>
        <w:tc>
          <w:tcPr>
            <w:tcW w:w="6768" w:type="dxa"/>
          </w:tcPr>
          <w:p>
            <w:pPr>
              <w:rPr>
                <w:rFonts w:ascii="宋体"/>
                <w:color w:val="auto"/>
                <w:sz w:val="24"/>
                <w:szCs w:val="24"/>
              </w:rPr>
            </w:pPr>
            <w:r>
              <w:rPr>
                <w:rFonts w:hint="eastAsia" w:ascii="宋体" w:hAnsi="宋体" w:cs="宋体"/>
                <w:color w:val="auto"/>
                <w:sz w:val="24"/>
                <w:szCs w:val="24"/>
              </w:rPr>
              <w:t>按每一个运行月内，日均</w:t>
            </w:r>
            <w:r>
              <w:rPr>
                <w:rFonts w:ascii="宋体" w:hAnsi="宋体" w:cs="宋体"/>
                <w:color w:val="auto"/>
                <w:sz w:val="24"/>
                <w:szCs w:val="24"/>
                <w:u w:val="single"/>
              </w:rPr>
              <w:t xml:space="preserve"> </w:t>
            </w:r>
            <w:r>
              <w:rPr>
                <w:rFonts w:ascii="宋体" w:hAnsi="宋体" w:cs="宋体"/>
                <w:b/>
                <w:bCs/>
                <w:color w:val="auto"/>
                <w:sz w:val="24"/>
                <w:szCs w:val="24"/>
                <w:u w:val="single"/>
              </w:rPr>
              <w:t xml:space="preserve"> /  </w:t>
            </w:r>
            <w:r>
              <w:rPr>
                <w:rFonts w:hint="eastAsia" w:ascii="宋体" w:hAnsi="宋体" w:cs="宋体"/>
                <w:color w:val="auto"/>
                <w:sz w:val="24"/>
                <w:szCs w:val="24"/>
              </w:rPr>
              <w:t>吨计算的处理水量。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“谨慎运行惯例”</w:t>
            </w:r>
          </w:p>
        </w:tc>
        <w:tc>
          <w:tcPr>
            <w:tcW w:w="6768" w:type="dxa"/>
          </w:tcPr>
          <w:p>
            <w:pPr>
              <w:rPr>
                <w:rFonts w:ascii="宋体"/>
                <w:color w:val="auto"/>
                <w:sz w:val="24"/>
                <w:szCs w:val="24"/>
              </w:rPr>
            </w:pPr>
            <w:r>
              <w:rPr>
                <w:rFonts w:hint="eastAsia" w:ascii="宋体" w:hAnsi="宋体" w:cs="宋体"/>
                <w:color w:val="auto"/>
                <w:sz w:val="24"/>
                <w:szCs w:val="24"/>
              </w:rPr>
              <w:t>指在中国的大部分渗滤液处理运行者为建设运行类似于本项目的项目所采用或接受的惯例、方法和作法以及采用的国际惯例和方法。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“进水采样点”</w:t>
            </w:r>
          </w:p>
        </w:tc>
        <w:tc>
          <w:tcPr>
            <w:tcW w:w="6768" w:type="dxa"/>
          </w:tcPr>
          <w:p>
            <w:pPr>
              <w:rPr>
                <w:rFonts w:ascii="宋体"/>
                <w:color w:val="auto"/>
                <w:sz w:val="24"/>
                <w:szCs w:val="24"/>
              </w:rPr>
            </w:pPr>
            <w:r>
              <w:rPr>
                <w:rFonts w:hint="eastAsia" w:ascii="宋体" w:hAnsi="宋体" w:cs="宋体"/>
                <w:color w:val="auto"/>
                <w:sz w:val="24"/>
                <w:szCs w:val="24"/>
              </w:rPr>
              <w:t>指为检测进水质量对进水进行采样之处。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jc w:val="left"/>
              <w:rPr>
                <w:rFonts w:ascii="宋体"/>
                <w:color w:val="auto"/>
                <w:sz w:val="24"/>
                <w:szCs w:val="24"/>
              </w:rPr>
            </w:pPr>
            <w:r>
              <w:rPr>
                <w:rFonts w:hint="eastAsia" w:ascii="宋体" w:hAnsi="宋体" w:cs="宋体"/>
                <w:color w:val="auto"/>
                <w:sz w:val="24"/>
                <w:szCs w:val="24"/>
              </w:rPr>
              <w:t>“接收点”</w:t>
            </w:r>
          </w:p>
        </w:tc>
        <w:tc>
          <w:tcPr>
            <w:tcW w:w="6768" w:type="dxa"/>
          </w:tcPr>
          <w:p>
            <w:pPr>
              <w:rPr>
                <w:rFonts w:ascii="宋体"/>
                <w:color w:val="auto"/>
                <w:sz w:val="24"/>
                <w:szCs w:val="24"/>
              </w:rPr>
            </w:pPr>
            <w:r>
              <w:rPr>
                <w:rFonts w:hint="eastAsia" w:ascii="宋体" w:hAnsi="宋体" w:cs="宋体"/>
                <w:color w:val="auto"/>
                <w:sz w:val="24"/>
                <w:szCs w:val="24"/>
              </w:rPr>
              <w:t>指本项目接收渗滤液进水的具体地点。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jc w:val="left"/>
              <w:rPr>
                <w:rFonts w:ascii="宋体"/>
                <w:color w:val="auto"/>
                <w:sz w:val="24"/>
                <w:szCs w:val="24"/>
              </w:rPr>
            </w:pPr>
            <w:r>
              <w:rPr>
                <w:rFonts w:hint="eastAsia" w:ascii="宋体" w:hAnsi="宋体" w:cs="宋体"/>
                <w:color w:val="auto"/>
                <w:sz w:val="24"/>
                <w:szCs w:val="24"/>
              </w:rPr>
              <w:t>“交付点”</w:t>
            </w:r>
          </w:p>
        </w:tc>
        <w:tc>
          <w:tcPr>
            <w:tcW w:w="6768" w:type="dxa"/>
          </w:tcPr>
          <w:p>
            <w:pPr>
              <w:rPr>
                <w:rFonts w:ascii="宋体"/>
                <w:color w:val="auto"/>
                <w:sz w:val="24"/>
                <w:szCs w:val="24"/>
              </w:rPr>
            </w:pPr>
            <w:r>
              <w:rPr>
                <w:rFonts w:hint="eastAsia" w:ascii="宋体" w:hAnsi="宋体" w:cs="宋体"/>
                <w:color w:val="auto"/>
                <w:sz w:val="24"/>
                <w:szCs w:val="24"/>
              </w:rPr>
              <w:t>指渗滤液经过本项目处理后的交付点。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“履约担保”</w:t>
            </w:r>
          </w:p>
        </w:tc>
        <w:tc>
          <w:tcPr>
            <w:tcW w:w="6768" w:type="dxa"/>
          </w:tcPr>
          <w:p>
            <w:pPr>
              <w:rPr>
                <w:rFonts w:ascii="宋体"/>
                <w:color w:val="auto"/>
                <w:sz w:val="24"/>
                <w:szCs w:val="24"/>
              </w:rPr>
            </w:pPr>
            <w:r>
              <w:rPr>
                <w:rFonts w:hint="eastAsia" w:ascii="宋体" w:hAnsi="宋体" w:cs="宋体"/>
                <w:color w:val="auto"/>
                <w:sz w:val="24"/>
                <w:szCs w:val="24"/>
              </w:rPr>
              <w:t>指乙方按照本协议第</w:t>
            </w:r>
            <w:r>
              <w:rPr>
                <w:rFonts w:ascii="宋体" w:hAnsi="宋体" w:cs="宋体"/>
                <w:color w:val="auto"/>
                <w:sz w:val="24"/>
                <w:szCs w:val="24"/>
              </w:rPr>
              <w:t>4.5</w:t>
            </w:r>
            <w:r>
              <w:rPr>
                <w:rFonts w:hint="eastAsia" w:ascii="宋体" w:hAnsi="宋体" w:cs="宋体"/>
                <w:color w:val="auto"/>
                <w:sz w:val="24"/>
                <w:szCs w:val="24"/>
              </w:rPr>
              <w:t>条规定向甲方提供的履约保证金。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b/>
                <w:bCs/>
                <w:color w:val="auto"/>
                <w:sz w:val="24"/>
                <w:szCs w:val="24"/>
              </w:rPr>
            </w:pPr>
            <w:r>
              <w:rPr>
                <w:rFonts w:hint="eastAsia" w:ascii="宋体" w:hAnsi="宋体" w:cs="宋体"/>
                <w:color w:val="auto"/>
                <w:sz w:val="24"/>
                <w:szCs w:val="24"/>
              </w:rPr>
              <w:t>“批准”</w:t>
            </w:r>
          </w:p>
        </w:tc>
        <w:tc>
          <w:tcPr>
            <w:tcW w:w="6768" w:type="dxa"/>
          </w:tcPr>
          <w:p>
            <w:pPr>
              <w:rPr>
                <w:rFonts w:ascii="宋体"/>
                <w:color w:val="auto"/>
                <w:sz w:val="24"/>
                <w:szCs w:val="24"/>
              </w:rPr>
            </w:pPr>
            <w:r>
              <w:rPr>
                <w:rFonts w:hint="eastAsia" w:ascii="宋体" w:hAnsi="宋体" w:cs="宋体"/>
                <w:color w:val="auto"/>
                <w:sz w:val="24"/>
                <w:szCs w:val="24"/>
              </w:rPr>
              <w:t>指根据本协议的规定，乙方为项目进行运行、维护和</w:t>
            </w:r>
            <w:r>
              <w:rPr>
                <w:rFonts w:ascii="宋体" w:hAnsi="宋体" w:cs="宋体"/>
                <w:color w:val="auto"/>
                <w:sz w:val="24"/>
                <w:szCs w:val="24"/>
              </w:rPr>
              <w:t>/</w:t>
            </w:r>
            <w:r>
              <w:rPr>
                <w:rFonts w:hint="eastAsia" w:ascii="宋体" w:hAnsi="宋体" w:cs="宋体"/>
                <w:color w:val="auto"/>
                <w:sz w:val="24"/>
                <w:szCs w:val="24"/>
              </w:rPr>
              <w:t>或移交而需从政府部门获得的许可、执照、同意、授权或批准。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“适用法律”</w:t>
            </w:r>
          </w:p>
        </w:tc>
        <w:tc>
          <w:tcPr>
            <w:tcW w:w="6768" w:type="dxa"/>
          </w:tcPr>
          <w:p>
            <w:pPr>
              <w:rPr>
                <w:rFonts w:ascii="宋体"/>
                <w:color w:val="auto"/>
                <w:sz w:val="24"/>
                <w:szCs w:val="24"/>
              </w:rPr>
            </w:pPr>
            <w:r>
              <w:rPr>
                <w:rFonts w:hint="eastAsia" w:ascii="宋体" w:hAnsi="宋体" w:cs="宋体"/>
                <w:color w:val="auto"/>
                <w:sz w:val="24"/>
                <w:szCs w:val="24"/>
              </w:rPr>
              <w:t>指所有适用的中国法律、法规、规章和政府部门颁布的所有技术标准、技术规范以及所有其他适用的强制性要求。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“商业运行期”或“运行期”</w:t>
            </w:r>
          </w:p>
        </w:tc>
        <w:tc>
          <w:tcPr>
            <w:tcW w:w="6768" w:type="dxa"/>
          </w:tcPr>
          <w:p>
            <w:pPr>
              <w:rPr>
                <w:rFonts w:ascii="宋体"/>
                <w:color w:val="auto"/>
                <w:sz w:val="24"/>
                <w:szCs w:val="24"/>
              </w:rPr>
            </w:pPr>
            <w:r>
              <w:rPr>
                <w:rFonts w:hint="eastAsia" w:ascii="宋体" w:hAnsi="宋体" w:cs="宋体"/>
                <w:color w:val="auto"/>
                <w:sz w:val="24"/>
                <w:szCs w:val="24"/>
              </w:rPr>
              <w:t>指自开始商业运行日起至运营期最后一日止的期间。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“运营期”</w:t>
            </w:r>
          </w:p>
        </w:tc>
        <w:tc>
          <w:tcPr>
            <w:tcW w:w="6768" w:type="dxa"/>
          </w:tcPr>
          <w:p>
            <w:pPr>
              <w:rPr>
                <w:rFonts w:ascii="宋体"/>
                <w:color w:val="auto"/>
                <w:sz w:val="24"/>
                <w:szCs w:val="24"/>
              </w:rPr>
            </w:pPr>
            <w:r>
              <w:rPr>
                <w:rFonts w:hint="eastAsia" w:ascii="宋体" w:hAnsi="宋体" w:cs="宋体"/>
                <w:color w:val="auto"/>
                <w:sz w:val="24"/>
                <w:szCs w:val="24"/>
              </w:rPr>
              <w:t>具有第</w:t>
            </w:r>
            <w:r>
              <w:rPr>
                <w:rFonts w:ascii="宋体" w:hAnsi="宋体" w:cs="宋体"/>
                <w:color w:val="auto"/>
                <w:sz w:val="24"/>
                <w:szCs w:val="24"/>
              </w:rPr>
              <w:t>2.2</w:t>
            </w:r>
            <w:r>
              <w:rPr>
                <w:rFonts w:hint="eastAsia" w:ascii="宋体" w:hAnsi="宋体" w:cs="宋体"/>
                <w:color w:val="auto"/>
                <w:sz w:val="24"/>
                <w:szCs w:val="24"/>
              </w:rPr>
              <w:t>条规定的含义。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b/>
                <w:bCs/>
                <w:color w:val="auto"/>
                <w:sz w:val="24"/>
                <w:szCs w:val="24"/>
              </w:rPr>
            </w:pPr>
            <w:r>
              <w:rPr>
                <w:rFonts w:hint="eastAsia" w:ascii="宋体" w:hAnsi="宋体" w:cs="宋体"/>
                <w:color w:val="auto"/>
                <w:sz w:val="24"/>
                <w:szCs w:val="24"/>
              </w:rPr>
              <w:t>“投标保函”</w:t>
            </w:r>
            <w:r>
              <w:rPr>
                <w:rFonts w:ascii="宋体" w:hAnsi="宋体" w:cs="宋体"/>
                <w:color w:val="auto"/>
                <w:sz w:val="24"/>
                <w:szCs w:val="24"/>
              </w:rPr>
              <w:t xml:space="preserve">          </w:t>
            </w:r>
          </w:p>
        </w:tc>
        <w:tc>
          <w:tcPr>
            <w:tcW w:w="6768" w:type="dxa"/>
          </w:tcPr>
          <w:p>
            <w:pPr>
              <w:rPr>
                <w:rFonts w:ascii="宋体"/>
                <w:color w:val="auto"/>
                <w:sz w:val="24"/>
                <w:szCs w:val="24"/>
              </w:rPr>
            </w:pPr>
            <w:r>
              <w:rPr>
                <w:rFonts w:hint="eastAsia" w:ascii="宋体" w:hAnsi="宋体" w:cs="宋体"/>
                <w:color w:val="auto"/>
                <w:sz w:val="24"/>
                <w:szCs w:val="24"/>
              </w:rPr>
              <w:t>指投标人按照投标人须知与投标书同时提交的保函。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“违约”</w:t>
            </w:r>
          </w:p>
        </w:tc>
        <w:tc>
          <w:tcPr>
            <w:tcW w:w="6768" w:type="dxa"/>
          </w:tcPr>
          <w:p>
            <w:pPr>
              <w:rPr>
                <w:rFonts w:ascii="宋体"/>
                <w:color w:val="auto"/>
                <w:sz w:val="24"/>
                <w:szCs w:val="24"/>
              </w:rPr>
            </w:pPr>
            <w:r>
              <w:rPr>
                <w:rFonts w:hint="eastAsia" w:ascii="宋体" w:hAnsi="宋体" w:cs="宋体"/>
                <w:color w:val="auto"/>
                <w:sz w:val="24"/>
                <w:szCs w:val="24"/>
              </w:rPr>
              <w:t>指本协议签约任何一方未能履行其在本协议项下的任何义务，而且这种违约不能归咎于另一方违反本协议的作为或不作为或不可抗力等。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“违约利率”</w:t>
            </w:r>
          </w:p>
        </w:tc>
        <w:tc>
          <w:tcPr>
            <w:tcW w:w="6768" w:type="dxa"/>
          </w:tcPr>
          <w:p>
            <w:pPr>
              <w:rPr>
                <w:rFonts w:ascii="宋体"/>
                <w:color w:val="auto"/>
                <w:sz w:val="24"/>
                <w:szCs w:val="24"/>
              </w:rPr>
            </w:pPr>
            <w:r>
              <w:rPr>
                <w:rFonts w:hint="eastAsia" w:ascii="宋体" w:hAnsi="宋体" w:cs="宋体"/>
                <w:color w:val="auto"/>
                <w:sz w:val="24"/>
                <w:szCs w:val="24"/>
              </w:rPr>
              <w:t>指违约当时适用的中国人民银行规定的一年期贷款利率加</w:t>
            </w:r>
            <w:r>
              <w:rPr>
                <w:rFonts w:ascii="宋体" w:hAnsi="宋体" w:cs="宋体"/>
                <w:color w:val="auto"/>
                <w:sz w:val="24"/>
                <w:szCs w:val="24"/>
                <w:u w:val="single"/>
              </w:rPr>
              <w:t xml:space="preserve">  2  </w:t>
            </w:r>
            <w:r>
              <w:rPr>
                <w:rFonts w:ascii="宋体" w:hAnsi="宋体" w:cs="宋体"/>
                <w:color w:val="auto"/>
                <w:sz w:val="24"/>
                <w:szCs w:val="24"/>
              </w:rPr>
              <w:t>%</w:t>
            </w:r>
            <w:r>
              <w:rPr>
                <w:rFonts w:hint="eastAsia" w:ascii="宋体" w:hAnsi="宋体" w:cs="宋体"/>
                <w:color w:val="auto"/>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“渗滤液”</w:t>
            </w:r>
          </w:p>
        </w:tc>
        <w:tc>
          <w:tcPr>
            <w:tcW w:w="6768" w:type="dxa"/>
          </w:tcPr>
          <w:p>
            <w:pPr>
              <w:rPr>
                <w:rFonts w:ascii="宋体"/>
                <w:color w:val="auto"/>
                <w:sz w:val="24"/>
                <w:szCs w:val="24"/>
              </w:rPr>
            </w:pPr>
            <w:r>
              <w:rPr>
                <w:rFonts w:hint="eastAsia" w:ascii="宋体" w:hAnsi="宋体" w:cs="宋体"/>
                <w:color w:val="auto"/>
                <w:sz w:val="24"/>
                <w:szCs w:val="24"/>
              </w:rPr>
              <w:t>指经渗滤液管道收集输送至运营项目接收点未经本项目处理的污水。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“运营服务费”</w:t>
            </w:r>
          </w:p>
        </w:tc>
        <w:tc>
          <w:tcPr>
            <w:tcW w:w="6768" w:type="dxa"/>
          </w:tcPr>
          <w:p>
            <w:pPr>
              <w:rPr>
                <w:rFonts w:ascii="宋体"/>
                <w:color w:val="auto"/>
                <w:sz w:val="24"/>
                <w:szCs w:val="24"/>
              </w:rPr>
            </w:pPr>
            <w:r>
              <w:rPr>
                <w:rFonts w:hint="eastAsia" w:ascii="宋体" w:hAnsi="宋体" w:cs="宋体"/>
                <w:color w:val="auto"/>
                <w:sz w:val="24"/>
                <w:szCs w:val="24"/>
              </w:rPr>
              <w:t>指甲方根据本协议就运营项目应向乙方承担运营服务支付的费用。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“运营单价”</w:t>
            </w:r>
          </w:p>
        </w:tc>
        <w:tc>
          <w:tcPr>
            <w:tcW w:w="6768" w:type="dxa"/>
          </w:tcPr>
          <w:p>
            <w:pPr>
              <w:rPr>
                <w:rFonts w:ascii="宋体"/>
                <w:color w:val="auto"/>
                <w:sz w:val="24"/>
                <w:szCs w:val="24"/>
              </w:rPr>
            </w:pPr>
            <w:r>
              <w:rPr>
                <w:rFonts w:hint="eastAsia" w:ascii="宋体" w:hAnsi="宋体" w:cs="宋体"/>
                <w:color w:val="auto"/>
                <w:sz w:val="24"/>
                <w:szCs w:val="24"/>
              </w:rPr>
              <w:t>指处理每吨渗滤液的价格，即中标价</w:t>
            </w:r>
            <w:r>
              <w:rPr>
                <w:rFonts w:ascii="宋体" w:hAnsi="宋体" w:cs="宋体"/>
                <w:color w:val="auto"/>
                <w:sz w:val="24"/>
                <w:szCs w:val="24"/>
                <w:u w:val="single"/>
              </w:rPr>
              <w:t xml:space="preserve">     </w:t>
            </w:r>
            <w:r>
              <w:rPr>
                <w:rFonts w:hint="eastAsia" w:ascii="宋体" w:hAnsi="宋体" w:cs="宋体"/>
                <w:color w:val="auto"/>
                <w:sz w:val="24"/>
                <w:szCs w:val="24"/>
              </w:rPr>
              <w:t>元</w:t>
            </w:r>
            <w:r>
              <w:rPr>
                <w:rFonts w:ascii="宋体" w:hAnsi="宋体" w:cs="宋体"/>
                <w:color w:val="auto"/>
                <w:sz w:val="24"/>
                <w:szCs w:val="24"/>
              </w:rPr>
              <w:t>/</w:t>
            </w:r>
            <w:r>
              <w:rPr>
                <w:rFonts w:hint="eastAsia" w:ascii="宋体" w:hAnsi="宋体" w:cs="宋体"/>
                <w:color w:val="auto"/>
                <w:sz w:val="24"/>
                <w:szCs w:val="24"/>
              </w:rPr>
              <w:t>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“运行年”</w:t>
            </w:r>
          </w:p>
        </w:tc>
        <w:tc>
          <w:tcPr>
            <w:tcW w:w="6768" w:type="dxa"/>
          </w:tcPr>
          <w:p>
            <w:pPr>
              <w:rPr>
                <w:rFonts w:ascii="宋体"/>
                <w:color w:val="auto"/>
                <w:sz w:val="24"/>
                <w:szCs w:val="24"/>
              </w:rPr>
            </w:pPr>
            <w:r>
              <w:rPr>
                <w:rFonts w:hint="eastAsia" w:ascii="宋体" w:hAnsi="宋体" w:cs="宋体"/>
                <w:color w:val="auto"/>
                <w:sz w:val="24"/>
                <w:szCs w:val="24"/>
              </w:rPr>
              <w:t>指运行期内任一公历年度期间，但第一个运行年的开始应自开始商业运行日开始，最后一个运行年的结束应在运营期的最后一日结束。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“运行月”</w:t>
            </w:r>
          </w:p>
        </w:tc>
        <w:tc>
          <w:tcPr>
            <w:tcW w:w="6768" w:type="dxa"/>
          </w:tcPr>
          <w:p>
            <w:pPr>
              <w:rPr>
                <w:rFonts w:ascii="宋体"/>
                <w:color w:val="auto"/>
                <w:sz w:val="24"/>
                <w:szCs w:val="24"/>
              </w:rPr>
            </w:pPr>
            <w:r>
              <w:rPr>
                <w:rFonts w:hint="eastAsia" w:ascii="宋体" w:hAnsi="宋体" w:cs="宋体"/>
                <w:color w:val="auto"/>
                <w:sz w:val="24"/>
                <w:szCs w:val="24"/>
              </w:rPr>
              <w:t>指运行期内任一个公历月期间，但第一个运行月的开始应在开始商业运行日开始，最后一个运行月的结束应在运营期的最后一日结束。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“运行日”</w:t>
            </w:r>
          </w:p>
        </w:tc>
        <w:tc>
          <w:tcPr>
            <w:tcW w:w="6768" w:type="dxa"/>
          </w:tcPr>
          <w:p>
            <w:pPr>
              <w:rPr>
                <w:rFonts w:ascii="宋体"/>
                <w:color w:val="auto"/>
                <w:sz w:val="24"/>
                <w:szCs w:val="24"/>
              </w:rPr>
            </w:pPr>
            <w:r>
              <w:rPr>
                <w:rFonts w:hint="eastAsia" w:ascii="宋体" w:hAnsi="宋体" w:cs="宋体"/>
                <w:color w:val="auto"/>
                <w:sz w:val="24"/>
                <w:szCs w:val="24"/>
              </w:rPr>
              <w:t>指运行期内每日从</w:t>
            </w:r>
            <w:r>
              <w:rPr>
                <w:rFonts w:ascii="宋体" w:cs="宋体"/>
                <w:color w:val="auto"/>
                <w:sz w:val="24"/>
                <w:szCs w:val="24"/>
              </w:rPr>
              <w:t>00</w:t>
            </w:r>
            <w:r>
              <w:rPr>
                <w:rFonts w:hint="eastAsia" w:ascii="宋体" w:hAnsi="宋体" w:cs="宋体"/>
                <w:color w:val="auto"/>
                <w:sz w:val="24"/>
                <w:szCs w:val="24"/>
              </w:rPr>
              <w:t>：</w:t>
            </w:r>
            <w:r>
              <w:rPr>
                <w:rFonts w:ascii="宋体" w:cs="宋体"/>
                <w:color w:val="auto"/>
                <w:sz w:val="24"/>
                <w:szCs w:val="24"/>
              </w:rPr>
              <w:t>00</w:t>
            </w:r>
            <w:r>
              <w:rPr>
                <w:rFonts w:hint="eastAsia" w:ascii="宋体" w:hAnsi="宋体" w:cs="宋体"/>
                <w:color w:val="auto"/>
                <w:sz w:val="24"/>
                <w:szCs w:val="24"/>
              </w:rPr>
              <w:t>时开始至同日</w:t>
            </w:r>
            <w:r>
              <w:rPr>
                <w:rFonts w:ascii="宋体" w:hAnsi="宋体" w:cs="宋体"/>
                <w:color w:val="auto"/>
                <w:sz w:val="24"/>
                <w:szCs w:val="24"/>
              </w:rPr>
              <w:t>24</w:t>
            </w:r>
            <w:r>
              <w:rPr>
                <w:rFonts w:hint="eastAsia" w:ascii="宋体" w:hAnsi="宋体" w:cs="宋体"/>
                <w:color w:val="auto"/>
                <w:sz w:val="24"/>
                <w:szCs w:val="24"/>
              </w:rPr>
              <w:t>：</w:t>
            </w:r>
            <w:r>
              <w:rPr>
                <w:rFonts w:ascii="宋体" w:cs="宋体"/>
                <w:color w:val="auto"/>
                <w:sz w:val="24"/>
                <w:szCs w:val="24"/>
              </w:rPr>
              <w:t>00</w:t>
            </w:r>
            <w:r>
              <w:rPr>
                <w:rFonts w:hint="eastAsia" w:ascii="宋体" w:hAnsi="宋体" w:cs="宋体"/>
                <w:color w:val="auto"/>
                <w:sz w:val="24"/>
                <w:szCs w:val="24"/>
              </w:rPr>
              <w:t>时结束的二十四小时期间。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“移交日”</w:t>
            </w:r>
          </w:p>
        </w:tc>
        <w:tc>
          <w:tcPr>
            <w:tcW w:w="6768" w:type="dxa"/>
          </w:tcPr>
          <w:p>
            <w:pPr>
              <w:rPr>
                <w:rFonts w:ascii="宋体"/>
                <w:color w:val="auto"/>
                <w:sz w:val="24"/>
                <w:szCs w:val="24"/>
              </w:rPr>
            </w:pPr>
            <w:r>
              <w:rPr>
                <w:rFonts w:hint="eastAsia" w:ascii="宋体" w:hAnsi="宋体" w:cs="宋体"/>
                <w:color w:val="auto"/>
                <w:sz w:val="24"/>
                <w:szCs w:val="24"/>
              </w:rPr>
              <w:t>指运营期结束后的第一个工作日，或经双方书面同意的移交项目设施的其它日期。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518" w:type="dxa"/>
          </w:tcPr>
          <w:p>
            <w:pPr>
              <w:rPr>
                <w:rFonts w:ascii="宋体"/>
                <w:color w:val="auto"/>
                <w:sz w:val="24"/>
                <w:szCs w:val="24"/>
              </w:rPr>
            </w:pPr>
            <w:r>
              <w:rPr>
                <w:rFonts w:hint="eastAsia" w:ascii="宋体" w:hAnsi="宋体" w:cs="宋体"/>
                <w:color w:val="auto"/>
                <w:sz w:val="24"/>
                <w:szCs w:val="24"/>
              </w:rPr>
              <w:t>“政府部门”</w:t>
            </w:r>
          </w:p>
        </w:tc>
        <w:tc>
          <w:tcPr>
            <w:tcW w:w="6768" w:type="dxa"/>
          </w:tcPr>
          <w:p>
            <w:pPr>
              <w:rPr>
                <w:rFonts w:ascii="宋体"/>
                <w:color w:val="auto"/>
                <w:sz w:val="24"/>
                <w:szCs w:val="24"/>
              </w:rPr>
            </w:pPr>
            <w:r>
              <w:rPr>
                <w:rFonts w:hint="eastAsia" w:ascii="宋体" w:hAnsi="宋体" w:cs="宋体"/>
                <w:color w:val="auto"/>
                <w:sz w:val="24"/>
                <w:szCs w:val="24"/>
              </w:rPr>
              <w:t>指</w:t>
            </w:r>
          </w:p>
          <w:p>
            <w:pPr>
              <w:rPr>
                <w:rFonts w:ascii="宋体"/>
                <w:color w:val="auto"/>
                <w:sz w:val="24"/>
                <w:szCs w:val="24"/>
              </w:rPr>
            </w:pPr>
            <w:r>
              <w:rPr>
                <w:rFonts w:ascii="宋体" w:hAnsi="宋体" w:cs="宋体"/>
                <w:color w:val="auto"/>
                <w:sz w:val="24"/>
                <w:szCs w:val="24"/>
              </w:rPr>
              <w:t>(a)</w:t>
            </w:r>
            <w:r>
              <w:rPr>
                <w:rFonts w:hint="eastAsia" w:ascii="宋体" w:hAnsi="宋体" w:cs="宋体"/>
                <w:color w:val="auto"/>
                <w:sz w:val="24"/>
                <w:szCs w:val="24"/>
              </w:rPr>
              <w:t>中国国务院及其下属的部、委、局、署、行，中国的任何立法、司法或军事当局，或具有中央政府行政管理功能的其它行政实体；</w:t>
            </w:r>
          </w:p>
          <w:p>
            <w:pPr>
              <w:rPr>
                <w:rFonts w:ascii="宋体"/>
                <w:color w:val="auto"/>
                <w:sz w:val="24"/>
                <w:szCs w:val="24"/>
              </w:rPr>
            </w:pPr>
            <w:r>
              <w:rPr>
                <w:rFonts w:ascii="宋体" w:hAnsi="宋体" w:cs="宋体"/>
                <w:color w:val="auto"/>
                <w:sz w:val="24"/>
                <w:szCs w:val="24"/>
              </w:rPr>
              <w:t>(b)</w:t>
            </w:r>
            <w:r>
              <w:rPr>
                <w:rFonts w:hint="eastAsia" w:ascii="宋体" w:hAnsi="宋体" w:cs="宋体"/>
                <w:color w:val="auto"/>
                <w:sz w:val="24"/>
                <w:szCs w:val="24"/>
              </w:rPr>
              <w:t>本项目所在区域的任何地方立法、行政、司法部门。</w:t>
            </w:r>
          </w:p>
        </w:tc>
      </w:tr>
    </w:tbl>
    <w:p>
      <w:pPr>
        <w:rPr>
          <w:rFonts w:ascii="宋体"/>
          <w:color w:val="auto"/>
          <w:sz w:val="24"/>
          <w:szCs w:val="24"/>
        </w:rPr>
        <w:sectPr>
          <w:footerReference r:id="rId4" w:type="default"/>
          <w:pgSz w:w="11906" w:h="16838"/>
          <w:pgMar w:top="1440" w:right="1418" w:bottom="1440" w:left="1418" w:header="851" w:footer="680" w:gutter="0"/>
          <w:cols w:space="720" w:num="1"/>
          <w:docGrid w:type="lines" w:linePitch="367" w:charSpace="0"/>
        </w:sectPr>
      </w:pPr>
    </w:p>
    <w:p>
      <w:pPr>
        <w:keepNext/>
        <w:keepLines/>
        <w:spacing w:before="260" w:after="260" w:line="360" w:lineRule="auto"/>
        <w:jc w:val="left"/>
        <w:outlineLvl w:val="2"/>
        <w:rPr>
          <w:rFonts w:ascii="宋体"/>
          <w:b/>
          <w:bCs/>
          <w:color w:val="auto"/>
          <w:sz w:val="24"/>
          <w:szCs w:val="24"/>
        </w:rPr>
      </w:pPr>
      <w:bookmarkStart w:id="58" w:name="_Toc68078434"/>
      <w:bookmarkStart w:id="59" w:name="_Toc68078132"/>
      <w:bookmarkStart w:id="60" w:name="_Toc68078664"/>
      <w:bookmarkStart w:id="61" w:name="_Toc68075692"/>
      <w:bookmarkStart w:id="62" w:name="_Toc521685606"/>
      <w:bookmarkStart w:id="63" w:name="_Toc404263587"/>
      <w:bookmarkStart w:id="64" w:name="_Toc136332497"/>
      <w:r>
        <w:rPr>
          <w:rFonts w:ascii="宋体" w:hAnsi="宋体" w:cs="宋体"/>
          <w:b/>
          <w:bCs/>
          <w:color w:val="auto"/>
          <w:sz w:val="24"/>
          <w:szCs w:val="24"/>
        </w:rPr>
        <w:t xml:space="preserve">1.2  </w:t>
      </w:r>
      <w:r>
        <w:rPr>
          <w:rFonts w:hint="eastAsia" w:ascii="宋体" w:hAnsi="宋体" w:cs="宋体"/>
          <w:b/>
          <w:bCs/>
          <w:color w:val="auto"/>
          <w:sz w:val="24"/>
          <w:szCs w:val="24"/>
        </w:rPr>
        <w:t>其它</w:t>
      </w:r>
      <w:bookmarkEnd w:id="58"/>
      <w:bookmarkEnd w:id="59"/>
      <w:bookmarkEnd w:id="60"/>
      <w:bookmarkEnd w:id="61"/>
      <w:bookmarkEnd w:id="62"/>
      <w:bookmarkEnd w:id="63"/>
      <w:bookmarkEnd w:id="64"/>
    </w:p>
    <w:p>
      <w:pPr>
        <w:spacing w:line="360" w:lineRule="auto"/>
        <w:rPr>
          <w:rFonts w:ascii="宋体"/>
          <w:color w:val="auto"/>
          <w:sz w:val="24"/>
          <w:szCs w:val="24"/>
        </w:rPr>
      </w:pPr>
      <w:r>
        <w:rPr>
          <w:rFonts w:hint="eastAsia" w:ascii="宋体" w:hAnsi="宋体" w:cs="宋体"/>
          <w:color w:val="auto"/>
          <w:sz w:val="24"/>
          <w:szCs w:val="24"/>
        </w:rPr>
        <w:t>在本协议中：</w:t>
      </w:r>
    </w:p>
    <w:p>
      <w:pPr>
        <w:numPr>
          <w:ilvl w:val="0"/>
          <w:numId w:val="8"/>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“元”指“人民币元”，为中华人民共和国法定货币；</w:t>
      </w:r>
    </w:p>
    <w:p>
      <w:pPr>
        <w:numPr>
          <w:ilvl w:val="0"/>
          <w:numId w:val="8"/>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除本协议上下文另有规定外，“一方”或“各方”应为本协议的一方或各方；本协议、或融资文件的各方均包括其它各自的继任者和获准的受让人；</w:t>
      </w:r>
    </w:p>
    <w:p>
      <w:pPr>
        <w:numPr>
          <w:ilvl w:val="0"/>
          <w:numId w:val="8"/>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所指的日、星期、月、和年均指公历的日、星期、月、和年；</w:t>
      </w:r>
    </w:p>
    <w:p>
      <w:pPr>
        <w:numPr>
          <w:ilvl w:val="0"/>
          <w:numId w:val="8"/>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除上下文另有规定，“包括”一词在任何时候应被视为与“但不限于”连用；</w:t>
      </w:r>
    </w:p>
    <w:p>
      <w:pPr>
        <w:numPr>
          <w:ilvl w:val="0"/>
          <w:numId w:val="8"/>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所指的合同是指有关的合同和合同附件，并且在任何情况下均指对该合同不时所作的补充或修改；</w:t>
      </w:r>
    </w:p>
    <w:p>
      <w:pPr>
        <w:numPr>
          <w:ilvl w:val="0"/>
          <w:numId w:val="8"/>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所指的“维护”应始终解释为包括修理（不含更新），除非上下文另有规定。</w:t>
      </w:r>
    </w:p>
    <w:p>
      <w:pPr>
        <w:widowControl/>
        <w:spacing w:line="360" w:lineRule="auto"/>
        <w:jc w:val="left"/>
        <w:rPr>
          <w:rFonts w:ascii="宋体"/>
          <w:color w:val="auto"/>
          <w:sz w:val="24"/>
          <w:szCs w:val="24"/>
        </w:rPr>
      </w:pPr>
    </w:p>
    <w:p>
      <w:pPr>
        <w:keepNext/>
        <w:keepLines/>
        <w:spacing w:before="260" w:after="260" w:line="360" w:lineRule="auto"/>
        <w:jc w:val="center"/>
        <w:outlineLvl w:val="1"/>
        <w:rPr>
          <w:rFonts w:ascii="宋体"/>
          <w:b/>
          <w:bCs/>
          <w:color w:val="auto"/>
          <w:sz w:val="24"/>
          <w:szCs w:val="24"/>
        </w:rPr>
      </w:pPr>
      <w:bookmarkStart w:id="65" w:name="_Toc68078435"/>
      <w:bookmarkStart w:id="66" w:name="_Toc404263589"/>
      <w:bookmarkStart w:id="67" w:name="_Toc136332499"/>
      <w:bookmarkStart w:id="68" w:name="_Toc68078665"/>
      <w:bookmarkStart w:id="69" w:name="_Toc68078133"/>
      <w:bookmarkStart w:id="70" w:name="_Toc68075693"/>
      <w:bookmarkStart w:id="71" w:name="_Toc521685607"/>
      <w:bookmarkStart w:id="72" w:name="_Toc71780641"/>
      <w:r>
        <w:rPr>
          <w:rFonts w:hint="eastAsia" w:ascii="宋体" w:hAnsi="宋体" w:cs="宋体"/>
          <w:b/>
          <w:bCs/>
          <w:color w:val="auto"/>
          <w:sz w:val="24"/>
          <w:szCs w:val="24"/>
        </w:rPr>
        <w:t>第</w:t>
      </w:r>
      <w:r>
        <w:rPr>
          <w:rFonts w:ascii="宋体" w:hAnsi="宋体" w:cs="宋体"/>
          <w:b/>
          <w:bCs/>
          <w:color w:val="auto"/>
          <w:sz w:val="24"/>
          <w:szCs w:val="24"/>
        </w:rPr>
        <w:t>2</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运营权</w:t>
      </w:r>
      <w:bookmarkEnd w:id="65"/>
      <w:bookmarkEnd w:id="66"/>
      <w:bookmarkEnd w:id="67"/>
      <w:bookmarkEnd w:id="68"/>
      <w:bookmarkEnd w:id="69"/>
      <w:bookmarkEnd w:id="70"/>
      <w:bookmarkEnd w:id="71"/>
      <w:bookmarkEnd w:id="72"/>
    </w:p>
    <w:p>
      <w:pPr>
        <w:keepNext/>
        <w:keepLines/>
        <w:spacing w:before="260" w:after="260" w:line="360" w:lineRule="auto"/>
        <w:jc w:val="left"/>
        <w:outlineLvl w:val="2"/>
        <w:rPr>
          <w:rFonts w:ascii="宋体"/>
          <w:b/>
          <w:bCs/>
          <w:color w:val="auto"/>
          <w:sz w:val="24"/>
          <w:szCs w:val="24"/>
        </w:rPr>
      </w:pPr>
      <w:bookmarkStart w:id="73" w:name="_Toc68078134"/>
      <w:bookmarkStart w:id="74" w:name="_Toc136332500"/>
      <w:bookmarkStart w:id="75" w:name="_Toc68075694"/>
      <w:bookmarkStart w:id="76" w:name="_Toc68078666"/>
      <w:bookmarkStart w:id="77" w:name="_Toc68078436"/>
      <w:bookmarkStart w:id="78" w:name="_Toc521685608"/>
      <w:bookmarkStart w:id="79" w:name="_Toc404263590"/>
      <w:r>
        <w:rPr>
          <w:rFonts w:ascii="宋体" w:hAnsi="宋体" w:cs="宋体"/>
          <w:b/>
          <w:bCs/>
          <w:color w:val="auto"/>
          <w:sz w:val="24"/>
          <w:szCs w:val="24"/>
        </w:rPr>
        <w:t xml:space="preserve">2.1  </w:t>
      </w:r>
      <w:bookmarkEnd w:id="73"/>
      <w:bookmarkEnd w:id="74"/>
      <w:bookmarkEnd w:id="75"/>
      <w:bookmarkEnd w:id="76"/>
      <w:bookmarkEnd w:id="77"/>
      <w:r>
        <w:rPr>
          <w:rFonts w:hint="eastAsia" w:ascii="宋体" w:hAnsi="宋体" w:cs="宋体"/>
          <w:b/>
          <w:bCs/>
          <w:color w:val="auto"/>
          <w:sz w:val="24"/>
          <w:szCs w:val="24"/>
        </w:rPr>
        <w:t>运营权</w:t>
      </w:r>
      <w:bookmarkEnd w:id="78"/>
      <w:bookmarkEnd w:id="79"/>
    </w:p>
    <w:p>
      <w:pPr>
        <w:spacing w:line="360" w:lineRule="auto"/>
        <w:ind w:firstLine="480" w:firstLineChars="200"/>
        <w:rPr>
          <w:rFonts w:ascii="宋体"/>
          <w:color w:val="auto"/>
          <w:sz w:val="24"/>
          <w:szCs w:val="24"/>
        </w:rPr>
      </w:pPr>
      <w:r>
        <w:rPr>
          <w:rFonts w:hint="eastAsia" w:ascii="宋体" w:hAnsi="宋体" w:cs="宋体"/>
          <w:color w:val="auto"/>
          <w:sz w:val="24"/>
          <w:szCs w:val="24"/>
        </w:rPr>
        <w:t>甲方按照有关法律法规规定授予乙方在运营期内独家的权利，以使乙方进行</w:t>
      </w:r>
      <w:r>
        <w:rPr>
          <w:rFonts w:hint="eastAsia" w:ascii="宋体" w:hAnsi="宋体" w:cs="宋体"/>
          <w:b/>
          <w:bCs/>
          <w:color w:val="auto"/>
          <w:sz w:val="24"/>
          <w:szCs w:val="24"/>
          <w:u w:val="single"/>
        </w:rPr>
        <w:t>台州市路桥区垃圾填埋场渗滤液处理运管服务项目</w:t>
      </w:r>
      <w:r>
        <w:rPr>
          <w:rFonts w:ascii="宋体" w:hAnsi="宋体" w:cs="宋体"/>
          <w:color w:val="auto"/>
          <w:sz w:val="24"/>
          <w:szCs w:val="24"/>
          <w:u w:val="single"/>
        </w:rPr>
        <w:t xml:space="preserve">  </w:t>
      </w:r>
      <w:r>
        <w:rPr>
          <w:rFonts w:hint="eastAsia" w:ascii="宋体" w:hAnsi="宋体" w:cs="宋体"/>
          <w:color w:val="auto"/>
          <w:sz w:val="24"/>
          <w:szCs w:val="24"/>
        </w:rPr>
        <w:t>项目设施并取得运营服务费。</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乙方的运营权在整个运营期内始终持续有效。</w:t>
      </w:r>
    </w:p>
    <w:p>
      <w:pPr>
        <w:spacing w:line="360" w:lineRule="auto"/>
        <w:ind w:firstLine="480" w:firstLineChars="200"/>
        <w:rPr>
          <w:rFonts w:ascii="宋体"/>
          <w:color w:val="auto"/>
          <w:sz w:val="24"/>
          <w:szCs w:val="24"/>
        </w:rPr>
      </w:pPr>
      <w:r>
        <w:rPr>
          <w:rFonts w:hint="eastAsia" w:ascii="宋体" w:hAnsi="宋体" w:cs="宋体"/>
          <w:color w:val="auto"/>
          <w:sz w:val="24"/>
          <w:szCs w:val="24"/>
        </w:rPr>
        <w:t>在运营期内，非经甲方同意，乙方不得擅自就本运行权及相关权益向任何第三方进行转让、出租、质押或其它任何处置。</w:t>
      </w:r>
    </w:p>
    <w:p>
      <w:pPr>
        <w:keepNext/>
        <w:keepLines/>
        <w:spacing w:before="260" w:after="260" w:line="360" w:lineRule="auto"/>
        <w:jc w:val="left"/>
        <w:outlineLvl w:val="2"/>
        <w:rPr>
          <w:rFonts w:ascii="宋体"/>
          <w:b/>
          <w:bCs/>
          <w:color w:val="auto"/>
          <w:sz w:val="24"/>
          <w:szCs w:val="24"/>
        </w:rPr>
      </w:pPr>
      <w:bookmarkStart w:id="80" w:name="_Toc68075697"/>
      <w:bookmarkStart w:id="81" w:name="_Toc68078439"/>
      <w:bookmarkStart w:id="82" w:name="_Toc68078137"/>
      <w:bookmarkStart w:id="83" w:name="_Toc68078669"/>
      <w:bookmarkStart w:id="84" w:name="_Toc521685609"/>
      <w:bookmarkStart w:id="85" w:name="_Toc404263591"/>
      <w:bookmarkStart w:id="86" w:name="_Toc136332501"/>
      <w:r>
        <w:rPr>
          <w:rFonts w:ascii="宋体" w:hAnsi="宋体" w:cs="宋体"/>
          <w:b/>
          <w:bCs/>
          <w:color w:val="auto"/>
          <w:sz w:val="24"/>
          <w:szCs w:val="24"/>
        </w:rPr>
        <w:t xml:space="preserve">2.2  </w:t>
      </w:r>
      <w:bookmarkEnd w:id="80"/>
      <w:bookmarkEnd w:id="81"/>
      <w:bookmarkEnd w:id="82"/>
      <w:bookmarkEnd w:id="83"/>
      <w:r>
        <w:rPr>
          <w:rFonts w:hint="eastAsia" w:ascii="宋体" w:hAnsi="宋体" w:cs="宋体"/>
          <w:b/>
          <w:bCs/>
          <w:color w:val="auto"/>
          <w:sz w:val="24"/>
          <w:szCs w:val="24"/>
        </w:rPr>
        <w:t>运营期</w:t>
      </w:r>
      <w:bookmarkEnd w:id="84"/>
      <w:bookmarkEnd w:id="85"/>
      <w:bookmarkEnd w:id="86"/>
    </w:p>
    <w:p>
      <w:pPr>
        <w:spacing w:line="360" w:lineRule="auto"/>
        <w:ind w:firstLine="480" w:firstLineChars="200"/>
        <w:rPr>
          <w:rFonts w:ascii="宋体"/>
          <w:color w:val="auto"/>
          <w:sz w:val="24"/>
          <w:szCs w:val="24"/>
        </w:rPr>
      </w:pPr>
      <w:r>
        <w:rPr>
          <w:rFonts w:hint="eastAsia" w:ascii="宋体" w:hAnsi="宋体" w:cs="宋体"/>
          <w:color w:val="auto"/>
          <w:sz w:val="24"/>
          <w:szCs w:val="24"/>
        </w:rPr>
        <w:t>除非依据本协议进行延长或第</w:t>
      </w:r>
      <w:r>
        <w:rPr>
          <w:rFonts w:ascii="宋体" w:hAnsi="宋体" w:cs="宋体"/>
          <w:color w:val="auto"/>
          <w:sz w:val="24"/>
          <w:szCs w:val="24"/>
        </w:rPr>
        <w:t>12</w:t>
      </w:r>
      <w:r>
        <w:rPr>
          <w:rFonts w:hint="eastAsia" w:ascii="宋体" w:hAnsi="宋体" w:cs="宋体"/>
          <w:color w:val="auto"/>
          <w:sz w:val="24"/>
          <w:szCs w:val="24"/>
        </w:rPr>
        <w:t>条而终止，运行期应为</w:t>
      </w:r>
      <w:r>
        <w:rPr>
          <w:rFonts w:ascii="宋体" w:hAnsi="宋体" w:cs="宋体"/>
          <w:color w:val="auto"/>
          <w:sz w:val="24"/>
          <w:szCs w:val="24"/>
        </w:rPr>
        <w:t xml:space="preserve"> </w:t>
      </w:r>
      <w:r>
        <w:rPr>
          <w:rFonts w:ascii="宋体" w:hAnsi="宋体" w:cs="宋体"/>
          <w:color w:val="auto"/>
          <w:sz w:val="24"/>
          <w:szCs w:val="24"/>
          <w:u w:val="single"/>
        </w:rPr>
        <w:t xml:space="preserve"> </w:t>
      </w:r>
      <w:r>
        <w:rPr>
          <w:rFonts w:hint="eastAsia" w:ascii="宋体" w:hAnsi="宋体" w:cs="宋体"/>
          <w:color w:val="auto"/>
          <w:sz w:val="24"/>
          <w:szCs w:val="24"/>
          <w:u w:val="single"/>
        </w:rPr>
        <w:t>叁</w:t>
      </w:r>
      <w:r>
        <w:rPr>
          <w:rFonts w:ascii="宋体" w:hAnsi="宋体" w:cs="宋体"/>
          <w:color w:val="auto"/>
          <w:sz w:val="24"/>
          <w:szCs w:val="24"/>
          <w:u w:val="single"/>
        </w:rPr>
        <w:t xml:space="preserve">  </w:t>
      </w:r>
      <w:r>
        <w:rPr>
          <w:rFonts w:hint="eastAsia" w:ascii="宋体" w:hAnsi="宋体" w:cs="宋体"/>
          <w:color w:val="auto"/>
          <w:sz w:val="24"/>
          <w:szCs w:val="24"/>
        </w:rPr>
        <w:t>年，自本项目开始运营之日起计算。</w:t>
      </w:r>
    </w:p>
    <w:p>
      <w:pPr>
        <w:keepNext/>
        <w:keepLines/>
        <w:spacing w:before="260" w:after="260" w:line="360" w:lineRule="auto"/>
        <w:jc w:val="center"/>
        <w:outlineLvl w:val="1"/>
        <w:rPr>
          <w:rFonts w:ascii="宋体"/>
          <w:b/>
          <w:bCs/>
          <w:color w:val="auto"/>
          <w:sz w:val="24"/>
          <w:szCs w:val="24"/>
        </w:rPr>
      </w:pPr>
      <w:bookmarkStart w:id="87" w:name="_Toc521685610"/>
      <w:bookmarkStart w:id="88" w:name="_Toc68078139"/>
      <w:bookmarkStart w:id="89" w:name="_Toc68075699"/>
      <w:bookmarkStart w:id="90" w:name="_Toc136332502"/>
      <w:bookmarkStart w:id="91" w:name="_Toc68078671"/>
      <w:bookmarkStart w:id="92" w:name="_Toc71780642"/>
      <w:bookmarkStart w:id="93" w:name="_Toc68078441"/>
      <w:bookmarkStart w:id="94" w:name="_Toc404263592"/>
      <w:r>
        <w:rPr>
          <w:rFonts w:hint="eastAsia" w:ascii="宋体" w:hAnsi="宋体" w:cs="宋体"/>
          <w:b/>
          <w:bCs/>
          <w:color w:val="auto"/>
          <w:sz w:val="24"/>
          <w:szCs w:val="24"/>
        </w:rPr>
        <w:t>第</w:t>
      </w:r>
      <w:r>
        <w:rPr>
          <w:rFonts w:ascii="宋体" w:hAnsi="宋体" w:cs="宋体"/>
          <w:b/>
          <w:bCs/>
          <w:color w:val="auto"/>
          <w:sz w:val="24"/>
          <w:szCs w:val="24"/>
        </w:rPr>
        <w:t>3</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声明和条件</w:t>
      </w:r>
      <w:bookmarkEnd w:id="87"/>
      <w:bookmarkEnd w:id="88"/>
      <w:bookmarkEnd w:id="89"/>
      <w:bookmarkEnd w:id="90"/>
      <w:bookmarkEnd w:id="91"/>
      <w:bookmarkEnd w:id="92"/>
      <w:bookmarkEnd w:id="93"/>
      <w:bookmarkEnd w:id="94"/>
    </w:p>
    <w:p>
      <w:pPr>
        <w:keepNext/>
        <w:keepLines/>
        <w:spacing w:before="260" w:after="260" w:line="360" w:lineRule="auto"/>
        <w:jc w:val="left"/>
        <w:outlineLvl w:val="2"/>
        <w:rPr>
          <w:rFonts w:ascii="宋体"/>
          <w:b/>
          <w:bCs/>
          <w:color w:val="auto"/>
          <w:sz w:val="24"/>
          <w:szCs w:val="24"/>
        </w:rPr>
      </w:pPr>
      <w:bookmarkStart w:id="95" w:name="_Toc136332503"/>
      <w:bookmarkStart w:id="96" w:name="_Toc404263593"/>
      <w:bookmarkStart w:id="97" w:name="_Toc521685611"/>
      <w:bookmarkStart w:id="98" w:name="_Toc68075700"/>
      <w:bookmarkStart w:id="99" w:name="_Toc68078140"/>
      <w:bookmarkStart w:id="100" w:name="_Toc68078442"/>
      <w:bookmarkStart w:id="101" w:name="_Toc68078672"/>
      <w:r>
        <w:rPr>
          <w:rFonts w:ascii="宋体" w:hAnsi="宋体" w:cs="宋体"/>
          <w:b/>
          <w:bCs/>
          <w:color w:val="auto"/>
          <w:sz w:val="24"/>
          <w:szCs w:val="24"/>
        </w:rPr>
        <w:t xml:space="preserve">3.1  </w:t>
      </w:r>
      <w:r>
        <w:rPr>
          <w:rFonts w:hint="eastAsia" w:ascii="宋体" w:hAnsi="宋体" w:cs="宋体"/>
          <w:b/>
          <w:bCs/>
          <w:color w:val="auto"/>
          <w:sz w:val="24"/>
          <w:szCs w:val="24"/>
        </w:rPr>
        <w:t>甲方的声明</w:t>
      </w:r>
      <w:bookmarkEnd w:id="95"/>
      <w:bookmarkEnd w:id="96"/>
      <w:bookmarkEnd w:id="97"/>
    </w:p>
    <w:p>
      <w:pPr>
        <w:spacing w:line="360" w:lineRule="auto"/>
        <w:rPr>
          <w:rFonts w:ascii="宋体"/>
          <w:color w:val="auto"/>
          <w:sz w:val="24"/>
          <w:szCs w:val="24"/>
        </w:rPr>
      </w:pPr>
      <w:r>
        <w:rPr>
          <w:rFonts w:hint="eastAsia" w:ascii="宋体" w:hAnsi="宋体" w:cs="宋体"/>
          <w:color w:val="auto"/>
          <w:sz w:val="24"/>
          <w:szCs w:val="24"/>
        </w:rPr>
        <w:t>甲方在此向乙方声明，在生效日期：</w:t>
      </w:r>
    </w:p>
    <w:p>
      <w:pPr>
        <w:numPr>
          <w:ilvl w:val="0"/>
          <w:numId w:val="9"/>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甲方已获</w:t>
      </w:r>
      <w:r>
        <w:rPr>
          <w:rFonts w:ascii="宋体" w:hAnsi="宋体" w:cs="宋体"/>
          <w:color w:val="auto"/>
          <w:sz w:val="24"/>
          <w:szCs w:val="24"/>
          <w:u w:val="single"/>
        </w:rPr>
        <w:t xml:space="preserve">   </w:t>
      </w:r>
      <w:r>
        <w:rPr>
          <w:rFonts w:hint="eastAsia" w:ascii="宋体" w:hAnsi="宋体" w:cs="宋体"/>
          <w:color w:val="auto"/>
          <w:sz w:val="24"/>
          <w:szCs w:val="24"/>
          <w:u w:val="single"/>
        </w:rPr>
        <w:t>台州市路桥区</w:t>
      </w:r>
      <w:r>
        <w:rPr>
          <w:rFonts w:ascii="宋体" w:hAnsi="宋体" w:cs="宋体"/>
          <w:color w:val="auto"/>
          <w:sz w:val="24"/>
          <w:szCs w:val="24"/>
          <w:u w:val="single"/>
        </w:rPr>
        <w:t xml:space="preserve">    </w:t>
      </w:r>
      <w:r>
        <w:rPr>
          <w:rFonts w:hint="eastAsia" w:ascii="宋体" w:hAnsi="宋体" w:cs="宋体"/>
          <w:color w:val="auto"/>
          <w:sz w:val="24"/>
          <w:szCs w:val="24"/>
        </w:rPr>
        <w:t>市</w:t>
      </w:r>
      <w:r>
        <w:rPr>
          <w:rFonts w:ascii="宋体" w:hAnsi="宋体" w:cs="宋体"/>
          <w:color w:val="auto"/>
          <w:sz w:val="24"/>
          <w:szCs w:val="24"/>
        </w:rPr>
        <w:t>/</w:t>
      </w:r>
      <w:r>
        <w:rPr>
          <w:rFonts w:hint="eastAsia" w:ascii="宋体" w:hAnsi="宋体" w:cs="宋体"/>
          <w:color w:val="auto"/>
          <w:sz w:val="24"/>
          <w:szCs w:val="24"/>
        </w:rPr>
        <w:t>县人民政府授权管理本项目，有权签署本协议，并可以履行其在本协议项下的各项义务；</w:t>
      </w:r>
    </w:p>
    <w:p>
      <w:pPr>
        <w:numPr>
          <w:ilvl w:val="0"/>
          <w:numId w:val="9"/>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甲方已经获得本协议应在生效日期前获得的所有批准；</w:t>
      </w:r>
    </w:p>
    <w:p>
      <w:pPr>
        <w:numPr>
          <w:ilvl w:val="0"/>
          <w:numId w:val="9"/>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如果甲方在此所作的声明被证实在作出时存在实质方面的不属实，并且该等不属实声明严重影响本协议项下的运营项目的顺利进行，乙方有权终止本协议。</w:t>
      </w:r>
    </w:p>
    <w:p>
      <w:pPr>
        <w:keepNext/>
        <w:keepLines/>
        <w:spacing w:before="260" w:after="260" w:line="360" w:lineRule="auto"/>
        <w:jc w:val="left"/>
        <w:outlineLvl w:val="2"/>
        <w:rPr>
          <w:rFonts w:ascii="宋体"/>
          <w:b/>
          <w:bCs/>
          <w:color w:val="auto"/>
          <w:sz w:val="24"/>
          <w:szCs w:val="24"/>
        </w:rPr>
      </w:pPr>
      <w:bookmarkStart w:id="102" w:name="_Toc521685612"/>
      <w:bookmarkStart w:id="103" w:name="_Toc136332504"/>
      <w:bookmarkStart w:id="104" w:name="_Toc404263594"/>
      <w:r>
        <w:rPr>
          <w:rFonts w:ascii="宋体" w:hAnsi="宋体" w:cs="宋体"/>
          <w:b/>
          <w:bCs/>
          <w:color w:val="auto"/>
          <w:sz w:val="24"/>
          <w:szCs w:val="24"/>
        </w:rPr>
        <w:t xml:space="preserve">3.2  </w:t>
      </w:r>
      <w:r>
        <w:rPr>
          <w:rFonts w:hint="eastAsia" w:ascii="宋体" w:hAnsi="宋体" w:cs="宋体"/>
          <w:b/>
          <w:bCs/>
          <w:color w:val="auto"/>
          <w:sz w:val="24"/>
          <w:szCs w:val="24"/>
        </w:rPr>
        <w:t>乙方的声明</w:t>
      </w:r>
      <w:bookmarkEnd w:id="98"/>
      <w:bookmarkEnd w:id="99"/>
      <w:bookmarkEnd w:id="100"/>
      <w:bookmarkEnd w:id="101"/>
      <w:bookmarkEnd w:id="102"/>
      <w:bookmarkEnd w:id="103"/>
      <w:bookmarkEnd w:id="104"/>
    </w:p>
    <w:p>
      <w:pPr>
        <w:spacing w:line="360" w:lineRule="auto"/>
        <w:rPr>
          <w:rFonts w:ascii="宋体"/>
          <w:color w:val="auto"/>
          <w:sz w:val="24"/>
          <w:szCs w:val="24"/>
        </w:rPr>
      </w:pPr>
      <w:r>
        <w:rPr>
          <w:rFonts w:hint="eastAsia" w:ascii="宋体" w:hAnsi="宋体" w:cs="宋体"/>
          <w:color w:val="auto"/>
          <w:sz w:val="24"/>
          <w:szCs w:val="24"/>
        </w:rPr>
        <w:t>乙方在此向甲方声明，在生效日期：</w:t>
      </w:r>
    </w:p>
    <w:p>
      <w:pPr>
        <w:numPr>
          <w:ilvl w:val="0"/>
          <w:numId w:val="10"/>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乙方是依据中华人民共和国法律正式成立的合法机构，具有签署和履行本协议、其它项目合同和融资文件的法人资格和权利；</w:t>
      </w:r>
    </w:p>
    <w:p>
      <w:pPr>
        <w:numPr>
          <w:ilvl w:val="0"/>
          <w:numId w:val="10"/>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乙方已经获得本协议应在生效日期前获得的所有批准；</w:t>
      </w:r>
    </w:p>
    <w:p>
      <w:pPr>
        <w:numPr>
          <w:ilvl w:val="0"/>
          <w:numId w:val="10"/>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如果乙方在此所作的声明被证实在作出时存在实质方面的不属实，并且该等不属实声明严重影响本协议项下的运行项目的顺利进行，甲方有权终止本协议。</w:t>
      </w:r>
    </w:p>
    <w:p>
      <w:pPr>
        <w:keepNext/>
        <w:keepLines/>
        <w:spacing w:before="260" w:after="260" w:line="360" w:lineRule="auto"/>
        <w:jc w:val="left"/>
        <w:outlineLvl w:val="2"/>
        <w:rPr>
          <w:rFonts w:ascii="宋体"/>
          <w:b/>
          <w:bCs/>
          <w:color w:val="auto"/>
          <w:sz w:val="24"/>
          <w:szCs w:val="24"/>
        </w:rPr>
      </w:pPr>
      <w:bookmarkStart w:id="105" w:name="_Toc521685613"/>
      <w:bookmarkStart w:id="106" w:name="_Toc136332507"/>
      <w:bookmarkStart w:id="107" w:name="_Toc404263595"/>
      <w:r>
        <w:rPr>
          <w:rFonts w:ascii="宋体" w:hAnsi="宋体" w:cs="宋体"/>
          <w:b/>
          <w:bCs/>
          <w:color w:val="auto"/>
          <w:sz w:val="24"/>
          <w:szCs w:val="24"/>
        </w:rPr>
        <w:t xml:space="preserve">3.3  </w:t>
      </w:r>
      <w:r>
        <w:rPr>
          <w:rFonts w:hint="eastAsia" w:ascii="宋体" w:hAnsi="宋体" w:cs="宋体"/>
          <w:b/>
          <w:bCs/>
          <w:color w:val="auto"/>
          <w:sz w:val="24"/>
          <w:szCs w:val="24"/>
        </w:rPr>
        <w:t>甲方的权利和义务</w:t>
      </w:r>
      <w:bookmarkEnd w:id="105"/>
      <w:bookmarkEnd w:id="106"/>
      <w:bookmarkEnd w:id="107"/>
    </w:p>
    <w:p>
      <w:pPr>
        <w:numPr>
          <w:ilvl w:val="0"/>
          <w:numId w:val="11"/>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授予乙方运营权。</w:t>
      </w:r>
    </w:p>
    <w:p>
      <w:pPr>
        <w:numPr>
          <w:ilvl w:val="0"/>
          <w:numId w:val="11"/>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根据本协议的规定按时向乙方支付运行服务费。</w:t>
      </w:r>
    </w:p>
    <w:p>
      <w:pPr>
        <w:numPr>
          <w:ilvl w:val="0"/>
          <w:numId w:val="11"/>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在运行期内，协助乙方办理有关政府部门要求的各种与本项目有关的批准和保持批准有效。</w:t>
      </w:r>
    </w:p>
    <w:p>
      <w:pPr>
        <w:numPr>
          <w:ilvl w:val="0"/>
          <w:numId w:val="11"/>
        </w:numPr>
        <w:tabs>
          <w:tab w:val="left" w:pos="1260"/>
        </w:tabs>
        <w:spacing w:line="360" w:lineRule="auto"/>
        <w:ind w:left="0" w:firstLine="480" w:firstLineChars="200"/>
        <w:rPr>
          <w:rFonts w:ascii="宋体"/>
          <w:color w:val="auto"/>
          <w:sz w:val="24"/>
          <w:szCs w:val="24"/>
        </w:rPr>
      </w:pPr>
      <w:r>
        <w:rPr>
          <w:rFonts w:hint="eastAsia" w:ascii="宋体" w:hAnsi="宋体" w:cs="宋体"/>
          <w:snapToGrid w:val="0"/>
          <w:color w:val="auto"/>
          <w:kern w:val="0"/>
          <w:sz w:val="24"/>
          <w:szCs w:val="24"/>
        </w:rPr>
        <w:t>对乙方渗滤液处理</w:t>
      </w:r>
      <w:r>
        <w:rPr>
          <w:rFonts w:hint="eastAsia" w:ascii="宋体" w:hAnsi="宋体" w:cs="宋体"/>
          <w:color w:val="auto"/>
          <w:sz w:val="24"/>
          <w:szCs w:val="24"/>
        </w:rPr>
        <w:t>运营</w:t>
      </w:r>
      <w:r>
        <w:rPr>
          <w:rFonts w:hint="eastAsia" w:ascii="宋体" w:hAnsi="宋体" w:cs="宋体"/>
          <w:snapToGrid w:val="0"/>
          <w:color w:val="auto"/>
          <w:kern w:val="0"/>
          <w:sz w:val="24"/>
          <w:szCs w:val="24"/>
        </w:rPr>
        <w:t>过程实施监管，包括产品和服务质量，项目运行状况和安全防范措施，以及协助相关部门核算和监控企业成本等。</w:t>
      </w:r>
    </w:p>
    <w:p>
      <w:pPr>
        <w:numPr>
          <w:ilvl w:val="0"/>
          <w:numId w:val="11"/>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甲方本着尊重社会公众的知情权，鼓励公众参与监督的原则，有权及时将产品和服务质量检查、监测、评估结果和整改情况以适当的方式向社会公布。并受理公众对乙方的投诉，并进行核实处理。</w:t>
      </w:r>
    </w:p>
    <w:p>
      <w:pPr>
        <w:numPr>
          <w:ilvl w:val="0"/>
          <w:numId w:val="11"/>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遇紧急情况，在可能严重影响公众利益的情况下，可依法对乙方进行临时接管。</w:t>
      </w:r>
    </w:p>
    <w:p>
      <w:pPr>
        <w:keepNext/>
        <w:keepLines/>
        <w:spacing w:before="260" w:after="260" w:line="360" w:lineRule="auto"/>
        <w:jc w:val="left"/>
        <w:outlineLvl w:val="2"/>
        <w:rPr>
          <w:rFonts w:ascii="宋体"/>
          <w:b/>
          <w:bCs/>
          <w:color w:val="auto"/>
          <w:sz w:val="24"/>
          <w:szCs w:val="24"/>
        </w:rPr>
      </w:pPr>
      <w:bookmarkStart w:id="108" w:name="_Toc404263596"/>
      <w:bookmarkStart w:id="109" w:name="_Toc521685614"/>
      <w:bookmarkStart w:id="110" w:name="_Toc136332508"/>
      <w:r>
        <w:rPr>
          <w:rFonts w:ascii="宋体" w:hAnsi="宋体" w:cs="宋体"/>
          <w:b/>
          <w:bCs/>
          <w:color w:val="auto"/>
          <w:sz w:val="24"/>
          <w:szCs w:val="24"/>
        </w:rPr>
        <w:t xml:space="preserve">3.4  </w:t>
      </w:r>
      <w:r>
        <w:rPr>
          <w:rFonts w:hint="eastAsia" w:ascii="宋体" w:hAnsi="宋体" w:cs="宋体"/>
          <w:b/>
          <w:bCs/>
          <w:color w:val="auto"/>
          <w:sz w:val="24"/>
          <w:szCs w:val="24"/>
        </w:rPr>
        <w:t>乙方的权利和义务</w:t>
      </w:r>
      <w:bookmarkEnd w:id="108"/>
      <w:bookmarkEnd w:id="109"/>
      <w:bookmarkEnd w:id="110"/>
    </w:p>
    <w:p>
      <w:pPr>
        <w:numPr>
          <w:ilvl w:val="0"/>
          <w:numId w:val="12"/>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乙方在运营期内享有运营权；</w:t>
      </w:r>
    </w:p>
    <w:p>
      <w:pPr>
        <w:numPr>
          <w:ilvl w:val="0"/>
          <w:numId w:val="12"/>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根据本协议的规定，乙方应在运营期内自行承担费用、责任和风险，负责进行</w:t>
      </w:r>
      <w:r>
        <w:rPr>
          <w:rFonts w:hint="eastAsia" w:ascii="宋体" w:hAnsi="宋体" w:cs="宋体"/>
          <w:b/>
          <w:bCs/>
          <w:color w:val="auto"/>
          <w:sz w:val="24"/>
          <w:szCs w:val="24"/>
          <w:u w:val="single"/>
        </w:rPr>
        <w:t>台州市路桥区垃圾填埋场渗滤液处理运管服务项目</w:t>
      </w:r>
      <w:r>
        <w:rPr>
          <w:rFonts w:hint="eastAsia" w:ascii="宋体" w:hAnsi="宋体" w:cs="宋体"/>
          <w:color w:val="auto"/>
          <w:sz w:val="24"/>
          <w:szCs w:val="24"/>
        </w:rPr>
        <w:t>；</w:t>
      </w:r>
    </w:p>
    <w:p>
      <w:pPr>
        <w:numPr>
          <w:ilvl w:val="0"/>
          <w:numId w:val="12"/>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按照本协议规定的方式取得运营服务费。</w:t>
      </w:r>
    </w:p>
    <w:p>
      <w:pPr>
        <w:numPr>
          <w:ilvl w:val="0"/>
          <w:numId w:val="12"/>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接受政府部门的行业监管。服从社会公共利益，履行对社会公益性事业所应尽的义务和服务。</w:t>
      </w:r>
    </w:p>
    <w:p>
      <w:pPr>
        <w:widowControl/>
        <w:spacing w:line="360" w:lineRule="auto"/>
        <w:jc w:val="left"/>
        <w:rPr>
          <w:rFonts w:ascii="宋体"/>
          <w:color w:val="auto"/>
          <w:sz w:val="24"/>
          <w:szCs w:val="24"/>
        </w:rPr>
      </w:pPr>
    </w:p>
    <w:p>
      <w:pPr>
        <w:keepNext/>
        <w:keepLines/>
        <w:spacing w:before="260" w:after="260" w:line="360" w:lineRule="auto"/>
        <w:jc w:val="center"/>
        <w:outlineLvl w:val="1"/>
        <w:rPr>
          <w:rFonts w:ascii="宋体"/>
          <w:b/>
          <w:bCs/>
          <w:color w:val="auto"/>
          <w:sz w:val="24"/>
          <w:szCs w:val="24"/>
        </w:rPr>
      </w:pPr>
      <w:bookmarkStart w:id="111" w:name="_Toc71780650"/>
      <w:bookmarkStart w:id="112" w:name="_Toc521685615"/>
      <w:bookmarkStart w:id="113" w:name="_Toc136332533"/>
      <w:bookmarkStart w:id="114" w:name="_Toc404263598"/>
      <w:r>
        <w:rPr>
          <w:rFonts w:hint="eastAsia" w:ascii="宋体" w:hAnsi="宋体" w:cs="宋体"/>
          <w:b/>
          <w:bCs/>
          <w:color w:val="auto"/>
          <w:sz w:val="24"/>
          <w:szCs w:val="24"/>
        </w:rPr>
        <w:t>第</w:t>
      </w:r>
      <w:r>
        <w:rPr>
          <w:rFonts w:ascii="宋体" w:hAnsi="宋体" w:cs="宋体"/>
          <w:b/>
          <w:bCs/>
          <w:color w:val="auto"/>
          <w:sz w:val="24"/>
          <w:szCs w:val="24"/>
        </w:rPr>
        <w:t>4</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运营</w:t>
      </w:r>
      <w:bookmarkEnd w:id="111"/>
      <w:bookmarkEnd w:id="112"/>
      <w:bookmarkEnd w:id="113"/>
      <w:bookmarkEnd w:id="114"/>
    </w:p>
    <w:p>
      <w:pPr>
        <w:keepNext/>
        <w:keepLines/>
        <w:spacing w:before="260" w:after="260" w:line="360" w:lineRule="auto"/>
        <w:jc w:val="left"/>
        <w:outlineLvl w:val="2"/>
        <w:rPr>
          <w:rFonts w:ascii="宋体"/>
          <w:b/>
          <w:bCs/>
          <w:color w:val="auto"/>
          <w:sz w:val="24"/>
          <w:szCs w:val="24"/>
        </w:rPr>
      </w:pPr>
      <w:bookmarkStart w:id="115" w:name="_Toc404263599"/>
      <w:bookmarkStart w:id="116" w:name="_Toc521685616"/>
      <w:bookmarkStart w:id="117" w:name="_Toc136332534"/>
      <w:r>
        <w:rPr>
          <w:rFonts w:ascii="宋体" w:hAnsi="宋体" w:cs="宋体"/>
          <w:b/>
          <w:bCs/>
          <w:color w:val="auto"/>
          <w:sz w:val="24"/>
          <w:szCs w:val="24"/>
        </w:rPr>
        <w:t xml:space="preserve">4.1  </w:t>
      </w:r>
      <w:r>
        <w:rPr>
          <w:rFonts w:hint="eastAsia" w:ascii="宋体" w:hAnsi="宋体" w:cs="宋体"/>
          <w:b/>
          <w:bCs/>
          <w:color w:val="auto"/>
          <w:sz w:val="24"/>
          <w:szCs w:val="24"/>
        </w:rPr>
        <w:t>运行和维护的基本原则</w:t>
      </w:r>
      <w:bookmarkEnd w:id="115"/>
      <w:bookmarkEnd w:id="116"/>
      <w:bookmarkEnd w:id="117"/>
    </w:p>
    <w:p>
      <w:pPr>
        <w:spacing w:line="360" w:lineRule="auto"/>
        <w:ind w:firstLine="480" w:firstLineChars="200"/>
        <w:rPr>
          <w:rFonts w:ascii="宋体"/>
          <w:color w:val="auto"/>
          <w:sz w:val="24"/>
          <w:szCs w:val="24"/>
        </w:rPr>
      </w:pPr>
      <w:r>
        <w:rPr>
          <w:rFonts w:hint="eastAsia" w:ascii="宋体" w:hAnsi="宋体" w:cs="宋体"/>
          <w:color w:val="auto"/>
          <w:sz w:val="24"/>
          <w:szCs w:val="24"/>
        </w:rPr>
        <w:t>在整个运营期内，乙方应根据本协议的规定，自行承担费用（包括税费）和风险，管理、运行和维护渗滤液处理设施（本合同另有约定的除外）。乙方应确保在整个运营期内，始终根据下列规定运行并维护运营项目设施：</w:t>
      </w:r>
    </w:p>
    <w:p>
      <w:pPr>
        <w:numPr>
          <w:ilvl w:val="0"/>
          <w:numId w:val="13"/>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国家和地方现行的企业运行的有关法律法规，渗滤液处理的有关法律法规、标准和规范，本项目有关批准文件的要求；</w:t>
      </w:r>
    </w:p>
    <w:p>
      <w:pPr>
        <w:numPr>
          <w:ilvl w:val="0"/>
          <w:numId w:val="13"/>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投标文件规定的质量保证、质量控制和安全生产的要求；</w:t>
      </w:r>
    </w:p>
    <w:p>
      <w:pPr>
        <w:numPr>
          <w:ilvl w:val="0"/>
          <w:numId w:val="13"/>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运行维护手册以及运营项目内设备制造商提供的说明手册和指导。</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乙方应确保运营项目设施始终处于良好营运状态并能够安全稳定地处理渗滤液和污泥，使其达到排放标准，大气污染物和噪声满足环保要求。</w:t>
      </w:r>
    </w:p>
    <w:p>
      <w:pPr>
        <w:keepNext/>
        <w:keepLines/>
        <w:spacing w:before="260" w:after="260" w:line="360" w:lineRule="auto"/>
        <w:jc w:val="left"/>
        <w:outlineLvl w:val="2"/>
        <w:rPr>
          <w:rFonts w:ascii="宋体"/>
          <w:b/>
          <w:bCs/>
          <w:color w:val="auto"/>
          <w:sz w:val="24"/>
          <w:szCs w:val="24"/>
        </w:rPr>
      </w:pPr>
      <w:bookmarkStart w:id="118" w:name="_Toc404263600"/>
      <w:bookmarkStart w:id="119" w:name="_Toc136332535"/>
      <w:bookmarkStart w:id="120" w:name="_Toc521685617"/>
      <w:r>
        <w:rPr>
          <w:rFonts w:ascii="宋体" w:hAnsi="宋体" w:cs="宋体"/>
          <w:b/>
          <w:bCs/>
          <w:color w:val="auto"/>
          <w:sz w:val="24"/>
          <w:szCs w:val="24"/>
        </w:rPr>
        <w:t xml:space="preserve">4.2  </w:t>
      </w:r>
      <w:r>
        <w:rPr>
          <w:rFonts w:hint="eastAsia" w:ascii="宋体" w:hAnsi="宋体" w:cs="宋体"/>
          <w:b/>
          <w:bCs/>
          <w:color w:val="auto"/>
          <w:sz w:val="24"/>
          <w:szCs w:val="24"/>
        </w:rPr>
        <w:t>渗滤液处理范围</w:t>
      </w:r>
      <w:bookmarkEnd w:id="118"/>
      <w:bookmarkEnd w:id="119"/>
      <w:bookmarkEnd w:id="120"/>
    </w:p>
    <w:p>
      <w:pPr>
        <w:spacing w:line="360" w:lineRule="auto"/>
        <w:ind w:firstLine="480" w:firstLineChars="200"/>
        <w:rPr>
          <w:rFonts w:ascii="宋体"/>
          <w:color w:val="auto"/>
          <w:sz w:val="24"/>
          <w:szCs w:val="24"/>
        </w:rPr>
      </w:pPr>
      <w:r>
        <w:rPr>
          <w:rFonts w:hint="eastAsia" w:ascii="宋体" w:hAnsi="宋体" w:cs="宋体"/>
          <w:color w:val="auto"/>
          <w:sz w:val="24"/>
          <w:szCs w:val="24"/>
        </w:rPr>
        <w:t>在运营期内，乙方应只对甲方收集的渗滤液提供处理。未经甲方事先书面同意，不得接受任何第三方的污水在本项目设施进行处理（运营项目自身产生的污水除外）。未经乙方事先书面同意，甲方不得将其他废水运至本项目处理现场给乙方处理。</w:t>
      </w:r>
    </w:p>
    <w:p>
      <w:pPr>
        <w:keepNext/>
        <w:keepLines/>
        <w:spacing w:before="260" w:after="260" w:line="360" w:lineRule="auto"/>
        <w:jc w:val="left"/>
        <w:outlineLvl w:val="2"/>
        <w:rPr>
          <w:rFonts w:ascii="宋体"/>
          <w:b/>
          <w:bCs/>
          <w:color w:val="auto"/>
          <w:sz w:val="24"/>
          <w:szCs w:val="24"/>
        </w:rPr>
      </w:pPr>
      <w:bookmarkStart w:id="121" w:name="_Toc136332536"/>
      <w:bookmarkStart w:id="122" w:name="_Toc404263601"/>
      <w:bookmarkStart w:id="123" w:name="_Toc521685618"/>
      <w:r>
        <w:rPr>
          <w:rFonts w:ascii="宋体" w:hAnsi="宋体" w:cs="宋体"/>
          <w:b/>
          <w:bCs/>
          <w:color w:val="auto"/>
          <w:sz w:val="24"/>
          <w:szCs w:val="24"/>
        </w:rPr>
        <w:t xml:space="preserve">4.3  </w:t>
      </w:r>
      <w:r>
        <w:rPr>
          <w:rFonts w:hint="eastAsia" w:ascii="宋体" w:hAnsi="宋体" w:cs="宋体"/>
          <w:b/>
          <w:bCs/>
          <w:color w:val="auto"/>
          <w:sz w:val="24"/>
          <w:szCs w:val="24"/>
        </w:rPr>
        <w:t>甲方的主要责任</w:t>
      </w:r>
      <w:bookmarkEnd w:id="121"/>
      <w:bookmarkEnd w:id="122"/>
      <w:bookmarkEnd w:id="123"/>
      <w:r>
        <w:rPr>
          <w:rFonts w:ascii="宋体" w:hAnsi="宋体" w:cs="宋体"/>
          <w:b/>
          <w:bCs/>
          <w:color w:val="auto"/>
          <w:sz w:val="24"/>
          <w:szCs w:val="24"/>
        </w:rPr>
        <w:t xml:space="preserve"> </w:t>
      </w:r>
    </w:p>
    <w:p>
      <w:pPr>
        <w:spacing w:line="360" w:lineRule="auto"/>
        <w:ind w:firstLine="480" w:firstLineChars="200"/>
        <w:rPr>
          <w:rFonts w:ascii="宋体"/>
          <w:color w:val="auto"/>
          <w:sz w:val="24"/>
          <w:szCs w:val="24"/>
        </w:rPr>
      </w:pPr>
      <w:r>
        <w:rPr>
          <w:rFonts w:hint="eastAsia" w:ascii="宋体" w:hAnsi="宋体" w:cs="宋体"/>
          <w:color w:val="auto"/>
          <w:sz w:val="24"/>
          <w:szCs w:val="24"/>
        </w:rPr>
        <w:t>在整个运营期内，应督促乙方认真执行国家行业标准、行业管理部门和地方政府的相关规定以及本协议规定的出水质量标准。</w:t>
      </w:r>
    </w:p>
    <w:p>
      <w:pPr>
        <w:spacing w:line="360" w:lineRule="auto"/>
        <w:ind w:firstLine="480" w:firstLineChars="200"/>
        <w:rPr>
          <w:rFonts w:ascii="宋体"/>
          <w:color w:val="auto"/>
          <w:sz w:val="24"/>
          <w:szCs w:val="24"/>
        </w:rPr>
      </w:pPr>
      <w:r>
        <w:rPr>
          <w:rFonts w:hint="eastAsia" w:ascii="宋体" w:hAnsi="宋体" w:cs="宋体"/>
          <w:color w:val="auto"/>
          <w:sz w:val="24"/>
          <w:szCs w:val="24"/>
        </w:rPr>
        <w:t>甲方承担由其委托的第三方检测机构对渗滤液水质进行检测的相关费用。</w:t>
      </w:r>
    </w:p>
    <w:p>
      <w:pPr>
        <w:spacing w:line="360" w:lineRule="auto"/>
        <w:ind w:firstLine="480" w:firstLineChars="200"/>
        <w:rPr>
          <w:rFonts w:ascii="宋体"/>
          <w:color w:val="auto"/>
          <w:sz w:val="24"/>
          <w:szCs w:val="24"/>
        </w:rPr>
      </w:pPr>
      <w:r>
        <w:rPr>
          <w:rFonts w:hint="eastAsia" w:ascii="宋体" w:hAnsi="宋体" w:cs="宋体"/>
          <w:color w:val="auto"/>
          <w:sz w:val="24"/>
          <w:szCs w:val="24"/>
        </w:rPr>
        <w:t>配合乙方处理运营过程中须协调解决的问题和有关纠纷，如盐酸采购证的办理等。配合乙方协调电力部门的关系，签订三方协议，由乙方直接支付电费给电力部门，电力部门开具相应的用电增值税专用发票给乙方。</w:t>
      </w:r>
    </w:p>
    <w:p>
      <w:pPr>
        <w:spacing w:line="360" w:lineRule="auto"/>
        <w:ind w:firstLine="480" w:firstLineChars="200"/>
        <w:rPr>
          <w:rFonts w:ascii="宋体"/>
          <w:color w:val="auto"/>
          <w:sz w:val="24"/>
          <w:szCs w:val="24"/>
        </w:rPr>
      </w:pPr>
      <w:r>
        <w:rPr>
          <w:rFonts w:hint="eastAsia" w:ascii="宋体" w:hAnsi="宋体" w:cs="宋体"/>
          <w:color w:val="auto"/>
          <w:sz w:val="24"/>
          <w:szCs w:val="24"/>
        </w:rPr>
        <w:t>非甲乙双方人为原因或因电路检修致供电线路中断的</w:t>
      </w:r>
      <w:r>
        <w:rPr>
          <w:rFonts w:ascii="宋体" w:cs="宋体"/>
          <w:color w:val="auto"/>
          <w:sz w:val="24"/>
          <w:szCs w:val="24"/>
        </w:rPr>
        <w:t>,</w:t>
      </w:r>
      <w:r>
        <w:rPr>
          <w:rFonts w:hint="eastAsia" w:ascii="宋体" w:hAnsi="宋体" w:cs="宋体"/>
          <w:color w:val="auto"/>
          <w:sz w:val="24"/>
          <w:szCs w:val="24"/>
        </w:rPr>
        <w:t>甲方负责协调电力部门抢修。</w:t>
      </w:r>
    </w:p>
    <w:p>
      <w:pPr>
        <w:spacing w:line="360" w:lineRule="auto"/>
        <w:ind w:firstLine="480" w:firstLineChars="200"/>
        <w:rPr>
          <w:rFonts w:ascii="宋体"/>
          <w:color w:val="auto"/>
          <w:sz w:val="24"/>
          <w:szCs w:val="24"/>
        </w:rPr>
      </w:pPr>
      <w:r>
        <w:rPr>
          <w:rFonts w:hint="eastAsia" w:ascii="宋体" w:hAnsi="宋体" w:cs="宋体"/>
          <w:color w:val="auto"/>
          <w:sz w:val="24"/>
          <w:szCs w:val="24"/>
        </w:rPr>
        <w:t>甲方根据招投标文件及合同的规定及时向乙方支付运营费用。</w:t>
      </w:r>
    </w:p>
    <w:p>
      <w:pPr>
        <w:spacing w:line="360" w:lineRule="auto"/>
        <w:ind w:firstLine="480" w:firstLineChars="200"/>
        <w:rPr>
          <w:rFonts w:ascii="宋体"/>
          <w:color w:val="auto"/>
          <w:sz w:val="24"/>
          <w:szCs w:val="24"/>
        </w:rPr>
      </w:pPr>
      <w:r>
        <w:rPr>
          <w:rFonts w:hint="eastAsia" w:ascii="宋体" w:hAnsi="宋体" w:cs="宋体"/>
          <w:color w:val="auto"/>
          <w:sz w:val="24"/>
          <w:szCs w:val="24"/>
        </w:rPr>
        <w:t>甲方或政府职能部门有权监督项目设施的运行和维护</w:t>
      </w:r>
      <w:r>
        <w:rPr>
          <w:rFonts w:ascii="宋体" w:cs="宋体"/>
          <w:color w:val="auto"/>
          <w:sz w:val="24"/>
          <w:szCs w:val="24"/>
        </w:rPr>
        <w:t>,</w:t>
      </w:r>
      <w:r>
        <w:rPr>
          <w:rFonts w:hint="eastAsia" w:ascii="宋体" w:hAnsi="宋体" w:cs="宋体"/>
          <w:color w:val="auto"/>
          <w:sz w:val="24"/>
          <w:szCs w:val="24"/>
        </w:rPr>
        <w:t>有权检查生产记录、设备维护和常规检测指标的运营记录</w:t>
      </w:r>
      <w:r>
        <w:rPr>
          <w:rFonts w:ascii="宋体" w:cs="宋体"/>
          <w:color w:val="auto"/>
          <w:sz w:val="24"/>
          <w:szCs w:val="24"/>
        </w:rPr>
        <w:t>.</w:t>
      </w:r>
      <w:r>
        <w:rPr>
          <w:rFonts w:hint="eastAsia" w:ascii="宋体" w:hAnsi="宋体" w:cs="宋体"/>
          <w:color w:val="auto"/>
          <w:sz w:val="24"/>
          <w:szCs w:val="24"/>
        </w:rPr>
        <w:t>但不得干涉、延误或干扰乙方履行合同的权利和义务。</w:t>
      </w:r>
    </w:p>
    <w:p>
      <w:pPr>
        <w:keepNext/>
        <w:keepLines/>
        <w:spacing w:before="260" w:after="260" w:line="360" w:lineRule="auto"/>
        <w:jc w:val="left"/>
        <w:outlineLvl w:val="2"/>
        <w:rPr>
          <w:rFonts w:ascii="宋体"/>
          <w:b/>
          <w:bCs/>
          <w:color w:val="auto"/>
          <w:sz w:val="24"/>
          <w:szCs w:val="24"/>
        </w:rPr>
      </w:pPr>
      <w:bookmarkStart w:id="124" w:name="_Toc404263602"/>
      <w:bookmarkStart w:id="125" w:name="_Toc521685619"/>
      <w:bookmarkStart w:id="126" w:name="_Toc136332537"/>
      <w:r>
        <w:rPr>
          <w:rFonts w:ascii="宋体" w:hAnsi="宋体" w:cs="宋体"/>
          <w:b/>
          <w:bCs/>
          <w:color w:val="auto"/>
          <w:sz w:val="24"/>
          <w:szCs w:val="24"/>
        </w:rPr>
        <w:t xml:space="preserve">4.4  </w:t>
      </w:r>
      <w:r>
        <w:rPr>
          <w:rFonts w:hint="eastAsia" w:ascii="宋体" w:hAnsi="宋体" w:cs="宋体"/>
          <w:b/>
          <w:bCs/>
          <w:color w:val="auto"/>
          <w:sz w:val="24"/>
          <w:szCs w:val="24"/>
        </w:rPr>
        <w:t>乙方的主要责任</w:t>
      </w:r>
      <w:bookmarkEnd w:id="124"/>
      <w:bookmarkEnd w:id="125"/>
      <w:bookmarkEnd w:id="126"/>
    </w:p>
    <w:p>
      <w:pPr>
        <w:spacing w:line="360" w:lineRule="auto"/>
        <w:ind w:firstLine="480" w:firstLineChars="200"/>
        <w:rPr>
          <w:rFonts w:ascii="宋体"/>
          <w:color w:val="auto"/>
          <w:sz w:val="24"/>
          <w:szCs w:val="24"/>
        </w:rPr>
      </w:pPr>
      <w:r>
        <w:rPr>
          <w:rFonts w:hint="eastAsia" w:ascii="宋体" w:hAnsi="宋体" w:cs="宋体"/>
          <w:color w:val="auto"/>
          <w:sz w:val="24"/>
          <w:szCs w:val="24"/>
        </w:rPr>
        <w:t>从开始商业运行日起，乙方应连续接受和处理渗滤液（除本协议另有规定外），将从接收点排入的进水经处理达到出水质量标准后，排放至交付点。</w:t>
      </w:r>
    </w:p>
    <w:p>
      <w:pPr>
        <w:spacing w:line="360" w:lineRule="auto"/>
        <w:ind w:firstLine="480" w:firstLineChars="200"/>
        <w:rPr>
          <w:rFonts w:ascii="宋体"/>
          <w:color w:val="auto"/>
          <w:sz w:val="24"/>
          <w:szCs w:val="24"/>
        </w:rPr>
      </w:pPr>
      <w:r>
        <w:rPr>
          <w:rFonts w:hint="eastAsia" w:ascii="宋体" w:hAnsi="宋体" w:cs="宋体"/>
          <w:color w:val="auto"/>
          <w:sz w:val="24"/>
          <w:szCs w:val="24"/>
        </w:rPr>
        <w:t>如果进水水量超过</w:t>
      </w:r>
      <w:r>
        <w:rPr>
          <w:rFonts w:ascii="宋体" w:hAnsi="宋体" w:cs="宋体"/>
          <w:color w:val="auto"/>
          <w:sz w:val="24"/>
          <w:szCs w:val="24"/>
        </w:rPr>
        <w:t>250</w:t>
      </w:r>
      <w:r>
        <w:rPr>
          <w:rFonts w:hint="eastAsia" w:ascii="宋体" w:hAnsi="宋体" w:cs="宋体"/>
          <w:color w:val="auto"/>
          <w:sz w:val="24"/>
          <w:szCs w:val="24"/>
        </w:rPr>
        <w:t>吨</w:t>
      </w:r>
      <w:r>
        <w:rPr>
          <w:rFonts w:ascii="宋体" w:hAnsi="宋体" w:cs="宋体"/>
          <w:color w:val="auto"/>
          <w:sz w:val="24"/>
          <w:szCs w:val="24"/>
        </w:rPr>
        <w:t>/</w:t>
      </w:r>
      <w:r>
        <w:rPr>
          <w:rFonts w:hint="eastAsia" w:ascii="宋体" w:hAnsi="宋体" w:cs="宋体"/>
          <w:color w:val="auto"/>
          <w:sz w:val="24"/>
          <w:szCs w:val="24"/>
        </w:rPr>
        <w:t>天，乙方应及时通知甲方，同时提出拟采取的对超量渗滤液进行处理的措施。通知发出</w:t>
      </w:r>
      <w:r>
        <w:rPr>
          <w:rFonts w:ascii="宋体" w:hAnsi="宋体" w:cs="宋体"/>
          <w:color w:val="auto"/>
          <w:sz w:val="24"/>
          <w:szCs w:val="24"/>
          <w:u w:val="single"/>
        </w:rPr>
        <w:t xml:space="preserve">  7  </w:t>
      </w:r>
      <w:r>
        <w:rPr>
          <w:rFonts w:hint="eastAsia" w:ascii="宋体" w:hAnsi="宋体" w:cs="宋体"/>
          <w:color w:val="auto"/>
          <w:sz w:val="24"/>
          <w:szCs w:val="24"/>
        </w:rPr>
        <w:t>个工作日内甲方没有表示意见，则被视为同意乙方的措施建议，由此产生的费用由甲方负责。若甲方未采纳乙方的措施建议，导致超量渗滤液未能得到有效处理而满出调节池的一切责任由甲方负责。</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乙方在运营期间若被有资质的相关部门抽检排水水质不达标，甲方有权扣当月运营费用的</w:t>
      </w:r>
      <w:r>
        <w:rPr>
          <w:rFonts w:ascii="宋体" w:hAnsi="宋体" w:cs="宋体"/>
          <w:color w:val="auto"/>
          <w:sz w:val="24"/>
          <w:szCs w:val="24"/>
        </w:rPr>
        <w:t>10%</w:t>
      </w:r>
      <w:r>
        <w:rPr>
          <w:rFonts w:hint="eastAsia" w:ascii="宋体" w:hAnsi="宋体" w:cs="宋体"/>
          <w:color w:val="auto"/>
          <w:sz w:val="24"/>
          <w:szCs w:val="24"/>
        </w:rPr>
        <w:t>，第二次被有资质的相关部门抽检水水质不达标，甲方有权扣当月运营费用的</w:t>
      </w:r>
      <w:r>
        <w:rPr>
          <w:rFonts w:ascii="宋体" w:hAnsi="宋体" w:cs="宋体"/>
          <w:color w:val="auto"/>
          <w:sz w:val="24"/>
          <w:szCs w:val="24"/>
        </w:rPr>
        <w:t>20%</w:t>
      </w:r>
      <w:r>
        <w:rPr>
          <w:rFonts w:hint="eastAsia" w:ascii="宋体" w:hAnsi="宋体" w:cs="宋体"/>
          <w:color w:val="auto"/>
          <w:sz w:val="24"/>
          <w:szCs w:val="24"/>
        </w:rPr>
        <w:t>，以此类推。由此带来的后果由乙方承担。</w:t>
      </w:r>
    </w:p>
    <w:p>
      <w:pPr>
        <w:spacing w:line="360" w:lineRule="auto"/>
        <w:ind w:firstLine="480" w:firstLineChars="200"/>
        <w:rPr>
          <w:rFonts w:ascii="宋体"/>
          <w:color w:val="auto"/>
          <w:sz w:val="24"/>
          <w:szCs w:val="24"/>
        </w:rPr>
      </w:pPr>
      <w:r>
        <w:rPr>
          <w:rFonts w:hint="eastAsia" w:ascii="宋体" w:hAnsi="宋体" w:cs="宋体"/>
          <w:color w:val="auto"/>
          <w:sz w:val="24"/>
          <w:szCs w:val="24"/>
        </w:rPr>
        <w:t>因乙方的原因导致垃圾渗滤液处理站不能正常运行、出水水质不达标，不能达到运营规模以及违反本协议约定的条款，甲方有权停止支付运营费用并解除本协议，由此带来的损失由乙方承担。</w:t>
      </w:r>
    </w:p>
    <w:p>
      <w:pPr>
        <w:spacing w:line="360" w:lineRule="auto"/>
        <w:ind w:firstLine="480" w:firstLineChars="200"/>
        <w:rPr>
          <w:rFonts w:ascii="宋体"/>
          <w:color w:val="auto"/>
          <w:sz w:val="24"/>
          <w:szCs w:val="24"/>
        </w:rPr>
      </w:pPr>
      <w:r>
        <w:rPr>
          <w:rFonts w:hint="eastAsia" w:ascii="宋体" w:hAnsi="宋体" w:cs="宋体"/>
          <w:color w:val="auto"/>
          <w:sz w:val="24"/>
          <w:szCs w:val="24"/>
        </w:rPr>
        <w:t>在运行期间造成的安全生产事故，一切责任由乙方自行承担。</w:t>
      </w:r>
    </w:p>
    <w:p>
      <w:pPr>
        <w:spacing w:line="360" w:lineRule="auto"/>
        <w:ind w:firstLine="480" w:firstLineChars="200"/>
        <w:rPr>
          <w:rFonts w:ascii="宋体"/>
          <w:color w:val="auto"/>
          <w:sz w:val="24"/>
          <w:szCs w:val="24"/>
        </w:rPr>
      </w:pPr>
      <w:r>
        <w:rPr>
          <w:rFonts w:hint="eastAsia" w:ascii="宋体" w:hAnsi="宋体" w:cs="宋体"/>
          <w:color w:val="auto"/>
          <w:sz w:val="24"/>
          <w:szCs w:val="24"/>
        </w:rPr>
        <w:t>履约期间，乙方不得以任何形式对中标项目进行转包、分包，一经发现，取消中标资格，并没收履约保证金。</w:t>
      </w:r>
    </w:p>
    <w:p>
      <w:pPr>
        <w:spacing w:line="360" w:lineRule="auto"/>
        <w:ind w:firstLine="480" w:firstLineChars="200"/>
        <w:rPr>
          <w:rFonts w:ascii="宋体"/>
          <w:color w:val="auto"/>
          <w:sz w:val="24"/>
          <w:szCs w:val="24"/>
        </w:rPr>
      </w:pPr>
      <w:r>
        <w:rPr>
          <w:rFonts w:hint="eastAsia" w:ascii="宋体" w:hAnsi="宋体" w:cs="宋体"/>
          <w:color w:val="auto"/>
          <w:sz w:val="24"/>
          <w:szCs w:val="24"/>
        </w:rPr>
        <w:t>在委托运营期内</w:t>
      </w:r>
      <w:r>
        <w:rPr>
          <w:rFonts w:ascii="宋体" w:cs="宋体"/>
          <w:color w:val="auto"/>
          <w:sz w:val="24"/>
          <w:szCs w:val="24"/>
        </w:rPr>
        <w:t>,</w:t>
      </w:r>
      <w:r>
        <w:rPr>
          <w:rFonts w:hint="eastAsia" w:ascii="宋体" w:hAnsi="宋体" w:cs="宋体"/>
          <w:color w:val="auto"/>
          <w:sz w:val="24"/>
          <w:szCs w:val="24"/>
        </w:rPr>
        <w:t>乙方负责项目设施的管理、运行、维护，保证正常运行，排放的水质符合《生活垃圾填埋场污染控制标准》（</w:t>
      </w:r>
      <w:r>
        <w:rPr>
          <w:rFonts w:ascii="宋体" w:hAnsi="宋体" w:cs="宋体"/>
          <w:color w:val="auto"/>
          <w:sz w:val="24"/>
          <w:szCs w:val="24"/>
        </w:rPr>
        <w:t>GB16889-2008</w:t>
      </w:r>
      <w:r>
        <w:rPr>
          <w:rFonts w:hint="eastAsia" w:ascii="宋体" w:hAnsi="宋体" w:cs="宋体"/>
          <w:color w:val="auto"/>
          <w:sz w:val="24"/>
          <w:szCs w:val="24"/>
        </w:rPr>
        <w:t>）的表二排放标准，严格按渗滤液设计进水处理量</w:t>
      </w:r>
      <w:r>
        <w:rPr>
          <w:rFonts w:ascii="宋体" w:hAnsi="宋体" w:cs="宋体"/>
          <w:color w:val="auto"/>
          <w:sz w:val="24"/>
          <w:szCs w:val="24"/>
        </w:rPr>
        <w:t>250</w:t>
      </w:r>
      <w:r>
        <w:rPr>
          <w:rFonts w:hint="eastAsia" w:ascii="宋体" w:hAnsi="宋体" w:cs="宋体"/>
          <w:color w:val="auto"/>
          <w:sz w:val="24"/>
          <w:szCs w:val="24"/>
        </w:rPr>
        <w:t>吨</w:t>
      </w:r>
      <w:r>
        <w:rPr>
          <w:rFonts w:ascii="宋体" w:hAnsi="宋体" w:cs="宋体"/>
          <w:color w:val="auto"/>
          <w:sz w:val="24"/>
          <w:szCs w:val="24"/>
        </w:rPr>
        <w:t>/</w:t>
      </w:r>
      <w:r>
        <w:rPr>
          <w:rFonts w:hint="eastAsia" w:ascii="宋体" w:hAnsi="宋体" w:cs="宋体"/>
          <w:color w:val="auto"/>
          <w:sz w:val="24"/>
          <w:szCs w:val="24"/>
        </w:rPr>
        <w:t>天处理</w:t>
      </w:r>
      <w:r>
        <w:rPr>
          <w:rFonts w:ascii="宋体" w:hAnsi="宋体" w:cs="宋体"/>
          <w:color w:val="auto"/>
          <w:sz w:val="24"/>
          <w:szCs w:val="24"/>
        </w:rPr>
        <w:t>(</w:t>
      </w:r>
      <w:r>
        <w:rPr>
          <w:rFonts w:hint="eastAsia" w:ascii="宋体" w:hAnsi="宋体" w:cs="宋体"/>
          <w:color w:val="auto"/>
          <w:sz w:val="24"/>
          <w:szCs w:val="24"/>
        </w:rPr>
        <w:t>结合实际进水表记录量</w:t>
      </w:r>
      <w:r>
        <w:rPr>
          <w:rFonts w:ascii="宋体" w:hAnsi="宋体" w:cs="宋体"/>
          <w:color w:val="auto"/>
          <w:sz w:val="24"/>
          <w:szCs w:val="24"/>
        </w:rPr>
        <w:t>)</w:t>
      </w:r>
      <w:r>
        <w:rPr>
          <w:rFonts w:hint="eastAsia" w:ascii="宋体" w:hAnsi="宋体" w:cs="宋体"/>
          <w:color w:val="auto"/>
          <w:sz w:val="24"/>
          <w:szCs w:val="24"/>
        </w:rPr>
        <w:t>，除非调节池无足够的渗滤液供处理。</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乙方在每月</w:t>
      </w:r>
      <w:r>
        <w:rPr>
          <w:rFonts w:ascii="宋体" w:hAnsi="宋体" w:cs="宋体"/>
          <w:color w:val="auto"/>
          <w:sz w:val="24"/>
          <w:szCs w:val="24"/>
        </w:rPr>
        <w:t>25</w:t>
      </w:r>
      <w:r>
        <w:rPr>
          <w:rFonts w:hint="eastAsia" w:ascii="宋体" w:hAnsi="宋体" w:cs="宋体"/>
          <w:color w:val="auto"/>
          <w:sz w:val="24"/>
          <w:szCs w:val="24"/>
        </w:rPr>
        <w:t>日向甲方出具一份上月份水质检测记录台帐</w:t>
      </w:r>
      <w:r>
        <w:rPr>
          <w:rFonts w:ascii="宋体" w:hAnsi="宋体" w:cs="宋体"/>
          <w:color w:val="auto"/>
          <w:sz w:val="24"/>
          <w:szCs w:val="24"/>
        </w:rPr>
        <w:t>(</w:t>
      </w:r>
      <w:r>
        <w:rPr>
          <w:rFonts w:hint="eastAsia" w:ascii="宋体" w:hAnsi="宋体" w:cs="宋体"/>
          <w:color w:val="auto"/>
          <w:sz w:val="24"/>
          <w:szCs w:val="24"/>
        </w:rPr>
        <w:t>自检记录</w:t>
      </w:r>
      <w:r>
        <w:rPr>
          <w:rFonts w:ascii="宋体" w:hAnsi="宋体" w:cs="宋体"/>
          <w:color w:val="auto"/>
          <w:sz w:val="24"/>
          <w:szCs w:val="24"/>
        </w:rPr>
        <w:t>)</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乙方应如实填报运行登记表和每天实验室的检测数据的规范台帐</w:t>
      </w:r>
      <w:r>
        <w:rPr>
          <w:rFonts w:ascii="宋体" w:cs="宋体"/>
          <w:color w:val="auto"/>
          <w:sz w:val="24"/>
          <w:szCs w:val="24"/>
        </w:rPr>
        <w:t>,</w:t>
      </w:r>
      <w:r>
        <w:rPr>
          <w:rFonts w:hint="eastAsia" w:ascii="宋体" w:hAnsi="宋体" w:cs="宋体"/>
          <w:color w:val="auto"/>
          <w:sz w:val="24"/>
          <w:szCs w:val="24"/>
        </w:rPr>
        <w:t>接受甲方及上级等职能部门监督检查</w:t>
      </w:r>
      <w:r>
        <w:rPr>
          <w:rFonts w:ascii="宋体" w:cs="宋体"/>
          <w:color w:val="auto"/>
          <w:sz w:val="24"/>
          <w:szCs w:val="24"/>
        </w:rPr>
        <w:t>,</w:t>
      </w:r>
      <w:r>
        <w:rPr>
          <w:rFonts w:hint="eastAsia" w:ascii="宋体" w:hAnsi="宋体" w:cs="宋体"/>
          <w:color w:val="auto"/>
          <w:sz w:val="24"/>
          <w:szCs w:val="24"/>
        </w:rPr>
        <w:t>对甲方或政府职能管理部门人员进厂提出的问题</w:t>
      </w:r>
      <w:r>
        <w:rPr>
          <w:rFonts w:ascii="宋体" w:cs="宋体"/>
          <w:color w:val="auto"/>
          <w:sz w:val="24"/>
          <w:szCs w:val="24"/>
        </w:rPr>
        <w:t>,</w:t>
      </w:r>
      <w:r>
        <w:rPr>
          <w:rFonts w:hint="eastAsia" w:ascii="宋体" w:hAnsi="宋体" w:cs="宋体"/>
          <w:color w:val="auto"/>
          <w:sz w:val="24"/>
          <w:szCs w:val="24"/>
        </w:rPr>
        <w:t>乙方如实讲解和回答</w:t>
      </w:r>
      <w:r>
        <w:rPr>
          <w:rFonts w:ascii="宋体" w:cs="宋体"/>
          <w:color w:val="auto"/>
          <w:sz w:val="24"/>
          <w:szCs w:val="24"/>
        </w:rPr>
        <w:t>,</w:t>
      </w:r>
      <w:r>
        <w:rPr>
          <w:rFonts w:hint="eastAsia" w:ascii="宋体" w:hAnsi="宋体" w:cs="宋体"/>
          <w:color w:val="auto"/>
          <w:sz w:val="24"/>
          <w:szCs w:val="24"/>
        </w:rPr>
        <w:t>不得虚报实情。</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乙方应向甲方提供《渗滤液处理操作规程》</w:t>
      </w:r>
      <w:r>
        <w:rPr>
          <w:rFonts w:ascii="宋体" w:cs="宋体"/>
          <w:color w:val="auto"/>
          <w:sz w:val="24"/>
          <w:szCs w:val="24"/>
        </w:rPr>
        <w:t>,</w:t>
      </w:r>
      <w:r>
        <w:rPr>
          <w:rFonts w:hint="eastAsia" w:ascii="宋体" w:hAnsi="宋体" w:cs="宋体"/>
          <w:color w:val="auto"/>
          <w:sz w:val="24"/>
          <w:szCs w:val="24"/>
        </w:rPr>
        <w:t>相关的科室制度应上墙</w:t>
      </w:r>
      <w:r>
        <w:rPr>
          <w:rFonts w:ascii="宋体" w:cs="宋体"/>
          <w:color w:val="auto"/>
          <w:sz w:val="24"/>
          <w:szCs w:val="24"/>
        </w:rPr>
        <w:t>,</w:t>
      </w:r>
      <w:r>
        <w:rPr>
          <w:rFonts w:hint="eastAsia" w:ascii="宋体" w:hAnsi="宋体" w:cs="宋体"/>
          <w:color w:val="auto"/>
          <w:sz w:val="24"/>
          <w:szCs w:val="24"/>
        </w:rPr>
        <w:t>做好安全生产</w:t>
      </w:r>
      <w:r>
        <w:rPr>
          <w:rFonts w:ascii="宋体" w:cs="宋体"/>
          <w:color w:val="auto"/>
          <w:sz w:val="24"/>
          <w:szCs w:val="24"/>
        </w:rPr>
        <w:t>,</w:t>
      </w:r>
      <w:r>
        <w:rPr>
          <w:rFonts w:hint="eastAsia" w:ascii="宋体" w:hAnsi="宋体" w:cs="宋体"/>
          <w:color w:val="auto"/>
          <w:sz w:val="24"/>
          <w:szCs w:val="24"/>
        </w:rPr>
        <w:t>并做好车间及生活区的卫生。</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乙方应建立健全水质检测和检验制度，按照国家或行业规定的检测项目、检测频次和有关标准、方法定期检测渗滤液处理站进水和出水等项目，做好各项检测分析资料和水质报表的汇总、归档。主要检测指标为</w:t>
      </w:r>
      <w:r>
        <w:rPr>
          <w:rFonts w:ascii="宋体" w:hAnsi="宋体" w:cs="宋体"/>
          <w:color w:val="auto"/>
          <w:sz w:val="24"/>
          <w:szCs w:val="24"/>
        </w:rPr>
        <w:t>COD</w:t>
      </w:r>
      <w:r>
        <w:rPr>
          <w:rFonts w:ascii="宋体" w:hAnsi="宋体" w:cs="宋体"/>
          <w:color w:val="auto"/>
          <w:sz w:val="24"/>
          <w:szCs w:val="24"/>
          <w:vertAlign w:val="subscript"/>
        </w:rPr>
        <w:t>Cr</w:t>
      </w:r>
      <w:r>
        <w:rPr>
          <w:rFonts w:hint="eastAsia" w:ascii="宋体" w:hAnsi="宋体" w:cs="宋体"/>
          <w:color w:val="auto"/>
          <w:sz w:val="24"/>
          <w:szCs w:val="24"/>
        </w:rPr>
        <w:t>、氨氮和</w:t>
      </w:r>
      <w:r>
        <w:rPr>
          <w:rFonts w:ascii="宋体" w:hAnsi="宋体" w:cs="宋体"/>
          <w:color w:val="auto"/>
          <w:sz w:val="24"/>
          <w:szCs w:val="24"/>
        </w:rPr>
        <w:t>pH</w:t>
      </w:r>
      <w:r>
        <w:rPr>
          <w:rFonts w:hint="eastAsia" w:ascii="宋体" w:hAnsi="宋体" w:cs="宋体"/>
          <w:color w:val="auto"/>
          <w:sz w:val="24"/>
          <w:szCs w:val="24"/>
        </w:rPr>
        <w:t>值。</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对渗滤液处理设施的状况及性能建立定期检修保养制度，对各项设施的运行资料进行收集、归类和整理，完善公用设施信息化管理系统，保持渗滤液处理设施处于良好使用状态，并在甲方的要求下将设施运行情况报告给甲方。</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乙方在日常生产经营活动中，应充分考虑环境影响，维护生态环境。</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建立完善安全生产制度和意外事故的应急机制，制定应急预案报甲方备案，并按要求定期进行应急预案演练；乙方应保障生产和服务的稳定和安全，防止事故发生。如出现重大意外事故，乙方应及时通报甲方，并尽最大人力、物力进行抢救，尽快恢复生产与服务；在事故影响期间，乙方应采取各种应急措施进行补救，尽量减少事故对公众的影响。</w:t>
      </w:r>
    </w:p>
    <w:p>
      <w:pPr>
        <w:keepNext/>
        <w:keepLines/>
        <w:spacing w:before="260" w:after="260" w:line="360" w:lineRule="auto"/>
        <w:jc w:val="left"/>
        <w:outlineLvl w:val="2"/>
        <w:rPr>
          <w:rFonts w:ascii="宋体"/>
          <w:b/>
          <w:bCs/>
          <w:color w:val="auto"/>
          <w:sz w:val="24"/>
          <w:szCs w:val="24"/>
        </w:rPr>
      </w:pPr>
      <w:bookmarkStart w:id="127" w:name="_Toc404263603"/>
      <w:bookmarkStart w:id="128" w:name="_Toc136332538"/>
      <w:bookmarkStart w:id="129" w:name="_Toc521685620"/>
      <w:r>
        <w:rPr>
          <w:rFonts w:ascii="宋体" w:hAnsi="宋体" w:cs="宋体"/>
          <w:b/>
          <w:bCs/>
          <w:color w:val="auto"/>
          <w:sz w:val="24"/>
          <w:szCs w:val="24"/>
        </w:rPr>
        <w:t xml:space="preserve">4.5  </w:t>
      </w:r>
      <w:bookmarkEnd w:id="127"/>
      <w:bookmarkEnd w:id="128"/>
      <w:r>
        <w:rPr>
          <w:rFonts w:hint="eastAsia" w:ascii="宋体" w:hAnsi="宋体" w:cs="宋体"/>
          <w:b/>
          <w:bCs/>
          <w:color w:val="auto"/>
          <w:sz w:val="24"/>
          <w:szCs w:val="24"/>
        </w:rPr>
        <w:t>履约担保</w:t>
      </w:r>
      <w:bookmarkEnd w:id="129"/>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ascii="宋体" w:cs="宋体"/>
          <w:color w:val="auto"/>
          <w:sz w:val="24"/>
          <w:szCs w:val="24"/>
        </w:rPr>
        <w:t>.</w:t>
      </w:r>
      <w:r>
        <w:rPr>
          <w:rFonts w:ascii="宋体" w:hAnsi="宋体" w:cs="宋体"/>
          <w:color w:val="auto"/>
          <w:sz w:val="24"/>
          <w:szCs w:val="24"/>
        </w:rPr>
        <w:t xml:space="preserve">5.1  </w:t>
      </w:r>
      <w:r>
        <w:rPr>
          <w:rFonts w:hint="eastAsia" w:ascii="宋体" w:hAnsi="宋体" w:cs="宋体"/>
          <w:color w:val="auto"/>
          <w:sz w:val="24"/>
          <w:szCs w:val="24"/>
        </w:rPr>
        <w:t>履约担保的出具</w:t>
      </w:r>
    </w:p>
    <w:p>
      <w:pPr>
        <w:spacing w:line="360" w:lineRule="auto"/>
        <w:ind w:firstLine="480" w:firstLineChars="200"/>
        <w:rPr>
          <w:rFonts w:ascii="宋体"/>
          <w:color w:val="auto"/>
          <w:sz w:val="24"/>
          <w:szCs w:val="24"/>
        </w:rPr>
      </w:pPr>
      <w:r>
        <w:rPr>
          <w:rFonts w:hint="eastAsia" w:ascii="宋体" w:hAnsi="宋体" w:cs="宋体"/>
          <w:color w:val="auto"/>
          <w:sz w:val="24"/>
          <w:szCs w:val="24"/>
        </w:rPr>
        <w:t>履约担保金额：年运营费用的</w:t>
      </w:r>
      <w:r>
        <w:rPr>
          <w:rFonts w:ascii="宋体" w:hAnsi="宋体" w:cs="宋体"/>
          <w:color w:val="auto"/>
          <w:sz w:val="24"/>
          <w:szCs w:val="24"/>
        </w:rPr>
        <w:t>5%</w:t>
      </w:r>
      <w:r>
        <w:rPr>
          <w:rFonts w:hint="eastAsia" w:ascii="宋体" w:hAnsi="宋体" w:cs="宋体"/>
          <w:color w:val="auto"/>
          <w:sz w:val="24"/>
          <w:szCs w:val="24"/>
        </w:rPr>
        <w:t>，即（大写）：</w:t>
      </w:r>
      <w:r>
        <w:rPr>
          <w:rFonts w:hint="eastAsia" w:ascii="宋体" w:hAnsi="宋体" w:cs="宋体"/>
          <w:color w:val="auto"/>
          <w:sz w:val="24"/>
          <w:szCs w:val="24"/>
          <w:u w:val="single"/>
        </w:rPr>
        <w:t>人民币</w:t>
      </w:r>
      <w:r>
        <w:rPr>
          <w:rFonts w:ascii="宋体" w:hAnsi="宋体" w:cs="宋体"/>
          <w:color w:val="auto"/>
          <w:sz w:val="24"/>
          <w:szCs w:val="24"/>
          <w:u w:val="single"/>
        </w:rPr>
        <w:t xml:space="preserve">  </w:t>
      </w:r>
      <w:r>
        <w:rPr>
          <w:rFonts w:hint="eastAsia" w:ascii="宋体" w:hAnsi="宋体" w:cs="宋体"/>
          <w:color w:val="auto"/>
          <w:sz w:val="24"/>
          <w:szCs w:val="24"/>
          <w:u w:val="single"/>
        </w:rPr>
        <w:t>元整</w:t>
      </w:r>
      <w:r>
        <w:rPr>
          <w:rFonts w:hint="eastAsia" w:ascii="宋体" w:hAnsi="宋体" w:cs="宋体"/>
          <w:color w:val="auto"/>
          <w:sz w:val="24"/>
          <w:szCs w:val="24"/>
        </w:rPr>
        <w:t>，（小写）：</w:t>
      </w:r>
      <w:r>
        <w:rPr>
          <w:rFonts w:hint="eastAsia" w:ascii="宋体" w:hAnsi="宋体" w:cs="宋体"/>
          <w:color w:val="auto"/>
          <w:sz w:val="24"/>
          <w:szCs w:val="24"/>
          <w:u w:val="single"/>
        </w:rPr>
        <w:t>￥</w:t>
      </w:r>
      <w:r>
        <w:rPr>
          <w:rFonts w:ascii="宋体" w:hAnsi="宋体" w:cs="宋体"/>
          <w:color w:val="auto"/>
          <w:sz w:val="24"/>
          <w:szCs w:val="24"/>
          <w:u w:val="single"/>
        </w:rPr>
        <w:t xml:space="preserve">  </w:t>
      </w:r>
      <w:r>
        <w:rPr>
          <w:rFonts w:hint="eastAsia" w:ascii="宋体" w:hAnsi="宋体" w:cs="宋体"/>
          <w:color w:val="auto"/>
          <w:sz w:val="24"/>
          <w:szCs w:val="24"/>
          <w:u w:val="single"/>
        </w:rPr>
        <w:t>元</w:t>
      </w:r>
      <w:r>
        <w:rPr>
          <w:rFonts w:hint="eastAsia" w:ascii="宋体" w:hAnsi="宋体" w:cs="宋体"/>
          <w:color w:val="auto"/>
          <w:sz w:val="24"/>
          <w:szCs w:val="24"/>
        </w:rPr>
        <w:t>。履约担保可以以电汇或银行保函的形式提交。乙方需在合同签订后且进入运营前</w:t>
      </w:r>
      <w:r>
        <w:rPr>
          <w:rFonts w:ascii="宋体" w:hAnsi="宋体" w:cs="宋体"/>
          <w:color w:val="auto"/>
          <w:sz w:val="24"/>
          <w:szCs w:val="24"/>
        </w:rPr>
        <w:t>5</w:t>
      </w:r>
      <w:r>
        <w:rPr>
          <w:rFonts w:hint="eastAsia" w:ascii="宋体" w:hAnsi="宋体" w:cs="宋体"/>
          <w:color w:val="auto"/>
          <w:sz w:val="24"/>
          <w:szCs w:val="24"/>
        </w:rPr>
        <w:t>个工作日内提交履约担保。若履约担保以电汇方式提交，则甲方需在运营期满后</w:t>
      </w:r>
      <w:r>
        <w:rPr>
          <w:rFonts w:ascii="宋体" w:hAnsi="宋体" w:cs="宋体"/>
          <w:color w:val="auto"/>
          <w:sz w:val="24"/>
          <w:szCs w:val="24"/>
        </w:rPr>
        <w:t>5</w:t>
      </w:r>
      <w:r>
        <w:rPr>
          <w:rFonts w:hint="eastAsia" w:ascii="宋体" w:hAnsi="宋体" w:cs="宋体"/>
          <w:color w:val="auto"/>
          <w:sz w:val="24"/>
          <w:szCs w:val="24"/>
        </w:rPr>
        <w:t>个工作日内无息退还给乙方。若履约担保以银行保函方式提交，银行保函的期限应为壹年。</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ascii="宋体" w:cs="宋体"/>
          <w:color w:val="auto"/>
          <w:sz w:val="24"/>
          <w:szCs w:val="24"/>
        </w:rPr>
        <w:t>.</w:t>
      </w:r>
      <w:r>
        <w:rPr>
          <w:rFonts w:ascii="宋体" w:hAnsi="宋体" w:cs="宋体"/>
          <w:color w:val="auto"/>
          <w:sz w:val="24"/>
          <w:szCs w:val="24"/>
        </w:rPr>
        <w:t xml:space="preserve">5.2  </w:t>
      </w:r>
      <w:r>
        <w:rPr>
          <w:rFonts w:hint="eastAsia" w:ascii="宋体" w:hAnsi="宋体" w:cs="宋体"/>
          <w:color w:val="auto"/>
          <w:sz w:val="24"/>
          <w:szCs w:val="24"/>
        </w:rPr>
        <w:t>恢复履约担保的数额</w:t>
      </w:r>
    </w:p>
    <w:p>
      <w:pPr>
        <w:spacing w:line="360" w:lineRule="auto"/>
        <w:ind w:firstLine="480" w:firstLineChars="200"/>
        <w:rPr>
          <w:rFonts w:ascii="宋体"/>
          <w:color w:val="auto"/>
          <w:sz w:val="24"/>
          <w:szCs w:val="24"/>
        </w:rPr>
      </w:pPr>
      <w:r>
        <w:rPr>
          <w:rFonts w:hint="eastAsia" w:ascii="宋体" w:hAnsi="宋体" w:cs="宋体"/>
          <w:color w:val="auto"/>
          <w:sz w:val="24"/>
          <w:szCs w:val="24"/>
        </w:rPr>
        <w:t>如果甲方在运营期内兑取履约担保项下的款项，乙方应确保在甲方兑取款项后的</w:t>
      </w:r>
      <w:r>
        <w:rPr>
          <w:rFonts w:ascii="宋体" w:hAnsi="宋体" w:cs="宋体"/>
          <w:color w:val="auto"/>
          <w:sz w:val="24"/>
          <w:szCs w:val="24"/>
          <w:u w:val="single"/>
        </w:rPr>
        <w:t xml:space="preserve">  3  </w:t>
      </w:r>
      <w:r>
        <w:rPr>
          <w:rFonts w:hint="eastAsia" w:ascii="宋体" w:hAnsi="宋体" w:cs="宋体"/>
          <w:color w:val="auto"/>
          <w:sz w:val="24"/>
          <w:szCs w:val="24"/>
        </w:rPr>
        <w:t>个月内将兑取履约担保的金额恢复，并向甲方提供履约担保已恢复的证据。</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ascii="宋体" w:cs="宋体"/>
          <w:color w:val="auto"/>
          <w:sz w:val="24"/>
          <w:szCs w:val="24"/>
        </w:rPr>
        <w:t>.</w:t>
      </w:r>
      <w:r>
        <w:rPr>
          <w:rFonts w:ascii="宋体" w:hAnsi="宋体" w:cs="宋体"/>
          <w:color w:val="auto"/>
          <w:sz w:val="24"/>
          <w:szCs w:val="24"/>
        </w:rPr>
        <w:t xml:space="preserve">5.3 </w:t>
      </w:r>
      <w:r>
        <w:rPr>
          <w:rFonts w:hint="eastAsia" w:ascii="宋体" w:hAnsi="宋体" w:cs="宋体"/>
          <w:color w:val="auto"/>
          <w:sz w:val="24"/>
          <w:szCs w:val="24"/>
        </w:rPr>
        <w:t>维护的责任</w:t>
      </w:r>
    </w:p>
    <w:p>
      <w:pPr>
        <w:spacing w:line="360" w:lineRule="auto"/>
        <w:ind w:firstLine="480" w:firstLineChars="200"/>
        <w:rPr>
          <w:rFonts w:ascii="宋体"/>
          <w:color w:val="auto"/>
          <w:sz w:val="24"/>
          <w:szCs w:val="24"/>
        </w:rPr>
      </w:pPr>
      <w:r>
        <w:rPr>
          <w:rFonts w:hint="eastAsia" w:ascii="宋体" w:hAnsi="宋体" w:cs="宋体"/>
          <w:color w:val="auto"/>
          <w:sz w:val="24"/>
          <w:szCs w:val="24"/>
        </w:rPr>
        <w:t>甲方行使兑取履约担保项下款项的权利不损害甲方在本协议项下的其它权利，且不应解除乙方不履行维护运营项目设施的义务。</w:t>
      </w:r>
    </w:p>
    <w:p>
      <w:pPr>
        <w:keepNext/>
        <w:keepLines/>
        <w:spacing w:before="260" w:after="260" w:line="360" w:lineRule="auto"/>
        <w:jc w:val="left"/>
        <w:outlineLvl w:val="2"/>
        <w:rPr>
          <w:rFonts w:ascii="宋体"/>
          <w:b/>
          <w:bCs/>
          <w:color w:val="auto"/>
          <w:sz w:val="24"/>
          <w:szCs w:val="24"/>
        </w:rPr>
      </w:pPr>
      <w:bookmarkStart w:id="130" w:name="_Toc136332539"/>
      <w:bookmarkStart w:id="131" w:name="_Toc404263604"/>
      <w:bookmarkStart w:id="132" w:name="_Toc521685621"/>
      <w:r>
        <w:rPr>
          <w:rFonts w:ascii="宋体" w:hAnsi="宋体" w:cs="宋体"/>
          <w:b/>
          <w:bCs/>
          <w:color w:val="auto"/>
          <w:sz w:val="24"/>
          <w:szCs w:val="24"/>
        </w:rPr>
        <w:t>4</w:t>
      </w:r>
      <w:r>
        <w:rPr>
          <w:rFonts w:ascii="宋体" w:cs="宋体"/>
          <w:b/>
          <w:bCs/>
          <w:color w:val="auto"/>
          <w:sz w:val="24"/>
          <w:szCs w:val="24"/>
        </w:rPr>
        <w:t>.</w:t>
      </w:r>
      <w:r>
        <w:rPr>
          <w:rFonts w:ascii="宋体" w:hAnsi="宋体" w:cs="宋体"/>
          <w:b/>
          <w:bCs/>
          <w:color w:val="auto"/>
          <w:sz w:val="24"/>
          <w:szCs w:val="24"/>
        </w:rPr>
        <w:t xml:space="preserve">6  </w:t>
      </w:r>
      <w:r>
        <w:rPr>
          <w:rFonts w:hint="eastAsia" w:ascii="宋体" w:hAnsi="宋体" w:cs="宋体"/>
          <w:b/>
          <w:bCs/>
          <w:color w:val="auto"/>
          <w:sz w:val="24"/>
          <w:szCs w:val="24"/>
        </w:rPr>
        <w:t>运营手册</w:t>
      </w:r>
      <w:bookmarkEnd w:id="130"/>
      <w:bookmarkEnd w:id="131"/>
      <w:bookmarkEnd w:id="132"/>
    </w:p>
    <w:p>
      <w:pPr>
        <w:spacing w:line="360" w:lineRule="auto"/>
        <w:ind w:firstLine="480" w:firstLineChars="200"/>
        <w:rPr>
          <w:rFonts w:ascii="宋体"/>
          <w:color w:val="auto"/>
          <w:sz w:val="24"/>
          <w:szCs w:val="24"/>
        </w:rPr>
      </w:pPr>
      <w:r>
        <w:rPr>
          <w:rFonts w:hint="eastAsia" w:ascii="宋体" w:hAnsi="宋体" w:cs="宋体"/>
          <w:color w:val="auto"/>
          <w:sz w:val="24"/>
          <w:szCs w:val="24"/>
        </w:rPr>
        <w:t>在开始商业运行之前，乙方应编制运营手册。该手册应包括生产运行、日常维护、设备检修内容、程序和频率等，并在开始商业运行日之前报送甲方备查。</w:t>
      </w:r>
    </w:p>
    <w:p>
      <w:pPr>
        <w:keepNext/>
        <w:keepLines/>
        <w:spacing w:before="260" w:after="260" w:line="360" w:lineRule="auto"/>
        <w:jc w:val="left"/>
        <w:outlineLvl w:val="2"/>
        <w:rPr>
          <w:rFonts w:ascii="宋体"/>
          <w:b/>
          <w:bCs/>
          <w:color w:val="auto"/>
          <w:sz w:val="24"/>
          <w:szCs w:val="24"/>
        </w:rPr>
      </w:pPr>
      <w:bookmarkStart w:id="133" w:name="_Toc521685622"/>
      <w:bookmarkStart w:id="134" w:name="_Toc136332540"/>
      <w:bookmarkStart w:id="135" w:name="_Toc404263605"/>
      <w:r>
        <w:rPr>
          <w:rFonts w:ascii="宋体" w:hAnsi="宋体" w:cs="宋体"/>
          <w:b/>
          <w:bCs/>
          <w:color w:val="auto"/>
          <w:sz w:val="24"/>
          <w:szCs w:val="24"/>
        </w:rPr>
        <w:t>4</w:t>
      </w:r>
      <w:r>
        <w:rPr>
          <w:rFonts w:ascii="宋体" w:cs="宋体"/>
          <w:b/>
          <w:bCs/>
          <w:color w:val="auto"/>
          <w:sz w:val="24"/>
          <w:szCs w:val="24"/>
        </w:rPr>
        <w:t>.</w:t>
      </w:r>
      <w:r>
        <w:rPr>
          <w:rFonts w:ascii="宋体" w:hAnsi="宋体" w:cs="宋体"/>
          <w:b/>
          <w:bCs/>
          <w:color w:val="auto"/>
          <w:sz w:val="24"/>
          <w:szCs w:val="24"/>
        </w:rPr>
        <w:t xml:space="preserve">7  </w:t>
      </w:r>
      <w:r>
        <w:rPr>
          <w:rFonts w:hint="eastAsia" w:ascii="宋体" w:hAnsi="宋体" w:cs="宋体"/>
          <w:b/>
          <w:bCs/>
          <w:color w:val="auto"/>
          <w:sz w:val="24"/>
          <w:szCs w:val="24"/>
        </w:rPr>
        <w:t>水样的采集和储存</w:t>
      </w:r>
      <w:bookmarkEnd w:id="133"/>
      <w:bookmarkEnd w:id="134"/>
      <w:bookmarkEnd w:id="135"/>
    </w:p>
    <w:p>
      <w:pPr>
        <w:numPr>
          <w:ilvl w:val="0"/>
          <w:numId w:val="14"/>
        </w:numPr>
        <w:spacing w:before="12" w:after="156" w:line="360" w:lineRule="auto"/>
        <w:ind w:left="0" w:firstLine="480" w:firstLineChars="200"/>
        <w:rPr>
          <w:rFonts w:ascii="宋体"/>
          <w:color w:val="auto"/>
          <w:sz w:val="24"/>
          <w:szCs w:val="24"/>
        </w:rPr>
      </w:pPr>
      <w:r>
        <w:rPr>
          <w:rFonts w:hint="eastAsia" w:ascii="宋体" w:hAnsi="宋体" w:cs="宋体"/>
          <w:color w:val="auto"/>
          <w:sz w:val="24"/>
          <w:szCs w:val="24"/>
        </w:rPr>
        <w:t>水样的采集和储存应满足国家或行业标准的相应要求；</w:t>
      </w:r>
      <w:r>
        <w:rPr>
          <w:rFonts w:ascii="宋体" w:hAnsi="宋体" w:cs="宋体"/>
          <w:color w:val="auto"/>
          <w:sz w:val="24"/>
          <w:szCs w:val="24"/>
        </w:rPr>
        <w:t xml:space="preserve"> </w:t>
      </w:r>
    </w:p>
    <w:p>
      <w:pPr>
        <w:numPr>
          <w:ilvl w:val="0"/>
          <w:numId w:val="14"/>
        </w:numPr>
        <w:spacing w:before="12" w:after="156" w:line="360" w:lineRule="auto"/>
        <w:ind w:left="0" w:firstLine="480" w:firstLineChars="200"/>
        <w:rPr>
          <w:rFonts w:ascii="宋体"/>
          <w:color w:val="auto"/>
          <w:sz w:val="24"/>
          <w:szCs w:val="24"/>
        </w:rPr>
      </w:pPr>
      <w:r>
        <w:rPr>
          <w:rFonts w:hint="eastAsia" w:ascii="宋体" w:hAnsi="宋体" w:cs="宋体"/>
          <w:color w:val="auto"/>
          <w:sz w:val="24"/>
          <w:szCs w:val="24"/>
        </w:rPr>
        <w:t>用于检测水质的进水水样和出水水样应分别在渗滤液进水采样点和渗滤液出水采样点采集；</w:t>
      </w:r>
    </w:p>
    <w:p>
      <w:pPr>
        <w:spacing w:line="360" w:lineRule="auto"/>
        <w:ind w:firstLine="480" w:firstLineChars="200"/>
        <w:rPr>
          <w:rFonts w:ascii="宋体"/>
          <w:color w:val="auto"/>
          <w:sz w:val="24"/>
          <w:szCs w:val="24"/>
        </w:rPr>
      </w:pPr>
      <w:r>
        <w:rPr>
          <w:rFonts w:hint="eastAsia" w:ascii="宋体" w:hAnsi="宋体" w:cs="宋体"/>
          <w:color w:val="auto"/>
          <w:sz w:val="24"/>
          <w:szCs w:val="24"/>
        </w:rPr>
        <w:t>甲方有权指定代表或委派监督员在任何时候对乙方的检测程序、仪器、设备和结果进行现场检查和检测。</w:t>
      </w:r>
    </w:p>
    <w:p>
      <w:pPr>
        <w:spacing w:line="360" w:lineRule="auto"/>
        <w:ind w:firstLine="480" w:firstLineChars="200"/>
        <w:rPr>
          <w:rFonts w:ascii="宋体"/>
          <w:color w:val="auto"/>
          <w:sz w:val="24"/>
          <w:szCs w:val="24"/>
        </w:rPr>
      </w:pPr>
      <w:r>
        <w:rPr>
          <w:rFonts w:hint="eastAsia" w:ascii="宋体" w:hAnsi="宋体" w:cs="宋体"/>
          <w:color w:val="auto"/>
          <w:sz w:val="24"/>
          <w:szCs w:val="24"/>
        </w:rPr>
        <w:t>甲方核实或抽查的结果与乙方自检结果不一致时，应以双方认可的有资质的第三方检测结果为准。聘请第三方检测的细则由甲乙双方另行约定。</w:t>
      </w:r>
    </w:p>
    <w:p>
      <w:pPr>
        <w:keepNext/>
        <w:keepLines/>
        <w:spacing w:before="260" w:after="260" w:line="360" w:lineRule="auto"/>
        <w:jc w:val="left"/>
        <w:outlineLvl w:val="2"/>
        <w:rPr>
          <w:rFonts w:ascii="宋体"/>
          <w:b/>
          <w:bCs/>
          <w:color w:val="auto"/>
          <w:sz w:val="24"/>
          <w:szCs w:val="24"/>
        </w:rPr>
      </w:pPr>
      <w:bookmarkStart w:id="136" w:name="_Toc136332541"/>
      <w:bookmarkStart w:id="137" w:name="_Toc521685623"/>
      <w:bookmarkStart w:id="138" w:name="_Toc404263606"/>
      <w:r>
        <w:rPr>
          <w:rFonts w:ascii="宋体" w:hAnsi="宋体" w:cs="宋体"/>
          <w:b/>
          <w:bCs/>
          <w:color w:val="auto"/>
          <w:sz w:val="24"/>
          <w:szCs w:val="24"/>
        </w:rPr>
        <w:t>4</w:t>
      </w:r>
      <w:r>
        <w:rPr>
          <w:rFonts w:ascii="宋体" w:cs="宋体"/>
          <w:b/>
          <w:bCs/>
          <w:color w:val="auto"/>
          <w:sz w:val="24"/>
          <w:szCs w:val="24"/>
        </w:rPr>
        <w:t>.</w:t>
      </w:r>
      <w:r>
        <w:rPr>
          <w:rFonts w:ascii="宋体" w:hAnsi="宋体" w:cs="宋体"/>
          <w:b/>
          <w:bCs/>
          <w:color w:val="auto"/>
          <w:sz w:val="24"/>
          <w:szCs w:val="24"/>
        </w:rPr>
        <w:t xml:space="preserve">8 </w:t>
      </w:r>
      <w:r>
        <w:rPr>
          <w:rFonts w:hint="eastAsia" w:ascii="宋体" w:hAnsi="宋体" w:cs="宋体"/>
          <w:b/>
          <w:bCs/>
          <w:color w:val="auto"/>
          <w:sz w:val="24"/>
          <w:szCs w:val="24"/>
        </w:rPr>
        <w:t>水量的计量</w:t>
      </w:r>
      <w:bookmarkEnd w:id="136"/>
      <w:bookmarkEnd w:id="137"/>
      <w:bookmarkEnd w:id="138"/>
    </w:p>
    <w:p>
      <w:pPr>
        <w:spacing w:line="360" w:lineRule="auto"/>
        <w:ind w:firstLine="480" w:firstLineChars="200"/>
        <w:rPr>
          <w:rFonts w:ascii="宋体"/>
          <w:color w:val="auto"/>
          <w:sz w:val="24"/>
          <w:szCs w:val="24"/>
        </w:rPr>
      </w:pPr>
      <w:r>
        <w:rPr>
          <w:rFonts w:ascii="宋体" w:hAnsi="宋体" w:cs="宋体"/>
          <w:color w:val="auto"/>
          <w:sz w:val="24"/>
          <w:szCs w:val="24"/>
        </w:rPr>
        <w:t xml:space="preserve">4.8.1  </w:t>
      </w:r>
      <w:r>
        <w:rPr>
          <w:rFonts w:hint="eastAsia" w:ascii="宋体" w:hAnsi="宋体" w:cs="宋体"/>
          <w:color w:val="auto"/>
          <w:sz w:val="24"/>
          <w:szCs w:val="24"/>
        </w:rPr>
        <w:t>乙方应安装计量检测装置，计量渗滤液处理站的进水量。在开始商业运行日或双方约定的时间，双方应将进水流量计设定一个基础读数，以确定进水流量计的原始值。进水流量由乙方在每月月底抄表，以确定进水水量。水量以立方米计算。甲方有权随时核查流量计读数及乙方的抄表记录。如果甲乙双方就水量记录结果存在分歧，任何一方有权提请有资质的第三方进行检验确定。</w:t>
      </w:r>
    </w:p>
    <w:p>
      <w:pPr>
        <w:spacing w:line="360" w:lineRule="auto"/>
        <w:ind w:firstLine="480" w:firstLineChars="200"/>
        <w:rPr>
          <w:rFonts w:ascii="宋体"/>
          <w:color w:val="auto"/>
          <w:sz w:val="24"/>
          <w:szCs w:val="24"/>
        </w:rPr>
      </w:pPr>
      <w:r>
        <w:rPr>
          <w:rFonts w:ascii="宋体" w:hAnsi="宋体" w:cs="宋体"/>
          <w:color w:val="auto"/>
          <w:sz w:val="24"/>
          <w:szCs w:val="24"/>
        </w:rPr>
        <w:t xml:space="preserve">4.8.2  </w:t>
      </w:r>
      <w:r>
        <w:rPr>
          <w:rFonts w:hint="eastAsia" w:ascii="宋体" w:hAnsi="宋体" w:cs="宋体"/>
          <w:color w:val="auto"/>
          <w:sz w:val="24"/>
          <w:szCs w:val="24"/>
        </w:rPr>
        <w:t>乙方应使用符合要求的流量计连续测量、计算和记录在进水计量点提取的进水量。包括瞬时流量和时、日、月、年的累计流量。</w:t>
      </w:r>
    </w:p>
    <w:p>
      <w:pPr>
        <w:keepNext/>
        <w:keepLines/>
        <w:spacing w:before="260" w:after="260" w:line="360" w:lineRule="auto"/>
        <w:jc w:val="left"/>
        <w:outlineLvl w:val="2"/>
        <w:rPr>
          <w:rFonts w:ascii="宋体"/>
          <w:b/>
          <w:bCs/>
          <w:color w:val="auto"/>
          <w:sz w:val="24"/>
          <w:szCs w:val="24"/>
        </w:rPr>
      </w:pPr>
      <w:bookmarkStart w:id="139" w:name="_Toc521685624"/>
      <w:bookmarkStart w:id="140" w:name="_Toc404263607"/>
      <w:bookmarkStart w:id="141" w:name="_Toc136332542"/>
      <w:r>
        <w:rPr>
          <w:rFonts w:ascii="宋体" w:hAnsi="宋体" w:cs="宋体"/>
          <w:b/>
          <w:bCs/>
          <w:color w:val="auto"/>
          <w:sz w:val="24"/>
          <w:szCs w:val="24"/>
        </w:rPr>
        <w:t xml:space="preserve">4.9 </w:t>
      </w:r>
      <w:r>
        <w:rPr>
          <w:rFonts w:hint="eastAsia" w:ascii="宋体" w:hAnsi="宋体" w:cs="宋体"/>
          <w:b/>
          <w:bCs/>
          <w:color w:val="auto"/>
          <w:sz w:val="24"/>
          <w:szCs w:val="24"/>
        </w:rPr>
        <w:t>应急处理</w:t>
      </w:r>
      <w:bookmarkEnd w:id="139"/>
    </w:p>
    <w:p>
      <w:pPr>
        <w:spacing w:line="360" w:lineRule="auto"/>
        <w:ind w:firstLine="480" w:firstLineChars="200"/>
        <w:rPr>
          <w:rFonts w:ascii="宋体"/>
          <w:color w:val="auto"/>
          <w:sz w:val="24"/>
          <w:szCs w:val="24"/>
        </w:rPr>
      </w:pPr>
      <w:r>
        <w:rPr>
          <w:rFonts w:ascii="宋体" w:hAnsi="宋体" w:cs="宋体"/>
          <w:color w:val="auto"/>
          <w:sz w:val="24"/>
          <w:szCs w:val="24"/>
        </w:rPr>
        <w:t xml:space="preserve">4.9.1 </w:t>
      </w:r>
      <w:r>
        <w:rPr>
          <w:rFonts w:hint="eastAsia" w:ascii="宋体" w:hAnsi="宋体" w:cs="宋体"/>
          <w:color w:val="auto"/>
          <w:sz w:val="24"/>
          <w:szCs w:val="24"/>
        </w:rPr>
        <w:t>在运营期内，乙方应合理安排检修、维护</w:t>
      </w:r>
      <w:r>
        <w:rPr>
          <w:rFonts w:ascii="宋体" w:cs="宋体"/>
          <w:color w:val="auto"/>
          <w:sz w:val="24"/>
          <w:szCs w:val="24"/>
        </w:rPr>
        <w:t>,</w:t>
      </w:r>
      <w:r>
        <w:rPr>
          <w:rFonts w:hint="eastAsia" w:ascii="宋体" w:hAnsi="宋体" w:cs="宋体"/>
          <w:color w:val="auto"/>
          <w:sz w:val="24"/>
          <w:szCs w:val="24"/>
        </w:rPr>
        <w:t>保证垃圾渗滤液处理站正常运行。大修须停止运行的情况</w:t>
      </w:r>
      <w:r>
        <w:rPr>
          <w:rFonts w:ascii="宋体" w:cs="宋体"/>
          <w:color w:val="auto"/>
          <w:sz w:val="24"/>
          <w:szCs w:val="24"/>
        </w:rPr>
        <w:t>,</w:t>
      </w:r>
      <w:r>
        <w:rPr>
          <w:rFonts w:hint="eastAsia" w:ascii="宋体" w:hAnsi="宋体" w:cs="宋体"/>
          <w:color w:val="auto"/>
          <w:sz w:val="24"/>
          <w:szCs w:val="24"/>
        </w:rPr>
        <w:t>乙方须提前一周时间书面通知甲方</w:t>
      </w:r>
      <w:r>
        <w:rPr>
          <w:rFonts w:ascii="宋体" w:hAnsi="宋体" w:cs="宋体"/>
          <w:color w:val="auto"/>
          <w:sz w:val="24"/>
          <w:szCs w:val="24"/>
        </w:rPr>
        <w:t>(</w:t>
      </w:r>
      <w:r>
        <w:rPr>
          <w:rFonts w:hint="eastAsia" w:ascii="宋体" w:hAnsi="宋体" w:cs="宋体"/>
          <w:color w:val="auto"/>
          <w:sz w:val="24"/>
          <w:szCs w:val="24"/>
        </w:rPr>
        <w:t>如遇突发性事故而必须停止运行大修的</w:t>
      </w:r>
      <w:r>
        <w:rPr>
          <w:rFonts w:ascii="宋体" w:cs="宋体"/>
          <w:color w:val="auto"/>
          <w:sz w:val="24"/>
          <w:szCs w:val="24"/>
        </w:rPr>
        <w:t>,</w:t>
      </w:r>
      <w:r>
        <w:rPr>
          <w:rFonts w:hint="eastAsia" w:ascii="宋体" w:hAnsi="宋体" w:cs="宋体"/>
          <w:color w:val="auto"/>
          <w:sz w:val="24"/>
          <w:szCs w:val="24"/>
        </w:rPr>
        <w:t>乙方须立即通知甲方</w:t>
      </w:r>
      <w:r>
        <w:rPr>
          <w:rFonts w:ascii="宋体" w:hAnsi="宋体" w:cs="宋体"/>
          <w:color w:val="auto"/>
          <w:sz w:val="24"/>
          <w:szCs w:val="24"/>
        </w:rPr>
        <w:t>)</w:t>
      </w:r>
      <w:r>
        <w:rPr>
          <w:rFonts w:hint="eastAsia" w:ascii="宋体" w:hAnsi="宋体" w:cs="宋体"/>
          <w:color w:val="auto"/>
          <w:sz w:val="24"/>
          <w:szCs w:val="24"/>
        </w:rPr>
        <w:t>，通知甲方后乙方应全力展开维护、维修工作。</w:t>
      </w:r>
    </w:p>
    <w:p>
      <w:pPr>
        <w:spacing w:line="360" w:lineRule="auto"/>
        <w:ind w:firstLine="480" w:firstLineChars="200"/>
        <w:rPr>
          <w:rFonts w:ascii="宋体"/>
          <w:color w:val="auto"/>
          <w:sz w:val="24"/>
          <w:szCs w:val="24"/>
        </w:rPr>
      </w:pPr>
      <w:r>
        <w:rPr>
          <w:rFonts w:ascii="宋体" w:hAnsi="宋体" w:cs="宋体"/>
          <w:color w:val="auto"/>
          <w:sz w:val="24"/>
          <w:szCs w:val="24"/>
        </w:rPr>
        <w:t xml:space="preserve">4.9.2 </w:t>
      </w:r>
      <w:r>
        <w:rPr>
          <w:rFonts w:hint="eastAsia" w:ascii="宋体" w:hAnsi="宋体" w:cs="宋体"/>
          <w:color w:val="auto"/>
          <w:sz w:val="24"/>
          <w:szCs w:val="24"/>
        </w:rPr>
        <w:t>当出现出水水质不能达标时，乙方应启动应急预案，并采取适当的限制措施。</w:t>
      </w:r>
    </w:p>
    <w:p>
      <w:pPr>
        <w:spacing w:line="360" w:lineRule="auto"/>
        <w:ind w:firstLine="480" w:firstLineChars="200"/>
        <w:rPr>
          <w:rFonts w:ascii="宋体"/>
          <w:color w:val="auto"/>
          <w:sz w:val="24"/>
          <w:szCs w:val="24"/>
        </w:rPr>
      </w:pPr>
      <w:r>
        <w:rPr>
          <w:rFonts w:ascii="宋体" w:hAnsi="宋体" w:cs="宋体"/>
          <w:color w:val="auto"/>
          <w:sz w:val="24"/>
          <w:szCs w:val="24"/>
        </w:rPr>
        <w:t xml:space="preserve">4.9.3 </w:t>
      </w:r>
      <w:r>
        <w:rPr>
          <w:rFonts w:hint="eastAsia" w:ascii="宋体" w:hAnsi="宋体" w:cs="宋体"/>
          <w:color w:val="auto"/>
          <w:sz w:val="24"/>
          <w:szCs w:val="24"/>
        </w:rPr>
        <w:t>当电力供应出现异常时</w:t>
      </w:r>
      <w:r>
        <w:rPr>
          <w:rFonts w:ascii="宋体" w:cs="宋体"/>
          <w:color w:val="auto"/>
          <w:sz w:val="24"/>
          <w:szCs w:val="24"/>
        </w:rPr>
        <w:t>,</w:t>
      </w:r>
      <w:r>
        <w:rPr>
          <w:rFonts w:hint="eastAsia" w:ascii="宋体" w:hAnsi="宋体" w:cs="宋体"/>
          <w:color w:val="auto"/>
          <w:sz w:val="24"/>
          <w:szCs w:val="24"/>
        </w:rPr>
        <w:t>乙方检查后应立即报告甲方</w:t>
      </w:r>
      <w:r>
        <w:rPr>
          <w:rFonts w:ascii="宋体" w:cs="宋体"/>
          <w:color w:val="auto"/>
          <w:sz w:val="24"/>
          <w:szCs w:val="24"/>
        </w:rPr>
        <w:t>,</w:t>
      </w:r>
      <w:r>
        <w:rPr>
          <w:rFonts w:hint="eastAsia" w:ascii="宋体" w:hAnsi="宋体" w:cs="宋体"/>
          <w:color w:val="auto"/>
          <w:sz w:val="24"/>
          <w:szCs w:val="24"/>
        </w:rPr>
        <w:t>同时采取适当的限制措施。</w:t>
      </w:r>
      <w:bookmarkEnd w:id="140"/>
      <w:bookmarkEnd w:id="141"/>
    </w:p>
    <w:p>
      <w:pPr>
        <w:keepNext/>
        <w:keepLines/>
        <w:spacing w:before="260" w:after="260" w:line="360" w:lineRule="auto"/>
        <w:jc w:val="left"/>
        <w:outlineLvl w:val="2"/>
        <w:rPr>
          <w:rFonts w:ascii="宋体"/>
          <w:b/>
          <w:bCs/>
          <w:color w:val="auto"/>
          <w:sz w:val="24"/>
          <w:szCs w:val="24"/>
        </w:rPr>
      </w:pPr>
      <w:bookmarkStart w:id="142" w:name="_Toc521685625"/>
      <w:bookmarkStart w:id="143" w:name="_Toc404263608"/>
      <w:bookmarkStart w:id="144" w:name="_Toc136332543"/>
      <w:r>
        <w:rPr>
          <w:rFonts w:ascii="宋体" w:hAnsi="宋体" w:cs="宋体"/>
          <w:b/>
          <w:bCs/>
          <w:color w:val="auto"/>
          <w:sz w:val="24"/>
          <w:szCs w:val="24"/>
        </w:rPr>
        <w:t>4</w:t>
      </w:r>
      <w:r>
        <w:rPr>
          <w:rFonts w:ascii="宋体" w:cs="宋体"/>
          <w:b/>
          <w:bCs/>
          <w:color w:val="auto"/>
          <w:sz w:val="24"/>
          <w:szCs w:val="24"/>
        </w:rPr>
        <w:t>.</w:t>
      </w:r>
      <w:r>
        <w:rPr>
          <w:rFonts w:ascii="宋体" w:hAnsi="宋体" w:cs="宋体"/>
          <w:b/>
          <w:bCs/>
          <w:color w:val="auto"/>
          <w:sz w:val="24"/>
          <w:szCs w:val="24"/>
        </w:rPr>
        <w:t xml:space="preserve">10  </w:t>
      </w:r>
      <w:r>
        <w:rPr>
          <w:rFonts w:hint="eastAsia" w:ascii="宋体" w:hAnsi="宋体" w:cs="宋体"/>
          <w:b/>
          <w:bCs/>
          <w:color w:val="auto"/>
          <w:sz w:val="24"/>
          <w:szCs w:val="24"/>
        </w:rPr>
        <w:t>环境保护</w:t>
      </w:r>
      <w:bookmarkEnd w:id="142"/>
      <w:bookmarkEnd w:id="143"/>
      <w:bookmarkEnd w:id="144"/>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乙方应始终遵守有关公共卫生和安全的适用法律法规及本协议的规定。</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乙方不应因项目设施运行和维护而造成渗滤液处理站红线范围内（不含渗滤液调节池）场地和排水干管（如果有）土地（包括土壤、地下水或地表水及空气）或周围环境的污染。</w:t>
      </w:r>
    </w:p>
    <w:p>
      <w:pPr>
        <w:spacing w:line="360" w:lineRule="auto"/>
        <w:ind w:firstLine="480" w:firstLineChars="200"/>
        <w:rPr>
          <w:rFonts w:ascii="宋体"/>
          <w:color w:val="auto"/>
          <w:sz w:val="24"/>
          <w:szCs w:val="24"/>
        </w:rPr>
      </w:pPr>
      <w:r>
        <w:rPr>
          <w:rFonts w:hint="eastAsia" w:ascii="宋体" w:hAnsi="宋体" w:cs="宋体"/>
          <w:color w:val="auto"/>
          <w:sz w:val="24"/>
          <w:szCs w:val="24"/>
        </w:rPr>
        <w:t>乙方在项目设施运行和维护期间应采取一切合理措施来避免或尽量减少对项目设施周围建筑物和居民区的干扰。</w:t>
      </w:r>
    </w:p>
    <w:p>
      <w:pPr>
        <w:spacing w:line="360" w:lineRule="auto"/>
        <w:ind w:firstLine="480" w:firstLineChars="200"/>
        <w:rPr>
          <w:rFonts w:ascii="宋体"/>
          <w:color w:val="auto"/>
          <w:sz w:val="24"/>
          <w:szCs w:val="24"/>
        </w:rPr>
      </w:pPr>
      <w:r>
        <w:rPr>
          <w:rFonts w:hint="eastAsia" w:ascii="宋体" w:hAnsi="宋体" w:cs="宋体"/>
          <w:color w:val="auto"/>
          <w:sz w:val="24"/>
          <w:szCs w:val="24"/>
        </w:rPr>
        <w:t>但乙方对于以下任何一种情形不承担责任：（</w:t>
      </w:r>
      <w:r>
        <w:rPr>
          <w:rFonts w:ascii="宋体" w:hAnsi="宋体" w:cs="宋体"/>
          <w:color w:val="auto"/>
          <w:sz w:val="24"/>
          <w:szCs w:val="24"/>
        </w:rPr>
        <w:t>1</w:t>
      </w:r>
      <w:r>
        <w:rPr>
          <w:rFonts w:hint="eastAsia" w:ascii="宋体" w:hAnsi="宋体" w:cs="宋体"/>
          <w:color w:val="auto"/>
          <w:sz w:val="24"/>
          <w:szCs w:val="24"/>
        </w:rPr>
        <w:t>）生效日期前已经存在的或潜在的；或者（</w:t>
      </w:r>
      <w:r>
        <w:rPr>
          <w:rFonts w:ascii="宋体" w:hAnsi="宋体" w:cs="宋体"/>
          <w:color w:val="auto"/>
          <w:sz w:val="24"/>
          <w:szCs w:val="24"/>
        </w:rPr>
        <w:t>2</w:t>
      </w:r>
      <w:r>
        <w:rPr>
          <w:rFonts w:hint="eastAsia" w:ascii="宋体" w:hAnsi="宋体" w:cs="宋体"/>
          <w:color w:val="auto"/>
          <w:sz w:val="24"/>
          <w:szCs w:val="24"/>
        </w:rPr>
        <w:t>）因第三方的作为或不作为引起的；或者（</w:t>
      </w:r>
      <w:r>
        <w:rPr>
          <w:rFonts w:ascii="宋体" w:hAnsi="宋体" w:cs="宋体"/>
          <w:color w:val="auto"/>
          <w:sz w:val="24"/>
          <w:szCs w:val="24"/>
        </w:rPr>
        <w:t>3</w:t>
      </w:r>
      <w:r>
        <w:rPr>
          <w:rFonts w:hint="eastAsia" w:ascii="宋体" w:hAnsi="宋体" w:cs="宋体"/>
          <w:color w:val="auto"/>
          <w:sz w:val="24"/>
          <w:szCs w:val="24"/>
        </w:rPr>
        <w:t>）甲方导致的环境污染及安全隐患。</w:t>
      </w:r>
    </w:p>
    <w:p>
      <w:pPr>
        <w:keepNext/>
        <w:keepLines/>
        <w:spacing w:before="260" w:after="260" w:line="360" w:lineRule="auto"/>
        <w:jc w:val="left"/>
        <w:outlineLvl w:val="2"/>
        <w:rPr>
          <w:rFonts w:ascii="宋体"/>
          <w:b/>
          <w:bCs/>
          <w:color w:val="auto"/>
          <w:sz w:val="24"/>
          <w:szCs w:val="24"/>
        </w:rPr>
      </w:pPr>
      <w:bookmarkStart w:id="145" w:name="_Toc404263609"/>
      <w:bookmarkStart w:id="146" w:name="_Toc136332544"/>
      <w:bookmarkStart w:id="147" w:name="_Toc521685626"/>
      <w:r>
        <w:rPr>
          <w:rFonts w:ascii="宋体" w:hAnsi="宋体" w:cs="宋体"/>
          <w:b/>
          <w:bCs/>
          <w:color w:val="auto"/>
          <w:sz w:val="24"/>
          <w:szCs w:val="24"/>
        </w:rPr>
        <w:t xml:space="preserve">4.11  </w:t>
      </w:r>
      <w:r>
        <w:rPr>
          <w:rFonts w:hint="eastAsia" w:ascii="宋体" w:hAnsi="宋体" w:cs="宋体"/>
          <w:b/>
          <w:bCs/>
          <w:color w:val="auto"/>
          <w:sz w:val="24"/>
          <w:szCs w:val="24"/>
        </w:rPr>
        <w:t>未履行维护的处理</w:t>
      </w:r>
      <w:bookmarkEnd w:id="145"/>
      <w:bookmarkEnd w:id="146"/>
      <w:bookmarkEnd w:id="147"/>
    </w:p>
    <w:p>
      <w:pPr>
        <w:spacing w:line="360" w:lineRule="auto"/>
        <w:ind w:firstLine="480" w:firstLineChars="200"/>
        <w:rPr>
          <w:rFonts w:ascii="宋体"/>
          <w:color w:val="auto"/>
          <w:sz w:val="24"/>
          <w:szCs w:val="24"/>
        </w:rPr>
      </w:pPr>
      <w:r>
        <w:rPr>
          <w:rFonts w:hint="eastAsia" w:ascii="宋体" w:hAnsi="宋体" w:cs="宋体"/>
          <w:color w:val="auto"/>
          <w:sz w:val="24"/>
          <w:szCs w:val="24"/>
        </w:rPr>
        <w:t>如果乙方违反其第</w:t>
      </w:r>
      <w:r>
        <w:rPr>
          <w:rFonts w:ascii="宋体" w:hAnsi="宋体" w:cs="宋体"/>
          <w:color w:val="auto"/>
          <w:sz w:val="24"/>
          <w:szCs w:val="24"/>
        </w:rPr>
        <w:t>3</w:t>
      </w:r>
      <w:r>
        <w:rPr>
          <w:rFonts w:asci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条项下运营项目设施维护的义务，甲方可就该违约向乙方发出通知，限期完成纠正性维护。乙方在接到上述通知后应对运营项目设施进行必要的纠正性维护。如乙方未在限期内进行纠正性维护，甲方有权兑取维护保函项下部分款项对项目设施进行纠正性维护。</w:t>
      </w:r>
    </w:p>
    <w:p>
      <w:pPr>
        <w:keepNext/>
        <w:keepLines/>
        <w:spacing w:before="260" w:after="260" w:line="360" w:lineRule="auto"/>
        <w:jc w:val="left"/>
        <w:outlineLvl w:val="2"/>
        <w:rPr>
          <w:rFonts w:ascii="宋体"/>
          <w:b/>
          <w:bCs/>
          <w:color w:val="auto"/>
          <w:sz w:val="24"/>
          <w:szCs w:val="24"/>
        </w:rPr>
      </w:pPr>
      <w:bookmarkStart w:id="148" w:name="_Toc136332545"/>
      <w:bookmarkStart w:id="149" w:name="_Toc404263610"/>
      <w:bookmarkStart w:id="150" w:name="_Toc521685627"/>
      <w:r>
        <w:rPr>
          <w:rFonts w:ascii="宋体" w:hAnsi="宋体" w:cs="宋体"/>
          <w:b/>
          <w:bCs/>
          <w:color w:val="auto"/>
          <w:sz w:val="24"/>
          <w:szCs w:val="24"/>
        </w:rPr>
        <w:t xml:space="preserve">4.12  </w:t>
      </w:r>
      <w:r>
        <w:rPr>
          <w:rFonts w:hint="eastAsia" w:ascii="宋体" w:hAnsi="宋体" w:cs="宋体"/>
          <w:b/>
          <w:bCs/>
          <w:color w:val="auto"/>
          <w:sz w:val="24"/>
          <w:szCs w:val="24"/>
        </w:rPr>
        <w:t>甲方进入运营项目设施现场</w:t>
      </w:r>
      <w:bookmarkEnd w:id="148"/>
      <w:bookmarkEnd w:id="149"/>
      <w:bookmarkEnd w:id="150"/>
    </w:p>
    <w:p>
      <w:pPr>
        <w:spacing w:line="360" w:lineRule="auto"/>
        <w:ind w:firstLine="480" w:firstLineChars="200"/>
        <w:rPr>
          <w:rFonts w:ascii="宋体"/>
          <w:color w:val="auto"/>
          <w:sz w:val="24"/>
          <w:szCs w:val="24"/>
        </w:rPr>
      </w:pPr>
      <w:r>
        <w:rPr>
          <w:rFonts w:hint="eastAsia" w:ascii="宋体" w:hAnsi="宋体" w:cs="宋体"/>
          <w:color w:val="auto"/>
          <w:sz w:val="24"/>
          <w:szCs w:val="24"/>
        </w:rPr>
        <w:t>甲方及其代表应有权在任何时候进入运营项目设施，按照相关规定对运营项目设施的运行和维护进行监察，但甲方不得干涉、延误或干扰乙方履行其在本协议项下的义务。甲方有权要求乙方提交与生产、经营有关的报表、报告和资料，但应予保密，不得向任何第三人泄漏（政府相关管理机构行使行政职权的除外）。</w:t>
      </w:r>
    </w:p>
    <w:p>
      <w:pPr>
        <w:keepNext/>
        <w:keepLines/>
        <w:spacing w:before="260" w:after="260" w:line="360" w:lineRule="auto"/>
        <w:jc w:val="center"/>
        <w:outlineLvl w:val="1"/>
        <w:rPr>
          <w:rFonts w:ascii="宋体"/>
          <w:b/>
          <w:bCs/>
          <w:color w:val="auto"/>
          <w:sz w:val="24"/>
          <w:szCs w:val="24"/>
        </w:rPr>
      </w:pPr>
      <w:bookmarkStart w:id="151" w:name="_Toc71780651"/>
      <w:bookmarkStart w:id="152" w:name="_Toc136332546"/>
      <w:bookmarkStart w:id="153" w:name="_Toc521685628"/>
      <w:bookmarkStart w:id="154" w:name="_Toc404263611"/>
      <w:r>
        <w:rPr>
          <w:rFonts w:hint="eastAsia" w:ascii="宋体" w:hAnsi="宋体" w:cs="宋体"/>
          <w:b/>
          <w:bCs/>
          <w:color w:val="auto"/>
          <w:sz w:val="24"/>
          <w:szCs w:val="24"/>
        </w:rPr>
        <w:t>第</w:t>
      </w:r>
      <w:r>
        <w:rPr>
          <w:rFonts w:ascii="宋体" w:hAnsi="宋体" w:cs="宋体"/>
          <w:b/>
          <w:bCs/>
          <w:color w:val="auto"/>
          <w:sz w:val="24"/>
          <w:szCs w:val="24"/>
        </w:rPr>
        <w:t>5</w:t>
      </w:r>
      <w:r>
        <w:rPr>
          <w:rFonts w:hint="eastAsia" w:ascii="宋体" w:hAnsi="宋体" w:cs="宋体"/>
          <w:b/>
          <w:bCs/>
          <w:color w:val="auto"/>
          <w:sz w:val="24"/>
          <w:szCs w:val="24"/>
        </w:rPr>
        <w:t>条</w:t>
      </w:r>
      <w:r>
        <w:rPr>
          <w:rFonts w:ascii="宋体" w:hAnsi="宋体" w:cs="宋体"/>
          <w:b/>
          <w:bCs/>
          <w:color w:val="auto"/>
          <w:sz w:val="24"/>
          <w:szCs w:val="24"/>
        </w:rPr>
        <w:t xml:space="preserve">  </w:t>
      </w:r>
      <w:bookmarkEnd w:id="151"/>
      <w:r>
        <w:rPr>
          <w:rFonts w:hint="eastAsia" w:ascii="宋体" w:hAnsi="宋体" w:cs="宋体"/>
          <w:b/>
          <w:bCs/>
          <w:color w:val="auto"/>
          <w:sz w:val="24"/>
          <w:szCs w:val="24"/>
        </w:rPr>
        <w:t>运营服务费</w:t>
      </w:r>
      <w:bookmarkEnd w:id="152"/>
      <w:bookmarkEnd w:id="153"/>
      <w:bookmarkEnd w:id="154"/>
    </w:p>
    <w:p>
      <w:pPr>
        <w:keepNext/>
        <w:keepLines/>
        <w:spacing w:before="260" w:after="260" w:line="360" w:lineRule="auto"/>
        <w:jc w:val="left"/>
        <w:outlineLvl w:val="2"/>
        <w:rPr>
          <w:rFonts w:ascii="宋体"/>
          <w:b/>
          <w:bCs/>
          <w:color w:val="auto"/>
          <w:sz w:val="24"/>
          <w:szCs w:val="24"/>
        </w:rPr>
      </w:pPr>
      <w:bookmarkStart w:id="155" w:name="_Toc521685629"/>
      <w:bookmarkStart w:id="156" w:name="_Toc404263612"/>
      <w:bookmarkStart w:id="157" w:name="_Toc136332547"/>
      <w:r>
        <w:rPr>
          <w:rFonts w:ascii="宋体" w:hAnsi="宋体" w:cs="宋体"/>
          <w:b/>
          <w:bCs/>
          <w:color w:val="auto"/>
          <w:sz w:val="24"/>
          <w:szCs w:val="24"/>
        </w:rPr>
        <w:t xml:space="preserve">5.1  </w:t>
      </w:r>
      <w:r>
        <w:rPr>
          <w:rFonts w:hint="eastAsia" w:ascii="宋体" w:hAnsi="宋体" w:cs="宋体"/>
          <w:b/>
          <w:bCs/>
          <w:color w:val="auto"/>
          <w:sz w:val="24"/>
          <w:szCs w:val="24"/>
        </w:rPr>
        <w:t>运营服务费</w:t>
      </w:r>
      <w:bookmarkEnd w:id="155"/>
      <w:bookmarkEnd w:id="156"/>
      <w:bookmarkEnd w:id="157"/>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在运行期内，甲方按月向乙方支付运营服务费。</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月运营服务费</w:t>
      </w:r>
      <w:r>
        <w:rPr>
          <w:rFonts w:ascii="宋体" w:hAnsi="宋体" w:cs="宋体"/>
          <w:b/>
          <w:bCs/>
          <w:color w:val="auto"/>
          <w:sz w:val="24"/>
          <w:szCs w:val="24"/>
        </w:rPr>
        <w:t>=</w:t>
      </w:r>
      <w:r>
        <w:rPr>
          <w:rFonts w:hint="eastAsia" w:ascii="宋体" w:hAnsi="宋体" w:cs="宋体"/>
          <w:b/>
          <w:bCs/>
          <w:color w:val="auto"/>
          <w:sz w:val="24"/>
          <w:szCs w:val="24"/>
        </w:rPr>
        <w:t>中标单价（元</w:t>
      </w:r>
      <w:r>
        <w:rPr>
          <w:rFonts w:ascii="宋体" w:hAnsi="宋体" w:cs="宋体"/>
          <w:b/>
          <w:bCs/>
          <w:color w:val="auto"/>
          <w:sz w:val="24"/>
          <w:szCs w:val="24"/>
        </w:rPr>
        <w:t>/</w:t>
      </w:r>
      <w:r>
        <w:rPr>
          <w:rFonts w:hint="eastAsia" w:ascii="宋体" w:hAnsi="宋体" w:cs="宋体"/>
          <w:b/>
          <w:bCs/>
          <w:color w:val="auto"/>
          <w:sz w:val="24"/>
          <w:szCs w:val="24"/>
        </w:rPr>
        <w:t>吨）×当月运营水量（吨</w:t>
      </w:r>
      <w:r>
        <w:rPr>
          <w:rFonts w:ascii="宋体" w:hAnsi="宋体" w:cs="宋体"/>
          <w:b/>
          <w:bCs/>
          <w:color w:val="auto"/>
          <w:sz w:val="24"/>
          <w:szCs w:val="24"/>
        </w:rPr>
        <w:t>/</w:t>
      </w:r>
      <w:r>
        <w:rPr>
          <w:rFonts w:hint="eastAsia" w:ascii="宋体" w:hAnsi="宋体" w:cs="宋体"/>
          <w:b/>
          <w:bCs/>
          <w:color w:val="auto"/>
          <w:sz w:val="24"/>
          <w:szCs w:val="24"/>
        </w:rPr>
        <w:t>月）（以进水流量计计量为准）。</w:t>
      </w:r>
    </w:p>
    <w:p>
      <w:pPr>
        <w:keepNext/>
        <w:keepLines/>
        <w:spacing w:before="260" w:after="260" w:line="360" w:lineRule="auto"/>
        <w:jc w:val="left"/>
        <w:outlineLvl w:val="2"/>
        <w:rPr>
          <w:rFonts w:ascii="宋体"/>
          <w:b/>
          <w:bCs/>
          <w:color w:val="auto"/>
          <w:sz w:val="24"/>
          <w:szCs w:val="24"/>
        </w:rPr>
      </w:pPr>
      <w:bookmarkStart w:id="158" w:name="_Toc404263613"/>
      <w:bookmarkStart w:id="159" w:name="_Toc136332548"/>
      <w:bookmarkStart w:id="160" w:name="_Toc521685630"/>
      <w:r>
        <w:rPr>
          <w:rFonts w:ascii="宋体" w:hAnsi="宋体" w:cs="宋体"/>
          <w:b/>
          <w:bCs/>
          <w:color w:val="auto"/>
          <w:sz w:val="24"/>
          <w:szCs w:val="24"/>
        </w:rPr>
        <w:t xml:space="preserve">5.2  </w:t>
      </w:r>
      <w:r>
        <w:rPr>
          <w:rFonts w:hint="eastAsia" w:ascii="宋体" w:hAnsi="宋体" w:cs="宋体"/>
          <w:b/>
          <w:bCs/>
          <w:color w:val="auto"/>
          <w:sz w:val="24"/>
          <w:szCs w:val="24"/>
        </w:rPr>
        <w:t>运营服务费单价调整</w:t>
      </w:r>
      <w:bookmarkEnd w:id="158"/>
      <w:bookmarkEnd w:id="159"/>
      <w:bookmarkEnd w:id="160"/>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在运营期内运营服务费单价不做调整。</w:t>
      </w:r>
    </w:p>
    <w:p>
      <w:pPr>
        <w:keepNext/>
        <w:keepLines/>
        <w:spacing w:before="260" w:after="260" w:line="360" w:lineRule="auto"/>
        <w:jc w:val="left"/>
        <w:outlineLvl w:val="2"/>
        <w:rPr>
          <w:rFonts w:ascii="宋体"/>
          <w:b/>
          <w:bCs/>
          <w:color w:val="auto"/>
          <w:sz w:val="24"/>
          <w:szCs w:val="24"/>
        </w:rPr>
      </w:pPr>
      <w:bookmarkStart w:id="161" w:name="_Toc404263614"/>
      <w:bookmarkStart w:id="162" w:name="_Toc136332549"/>
      <w:bookmarkStart w:id="163" w:name="_Toc521685631"/>
      <w:r>
        <w:rPr>
          <w:rFonts w:ascii="宋体" w:hAnsi="宋体" w:cs="宋体"/>
          <w:b/>
          <w:bCs/>
          <w:color w:val="auto"/>
          <w:sz w:val="24"/>
          <w:szCs w:val="24"/>
        </w:rPr>
        <w:t xml:space="preserve">5.3  </w:t>
      </w:r>
      <w:r>
        <w:rPr>
          <w:rFonts w:hint="eastAsia" w:ascii="宋体" w:hAnsi="宋体" w:cs="宋体"/>
          <w:b/>
          <w:bCs/>
          <w:color w:val="auto"/>
          <w:sz w:val="24"/>
          <w:szCs w:val="24"/>
        </w:rPr>
        <w:t>运营服务费的支付</w:t>
      </w:r>
      <w:bookmarkEnd w:id="161"/>
      <w:bookmarkEnd w:id="162"/>
      <w:bookmarkEnd w:id="163"/>
    </w:p>
    <w:p>
      <w:pPr>
        <w:spacing w:line="360" w:lineRule="auto"/>
        <w:ind w:firstLine="482" w:firstLineChars="200"/>
        <w:rPr>
          <w:rFonts w:ascii="宋体"/>
          <w:b/>
          <w:bCs/>
          <w:color w:val="auto"/>
          <w:sz w:val="24"/>
          <w:szCs w:val="24"/>
        </w:rPr>
      </w:pPr>
      <w:r>
        <w:rPr>
          <w:rFonts w:ascii="宋体" w:hAnsi="宋体" w:cs="宋体"/>
          <w:b/>
          <w:bCs/>
          <w:color w:val="auto"/>
          <w:sz w:val="24"/>
          <w:szCs w:val="24"/>
        </w:rPr>
        <w:t>5.3.1</w:t>
      </w:r>
      <w:r>
        <w:rPr>
          <w:rFonts w:hint="eastAsia" w:ascii="宋体" w:hAnsi="宋体" w:cs="宋体"/>
          <w:b/>
          <w:bCs/>
          <w:color w:val="auto"/>
          <w:sz w:val="24"/>
          <w:szCs w:val="24"/>
        </w:rPr>
        <w:t>甲方每月</w:t>
      </w:r>
      <w:r>
        <w:rPr>
          <w:rFonts w:ascii="宋体" w:hAnsi="宋体" w:cs="宋体"/>
          <w:b/>
          <w:bCs/>
          <w:color w:val="auto"/>
          <w:sz w:val="24"/>
          <w:szCs w:val="24"/>
        </w:rPr>
        <w:t>5</w:t>
      </w:r>
      <w:r>
        <w:rPr>
          <w:rFonts w:hint="eastAsia" w:ascii="宋体" w:hAnsi="宋体" w:cs="宋体"/>
          <w:b/>
          <w:bCs/>
          <w:color w:val="auto"/>
          <w:sz w:val="24"/>
          <w:szCs w:val="24"/>
        </w:rPr>
        <w:t>日前支付上月运行费用，乙方向甲方提供相应金额的税率为</w:t>
      </w:r>
      <w:r>
        <w:rPr>
          <w:rFonts w:ascii="宋体" w:hAnsi="宋体" w:cs="宋体"/>
          <w:b/>
          <w:bCs/>
          <w:color w:val="auto"/>
          <w:sz w:val="24"/>
          <w:szCs w:val="24"/>
        </w:rPr>
        <w:t>6%</w:t>
      </w:r>
      <w:r>
        <w:rPr>
          <w:rFonts w:hint="eastAsia" w:ascii="宋体" w:hAnsi="宋体" w:cs="宋体"/>
          <w:b/>
          <w:bCs/>
          <w:color w:val="auto"/>
          <w:sz w:val="24"/>
          <w:szCs w:val="24"/>
        </w:rPr>
        <w:t>的增值税专用发票。</w:t>
      </w:r>
    </w:p>
    <w:p>
      <w:pPr>
        <w:spacing w:line="360" w:lineRule="auto"/>
        <w:ind w:firstLine="482" w:firstLineChars="200"/>
        <w:rPr>
          <w:rFonts w:ascii="宋体"/>
          <w:b/>
          <w:bCs/>
          <w:color w:val="auto"/>
          <w:sz w:val="24"/>
          <w:szCs w:val="24"/>
        </w:rPr>
      </w:pPr>
      <w:r>
        <w:rPr>
          <w:rFonts w:ascii="宋体" w:hAnsi="宋体" w:cs="宋体"/>
          <w:b/>
          <w:bCs/>
          <w:color w:val="auto"/>
          <w:sz w:val="24"/>
          <w:szCs w:val="24"/>
        </w:rPr>
        <w:t>5.3.2</w:t>
      </w:r>
      <w:r>
        <w:rPr>
          <w:rFonts w:hint="eastAsia" w:ascii="宋体" w:hAnsi="宋体" w:cs="宋体"/>
          <w:b/>
          <w:bCs/>
          <w:color w:val="auto"/>
          <w:sz w:val="24"/>
          <w:szCs w:val="24"/>
        </w:rPr>
        <w:t>乙方应在每个运行月结束后</w:t>
      </w:r>
      <w:r>
        <w:rPr>
          <w:rFonts w:ascii="宋体" w:hAnsi="宋体" w:cs="宋体"/>
          <w:b/>
          <w:bCs/>
          <w:color w:val="auto"/>
          <w:sz w:val="24"/>
          <w:szCs w:val="24"/>
          <w:u w:val="single"/>
        </w:rPr>
        <w:t xml:space="preserve"> 2 </w:t>
      </w:r>
      <w:r>
        <w:rPr>
          <w:rFonts w:hint="eastAsia" w:ascii="宋体" w:hAnsi="宋体" w:cs="宋体"/>
          <w:b/>
          <w:bCs/>
          <w:color w:val="auto"/>
          <w:sz w:val="24"/>
          <w:szCs w:val="24"/>
        </w:rPr>
        <w:t>个工作日内向甲方提供当月运行报告，包括处理水量、水质检测情况、设施运行状态等情况。乙方应在每个运行月结束后</w:t>
      </w:r>
      <w:r>
        <w:rPr>
          <w:rFonts w:ascii="宋体" w:hAnsi="宋体" w:cs="宋体"/>
          <w:b/>
          <w:bCs/>
          <w:color w:val="auto"/>
          <w:sz w:val="24"/>
          <w:szCs w:val="24"/>
          <w:u w:val="single"/>
        </w:rPr>
        <w:t xml:space="preserve"> 2 </w:t>
      </w:r>
      <w:r>
        <w:rPr>
          <w:rFonts w:hint="eastAsia" w:ascii="宋体" w:hAnsi="宋体" w:cs="宋体"/>
          <w:b/>
          <w:bCs/>
          <w:color w:val="auto"/>
          <w:sz w:val="24"/>
          <w:szCs w:val="24"/>
        </w:rPr>
        <w:t>个工作日内向甲方开具账单或付款通知，甲方在收到账单</w:t>
      </w:r>
      <w:r>
        <w:rPr>
          <w:rFonts w:ascii="宋体" w:hAnsi="宋体" w:cs="宋体"/>
          <w:b/>
          <w:bCs/>
          <w:color w:val="auto"/>
          <w:sz w:val="24"/>
          <w:szCs w:val="24"/>
          <w:u w:val="single"/>
        </w:rPr>
        <w:t xml:space="preserve"> 3 </w:t>
      </w:r>
      <w:r>
        <w:rPr>
          <w:rFonts w:hint="eastAsia" w:ascii="宋体" w:hAnsi="宋体" w:cs="宋体"/>
          <w:b/>
          <w:bCs/>
          <w:color w:val="auto"/>
          <w:sz w:val="24"/>
          <w:szCs w:val="24"/>
        </w:rPr>
        <w:t>个工作日内支付无争议的运营服务费金额。如甲方对账单有争议，应在收到付款通知后</w:t>
      </w:r>
      <w:r>
        <w:rPr>
          <w:rFonts w:ascii="宋体" w:hAnsi="宋体" w:cs="宋体"/>
          <w:b/>
          <w:bCs/>
          <w:color w:val="auto"/>
          <w:sz w:val="24"/>
          <w:szCs w:val="24"/>
          <w:u w:val="single"/>
        </w:rPr>
        <w:t>3</w:t>
      </w:r>
      <w:r>
        <w:rPr>
          <w:rFonts w:hint="eastAsia" w:ascii="宋体" w:hAnsi="宋体" w:cs="宋体"/>
          <w:b/>
          <w:bCs/>
          <w:color w:val="auto"/>
          <w:sz w:val="24"/>
          <w:szCs w:val="24"/>
        </w:rPr>
        <w:t>个工作日内通知乙方，甲乙双方就争议部分进行协商，也可提请有资质的第三方进行确定。如双方对检验结果均无异议，则甲方应依照第三方结果支付运营服务费。</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本协议项下的任何支付一律以人民币支付。</w:t>
      </w:r>
    </w:p>
    <w:p>
      <w:pPr>
        <w:keepNext/>
        <w:keepLines/>
        <w:spacing w:before="260" w:after="260" w:line="360" w:lineRule="auto"/>
        <w:jc w:val="left"/>
        <w:outlineLvl w:val="2"/>
        <w:rPr>
          <w:rFonts w:ascii="宋体"/>
          <w:b/>
          <w:bCs/>
          <w:color w:val="auto"/>
          <w:sz w:val="24"/>
          <w:szCs w:val="24"/>
        </w:rPr>
      </w:pPr>
      <w:bookmarkStart w:id="164" w:name="_Toc521685632"/>
      <w:bookmarkStart w:id="165" w:name="_Toc404263615"/>
      <w:bookmarkStart w:id="166" w:name="_Toc136332550"/>
      <w:r>
        <w:rPr>
          <w:rFonts w:ascii="宋体" w:hAnsi="宋体" w:cs="宋体"/>
          <w:b/>
          <w:bCs/>
          <w:color w:val="auto"/>
          <w:sz w:val="24"/>
          <w:szCs w:val="24"/>
        </w:rPr>
        <w:t xml:space="preserve">5.4  </w:t>
      </w:r>
      <w:r>
        <w:rPr>
          <w:rFonts w:hint="eastAsia" w:ascii="宋体" w:hAnsi="宋体" w:cs="宋体"/>
          <w:b/>
          <w:bCs/>
          <w:color w:val="auto"/>
          <w:sz w:val="24"/>
          <w:szCs w:val="24"/>
        </w:rPr>
        <w:t>渗滤液进水水质超标</w:t>
      </w:r>
      <w:bookmarkEnd w:id="164"/>
      <w:bookmarkEnd w:id="165"/>
      <w:bookmarkEnd w:id="166"/>
    </w:p>
    <w:p>
      <w:pPr>
        <w:spacing w:line="360" w:lineRule="auto"/>
        <w:ind w:firstLine="480" w:firstLineChars="200"/>
        <w:rPr>
          <w:rFonts w:ascii="宋体"/>
          <w:color w:val="auto"/>
          <w:sz w:val="24"/>
          <w:szCs w:val="24"/>
        </w:rPr>
      </w:pPr>
      <w:r>
        <w:rPr>
          <w:rFonts w:hint="eastAsia" w:ascii="宋体" w:hAnsi="宋体" w:cs="宋体"/>
          <w:color w:val="auto"/>
          <w:sz w:val="24"/>
          <w:szCs w:val="24"/>
        </w:rPr>
        <w:t>如果渗滤液进水水质超过本协议规定的标准致使乙方不能履行其在本合同下的义务，乙方应立即通知甲方，按下列方法处理：</w:t>
      </w:r>
    </w:p>
    <w:p>
      <w:pPr>
        <w:spacing w:line="360" w:lineRule="auto"/>
        <w:ind w:firstLine="480" w:firstLineChars="200"/>
        <w:rPr>
          <w:rFonts w:ascii="宋体"/>
          <w:color w:val="auto"/>
          <w:sz w:val="24"/>
          <w:szCs w:val="24"/>
        </w:rPr>
      </w:pPr>
      <w:r>
        <w:rPr>
          <w:rFonts w:hint="eastAsia" w:ascii="宋体" w:hAnsi="宋体" w:cs="宋体"/>
          <w:color w:val="auto"/>
          <w:sz w:val="24"/>
          <w:szCs w:val="24"/>
        </w:rPr>
        <w:t>如果由于甲方责任造成进水水质超标，甲方应向乙方给予适当补偿，同时，因此造成机器设备损坏的维修和更换费用等全部费用均由甲方承担。</w:t>
      </w:r>
    </w:p>
    <w:p>
      <w:pPr>
        <w:numPr>
          <w:ilvl w:val="0"/>
          <w:numId w:val="15"/>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如果渗滤液处理项目有能力处理，则甲方应补偿因增加处理负荷所造成的成本增加部分；</w:t>
      </w:r>
    </w:p>
    <w:p>
      <w:pPr>
        <w:numPr>
          <w:ilvl w:val="0"/>
          <w:numId w:val="15"/>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如果渗滤液处理项目没有能力处理，并持续</w:t>
      </w:r>
      <w:r>
        <w:rPr>
          <w:rFonts w:ascii="宋体" w:hAnsi="宋体" w:cs="宋体"/>
          <w:color w:val="auto"/>
          <w:sz w:val="24"/>
          <w:szCs w:val="24"/>
          <w:u w:val="single"/>
        </w:rPr>
        <w:t xml:space="preserve"> 10  </w:t>
      </w:r>
      <w:r>
        <w:rPr>
          <w:rFonts w:hint="eastAsia" w:ascii="宋体" w:hAnsi="宋体" w:cs="宋体"/>
          <w:color w:val="auto"/>
          <w:sz w:val="24"/>
          <w:szCs w:val="24"/>
        </w:rPr>
        <w:t>天，由甲乙双方共同协商处理办法，制订改造方案，经甲方同意后实施，改造费用应由甲方承担。在新的改造方案完成前，按甲乙双方协商确定的结果调整出水指标，并豁免由此造成乙方的出水水质超标的责任。</w:t>
      </w:r>
    </w:p>
    <w:p>
      <w:pPr>
        <w:keepNext/>
        <w:keepLines/>
        <w:spacing w:before="260" w:after="260" w:line="360" w:lineRule="auto"/>
        <w:jc w:val="left"/>
        <w:outlineLvl w:val="2"/>
        <w:rPr>
          <w:rFonts w:ascii="宋体"/>
          <w:b/>
          <w:bCs/>
          <w:color w:val="auto"/>
          <w:sz w:val="24"/>
          <w:szCs w:val="24"/>
        </w:rPr>
      </w:pPr>
      <w:bookmarkStart w:id="167" w:name="_Toc404263616"/>
      <w:bookmarkStart w:id="168" w:name="_Toc521685633"/>
      <w:bookmarkStart w:id="169" w:name="_Toc136332551"/>
      <w:r>
        <w:rPr>
          <w:rFonts w:ascii="宋体" w:hAnsi="宋体" w:cs="宋体"/>
          <w:b/>
          <w:bCs/>
          <w:color w:val="auto"/>
          <w:sz w:val="24"/>
          <w:szCs w:val="24"/>
        </w:rPr>
        <w:t xml:space="preserve">5.5  </w:t>
      </w:r>
      <w:r>
        <w:rPr>
          <w:rFonts w:hint="eastAsia" w:ascii="宋体" w:hAnsi="宋体" w:cs="宋体"/>
          <w:b/>
          <w:bCs/>
          <w:color w:val="auto"/>
          <w:sz w:val="24"/>
          <w:szCs w:val="24"/>
        </w:rPr>
        <w:t>更改出水排放标准</w:t>
      </w:r>
      <w:bookmarkEnd w:id="167"/>
      <w:bookmarkEnd w:id="168"/>
      <w:bookmarkEnd w:id="169"/>
    </w:p>
    <w:p>
      <w:pPr>
        <w:spacing w:line="360" w:lineRule="auto"/>
        <w:ind w:firstLine="480" w:firstLineChars="200"/>
        <w:rPr>
          <w:rFonts w:ascii="宋体"/>
          <w:color w:val="auto"/>
          <w:sz w:val="24"/>
          <w:szCs w:val="24"/>
        </w:rPr>
      </w:pPr>
      <w:r>
        <w:rPr>
          <w:rFonts w:hint="eastAsia" w:ascii="宋体" w:hAnsi="宋体" w:cs="宋体"/>
          <w:color w:val="auto"/>
          <w:sz w:val="24"/>
          <w:szCs w:val="24"/>
        </w:rPr>
        <w:t>因执行甲方要求改变的渗滤液处理出水水质标准，造成运行成本的增加或资本性支出，乙方有权获得相应的补偿，否则乙方有权停止继续履行合同，直至乙方获得合理的补偿，由此造成的损失均由甲方承担。</w:t>
      </w:r>
      <w:r>
        <w:rPr>
          <w:rFonts w:ascii="宋体" w:hAnsi="宋体" w:cs="宋体"/>
          <w:color w:val="auto"/>
          <w:sz w:val="24"/>
          <w:szCs w:val="24"/>
        </w:rPr>
        <w:t xml:space="preserve"> </w:t>
      </w:r>
    </w:p>
    <w:p>
      <w:pPr>
        <w:keepNext/>
        <w:keepLines/>
        <w:spacing w:before="260" w:after="260" w:line="360" w:lineRule="auto"/>
        <w:jc w:val="left"/>
        <w:outlineLvl w:val="2"/>
        <w:rPr>
          <w:rFonts w:ascii="宋体"/>
          <w:b/>
          <w:bCs/>
          <w:color w:val="auto"/>
          <w:sz w:val="24"/>
          <w:szCs w:val="24"/>
        </w:rPr>
      </w:pPr>
      <w:bookmarkStart w:id="170" w:name="_Toc521685634"/>
      <w:bookmarkStart w:id="171" w:name="_Toc404263617"/>
      <w:bookmarkStart w:id="172" w:name="_Toc136332552"/>
      <w:r>
        <w:rPr>
          <w:rFonts w:ascii="宋体" w:hAnsi="宋体" w:cs="宋体"/>
          <w:b/>
          <w:bCs/>
          <w:color w:val="auto"/>
          <w:sz w:val="24"/>
          <w:szCs w:val="24"/>
        </w:rPr>
        <w:t xml:space="preserve">5.6  </w:t>
      </w:r>
      <w:r>
        <w:rPr>
          <w:rFonts w:hint="eastAsia" w:ascii="宋体" w:hAnsi="宋体" w:cs="宋体"/>
          <w:b/>
          <w:bCs/>
          <w:color w:val="auto"/>
          <w:sz w:val="24"/>
          <w:szCs w:val="24"/>
        </w:rPr>
        <w:t>出水不符合排放标准的违约金</w:t>
      </w:r>
      <w:bookmarkEnd w:id="170"/>
      <w:bookmarkEnd w:id="171"/>
      <w:bookmarkEnd w:id="172"/>
    </w:p>
    <w:p>
      <w:pPr>
        <w:spacing w:line="360" w:lineRule="auto"/>
        <w:ind w:firstLine="480" w:firstLineChars="200"/>
        <w:rPr>
          <w:rFonts w:ascii="宋体"/>
          <w:color w:val="auto"/>
          <w:sz w:val="24"/>
          <w:szCs w:val="24"/>
        </w:rPr>
      </w:pPr>
      <w:r>
        <w:rPr>
          <w:rFonts w:hint="eastAsia" w:ascii="宋体" w:hAnsi="宋体" w:cs="宋体"/>
          <w:color w:val="auto"/>
          <w:sz w:val="24"/>
          <w:szCs w:val="24"/>
        </w:rPr>
        <w:t>乙方出水不符合排放标准应按</w:t>
      </w:r>
      <w:r>
        <w:rPr>
          <w:rFonts w:ascii="宋体" w:hAnsi="宋体" w:cs="宋体"/>
          <w:color w:val="auto"/>
          <w:sz w:val="24"/>
          <w:szCs w:val="24"/>
          <w:u w:val="single"/>
        </w:rPr>
        <w:t xml:space="preserve">  </w:t>
      </w:r>
      <w:r>
        <w:rPr>
          <w:rFonts w:hint="eastAsia" w:ascii="宋体" w:hAnsi="宋体" w:cs="宋体"/>
          <w:color w:val="auto"/>
          <w:sz w:val="24"/>
          <w:szCs w:val="24"/>
          <w:u w:val="single"/>
        </w:rPr>
        <w:t>不达标水量乘以中标单价</w:t>
      </w:r>
      <w:r>
        <w:rPr>
          <w:rFonts w:ascii="宋体" w:hAnsi="宋体" w:cs="宋体"/>
          <w:color w:val="auto"/>
          <w:sz w:val="24"/>
          <w:szCs w:val="24"/>
          <w:u w:val="single"/>
        </w:rPr>
        <w:t>(</w:t>
      </w:r>
      <w:r>
        <w:rPr>
          <w:rFonts w:hint="eastAsia" w:ascii="宋体" w:hAnsi="宋体" w:cs="宋体"/>
          <w:color w:val="auto"/>
          <w:sz w:val="24"/>
          <w:szCs w:val="24"/>
          <w:u w:val="single"/>
        </w:rPr>
        <w:t>元</w:t>
      </w:r>
      <w:r>
        <w:rPr>
          <w:rFonts w:ascii="宋体" w:hAnsi="宋体" w:cs="宋体"/>
          <w:color w:val="auto"/>
          <w:sz w:val="24"/>
          <w:szCs w:val="24"/>
          <w:u w:val="single"/>
        </w:rPr>
        <w:t>/</w:t>
      </w:r>
      <w:r>
        <w:rPr>
          <w:rFonts w:hint="eastAsia" w:ascii="宋体" w:hAnsi="宋体" w:cs="宋体"/>
          <w:color w:val="auto"/>
          <w:sz w:val="24"/>
          <w:szCs w:val="24"/>
          <w:u w:val="single"/>
        </w:rPr>
        <w:t>吨</w:t>
      </w:r>
      <w:r>
        <w:rPr>
          <w:rFonts w:ascii="宋体" w:hAnsi="宋体" w:cs="宋体"/>
          <w:color w:val="auto"/>
          <w:sz w:val="24"/>
          <w:szCs w:val="24"/>
          <w:u w:val="single"/>
        </w:rPr>
        <w:t xml:space="preserve">)  </w:t>
      </w:r>
      <w:r>
        <w:rPr>
          <w:rFonts w:hint="eastAsia" w:ascii="宋体" w:hAnsi="宋体" w:cs="宋体"/>
          <w:color w:val="auto"/>
          <w:sz w:val="24"/>
          <w:szCs w:val="24"/>
        </w:rPr>
        <w:t>向甲方支付违约金。但由于甲方或其他第三方原因或不可抗力造成出水水质不能达标时除外。</w:t>
      </w:r>
    </w:p>
    <w:p>
      <w:pPr>
        <w:keepNext/>
        <w:keepLines/>
        <w:spacing w:before="260" w:after="260" w:line="360" w:lineRule="auto"/>
        <w:jc w:val="left"/>
        <w:outlineLvl w:val="2"/>
        <w:rPr>
          <w:rFonts w:ascii="宋体"/>
          <w:b/>
          <w:bCs/>
          <w:color w:val="auto"/>
          <w:sz w:val="24"/>
          <w:szCs w:val="24"/>
        </w:rPr>
      </w:pPr>
      <w:bookmarkStart w:id="173" w:name="_Toc136332553"/>
      <w:bookmarkStart w:id="174" w:name="_Toc404263618"/>
      <w:bookmarkStart w:id="175" w:name="_Toc521685635"/>
      <w:r>
        <w:rPr>
          <w:rFonts w:ascii="宋体" w:hAnsi="宋体" w:cs="宋体"/>
          <w:b/>
          <w:bCs/>
          <w:color w:val="auto"/>
          <w:sz w:val="24"/>
          <w:szCs w:val="24"/>
        </w:rPr>
        <w:t xml:space="preserve">5.7  </w:t>
      </w:r>
      <w:r>
        <w:rPr>
          <w:rFonts w:hint="eastAsia" w:ascii="宋体" w:hAnsi="宋体" w:cs="宋体"/>
          <w:b/>
          <w:bCs/>
          <w:color w:val="auto"/>
          <w:sz w:val="24"/>
          <w:szCs w:val="24"/>
        </w:rPr>
        <w:t>处理水量不足违约金</w:t>
      </w:r>
      <w:bookmarkEnd w:id="173"/>
      <w:bookmarkEnd w:id="174"/>
      <w:bookmarkEnd w:id="175"/>
    </w:p>
    <w:p>
      <w:pPr>
        <w:spacing w:line="360" w:lineRule="auto"/>
        <w:ind w:firstLine="480" w:firstLineChars="200"/>
        <w:rPr>
          <w:rFonts w:ascii="宋体"/>
          <w:color w:val="auto"/>
          <w:sz w:val="24"/>
          <w:szCs w:val="24"/>
        </w:rPr>
      </w:pPr>
      <w:r>
        <w:rPr>
          <w:rFonts w:hint="eastAsia" w:ascii="宋体" w:hAnsi="宋体" w:cs="宋体"/>
          <w:color w:val="auto"/>
          <w:sz w:val="24"/>
          <w:szCs w:val="24"/>
        </w:rPr>
        <w:t>除非甲方的违约或其他第三方原因或不可抗力，乙方在</w:t>
      </w:r>
      <w:r>
        <w:rPr>
          <w:rFonts w:ascii="宋体" w:hAnsi="宋体" w:cs="宋体"/>
          <w:color w:val="auto"/>
          <w:sz w:val="24"/>
          <w:szCs w:val="24"/>
        </w:rPr>
        <w:t>250</w:t>
      </w:r>
      <w:r>
        <w:rPr>
          <w:rFonts w:hint="eastAsia" w:ascii="宋体" w:hAnsi="宋体" w:cs="宋体"/>
          <w:color w:val="auto"/>
          <w:sz w:val="24"/>
          <w:szCs w:val="24"/>
        </w:rPr>
        <w:t>吨</w:t>
      </w:r>
      <w:r>
        <w:rPr>
          <w:rFonts w:ascii="宋体" w:hAnsi="宋体" w:cs="宋体"/>
          <w:color w:val="auto"/>
          <w:sz w:val="24"/>
          <w:szCs w:val="24"/>
        </w:rPr>
        <w:t>/</w:t>
      </w:r>
      <w:r>
        <w:rPr>
          <w:rFonts w:hint="eastAsia" w:ascii="宋体" w:hAnsi="宋体" w:cs="宋体"/>
          <w:color w:val="auto"/>
          <w:sz w:val="24"/>
          <w:szCs w:val="24"/>
        </w:rPr>
        <w:t>天处理能力之内未能对全部渗滤液进行处理且导致调节池水溢出时，按</w:t>
      </w:r>
      <w:r>
        <w:rPr>
          <w:rFonts w:ascii="宋体" w:hAnsi="宋体" w:cs="宋体"/>
          <w:color w:val="auto"/>
          <w:sz w:val="24"/>
          <w:szCs w:val="24"/>
          <w:u w:val="single"/>
        </w:rPr>
        <w:t xml:space="preserve">  </w:t>
      </w:r>
      <w:r>
        <w:rPr>
          <w:rFonts w:hint="eastAsia" w:ascii="宋体" w:hAnsi="宋体" w:cs="宋体"/>
          <w:color w:val="auto"/>
          <w:sz w:val="24"/>
          <w:szCs w:val="24"/>
          <w:u w:val="single"/>
        </w:rPr>
        <w:t>未处理水量乘以中标单价</w:t>
      </w:r>
      <w:r>
        <w:rPr>
          <w:rFonts w:ascii="宋体" w:hAnsi="宋体" w:cs="宋体"/>
          <w:color w:val="auto"/>
          <w:sz w:val="24"/>
          <w:szCs w:val="24"/>
          <w:u w:val="single"/>
        </w:rPr>
        <w:t>(</w:t>
      </w:r>
      <w:r>
        <w:rPr>
          <w:rFonts w:hint="eastAsia" w:ascii="宋体" w:hAnsi="宋体" w:cs="宋体"/>
          <w:color w:val="auto"/>
          <w:sz w:val="24"/>
          <w:szCs w:val="24"/>
          <w:u w:val="single"/>
        </w:rPr>
        <w:t>元</w:t>
      </w:r>
      <w:r>
        <w:rPr>
          <w:rFonts w:ascii="宋体" w:hAnsi="宋体" w:cs="宋体"/>
          <w:color w:val="auto"/>
          <w:sz w:val="24"/>
          <w:szCs w:val="24"/>
          <w:u w:val="single"/>
        </w:rPr>
        <w:t>/</w:t>
      </w:r>
      <w:r>
        <w:rPr>
          <w:rFonts w:hint="eastAsia" w:ascii="宋体" w:hAnsi="宋体" w:cs="宋体"/>
          <w:color w:val="auto"/>
          <w:sz w:val="24"/>
          <w:szCs w:val="24"/>
          <w:u w:val="single"/>
        </w:rPr>
        <w:t>吨</w:t>
      </w:r>
      <w:r>
        <w:rPr>
          <w:rFonts w:ascii="宋体" w:hAnsi="宋体" w:cs="宋体"/>
          <w:color w:val="auto"/>
          <w:sz w:val="24"/>
          <w:szCs w:val="24"/>
          <w:u w:val="single"/>
        </w:rPr>
        <w:t xml:space="preserve">)  </w:t>
      </w:r>
      <w:r>
        <w:rPr>
          <w:rFonts w:hint="eastAsia" w:ascii="宋体" w:hAnsi="宋体" w:cs="宋体"/>
          <w:color w:val="auto"/>
          <w:sz w:val="24"/>
          <w:szCs w:val="24"/>
        </w:rPr>
        <w:t>交纳违约金。</w:t>
      </w:r>
    </w:p>
    <w:p>
      <w:pPr>
        <w:keepNext/>
        <w:keepLines/>
        <w:spacing w:before="260" w:after="260" w:line="360" w:lineRule="auto"/>
        <w:jc w:val="center"/>
        <w:outlineLvl w:val="1"/>
        <w:rPr>
          <w:rFonts w:ascii="宋体"/>
          <w:b/>
          <w:bCs/>
          <w:color w:val="auto"/>
          <w:sz w:val="24"/>
          <w:szCs w:val="24"/>
        </w:rPr>
      </w:pPr>
      <w:bookmarkStart w:id="176" w:name="_Toc521685636"/>
      <w:bookmarkStart w:id="177" w:name="_Toc404263620"/>
      <w:bookmarkStart w:id="178" w:name="_Toc71780654"/>
      <w:bookmarkStart w:id="179" w:name="_Toc136332555"/>
      <w:r>
        <w:rPr>
          <w:rFonts w:hint="eastAsia" w:ascii="宋体" w:hAnsi="宋体" w:cs="宋体"/>
          <w:b/>
          <w:bCs/>
          <w:color w:val="auto"/>
          <w:sz w:val="24"/>
          <w:szCs w:val="24"/>
        </w:rPr>
        <w:t>第</w:t>
      </w:r>
      <w:r>
        <w:rPr>
          <w:rFonts w:ascii="宋体" w:hAnsi="宋体" w:cs="宋体"/>
          <w:b/>
          <w:bCs/>
          <w:color w:val="auto"/>
          <w:sz w:val="24"/>
          <w:szCs w:val="24"/>
        </w:rPr>
        <w:t>6</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运营期期满时渗滤液处理项目设施的移交</w:t>
      </w:r>
      <w:bookmarkEnd w:id="176"/>
      <w:bookmarkEnd w:id="177"/>
      <w:bookmarkEnd w:id="178"/>
      <w:bookmarkEnd w:id="179"/>
    </w:p>
    <w:p>
      <w:pPr>
        <w:keepNext/>
        <w:keepLines/>
        <w:spacing w:before="260" w:after="260" w:line="360" w:lineRule="auto"/>
        <w:jc w:val="left"/>
        <w:outlineLvl w:val="2"/>
        <w:rPr>
          <w:rFonts w:ascii="宋体"/>
          <w:b/>
          <w:bCs/>
          <w:color w:val="auto"/>
          <w:sz w:val="24"/>
          <w:szCs w:val="24"/>
        </w:rPr>
      </w:pPr>
      <w:bookmarkStart w:id="180" w:name="_Toc521685637"/>
      <w:bookmarkStart w:id="181" w:name="_Toc136332556"/>
      <w:bookmarkStart w:id="182" w:name="_Toc404263621"/>
      <w:r>
        <w:rPr>
          <w:rFonts w:ascii="宋体" w:hAnsi="宋体" w:cs="宋体"/>
          <w:b/>
          <w:bCs/>
          <w:color w:val="auto"/>
          <w:sz w:val="24"/>
          <w:szCs w:val="24"/>
        </w:rPr>
        <w:t xml:space="preserve">6.1 </w:t>
      </w:r>
      <w:r>
        <w:rPr>
          <w:rFonts w:hint="eastAsia" w:ascii="宋体" w:hAnsi="宋体" w:cs="宋体"/>
          <w:b/>
          <w:bCs/>
          <w:color w:val="auto"/>
          <w:sz w:val="24"/>
          <w:szCs w:val="24"/>
        </w:rPr>
        <w:t>移交委员会</w:t>
      </w:r>
      <w:bookmarkEnd w:id="180"/>
      <w:bookmarkEnd w:id="181"/>
      <w:bookmarkEnd w:id="182"/>
    </w:p>
    <w:p>
      <w:pPr>
        <w:spacing w:line="360" w:lineRule="auto"/>
        <w:ind w:firstLine="480" w:firstLineChars="200"/>
        <w:rPr>
          <w:rFonts w:ascii="宋体"/>
          <w:color w:val="auto"/>
          <w:sz w:val="24"/>
          <w:szCs w:val="24"/>
        </w:rPr>
      </w:pPr>
      <w:r>
        <w:rPr>
          <w:rFonts w:hint="eastAsia" w:ascii="宋体" w:hAnsi="宋体" w:cs="宋体"/>
          <w:color w:val="auto"/>
          <w:sz w:val="24"/>
          <w:szCs w:val="24"/>
        </w:rPr>
        <w:t>运营期结束</w:t>
      </w:r>
      <w:r>
        <w:rPr>
          <w:rFonts w:ascii="宋体" w:hAnsi="宋体" w:cs="宋体"/>
          <w:color w:val="auto"/>
          <w:sz w:val="24"/>
          <w:szCs w:val="24"/>
          <w:u w:val="single"/>
        </w:rPr>
        <w:t xml:space="preserve"> 3 </w:t>
      </w:r>
      <w:r>
        <w:rPr>
          <w:rFonts w:hint="eastAsia" w:ascii="宋体" w:hAnsi="宋体" w:cs="宋体"/>
          <w:color w:val="auto"/>
          <w:sz w:val="24"/>
          <w:szCs w:val="24"/>
        </w:rPr>
        <w:t>个月前，由甲方和乙方各自派员组成移交委员会，具体负责和办理移交工作，甲乙双方代表人数应当相同。移交委员会主任委员由政府指派有关部门担任，组织必要的会议会谈并商定设施移交的详尽程序，确定移交仪式，向社会公告。</w:t>
      </w:r>
    </w:p>
    <w:p>
      <w:pPr>
        <w:keepNext/>
        <w:keepLines/>
        <w:spacing w:before="260" w:after="260" w:line="360" w:lineRule="auto"/>
        <w:jc w:val="left"/>
        <w:outlineLvl w:val="2"/>
        <w:rPr>
          <w:rFonts w:ascii="宋体"/>
          <w:b/>
          <w:bCs/>
          <w:color w:val="auto"/>
          <w:sz w:val="24"/>
          <w:szCs w:val="24"/>
        </w:rPr>
      </w:pPr>
      <w:bookmarkStart w:id="183" w:name="_Toc136332557"/>
      <w:bookmarkStart w:id="184" w:name="_Toc521685638"/>
      <w:bookmarkStart w:id="185" w:name="_Toc404263622"/>
      <w:r>
        <w:rPr>
          <w:rFonts w:ascii="宋体" w:hAnsi="宋体" w:cs="宋体"/>
          <w:b/>
          <w:bCs/>
          <w:color w:val="auto"/>
          <w:sz w:val="24"/>
          <w:szCs w:val="24"/>
        </w:rPr>
        <w:t xml:space="preserve">6.2 </w:t>
      </w:r>
      <w:r>
        <w:rPr>
          <w:rFonts w:hint="eastAsia" w:ascii="宋体" w:hAnsi="宋体" w:cs="宋体"/>
          <w:b/>
          <w:bCs/>
          <w:color w:val="auto"/>
          <w:sz w:val="24"/>
          <w:szCs w:val="24"/>
        </w:rPr>
        <w:t>移交范围</w:t>
      </w:r>
      <w:bookmarkEnd w:id="183"/>
      <w:bookmarkEnd w:id="184"/>
      <w:bookmarkEnd w:id="185"/>
    </w:p>
    <w:p>
      <w:pPr>
        <w:spacing w:line="360" w:lineRule="auto"/>
        <w:ind w:firstLine="480" w:firstLineChars="200"/>
        <w:rPr>
          <w:rFonts w:ascii="宋体"/>
          <w:color w:val="auto"/>
          <w:sz w:val="24"/>
          <w:szCs w:val="24"/>
        </w:rPr>
      </w:pPr>
      <w:r>
        <w:rPr>
          <w:rFonts w:hint="eastAsia" w:ascii="宋体" w:hAnsi="宋体" w:cs="宋体"/>
          <w:color w:val="auto"/>
          <w:sz w:val="24"/>
          <w:szCs w:val="24"/>
        </w:rPr>
        <w:t>在运营期结束当日即移交日，乙方应向甲方无偿移交：</w:t>
      </w:r>
    </w:p>
    <w:p>
      <w:pPr>
        <w:numPr>
          <w:ilvl w:val="0"/>
          <w:numId w:val="16"/>
        </w:numPr>
        <w:tabs>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乙方对渗滤液处理项目设施的所有权利和利益，包括：</w:t>
      </w:r>
    </w:p>
    <w:p>
      <w:pPr>
        <w:numPr>
          <w:ilvl w:val="0"/>
          <w:numId w:val="17"/>
        </w:numPr>
        <w:tabs>
          <w:tab w:val="left" w:pos="1260"/>
          <w:tab w:val="left" w:pos="1980"/>
          <w:tab w:val="left" w:pos="2340"/>
        </w:tabs>
        <w:spacing w:line="360" w:lineRule="auto"/>
        <w:ind w:left="0" w:firstLine="480" w:firstLineChars="200"/>
        <w:rPr>
          <w:rFonts w:ascii="宋体"/>
          <w:color w:val="auto"/>
          <w:sz w:val="24"/>
          <w:szCs w:val="24"/>
        </w:rPr>
      </w:pPr>
      <w:r>
        <w:rPr>
          <w:rFonts w:hint="eastAsia" w:ascii="宋体" w:hAnsi="宋体" w:cs="宋体"/>
          <w:color w:val="auto"/>
          <w:sz w:val="24"/>
          <w:szCs w:val="24"/>
        </w:rPr>
        <w:t>渗滤液处理项目设施的建筑物和构筑物；</w:t>
      </w:r>
    </w:p>
    <w:p>
      <w:pPr>
        <w:numPr>
          <w:ilvl w:val="0"/>
          <w:numId w:val="17"/>
        </w:numPr>
        <w:tabs>
          <w:tab w:val="left" w:pos="1260"/>
          <w:tab w:val="left" w:pos="1980"/>
          <w:tab w:val="left" w:pos="2340"/>
        </w:tabs>
        <w:spacing w:line="360" w:lineRule="auto"/>
        <w:ind w:left="0" w:firstLine="480" w:firstLineChars="200"/>
        <w:rPr>
          <w:rFonts w:ascii="宋体"/>
          <w:color w:val="auto"/>
          <w:sz w:val="24"/>
          <w:szCs w:val="24"/>
        </w:rPr>
      </w:pPr>
      <w:r>
        <w:rPr>
          <w:rFonts w:hint="eastAsia" w:ascii="宋体" w:hAnsi="宋体" w:cs="宋体"/>
          <w:color w:val="auto"/>
          <w:sz w:val="24"/>
          <w:szCs w:val="24"/>
        </w:rPr>
        <w:t>与渗滤液处理项目设施使用相关的所有机械和设备；</w:t>
      </w:r>
      <w:r>
        <w:rPr>
          <w:rFonts w:ascii="宋体" w:hAnsi="宋体" w:cs="宋体"/>
          <w:color w:val="auto"/>
          <w:sz w:val="24"/>
          <w:szCs w:val="24"/>
        </w:rPr>
        <w:t xml:space="preserve"> </w:t>
      </w:r>
    </w:p>
    <w:p>
      <w:pPr>
        <w:numPr>
          <w:ilvl w:val="0"/>
          <w:numId w:val="17"/>
        </w:numPr>
        <w:tabs>
          <w:tab w:val="left" w:pos="1260"/>
          <w:tab w:val="left" w:pos="1980"/>
          <w:tab w:val="left" w:pos="2340"/>
        </w:tabs>
        <w:spacing w:line="360" w:lineRule="auto"/>
        <w:ind w:left="0" w:firstLine="480" w:firstLineChars="200"/>
        <w:rPr>
          <w:rFonts w:ascii="宋体"/>
          <w:color w:val="auto"/>
          <w:sz w:val="24"/>
          <w:szCs w:val="24"/>
        </w:rPr>
      </w:pPr>
      <w:r>
        <w:rPr>
          <w:rFonts w:hint="eastAsia" w:ascii="宋体" w:hAnsi="宋体" w:cs="宋体"/>
          <w:color w:val="auto"/>
          <w:sz w:val="24"/>
          <w:szCs w:val="24"/>
        </w:rPr>
        <w:t>第</w:t>
      </w:r>
      <w:r>
        <w:rPr>
          <w:rFonts w:ascii="宋体" w:hAnsi="宋体" w:cs="宋体"/>
          <w:color w:val="auto"/>
          <w:sz w:val="24"/>
          <w:szCs w:val="24"/>
        </w:rPr>
        <w:t xml:space="preserve"> 6.4</w:t>
      </w:r>
      <w:r>
        <w:rPr>
          <w:rFonts w:hint="eastAsia" w:ascii="宋体" w:hAnsi="宋体" w:cs="宋体"/>
          <w:color w:val="auto"/>
          <w:sz w:val="24"/>
          <w:szCs w:val="24"/>
        </w:rPr>
        <w:t>条要求的所有零备件和配件、化学药品以及其它动产；</w:t>
      </w:r>
    </w:p>
    <w:p>
      <w:pPr>
        <w:numPr>
          <w:ilvl w:val="0"/>
          <w:numId w:val="17"/>
        </w:numPr>
        <w:tabs>
          <w:tab w:val="left" w:pos="1260"/>
          <w:tab w:val="left" w:pos="1980"/>
          <w:tab w:val="left" w:pos="2340"/>
        </w:tabs>
        <w:spacing w:line="360" w:lineRule="auto"/>
        <w:ind w:left="0" w:firstLine="480" w:firstLineChars="200"/>
        <w:rPr>
          <w:rFonts w:ascii="宋体"/>
          <w:color w:val="auto"/>
          <w:sz w:val="24"/>
          <w:szCs w:val="24"/>
        </w:rPr>
      </w:pPr>
      <w:r>
        <w:rPr>
          <w:rFonts w:hint="eastAsia" w:ascii="宋体" w:hAnsi="宋体" w:cs="宋体"/>
          <w:color w:val="auto"/>
          <w:sz w:val="24"/>
          <w:szCs w:val="24"/>
        </w:rPr>
        <w:t>运行和维护项目设施所要求的所有技术和技术诀窍、知识产权等无形资产（包括以许可方式取得的）；</w:t>
      </w:r>
    </w:p>
    <w:p>
      <w:pPr>
        <w:numPr>
          <w:ilvl w:val="0"/>
          <w:numId w:val="16"/>
        </w:numPr>
        <w:tabs>
          <w:tab w:val="left" w:pos="900"/>
          <w:tab w:val="left" w:pos="1260"/>
        </w:tabs>
        <w:spacing w:line="360" w:lineRule="auto"/>
        <w:ind w:left="0" w:firstLine="480" w:firstLineChars="200"/>
        <w:rPr>
          <w:rFonts w:ascii="宋体"/>
          <w:color w:val="auto"/>
          <w:sz w:val="24"/>
          <w:szCs w:val="24"/>
        </w:rPr>
      </w:pPr>
      <w:r>
        <w:rPr>
          <w:rFonts w:hint="eastAsia" w:ascii="宋体" w:hAnsi="宋体" w:cs="宋体"/>
          <w:color w:val="auto"/>
          <w:sz w:val="24"/>
          <w:szCs w:val="24"/>
        </w:rPr>
        <w:t>在用的各类管理章程和运行手册包括专有技术、生产档案、技术档案、文秘档案、图书资料、设计图纸、文件和其它资料，以使渗滤液处理项目能平稳地正常地继续运行；</w:t>
      </w:r>
    </w:p>
    <w:p>
      <w:pPr>
        <w:numPr>
          <w:ilvl w:val="0"/>
          <w:numId w:val="16"/>
        </w:numPr>
        <w:tabs>
          <w:tab w:val="left" w:pos="900"/>
          <w:tab w:val="left" w:pos="1800"/>
        </w:tabs>
        <w:spacing w:line="360" w:lineRule="auto"/>
        <w:ind w:left="0" w:firstLine="480" w:firstLineChars="200"/>
        <w:rPr>
          <w:rFonts w:ascii="宋体"/>
          <w:color w:val="auto"/>
          <w:sz w:val="24"/>
          <w:szCs w:val="24"/>
        </w:rPr>
      </w:pPr>
      <w:r>
        <w:rPr>
          <w:rFonts w:hint="eastAsia" w:ascii="宋体" w:hAnsi="宋体" w:cs="宋体"/>
          <w:color w:val="auto"/>
          <w:sz w:val="24"/>
          <w:szCs w:val="24"/>
        </w:rPr>
        <w:t>渗滤液处理项目场地有关的其它权利；</w:t>
      </w:r>
    </w:p>
    <w:p>
      <w:pPr>
        <w:spacing w:line="360" w:lineRule="auto"/>
        <w:ind w:firstLine="480" w:firstLineChars="200"/>
        <w:rPr>
          <w:rFonts w:ascii="宋体"/>
          <w:color w:val="auto"/>
          <w:sz w:val="24"/>
          <w:szCs w:val="24"/>
        </w:rPr>
      </w:pPr>
      <w:r>
        <w:rPr>
          <w:rFonts w:hint="eastAsia" w:ascii="宋体" w:hAnsi="宋体" w:cs="宋体"/>
          <w:color w:val="auto"/>
          <w:sz w:val="24"/>
          <w:szCs w:val="24"/>
        </w:rPr>
        <w:t>这些资产在向甲方移交时应不存在任何留置权、债权、抵押、担保物权或任何种类的其它请求权。渗滤液处理项目场地在移交日应不存在任何环境问题和环境遗留问题，非乙方原因除外。</w:t>
      </w:r>
    </w:p>
    <w:p>
      <w:pPr>
        <w:spacing w:line="360" w:lineRule="auto"/>
        <w:ind w:firstLine="480" w:firstLineChars="200"/>
        <w:rPr>
          <w:rFonts w:ascii="宋体"/>
          <w:color w:val="auto"/>
          <w:sz w:val="24"/>
          <w:szCs w:val="24"/>
        </w:rPr>
      </w:pPr>
      <w:r>
        <w:rPr>
          <w:rFonts w:hint="eastAsia" w:ascii="宋体" w:hAnsi="宋体" w:cs="宋体"/>
          <w:snapToGrid w:val="0"/>
          <w:color w:val="auto"/>
          <w:kern w:val="0"/>
          <w:sz w:val="24"/>
          <w:szCs w:val="24"/>
        </w:rPr>
        <w:t>甲乙双方在办理移交工作的同时，应明确</w:t>
      </w:r>
      <w:r>
        <w:rPr>
          <w:rFonts w:hint="eastAsia" w:ascii="宋体" w:hAnsi="宋体" w:cs="宋体"/>
          <w:color w:val="auto"/>
          <w:sz w:val="24"/>
          <w:szCs w:val="24"/>
        </w:rPr>
        <w:t>运营</w:t>
      </w:r>
      <w:r>
        <w:rPr>
          <w:rFonts w:hint="eastAsia" w:ascii="宋体" w:hAnsi="宋体" w:cs="宋体"/>
          <w:snapToGrid w:val="0"/>
          <w:color w:val="auto"/>
          <w:kern w:val="0"/>
          <w:sz w:val="24"/>
          <w:szCs w:val="24"/>
        </w:rPr>
        <w:t>期结束后妥善安置原项目部雇员的办法。</w:t>
      </w:r>
    </w:p>
    <w:p>
      <w:pPr>
        <w:keepNext/>
        <w:keepLines/>
        <w:spacing w:before="260" w:after="260" w:line="360" w:lineRule="auto"/>
        <w:jc w:val="left"/>
        <w:outlineLvl w:val="2"/>
        <w:rPr>
          <w:rFonts w:ascii="宋体"/>
          <w:b/>
          <w:bCs/>
          <w:color w:val="auto"/>
          <w:sz w:val="24"/>
          <w:szCs w:val="24"/>
        </w:rPr>
      </w:pPr>
      <w:bookmarkStart w:id="186" w:name="_Toc136332560"/>
      <w:bookmarkStart w:id="187" w:name="_Toc404263625"/>
      <w:bookmarkStart w:id="188" w:name="_Toc521685641"/>
      <w:r>
        <w:rPr>
          <w:rFonts w:ascii="宋体" w:hAnsi="宋体" w:cs="宋体"/>
          <w:b/>
          <w:bCs/>
          <w:color w:val="auto"/>
          <w:sz w:val="24"/>
          <w:szCs w:val="24"/>
        </w:rPr>
        <w:t xml:space="preserve">6.3 </w:t>
      </w:r>
      <w:r>
        <w:rPr>
          <w:rFonts w:hint="eastAsia" w:ascii="宋体" w:hAnsi="宋体" w:cs="宋体"/>
          <w:b/>
          <w:bCs/>
          <w:color w:val="auto"/>
          <w:sz w:val="24"/>
          <w:szCs w:val="24"/>
        </w:rPr>
        <w:t>保证期</w:t>
      </w:r>
      <w:bookmarkEnd w:id="186"/>
      <w:bookmarkEnd w:id="187"/>
      <w:bookmarkEnd w:id="188"/>
    </w:p>
    <w:p>
      <w:pPr>
        <w:spacing w:line="360" w:lineRule="auto"/>
        <w:ind w:firstLine="480" w:firstLineChars="200"/>
        <w:rPr>
          <w:rFonts w:ascii="宋体"/>
          <w:color w:val="auto"/>
          <w:sz w:val="24"/>
          <w:szCs w:val="24"/>
        </w:rPr>
      </w:pPr>
      <w:r>
        <w:rPr>
          <w:rFonts w:hint="eastAsia" w:ascii="宋体" w:hAnsi="宋体" w:cs="宋体"/>
          <w:color w:val="auto"/>
          <w:sz w:val="24"/>
          <w:szCs w:val="24"/>
        </w:rPr>
        <w:t>甲乙双方应在移交后进行</w:t>
      </w:r>
      <w:r>
        <w:rPr>
          <w:rFonts w:ascii="宋体" w:hAnsi="宋体" w:cs="宋体"/>
          <w:color w:val="auto"/>
          <w:sz w:val="24"/>
          <w:szCs w:val="24"/>
        </w:rPr>
        <w:t>72</w:t>
      </w:r>
      <w:r>
        <w:rPr>
          <w:rFonts w:hint="eastAsia" w:ascii="宋体" w:hAnsi="宋体" w:cs="宋体"/>
          <w:color w:val="auto"/>
          <w:sz w:val="24"/>
          <w:szCs w:val="24"/>
        </w:rPr>
        <w:t>小时移交运行考核。在</w:t>
      </w:r>
      <w:r>
        <w:rPr>
          <w:rFonts w:ascii="宋体" w:hAnsi="宋体" w:cs="宋体"/>
          <w:color w:val="auto"/>
          <w:sz w:val="24"/>
          <w:szCs w:val="24"/>
        </w:rPr>
        <w:t>72</w:t>
      </w:r>
      <w:r>
        <w:rPr>
          <w:rFonts w:hint="eastAsia" w:ascii="宋体" w:hAnsi="宋体" w:cs="宋体"/>
          <w:color w:val="auto"/>
          <w:sz w:val="24"/>
          <w:szCs w:val="24"/>
        </w:rPr>
        <w:t>小时移交运行考核期内，乙方承担全厂设备和设施的维修责任及出水达标责任。在</w:t>
      </w:r>
      <w:r>
        <w:rPr>
          <w:rFonts w:ascii="宋体" w:hAnsi="宋体" w:cs="宋体"/>
          <w:color w:val="auto"/>
          <w:sz w:val="24"/>
          <w:szCs w:val="24"/>
        </w:rPr>
        <w:t>72</w:t>
      </w:r>
      <w:r>
        <w:rPr>
          <w:rFonts w:hint="eastAsia" w:ascii="宋体" w:hAnsi="宋体" w:cs="宋体"/>
          <w:color w:val="auto"/>
          <w:sz w:val="24"/>
          <w:szCs w:val="24"/>
        </w:rPr>
        <w:t>小时运营移交考核期内若设备或设施出现故障，乙方应及时维修，否则甲方有权先行支付相应金额进行维修再向乙方追索，但应将支出的情况告诉乙方，且支出金额应当符合市场价。</w:t>
      </w:r>
    </w:p>
    <w:p>
      <w:pPr>
        <w:spacing w:line="360" w:lineRule="auto"/>
        <w:ind w:firstLine="480" w:firstLineChars="200"/>
        <w:rPr>
          <w:rFonts w:ascii="宋体"/>
          <w:color w:val="auto"/>
          <w:sz w:val="24"/>
          <w:szCs w:val="24"/>
        </w:rPr>
      </w:pPr>
      <w:r>
        <w:rPr>
          <w:rFonts w:ascii="宋体" w:hAnsi="宋体" w:cs="宋体"/>
          <w:color w:val="auto"/>
          <w:sz w:val="24"/>
          <w:szCs w:val="24"/>
        </w:rPr>
        <w:t>72</w:t>
      </w:r>
      <w:r>
        <w:rPr>
          <w:rFonts w:hint="eastAsia" w:ascii="宋体" w:hAnsi="宋体" w:cs="宋体"/>
          <w:color w:val="auto"/>
          <w:sz w:val="24"/>
          <w:szCs w:val="24"/>
        </w:rPr>
        <w:t>小时移交运行考核通过后，处理设施正式移交给甲方，由甲方承担运营责任。</w:t>
      </w:r>
    </w:p>
    <w:p>
      <w:pPr>
        <w:keepNext/>
        <w:keepLines/>
        <w:spacing w:before="260" w:after="260" w:line="360" w:lineRule="auto"/>
        <w:jc w:val="left"/>
        <w:outlineLvl w:val="2"/>
        <w:rPr>
          <w:rFonts w:ascii="宋体"/>
          <w:b/>
          <w:bCs/>
          <w:color w:val="auto"/>
          <w:sz w:val="24"/>
          <w:szCs w:val="24"/>
        </w:rPr>
      </w:pPr>
      <w:bookmarkStart w:id="189" w:name="_Toc521685642"/>
      <w:bookmarkStart w:id="190" w:name="_Toc136332561"/>
      <w:bookmarkStart w:id="191" w:name="_Toc404263626"/>
      <w:r>
        <w:rPr>
          <w:rFonts w:ascii="宋体" w:hAnsi="宋体" w:cs="宋体"/>
          <w:b/>
          <w:bCs/>
          <w:color w:val="auto"/>
          <w:sz w:val="24"/>
          <w:szCs w:val="24"/>
        </w:rPr>
        <w:t xml:space="preserve">6.4 </w:t>
      </w:r>
      <w:r>
        <w:rPr>
          <w:rFonts w:hint="eastAsia" w:ascii="宋体" w:hAnsi="宋体" w:cs="宋体"/>
          <w:b/>
          <w:bCs/>
          <w:color w:val="auto"/>
          <w:sz w:val="24"/>
          <w:szCs w:val="24"/>
        </w:rPr>
        <w:t>承包商保证的转让</w:t>
      </w:r>
      <w:bookmarkEnd w:id="189"/>
      <w:bookmarkEnd w:id="190"/>
      <w:bookmarkEnd w:id="191"/>
    </w:p>
    <w:p>
      <w:pPr>
        <w:spacing w:line="360" w:lineRule="auto"/>
        <w:ind w:firstLine="480" w:firstLineChars="200"/>
        <w:rPr>
          <w:rFonts w:ascii="宋体"/>
          <w:color w:val="auto"/>
          <w:sz w:val="24"/>
          <w:szCs w:val="24"/>
        </w:rPr>
      </w:pPr>
      <w:r>
        <w:rPr>
          <w:rFonts w:hint="eastAsia" w:ascii="宋体" w:hAnsi="宋体" w:cs="宋体"/>
          <w:color w:val="auto"/>
          <w:sz w:val="24"/>
          <w:szCs w:val="24"/>
        </w:rPr>
        <w:t>在移交时，乙方有义务将所有承包商、制造商和供应商提供的尚未期满的担保及保证在可转让的范围内分别无偿转让给甲方，并促成供应商以过去同样的优惠价格供应设备，在移交时，甲方有权选择是否接受合同延续和承担由此发生的一切责任。</w:t>
      </w:r>
    </w:p>
    <w:p>
      <w:pPr>
        <w:keepNext/>
        <w:keepLines/>
        <w:spacing w:before="260" w:after="260" w:line="360" w:lineRule="auto"/>
        <w:jc w:val="left"/>
        <w:outlineLvl w:val="2"/>
        <w:rPr>
          <w:rFonts w:ascii="宋体"/>
          <w:b/>
          <w:bCs/>
          <w:color w:val="auto"/>
          <w:sz w:val="24"/>
          <w:szCs w:val="24"/>
        </w:rPr>
      </w:pPr>
      <w:bookmarkStart w:id="192" w:name="_Toc404263627"/>
      <w:bookmarkStart w:id="193" w:name="_Toc521685643"/>
      <w:bookmarkStart w:id="194" w:name="_Toc136332562"/>
      <w:r>
        <w:rPr>
          <w:rFonts w:ascii="宋体" w:hAnsi="宋体" w:cs="宋体"/>
          <w:b/>
          <w:bCs/>
          <w:color w:val="auto"/>
          <w:sz w:val="24"/>
          <w:szCs w:val="24"/>
        </w:rPr>
        <w:t xml:space="preserve">6.5 </w:t>
      </w:r>
      <w:r>
        <w:rPr>
          <w:rFonts w:hint="eastAsia" w:ascii="宋体" w:hAnsi="宋体" w:cs="宋体"/>
          <w:b/>
          <w:bCs/>
          <w:color w:val="auto"/>
          <w:sz w:val="24"/>
          <w:szCs w:val="24"/>
        </w:rPr>
        <w:t>移交效力</w:t>
      </w:r>
      <w:bookmarkEnd w:id="192"/>
      <w:bookmarkEnd w:id="193"/>
      <w:bookmarkEnd w:id="194"/>
    </w:p>
    <w:p>
      <w:pPr>
        <w:spacing w:line="360" w:lineRule="auto"/>
        <w:ind w:firstLine="480" w:firstLineChars="200"/>
        <w:rPr>
          <w:rFonts w:ascii="宋体"/>
          <w:color w:val="auto"/>
          <w:sz w:val="24"/>
          <w:szCs w:val="24"/>
        </w:rPr>
      </w:pPr>
      <w:r>
        <w:rPr>
          <w:rFonts w:hint="eastAsia" w:ascii="宋体" w:hAnsi="宋体" w:cs="宋体"/>
          <w:color w:val="auto"/>
          <w:sz w:val="24"/>
          <w:szCs w:val="24"/>
        </w:rPr>
        <w:t>除</w:t>
      </w:r>
      <w:r>
        <w:rPr>
          <w:rFonts w:ascii="宋体" w:hAnsi="宋体" w:cs="宋体"/>
          <w:color w:val="auto"/>
          <w:sz w:val="24"/>
          <w:szCs w:val="24"/>
        </w:rPr>
        <w:t>6.3</w:t>
      </w:r>
      <w:r>
        <w:rPr>
          <w:rFonts w:hint="eastAsia" w:ascii="宋体" w:hAnsi="宋体" w:cs="宋体"/>
          <w:color w:val="auto"/>
          <w:sz w:val="24"/>
          <w:szCs w:val="24"/>
        </w:rPr>
        <w:t>条规定以外，乙方在本协议项下的权利和义务随移交的完成而终止，甲方应接管运营项目的运行及享有运营项目的一切权利和义务。</w:t>
      </w:r>
    </w:p>
    <w:p>
      <w:pPr>
        <w:keepNext/>
        <w:keepLines/>
        <w:spacing w:before="260" w:after="260" w:line="360" w:lineRule="auto"/>
        <w:jc w:val="left"/>
        <w:outlineLvl w:val="2"/>
        <w:rPr>
          <w:rFonts w:ascii="宋体"/>
          <w:b/>
          <w:bCs/>
          <w:color w:val="auto"/>
          <w:sz w:val="24"/>
          <w:szCs w:val="24"/>
        </w:rPr>
      </w:pPr>
      <w:bookmarkStart w:id="195" w:name="_Toc404263628"/>
      <w:bookmarkStart w:id="196" w:name="_Toc521685644"/>
      <w:bookmarkStart w:id="197" w:name="_Toc136332564"/>
      <w:r>
        <w:rPr>
          <w:rFonts w:ascii="宋体" w:hAnsi="宋体" w:cs="宋体"/>
          <w:b/>
          <w:bCs/>
          <w:color w:val="auto"/>
          <w:sz w:val="24"/>
          <w:szCs w:val="24"/>
        </w:rPr>
        <w:t>6.6</w:t>
      </w:r>
      <w:r>
        <w:rPr>
          <w:rFonts w:hint="eastAsia" w:ascii="宋体" w:hAnsi="宋体" w:cs="宋体"/>
          <w:b/>
          <w:bCs/>
          <w:color w:val="auto"/>
          <w:sz w:val="24"/>
          <w:szCs w:val="24"/>
        </w:rPr>
        <w:t>风险转移</w:t>
      </w:r>
      <w:bookmarkEnd w:id="195"/>
      <w:bookmarkEnd w:id="196"/>
      <w:bookmarkEnd w:id="197"/>
    </w:p>
    <w:p>
      <w:pPr>
        <w:spacing w:line="360" w:lineRule="auto"/>
        <w:ind w:firstLine="480" w:firstLineChars="200"/>
        <w:rPr>
          <w:rFonts w:ascii="宋体"/>
          <w:color w:val="auto"/>
          <w:sz w:val="24"/>
          <w:szCs w:val="24"/>
        </w:rPr>
      </w:pPr>
      <w:r>
        <w:rPr>
          <w:rFonts w:hint="eastAsia" w:ascii="宋体" w:hAnsi="宋体" w:cs="宋体"/>
          <w:color w:val="auto"/>
          <w:sz w:val="24"/>
          <w:szCs w:val="24"/>
        </w:rPr>
        <w:t>甲方承担移交日后运营项目的全部或部分损失或损坏的风险，除非损失或损坏是由乙方的过错或违约所致。</w:t>
      </w:r>
    </w:p>
    <w:p>
      <w:pPr>
        <w:widowControl/>
        <w:spacing w:line="360" w:lineRule="auto"/>
        <w:jc w:val="left"/>
        <w:rPr>
          <w:rFonts w:ascii="宋体"/>
          <w:color w:val="auto"/>
          <w:sz w:val="24"/>
          <w:szCs w:val="24"/>
        </w:rPr>
      </w:pPr>
    </w:p>
    <w:p>
      <w:pPr>
        <w:keepNext/>
        <w:keepLines/>
        <w:spacing w:before="260" w:after="260" w:line="360" w:lineRule="auto"/>
        <w:jc w:val="center"/>
        <w:outlineLvl w:val="1"/>
        <w:rPr>
          <w:rFonts w:ascii="宋体"/>
          <w:b/>
          <w:bCs/>
          <w:color w:val="auto"/>
          <w:sz w:val="24"/>
          <w:szCs w:val="24"/>
        </w:rPr>
      </w:pPr>
      <w:bookmarkStart w:id="198" w:name="_Toc404263630"/>
      <w:bookmarkStart w:id="199" w:name="_Toc136332566"/>
      <w:bookmarkStart w:id="200" w:name="_Toc521685645"/>
      <w:bookmarkStart w:id="201" w:name="_Toc71780656"/>
      <w:r>
        <w:rPr>
          <w:rFonts w:hint="eastAsia" w:ascii="宋体" w:hAnsi="宋体" w:cs="宋体"/>
          <w:b/>
          <w:bCs/>
          <w:color w:val="auto"/>
          <w:sz w:val="24"/>
          <w:szCs w:val="24"/>
        </w:rPr>
        <w:t>第</w:t>
      </w:r>
      <w:r>
        <w:rPr>
          <w:rFonts w:ascii="宋体" w:hAnsi="宋体" w:cs="宋体"/>
          <w:b/>
          <w:bCs/>
          <w:color w:val="auto"/>
          <w:sz w:val="24"/>
          <w:szCs w:val="24"/>
        </w:rPr>
        <w:t>7</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甲方和乙方共同的一般权利和义务</w:t>
      </w:r>
      <w:bookmarkEnd w:id="198"/>
      <w:bookmarkEnd w:id="199"/>
      <w:bookmarkEnd w:id="200"/>
    </w:p>
    <w:p>
      <w:pPr>
        <w:keepNext/>
        <w:keepLines/>
        <w:spacing w:before="260" w:after="260" w:line="360" w:lineRule="auto"/>
        <w:jc w:val="left"/>
        <w:outlineLvl w:val="2"/>
        <w:rPr>
          <w:rFonts w:ascii="宋体"/>
          <w:b/>
          <w:bCs/>
          <w:color w:val="auto"/>
          <w:sz w:val="24"/>
          <w:szCs w:val="24"/>
        </w:rPr>
      </w:pPr>
      <w:bookmarkStart w:id="202" w:name="_Toc521685646"/>
      <w:bookmarkStart w:id="203" w:name="_Toc404263631"/>
      <w:bookmarkStart w:id="204" w:name="_Toc136332567"/>
      <w:r>
        <w:rPr>
          <w:rFonts w:ascii="宋体" w:hAnsi="宋体" w:cs="宋体"/>
          <w:b/>
          <w:bCs/>
          <w:color w:val="auto"/>
          <w:sz w:val="24"/>
          <w:szCs w:val="24"/>
        </w:rPr>
        <w:t xml:space="preserve">7.1  </w:t>
      </w:r>
      <w:r>
        <w:rPr>
          <w:rFonts w:hint="eastAsia" w:ascii="宋体" w:hAnsi="宋体" w:cs="宋体"/>
          <w:b/>
          <w:bCs/>
          <w:color w:val="auto"/>
          <w:sz w:val="24"/>
          <w:szCs w:val="24"/>
        </w:rPr>
        <w:t>不可抗力</w:t>
      </w:r>
      <w:bookmarkEnd w:id="202"/>
      <w:bookmarkEnd w:id="203"/>
      <w:bookmarkEnd w:id="204"/>
    </w:p>
    <w:p>
      <w:pPr>
        <w:spacing w:line="360" w:lineRule="auto"/>
        <w:rPr>
          <w:rFonts w:ascii="宋体"/>
          <w:color w:val="auto"/>
          <w:sz w:val="24"/>
          <w:szCs w:val="24"/>
        </w:rPr>
      </w:pPr>
      <w:r>
        <w:rPr>
          <w:rFonts w:ascii="宋体" w:hAnsi="宋体" w:cs="宋体"/>
          <w:color w:val="auto"/>
          <w:sz w:val="24"/>
          <w:szCs w:val="24"/>
        </w:rPr>
        <w:t xml:space="preserve">7.1.1 </w:t>
      </w:r>
      <w:r>
        <w:rPr>
          <w:rFonts w:hint="eastAsia" w:ascii="宋体" w:hAnsi="宋体" w:cs="宋体"/>
          <w:color w:val="auto"/>
          <w:sz w:val="24"/>
          <w:szCs w:val="24"/>
        </w:rPr>
        <w:t>不可抗力</w:t>
      </w:r>
    </w:p>
    <w:p>
      <w:pPr>
        <w:tabs>
          <w:tab w:val="left" w:pos="1350"/>
        </w:tabs>
        <w:topLinePunct/>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不可抗力是指在签订本协议时不能合理预见的、不能克服和不能避免的事件或情形。以满足上述条件为前提，不可抗力包括但不限于：</w:t>
      </w:r>
    </w:p>
    <w:p>
      <w:pPr>
        <w:numPr>
          <w:ilvl w:val="0"/>
          <w:numId w:val="18"/>
        </w:numPr>
        <w:tabs>
          <w:tab w:val="left" w:pos="1215"/>
        </w:tabs>
        <w:topLinePunct/>
        <w:adjustRightInd w:val="0"/>
        <w:snapToGrid w:val="0"/>
        <w:spacing w:line="360" w:lineRule="auto"/>
        <w:ind w:left="0" w:firstLine="480" w:firstLineChars="200"/>
        <w:rPr>
          <w:rFonts w:ascii="宋体"/>
          <w:color w:val="auto"/>
          <w:sz w:val="24"/>
          <w:szCs w:val="24"/>
        </w:rPr>
      </w:pPr>
      <w:r>
        <w:rPr>
          <w:rFonts w:hint="eastAsia" w:ascii="宋体" w:hAnsi="宋体" w:cs="宋体"/>
          <w:color w:val="auto"/>
          <w:sz w:val="24"/>
          <w:szCs w:val="24"/>
        </w:rPr>
        <w:t>雷电、地震、火山爆发、滑坡、水灾、暴雨、海啸、台风、龙卷风或旱灾；</w:t>
      </w:r>
    </w:p>
    <w:p>
      <w:pPr>
        <w:numPr>
          <w:ilvl w:val="0"/>
          <w:numId w:val="18"/>
        </w:numPr>
        <w:tabs>
          <w:tab w:val="left" w:pos="1215"/>
        </w:tabs>
        <w:topLinePunct/>
        <w:adjustRightInd w:val="0"/>
        <w:snapToGrid w:val="0"/>
        <w:spacing w:line="360" w:lineRule="auto"/>
        <w:ind w:left="0" w:firstLine="480" w:firstLineChars="200"/>
        <w:rPr>
          <w:rFonts w:ascii="宋体"/>
          <w:color w:val="auto"/>
          <w:sz w:val="24"/>
          <w:szCs w:val="24"/>
        </w:rPr>
      </w:pPr>
      <w:r>
        <w:rPr>
          <w:rFonts w:hint="eastAsia" w:ascii="宋体" w:hAnsi="宋体" w:cs="宋体"/>
          <w:color w:val="auto"/>
          <w:sz w:val="24"/>
          <w:szCs w:val="24"/>
        </w:rPr>
        <w:t>流行病、瘟疫爆发；</w:t>
      </w:r>
    </w:p>
    <w:p>
      <w:pPr>
        <w:numPr>
          <w:ilvl w:val="0"/>
          <w:numId w:val="18"/>
        </w:numPr>
        <w:tabs>
          <w:tab w:val="left" w:pos="1215"/>
        </w:tabs>
        <w:topLinePunct/>
        <w:adjustRightInd w:val="0"/>
        <w:snapToGrid w:val="0"/>
        <w:spacing w:line="360" w:lineRule="auto"/>
        <w:ind w:left="0" w:firstLine="480" w:firstLineChars="200"/>
        <w:rPr>
          <w:rFonts w:ascii="宋体"/>
          <w:color w:val="auto"/>
          <w:sz w:val="24"/>
          <w:szCs w:val="24"/>
        </w:rPr>
      </w:pPr>
      <w:r>
        <w:rPr>
          <w:rFonts w:hint="eastAsia" w:ascii="宋体" w:hAnsi="宋体" w:cs="宋体"/>
          <w:color w:val="auto"/>
          <w:sz w:val="24"/>
          <w:szCs w:val="24"/>
        </w:rPr>
        <w:t>战争行为、入侵、武装冲突或外敌行为、封锁或军事力量的使用，暴乱或恐怖行为；</w:t>
      </w:r>
    </w:p>
    <w:p>
      <w:pPr>
        <w:numPr>
          <w:ilvl w:val="0"/>
          <w:numId w:val="18"/>
        </w:numPr>
        <w:tabs>
          <w:tab w:val="left" w:pos="1215"/>
        </w:tabs>
        <w:topLinePunct/>
        <w:adjustRightInd w:val="0"/>
        <w:snapToGrid w:val="0"/>
        <w:spacing w:line="360" w:lineRule="auto"/>
        <w:ind w:left="0" w:firstLine="480" w:firstLineChars="200"/>
        <w:rPr>
          <w:rFonts w:ascii="宋体"/>
          <w:color w:val="auto"/>
          <w:sz w:val="24"/>
          <w:szCs w:val="24"/>
        </w:rPr>
      </w:pPr>
      <w:r>
        <w:rPr>
          <w:rFonts w:hint="eastAsia" w:ascii="宋体" w:hAnsi="宋体" w:cs="宋体"/>
          <w:color w:val="auto"/>
          <w:sz w:val="24"/>
          <w:szCs w:val="24"/>
        </w:rPr>
        <w:t>全国性、地区性、城市性或行业性罢工；</w:t>
      </w:r>
    </w:p>
    <w:p>
      <w:pPr>
        <w:spacing w:line="360" w:lineRule="auto"/>
        <w:ind w:firstLine="480" w:firstLineChars="200"/>
        <w:rPr>
          <w:rFonts w:ascii="宋体"/>
          <w:color w:val="auto"/>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）由于不能归因于甲乙方的原因引起</w:t>
      </w:r>
      <w:r>
        <w:rPr>
          <w:rFonts w:hint="eastAsia" w:ascii="宋体" w:hAnsi="宋体" w:cs="宋体"/>
          <w:color w:val="auto"/>
          <w:sz w:val="24"/>
          <w:szCs w:val="24"/>
        </w:rPr>
        <w:t>的渗滤液处理工程供电中断。</w:t>
      </w:r>
      <w:r>
        <w:rPr>
          <w:rFonts w:ascii="宋体" w:hAnsi="宋体" w:cs="宋体"/>
          <w:color w:val="auto"/>
          <w:sz w:val="24"/>
          <w:szCs w:val="24"/>
        </w:rPr>
        <w:t xml:space="preserve"> </w:t>
      </w:r>
    </w:p>
    <w:p>
      <w:pPr>
        <w:spacing w:line="360" w:lineRule="auto"/>
        <w:rPr>
          <w:rFonts w:ascii="宋体"/>
          <w:color w:val="auto"/>
          <w:sz w:val="24"/>
          <w:szCs w:val="24"/>
        </w:rPr>
      </w:pPr>
      <w:r>
        <w:rPr>
          <w:rFonts w:ascii="宋体" w:hAnsi="宋体" w:cs="宋体"/>
          <w:color w:val="auto"/>
          <w:sz w:val="24"/>
          <w:szCs w:val="24"/>
        </w:rPr>
        <w:t xml:space="preserve">7.1.2 </w:t>
      </w:r>
      <w:r>
        <w:rPr>
          <w:rFonts w:hint="eastAsia" w:ascii="宋体" w:hAnsi="宋体" w:cs="宋体"/>
          <w:color w:val="auto"/>
          <w:sz w:val="24"/>
          <w:szCs w:val="24"/>
        </w:rPr>
        <w:t>积极补救不可抗力的义务</w:t>
      </w:r>
    </w:p>
    <w:p>
      <w:pPr>
        <w:spacing w:line="360" w:lineRule="auto"/>
        <w:ind w:firstLine="480" w:firstLineChars="200"/>
        <w:rPr>
          <w:rFonts w:ascii="宋体"/>
          <w:color w:val="auto"/>
          <w:sz w:val="24"/>
          <w:szCs w:val="24"/>
        </w:rPr>
      </w:pPr>
      <w:r>
        <w:rPr>
          <w:rFonts w:ascii="宋体" w:hAnsi="宋体" w:cs="宋体"/>
          <w:color w:val="auto"/>
          <w:sz w:val="24"/>
          <w:szCs w:val="24"/>
        </w:rPr>
        <w:t xml:space="preserve">(a) </w:t>
      </w:r>
      <w:r>
        <w:rPr>
          <w:rFonts w:hint="eastAsia" w:ascii="宋体" w:hAnsi="宋体" w:cs="宋体"/>
          <w:color w:val="auto"/>
          <w:sz w:val="24"/>
          <w:szCs w:val="24"/>
        </w:rPr>
        <w:t>尽快向对方通告事件或情况的发生，对事件或情况的预计持续时间和其在本协议项下履行义务的可能影响作出估计；</w:t>
      </w:r>
    </w:p>
    <w:p>
      <w:pPr>
        <w:spacing w:line="360" w:lineRule="auto"/>
        <w:ind w:firstLine="480" w:firstLineChars="200"/>
        <w:rPr>
          <w:rFonts w:ascii="宋体"/>
          <w:color w:val="auto"/>
          <w:sz w:val="24"/>
          <w:szCs w:val="24"/>
        </w:rPr>
      </w:pPr>
      <w:r>
        <w:rPr>
          <w:rFonts w:ascii="宋体" w:hAnsi="宋体" w:cs="宋体"/>
          <w:color w:val="auto"/>
          <w:sz w:val="24"/>
          <w:szCs w:val="24"/>
        </w:rPr>
        <w:t xml:space="preserve">(b) </w:t>
      </w:r>
      <w:r>
        <w:rPr>
          <w:rFonts w:hint="eastAsia" w:ascii="宋体" w:hAnsi="宋体" w:cs="宋体"/>
          <w:color w:val="auto"/>
          <w:sz w:val="24"/>
          <w:szCs w:val="24"/>
        </w:rPr>
        <w:t>作出一切合理努力以继续履行其在本协议项下的义务；</w:t>
      </w:r>
    </w:p>
    <w:p>
      <w:pPr>
        <w:spacing w:line="360" w:lineRule="auto"/>
        <w:ind w:firstLine="480" w:firstLineChars="200"/>
        <w:rPr>
          <w:rFonts w:ascii="宋体"/>
          <w:color w:val="auto"/>
          <w:sz w:val="24"/>
          <w:szCs w:val="24"/>
        </w:rPr>
      </w:pPr>
      <w:r>
        <w:rPr>
          <w:rFonts w:ascii="宋体" w:hAnsi="宋体" w:cs="宋体"/>
          <w:color w:val="auto"/>
          <w:sz w:val="24"/>
          <w:szCs w:val="24"/>
        </w:rPr>
        <w:t xml:space="preserve">(c) </w:t>
      </w:r>
      <w:r>
        <w:rPr>
          <w:rFonts w:hint="eastAsia" w:ascii="宋体" w:hAnsi="宋体" w:cs="宋体"/>
          <w:color w:val="auto"/>
          <w:sz w:val="24"/>
          <w:szCs w:val="24"/>
        </w:rPr>
        <w:t>尽快采取行动纠正或补救造成免于履行义务的事件或情况；</w:t>
      </w:r>
    </w:p>
    <w:p>
      <w:pPr>
        <w:spacing w:line="360" w:lineRule="auto"/>
        <w:ind w:firstLine="480" w:firstLineChars="200"/>
        <w:rPr>
          <w:rFonts w:ascii="宋体"/>
          <w:color w:val="auto"/>
          <w:sz w:val="24"/>
          <w:szCs w:val="24"/>
        </w:rPr>
      </w:pPr>
      <w:r>
        <w:rPr>
          <w:rFonts w:ascii="宋体" w:hAnsi="宋体" w:cs="宋体"/>
          <w:color w:val="auto"/>
          <w:sz w:val="24"/>
          <w:szCs w:val="24"/>
        </w:rPr>
        <w:t xml:space="preserve">(d) </w:t>
      </w:r>
      <w:r>
        <w:rPr>
          <w:rFonts w:hint="eastAsia" w:ascii="宋体" w:hAnsi="宋体" w:cs="宋体"/>
          <w:color w:val="auto"/>
          <w:sz w:val="24"/>
          <w:szCs w:val="24"/>
        </w:rPr>
        <w:t>作出一切合理努力以减轻或限制对对方造成的损害；</w:t>
      </w:r>
    </w:p>
    <w:p>
      <w:pPr>
        <w:spacing w:line="360" w:lineRule="auto"/>
        <w:ind w:firstLine="480" w:firstLineChars="200"/>
        <w:rPr>
          <w:rFonts w:ascii="宋体"/>
          <w:color w:val="auto"/>
          <w:sz w:val="24"/>
          <w:szCs w:val="24"/>
        </w:rPr>
      </w:pPr>
      <w:r>
        <w:rPr>
          <w:rFonts w:ascii="宋体" w:hAnsi="宋体" w:cs="宋体"/>
          <w:color w:val="auto"/>
          <w:sz w:val="24"/>
          <w:szCs w:val="24"/>
        </w:rPr>
        <w:t xml:space="preserve">(e) </w:t>
      </w:r>
      <w:r>
        <w:rPr>
          <w:rFonts w:hint="eastAsia" w:ascii="宋体" w:hAnsi="宋体" w:cs="宋体"/>
          <w:color w:val="auto"/>
          <w:sz w:val="24"/>
          <w:szCs w:val="24"/>
        </w:rPr>
        <w:t>将其根据上述</w:t>
      </w:r>
      <w:r>
        <w:rPr>
          <w:rFonts w:ascii="宋体" w:hAnsi="宋体" w:cs="宋体"/>
          <w:color w:val="auto"/>
          <w:sz w:val="24"/>
          <w:szCs w:val="24"/>
        </w:rPr>
        <w:t>(b)( c)</w:t>
      </w:r>
      <w:r>
        <w:rPr>
          <w:rFonts w:hint="eastAsia" w:ascii="宋体" w:hAnsi="宋体" w:cs="宋体"/>
          <w:color w:val="auto"/>
          <w:sz w:val="24"/>
          <w:szCs w:val="24"/>
        </w:rPr>
        <w:t>和</w:t>
      </w:r>
      <w:r>
        <w:rPr>
          <w:rFonts w:ascii="宋体" w:hAnsi="宋体" w:cs="宋体"/>
          <w:color w:val="auto"/>
          <w:sz w:val="24"/>
          <w:szCs w:val="24"/>
        </w:rPr>
        <w:t xml:space="preserve">( d) </w:t>
      </w:r>
      <w:r>
        <w:rPr>
          <w:rFonts w:hint="eastAsia" w:ascii="宋体" w:hAnsi="宋体" w:cs="宋体"/>
          <w:color w:val="auto"/>
          <w:sz w:val="24"/>
          <w:szCs w:val="24"/>
        </w:rPr>
        <w:t>段采取的行动或行动计划定期通告对方，并在导致它免于履行义务的事件或情况不再存在时立即通知对方。</w:t>
      </w:r>
    </w:p>
    <w:p>
      <w:pPr>
        <w:spacing w:line="360" w:lineRule="auto"/>
        <w:rPr>
          <w:rFonts w:ascii="宋体"/>
          <w:color w:val="auto"/>
          <w:sz w:val="24"/>
          <w:szCs w:val="24"/>
        </w:rPr>
      </w:pPr>
      <w:r>
        <w:rPr>
          <w:rFonts w:ascii="宋体" w:hAnsi="宋体" w:cs="宋体"/>
          <w:color w:val="auto"/>
          <w:sz w:val="24"/>
          <w:szCs w:val="24"/>
        </w:rPr>
        <w:t xml:space="preserve">7.1.3 </w:t>
      </w:r>
      <w:r>
        <w:rPr>
          <w:rFonts w:hint="eastAsia" w:ascii="宋体" w:hAnsi="宋体" w:cs="宋体"/>
          <w:color w:val="auto"/>
          <w:sz w:val="24"/>
          <w:szCs w:val="24"/>
        </w:rPr>
        <w:t>不可抗力的处理程序</w:t>
      </w:r>
    </w:p>
    <w:p>
      <w:pPr>
        <w:spacing w:line="360" w:lineRule="auto"/>
        <w:ind w:firstLine="480" w:firstLineChars="200"/>
        <w:rPr>
          <w:rFonts w:ascii="宋体"/>
          <w:color w:val="auto"/>
          <w:sz w:val="24"/>
          <w:szCs w:val="24"/>
        </w:rPr>
      </w:pPr>
      <w:r>
        <w:rPr>
          <w:rFonts w:hint="eastAsia" w:ascii="宋体" w:hAnsi="宋体" w:cs="宋体"/>
          <w:color w:val="auto"/>
          <w:sz w:val="24"/>
          <w:szCs w:val="24"/>
        </w:rPr>
        <w:t>不可抗力事件发生后，双方应本着诚信平等的原则，立即就此等不可抗力事件进行协商，</w:t>
      </w:r>
    </w:p>
    <w:p>
      <w:pPr>
        <w:spacing w:line="360" w:lineRule="auto"/>
        <w:ind w:firstLine="480" w:firstLineChars="200"/>
        <w:rPr>
          <w:rFonts w:ascii="宋体"/>
          <w:color w:val="auto"/>
          <w:sz w:val="24"/>
          <w:szCs w:val="24"/>
        </w:rPr>
      </w:pPr>
      <w:r>
        <w:rPr>
          <w:rFonts w:ascii="宋体" w:hAnsi="宋体" w:cs="宋体"/>
          <w:color w:val="auto"/>
          <w:sz w:val="24"/>
          <w:szCs w:val="24"/>
        </w:rPr>
        <w:t xml:space="preserve">(a) </w:t>
      </w:r>
      <w:r>
        <w:rPr>
          <w:rFonts w:hint="eastAsia" w:ascii="宋体" w:hAnsi="宋体" w:cs="宋体"/>
          <w:color w:val="auto"/>
          <w:sz w:val="24"/>
          <w:szCs w:val="24"/>
        </w:rPr>
        <w:t>如果双方在</w:t>
      </w:r>
      <w:r>
        <w:rPr>
          <w:rFonts w:ascii="宋体" w:hAnsi="宋体" w:cs="宋体"/>
          <w:color w:val="auto"/>
          <w:sz w:val="24"/>
          <w:szCs w:val="24"/>
          <w:u w:val="single"/>
        </w:rPr>
        <w:t xml:space="preserve">  60  </w:t>
      </w:r>
      <w:r>
        <w:rPr>
          <w:rFonts w:hint="eastAsia" w:ascii="宋体" w:hAnsi="宋体" w:cs="宋体"/>
          <w:color w:val="auto"/>
          <w:sz w:val="24"/>
          <w:szCs w:val="24"/>
        </w:rPr>
        <w:t>日内达成一致意见，继续履行在本协议项下的义务，则甲方应按照甲乙双方商定的结果向乙方进行补偿。</w:t>
      </w:r>
    </w:p>
    <w:p>
      <w:pPr>
        <w:spacing w:line="360" w:lineRule="auto"/>
        <w:ind w:firstLine="480" w:firstLineChars="200"/>
        <w:rPr>
          <w:rFonts w:ascii="宋体"/>
          <w:color w:val="auto"/>
          <w:sz w:val="24"/>
          <w:szCs w:val="24"/>
        </w:rPr>
      </w:pPr>
      <w:r>
        <w:rPr>
          <w:rFonts w:ascii="宋体" w:hAnsi="宋体" w:cs="宋体"/>
          <w:color w:val="auto"/>
          <w:sz w:val="24"/>
          <w:szCs w:val="24"/>
        </w:rPr>
        <w:t xml:space="preserve">(b) </w:t>
      </w:r>
      <w:r>
        <w:rPr>
          <w:rFonts w:hint="eastAsia" w:ascii="宋体" w:hAnsi="宋体" w:cs="宋体"/>
          <w:color w:val="auto"/>
          <w:sz w:val="24"/>
          <w:szCs w:val="24"/>
        </w:rPr>
        <w:t>如果双方不能够在上述</w:t>
      </w:r>
      <w:r>
        <w:rPr>
          <w:rFonts w:ascii="宋体" w:hAnsi="宋体" w:cs="宋体"/>
          <w:color w:val="auto"/>
          <w:sz w:val="24"/>
          <w:szCs w:val="24"/>
          <w:u w:val="single"/>
        </w:rPr>
        <w:t xml:space="preserve"> 60  </w:t>
      </w:r>
      <w:r>
        <w:rPr>
          <w:rFonts w:hint="eastAsia" w:ascii="宋体" w:hAnsi="宋体" w:cs="宋体"/>
          <w:color w:val="auto"/>
          <w:sz w:val="24"/>
          <w:szCs w:val="24"/>
        </w:rPr>
        <w:t>日期限内达成一致意见，则任何一方可送达终止通知。</w:t>
      </w:r>
    </w:p>
    <w:p>
      <w:pPr>
        <w:spacing w:line="360" w:lineRule="auto"/>
        <w:rPr>
          <w:rFonts w:ascii="宋体"/>
          <w:color w:val="auto"/>
          <w:sz w:val="24"/>
          <w:szCs w:val="24"/>
        </w:rPr>
      </w:pPr>
      <w:r>
        <w:rPr>
          <w:rFonts w:ascii="宋体" w:hAnsi="宋体" w:cs="宋体"/>
          <w:color w:val="auto"/>
          <w:sz w:val="24"/>
          <w:szCs w:val="24"/>
        </w:rPr>
        <w:t xml:space="preserve">7.1.4 </w:t>
      </w:r>
      <w:r>
        <w:rPr>
          <w:rFonts w:hint="eastAsia" w:ascii="宋体" w:hAnsi="宋体" w:cs="宋体"/>
          <w:color w:val="auto"/>
          <w:sz w:val="24"/>
          <w:szCs w:val="24"/>
        </w:rPr>
        <w:t>费用</w:t>
      </w:r>
    </w:p>
    <w:p>
      <w:pPr>
        <w:spacing w:line="360" w:lineRule="auto"/>
        <w:ind w:firstLine="480" w:firstLineChars="200"/>
        <w:rPr>
          <w:rFonts w:ascii="宋体"/>
          <w:color w:val="auto"/>
          <w:sz w:val="24"/>
          <w:szCs w:val="24"/>
        </w:rPr>
      </w:pPr>
      <w:r>
        <w:rPr>
          <w:rFonts w:hint="eastAsia" w:ascii="宋体" w:hAnsi="宋体" w:cs="宋体"/>
          <w:color w:val="auto"/>
          <w:sz w:val="24"/>
          <w:szCs w:val="24"/>
        </w:rPr>
        <w:t>发生不可抗力事件时，甲乙双方各自承担各自财产及人员由于不可抗力事件造成的支出和费用。甲方可依不可抗力造成的时间损失给予延期并相应延长运营期。</w:t>
      </w:r>
    </w:p>
    <w:p>
      <w:pPr>
        <w:spacing w:line="360" w:lineRule="auto"/>
        <w:rPr>
          <w:rFonts w:ascii="宋体"/>
          <w:color w:val="auto"/>
          <w:sz w:val="24"/>
          <w:szCs w:val="24"/>
        </w:rPr>
      </w:pPr>
      <w:r>
        <w:rPr>
          <w:rFonts w:ascii="宋体" w:hAnsi="宋体" w:cs="宋体"/>
          <w:color w:val="auto"/>
          <w:sz w:val="24"/>
          <w:szCs w:val="24"/>
        </w:rPr>
        <w:t>7.1.5</w:t>
      </w:r>
      <w:r>
        <w:rPr>
          <w:rFonts w:hint="eastAsia" w:ascii="宋体" w:hAnsi="宋体" w:cs="宋体"/>
          <w:color w:val="auto"/>
          <w:sz w:val="24"/>
          <w:szCs w:val="24"/>
        </w:rPr>
        <w:t>不可抗力造成的终止</w:t>
      </w:r>
    </w:p>
    <w:p>
      <w:pPr>
        <w:spacing w:line="360" w:lineRule="auto"/>
        <w:ind w:firstLine="480" w:firstLineChars="200"/>
        <w:rPr>
          <w:rFonts w:ascii="宋体"/>
          <w:color w:val="auto"/>
          <w:sz w:val="24"/>
          <w:szCs w:val="24"/>
        </w:rPr>
      </w:pPr>
      <w:r>
        <w:rPr>
          <w:rFonts w:hint="eastAsia" w:ascii="宋体" w:hAnsi="宋体" w:cs="宋体"/>
          <w:color w:val="auto"/>
          <w:sz w:val="24"/>
          <w:szCs w:val="24"/>
        </w:rPr>
        <w:t>如果任何不可抗力事件阻止一方履行其义务的时间自该不可抗力发生日起连续超过</w:t>
      </w:r>
      <w:r>
        <w:rPr>
          <w:rFonts w:ascii="宋体" w:hAnsi="宋体" w:cs="宋体"/>
          <w:color w:val="auto"/>
          <w:sz w:val="24"/>
          <w:szCs w:val="24"/>
          <w:u w:val="single"/>
        </w:rPr>
        <w:t xml:space="preserve">  90  </w:t>
      </w:r>
      <w:r>
        <w:rPr>
          <w:rFonts w:hint="eastAsia" w:ascii="宋体" w:hAnsi="宋体" w:cs="宋体"/>
          <w:color w:val="auto"/>
          <w:sz w:val="24"/>
          <w:szCs w:val="24"/>
        </w:rPr>
        <w:t>个工作日，双方应协商继续履行本协议的条件和重新履行本协议的时间。如果自不可抗力发生后</w:t>
      </w:r>
      <w:r>
        <w:rPr>
          <w:rFonts w:ascii="宋体" w:hAnsi="宋体" w:cs="宋体"/>
          <w:color w:val="auto"/>
          <w:sz w:val="24"/>
          <w:szCs w:val="24"/>
          <w:u w:val="single"/>
        </w:rPr>
        <w:t xml:space="preserve">  120  </w:t>
      </w:r>
      <w:r>
        <w:rPr>
          <w:rFonts w:hint="eastAsia" w:ascii="宋体" w:hAnsi="宋体" w:cs="宋体"/>
          <w:color w:val="auto"/>
          <w:sz w:val="24"/>
          <w:szCs w:val="24"/>
        </w:rPr>
        <w:t>个工作日之内双方不能就继续履行的条件和时间达成一致意见，并且该不可抗力事件如果不能一致解决将会对项目的顺利进行造成实质性影响时，任何一方均可以按</w:t>
      </w:r>
      <w:r>
        <w:rPr>
          <w:rFonts w:ascii="宋体" w:hAnsi="宋体" w:cs="宋体"/>
          <w:color w:val="auto"/>
          <w:sz w:val="24"/>
          <w:szCs w:val="24"/>
        </w:rPr>
        <w:t>12.3</w:t>
      </w:r>
      <w:r>
        <w:rPr>
          <w:rFonts w:hint="eastAsia" w:ascii="宋体" w:hAnsi="宋体" w:cs="宋体"/>
          <w:color w:val="auto"/>
          <w:sz w:val="24"/>
          <w:szCs w:val="24"/>
        </w:rPr>
        <w:t>条款书面通知另一方终止本协议。</w:t>
      </w:r>
    </w:p>
    <w:p>
      <w:pPr>
        <w:keepNext/>
        <w:keepLines/>
        <w:spacing w:before="260" w:after="260" w:line="360" w:lineRule="auto"/>
        <w:jc w:val="left"/>
        <w:outlineLvl w:val="2"/>
        <w:rPr>
          <w:rFonts w:ascii="宋体"/>
          <w:b/>
          <w:bCs/>
          <w:color w:val="auto"/>
          <w:sz w:val="24"/>
          <w:szCs w:val="24"/>
        </w:rPr>
      </w:pPr>
      <w:bookmarkStart w:id="205" w:name="_Toc136332568"/>
      <w:bookmarkStart w:id="206" w:name="_Toc404263632"/>
      <w:bookmarkStart w:id="207" w:name="_Toc521685647"/>
      <w:r>
        <w:rPr>
          <w:rFonts w:ascii="宋体" w:hAnsi="宋体" w:cs="宋体"/>
          <w:b/>
          <w:bCs/>
          <w:color w:val="auto"/>
          <w:sz w:val="24"/>
          <w:szCs w:val="24"/>
        </w:rPr>
        <w:t xml:space="preserve">7.2  </w:t>
      </w:r>
      <w:r>
        <w:rPr>
          <w:rFonts w:hint="eastAsia" w:ascii="宋体" w:hAnsi="宋体" w:cs="宋体"/>
          <w:b/>
          <w:bCs/>
          <w:color w:val="auto"/>
          <w:sz w:val="24"/>
          <w:szCs w:val="24"/>
        </w:rPr>
        <w:t>保密</w:t>
      </w:r>
      <w:bookmarkEnd w:id="205"/>
      <w:bookmarkEnd w:id="206"/>
      <w:bookmarkEnd w:id="207"/>
    </w:p>
    <w:p>
      <w:pPr>
        <w:spacing w:line="360" w:lineRule="auto"/>
        <w:ind w:firstLine="480" w:firstLineChars="200"/>
        <w:rPr>
          <w:rFonts w:ascii="宋体"/>
          <w:color w:val="auto"/>
          <w:sz w:val="24"/>
          <w:szCs w:val="24"/>
        </w:rPr>
      </w:pPr>
      <w:r>
        <w:rPr>
          <w:rFonts w:hint="eastAsia" w:ascii="宋体" w:hAnsi="宋体" w:cs="宋体"/>
          <w:color w:val="auto"/>
          <w:sz w:val="24"/>
          <w:szCs w:val="24"/>
        </w:rPr>
        <w:t>任何一方或其雇员、承包商、顾问或代理人获得的所有资料和文件（不论是财务、技术或其它方面，但不包括与项目进展有关的非敏感信息），如果尚未公布即应保密，未经另一方事先书面同意，在运营期期满之后的</w:t>
      </w:r>
      <w:r>
        <w:rPr>
          <w:rFonts w:ascii="宋体" w:hAnsi="宋体" w:cs="宋体"/>
          <w:color w:val="auto"/>
          <w:sz w:val="24"/>
          <w:szCs w:val="24"/>
          <w:u w:val="single"/>
        </w:rPr>
        <w:t xml:space="preserve"> 10  </w:t>
      </w:r>
      <w:r>
        <w:rPr>
          <w:rFonts w:hint="eastAsia" w:ascii="宋体" w:hAnsi="宋体" w:cs="宋体"/>
          <w:color w:val="auto"/>
          <w:sz w:val="24"/>
          <w:szCs w:val="24"/>
        </w:rPr>
        <w:t>年期间不得向第三方透露或公开，但是法律要求的信息除外。本承诺在本协议终止后仍然有效。</w:t>
      </w:r>
    </w:p>
    <w:p>
      <w:pPr>
        <w:keepNext/>
        <w:keepLines/>
        <w:spacing w:before="260" w:after="260" w:line="360" w:lineRule="auto"/>
        <w:jc w:val="left"/>
        <w:outlineLvl w:val="2"/>
        <w:rPr>
          <w:rFonts w:ascii="宋体"/>
          <w:b/>
          <w:bCs/>
          <w:color w:val="auto"/>
          <w:sz w:val="24"/>
          <w:szCs w:val="24"/>
        </w:rPr>
      </w:pPr>
      <w:bookmarkStart w:id="208" w:name="_Toc88292881"/>
      <w:bookmarkStart w:id="209" w:name="_Toc404263633"/>
      <w:bookmarkStart w:id="210" w:name="_Toc521685648"/>
      <w:bookmarkStart w:id="211" w:name="_Toc94520537"/>
      <w:bookmarkStart w:id="212" w:name="_Toc136332569"/>
      <w:r>
        <w:rPr>
          <w:rFonts w:ascii="宋体" w:hAnsi="宋体" w:cs="宋体"/>
          <w:b/>
          <w:bCs/>
          <w:color w:val="auto"/>
          <w:sz w:val="24"/>
          <w:szCs w:val="24"/>
        </w:rPr>
        <w:t xml:space="preserve">7.3 </w:t>
      </w:r>
      <w:r>
        <w:rPr>
          <w:rFonts w:hint="eastAsia" w:ascii="宋体" w:hAnsi="宋体" w:cs="宋体"/>
          <w:b/>
          <w:bCs/>
          <w:color w:val="auto"/>
          <w:sz w:val="24"/>
          <w:szCs w:val="24"/>
        </w:rPr>
        <w:t>合作义务，预先警告义务</w:t>
      </w:r>
      <w:bookmarkEnd w:id="208"/>
      <w:bookmarkEnd w:id="209"/>
      <w:bookmarkEnd w:id="210"/>
      <w:bookmarkEnd w:id="211"/>
      <w:bookmarkEnd w:id="212"/>
    </w:p>
    <w:p>
      <w:pPr>
        <w:spacing w:line="360" w:lineRule="auto"/>
        <w:ind w:firstLine="480" w:firstLineChars="200"/>
        <w:rPr>
          <w:rFonts w:ascii="宋体"/>
          <w:color w:val="auto"/>
          <w:sz w:val="24"/>
          <w:szCs w:val="24"/>
        </w:rPr>
      </w:pPr>
      <w:r>
        <w:rPr>
          <w:rFonts w:hint="eastAsia" w:ascii="宋体" w:hAnsi="宋体" w:cs="宋体"/>
          <w:color w:val="auto"/>
          <w:sz w:val="24"/>
          <w:szCs w:val="24"/>
        </w:rPr>
        <w:t>双方应相互合作以达到本协议的目的，并应善意地行使和履行各自在本协议项下的权利和义务。在此前提下，双方同意：</w:t>
      </w:r>
    </w:p>
    <w:p>
      <w:pPr>
        <w:spacing w:line="360" w:lineRule="auto"/>
        <w:ind w:firstLine="480" w:firstLineChars="200"/>
        <w:rPr>
          <w:rFonts w:ascii="宋体"/>
          <w:color w:val="auto"/>
          <w:sz w:val="24"/>
          <w:szCs w:val="24"/>
        </w:rPr>
      </w:pPr>
      <w:r>
        <w:rPr>
          <w:rFonts w:ascii="宋体" w:hAnsi="宋体" w:cs="宋体"/>
          <w:color w:val="auto"/>
          <w:sz w:val="24"/>
          <w:szCs w:val="24"/>
        </w:rPr>
        <w:t>(a)</w:t>
      </w:r>
      <w:r>
        <w:rPr>
          <w:rFonts w:hint="eastAsia" w:ascii="宋体" w:hAnsi="宋体" w:cs="宋体"/>
          <w:color w:val="auto"/>
          <w:sz w:val="24"/>
          <w:szCs w:val="24"/>
        </w:rPr>
        <w:t>除本协议另有规定外，当一方要求取得另一方的同意时，被要求方应在</w:t>
      </w:r>
      <w:r>
        <w:rPr>
          <w:rFonts w:ascii="宋体" w:hAnsi="宋体" w:cs="宋体"/>
          <w:color w:val="auto"/>
          <w:sz w:val="24"/>
          <w:szCs w:val="24"/>
        </w:rPr>
        <w:t>10</w:t>
      </w:r>
      <w:r>
        <w:rPr>
          <w:rFonts w:hint="eastAsia" w:ascii="宋体" w:hAnsi="宋体" w:cs="宋体"/>
          <w:color w:val="auto"/>
          <w:sz w:val="24"/>
          <w:szCs w:val="24"/>
        </w:rPr>
        <w:t>天或其它合理所需的时间内给予同意或批准，而不可以无理拒绝或迟延给予该等同意或批准；及</w:t>
      </w:r>
    </w:p>
    <w:p>
      <w:pPr>
        <w:spacing w:line="360" w:lineRule="auto"/>
        <w:ind w:firstLine="480" w:firstLineChars="200"/>
        <w:rPr>
          <w:rFonts w:ascii="宋体"/>
          <w:color w:val="auto"/>
          <w:sz w:val="24"/>
          <w:szCs w:val="24"/>
        </w:rPr>
      </w:pPr>
      <w:r>
        <w:rPr>
          <w:rFonts w:ascii="宋体" w:hAnsi="宋体" w:cs="宋体"/>
          <w:color w:val="auto"/>
          <w:sz w:val="24"/>
          <w:szCs w:val="24"/>
        </w:rPr>
        <w:t>(b)</w:t>
      </w:r>
      <w:r>
        <w:rPr>
          <w:rFonts w:hint="eastAsia" w:ascii="宋体" w:hAnsi="宋体" w:cs="宋体"/>
          <w:color w:val="auto"/>
          <w:sz w:val="24"/>
          <w:szCs w:val="24"/>
        </w:rPr>
        <w:t>如果任何一方获悉的任何事件或情形属于：</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经该方合理预计将对任何一方履行其本协议项下的义务或实施项目的能力造成重大不利影响的事件或情形；及</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合理预计另一方不可能获悉该事件或情形；则该方应尽快将该事件或情形通知另一方。</w:t>
      </w:r>
    </w:p>
    <w:p>
      <w:pPr>
        <w:keepNext/>
        <w:keepLines/>
        <w:spacing w:before="260" w:after="260" w:line="360" w:lineRule="auto"/>
        <w:jc w:val="center"/>
        <w:outlineLvl w:val="1"/>
        <w:rPr>
          <w:rFonts w:ascii="宋体"/>
          <w:b/>
          <w:bCs/>
          <w:color w:val="auto"/>
          <w:sz w:val="24"/>
          <w:szCs w:val="24"/>
        </w:rPr>
      </w:pPr>
      <w:bookmarkStart w:id="213" w:name="_Toc521685649"/>
      <w:bookmarkStart w:id="214" w:name="_Toc136332570"/>
      <w:bookmarkStart w:id="215" w:name="_Toc404263634"/>
      <w:r>
        <w:rPr>
          <w:rFonts w:hint="eastAsia" w:ascii="宋体" w:hAnsi="宋体" w:cs="宋体"/>
          <w:b/>
          <w:bCs/>
          <w:color w:val="auto"/>
          <w:sz w:val="24"/>
          <w:szCs w:val="24"/>
        </w:rPr>
        <w:t>第</w:t>
      </w:r>
      <w:r>
        <w:rPr>
          <w:rFonts w:ascii="宋体" w:hAnsi="宋体" w:cs="宋体"/>
          <w:b/>
          <w:bCs/>
          <w:color w:val="auto"/>
          <w:sz w:val="24"/>
          <w:szCs w:val="24"/>
        </w:rPr>
        <w:t>8</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甲方的一般义务</w:t>
      </w:r>
      <w:bookmarkEnd w:id="201"/>
      <w:bookmarkEnd w:id="213"/>
      <w:bookmarkEnd w:id="214"/>
      <w:bookmarkEnd w:id="215"/>
    </w:p>
    <w:p>
      <w:pPr>
        <w:keepNext/>
        <w:keepLines/>
        <w:spacing w:before="260" w:after="260" w:line="360" w:lineRule="auto"/>
        <w:jc w:val="left"/>
        <w:outlineLvl w:val="2"/>
        <w:rPr>
          <w:rFonts w:ascii="宋体"/>
          <w:b/>
          <w:bCs/>
          <w:color w:val="auto"/>
          <w:sz w:val="24"/>
          <w:szCs w:val="24"/>
        </w:rPr>
      </w:pPr>
      <w:bookmarkStart w:id="216" w:name="_Toc136332571"/>
      <w:bookmarkStart w:id="217" w:name="_Toc404263635"/>
      <w:bookmarkStart w:id="218" w:name="_Toc521685650"/>
      <w:r>
        <w:rPr>
          <w:rFonts w:ascii="宋体" w:hAnsi="宋体" w:cs="宋体"/>
          <w:b/>
          <w:bCs/>
          <w:color w:val="auto"/>
          <w:sz w:val="24"/>
          <w:szCs w:val="24"/>
        </w:rPr>
        <w:t xml:space="preserve">8.1 </w:t>
      </w:r>
      <w:r>
        <w:rPr>
          <w:rFonts w:hint="eastAsia" w:ascii="宋体" w:hAnsi="宋体" w:cs="宋体"/>
          <w:b/>
          <w:bCs/>
          <w:color w:val="auto"/>
          <w:sz w:val="24"/>
          <w:szCs w:val="24"/>
        </w:rPr>
        <w:t>不干预</w:t>
      </w:r>
      <w:bookmarkEnd w:id="216"/>
      <w:bookmarkEnd w:id="217"/>
      <w:bookmarkEnd w:id="218"/>
    </w:p>
    <w:p>
      <w:pPr>
        <w:spacing w:line="360" w:lineRule="auto"/>
        <w:ind w:firstLine="480" w:firstLineChars="200"/>
        <w:rPr>
          <w:rFonts w:ascii="宋体"/>
          <w:color w:val="auto"/>
          <w:sz w:val="24"/>
          <w:szCs w:val="24"/>
        </w:rPr>
      </w:pPr>
      <w:r>
        <w:rPr>
          <w:rFonts w:hint="eastAsia" w:ascii="宋体" w:hAnsi="宋体" w:cs="宋体"/>
          <w:color w:val="auto"/>
          <w:sz w:val="24"/>
          <w:szCs w:val="24"/>
        </w:rPr>
        <w:t>甲方不得干预运营项目内部管理事务，除非本协议条款的执行受到影响。</w:t>
      </w:r>
    </w:p>
    <w:p>
      <w:pPr>
        <w:keepNext/>
        <w:keepLines/>
        <w:spacing w:before="260" w:after="260" w:line="360" w:lineRule="auto"/>
        <w:jc w:val="center"/>
        <w:outlineLvl w:val="1"/>
        <w:rPr>
          <w:rFonts w:ascii="宋体"/>
          <w:b/>
          <w:bCs/>
          <w:color w:val="auto"/>
          <w:sz w:val="24"/>
          <w:szCs w:val="24"/>
        </w:rPr>
      </w:pPr>
      <w:bookmarkStart w:id="219" w:name="_Toc71780657"/>
      <w:bookmarkStart w:id="220" w:name="_Toc521685651"/>
      <w:bookmarkStart w:id="221" w:name="_Toc404263636"/>
      <w:bookmarkStart w:id="222" w:name="_Toc136332573"/>
      <w:r>
        <w:rPr>
          <w:rFonts w:hint="eastAsia" w:ascii="宋体" w:hAnsi="宋体" w:cs="宋体"/>
          <w:b/>
          <w:bCs/>
          <w:color w:val="auto"/>
          <w:sz w:val="24"/>
          <w:szCs w:val="24"/>
        </w:rPr>
        <w:t>第</w:t>
      </w:r>
      <w:r>
        <w:rPr>
          <w:rFonts w:ascii="宋体" w:hAnsi="宋体" w:cs="宋体"/>
          <w:b/>
          <w:bCs/>
          <w:color w:val="auto"/>
          <w:sz w:val="24"/>
          <w:szCs w:val="24"/>
        </w:rPr>
        <w:t>9</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乙方的一般</w:t>
      </w:r>
      <w:bookmarkEnd w:id="219"/>
      <w:r>
        <w:rPr>
          <w:rFonts w:hint="eastAsia" w:ascii="宋体" w:hAnsi="宋体" w:cs="宋体"/>
          <w:b/>
          <w:bCs/>
          <w:color w:val="auto"/>
          <w:sz w:val="24"/>
          <w:szCs w:val="24"/>
        </w:rPr>
        <w:t>义务</w:t>
      </w:r>
      <w:bookmarkEnd w:id="220"/>
      <w:bookmarkEnd w:id="221"/>
      <w:bookmarkEnd w:id="222"/>
    </w:p>
    <w:p>
      <w:pPr>
        <w:keepNext/>
        <w:keepLines/>
        <w:spacing w:before="260" w:after="260" w:line="360" w:lineRule="auto"/>
        <w:jc w:val="left"/>
        <w:outlineLvl w:val="2"/>
        <w:rPr>
          <w:rFonts w:ascii="宋体"/>
          <w:b/>
          <w:bCs/>
          <w:color w:val="auto"/>
          <w:sz w:val="24"/>
          <w:szCs w:val="24"/>
        </w:rPr>
      </w:pPr>
      <w:bookmarkStart w:id="223" w:name="_Toc136332575"/>
      <w:bookmarkStart w:id="224" w:name="_Toc404263637"/>
      <w:bookmarkStart w:id="225" w:name="_Toc521685652"/>
      <w:r>
        <w:rPr>
          <w:rFonts w:ascii="宋体" w:hAnsi="宋体" w:cs="宋体"/>
          <w:b/>
          <w:bCs/>
          <w:color w:val="auto"/>
          <w:sz w:val="24"/>
          <w:szCs w:val="24"/>
        </w:rPr>
        <w:t xml:space="preserve">9.1 </w:t>
      </w:r>
      <w:r>
        <w:rPr>
          <w:rFonts w:hint="eastAsia" w:ascii="宋体" w:hAnsi="宋体" w:cs="宋体"/>
          <w:b/>
          <w:bCs/>
          <w:color w:val="auto"/>
          <w:sz w:val="24"/>
          <w:szCs w:val="24"/>
        </w:rPr>
        <w:t>遵守适用法律</w:t>
      </w:r>
      <w:bookmarkEnd w:id="223"/>
      <w:bookmarkEnd w:id="224"/>
      <w:bookmarkEnd w:id="225"/>
    </w:p>
    <w:p>
      <w:pPr>
        <w:spacing w:line="360" w:lineRule="auto"/>
        <w:ind w:firstLine="480" w:firstLineChars="200"/>
        <w:rPr>
          <w:rFonts w:ascii="宋体"/>
          <w:color w:val="auto"/>
          <w:sz w:val="24"/>
          <w:szCs w:val="24"/>
        </w:rPr>
      </w:pPr>
      <w:r>
        <w:rPr>
          <w:rFonts w:hint="eastAsia" w:ascii="宋体" w:hAnsi="宋体" w:cs="宋体"/>
          <w:color w:val="auto"/>
          <w:sz w:val="24"/>
          <w:szCs w:val="24"/>
        </w:rPr>
        <w:t>乙方履行本协议项下的义务时应始终遵守适用法律的规定。</w:t>
      </w:r>
    </w:p>
    <w:p>
      <w:pPr>
        <w:keepNext/>
        <w:keepLines/>
        <w:spacing w:before="260" w:after="260" w:line="360" w:lineRule="auto"/>
        <w:jc w:val="left"/>
        <w:outlineLvl w:val="2"/>
        <w:rPr>
          <w:rFonts w:ascii="宋体"/>
          <w:b/>
          <w:bCs/>
          <w:color w:val="auto"/>
          <w:sz w:val="24"/>
          <w:szCs w:val="24"/>
        </w:rPr>
      </w:pPr>
      <w:bookmarkStart w:id="226" w:name="_Toc136332576"/>
      <w:bookmarkStart w:id="227" w:name="_Toc404263638"/>
      <w:bookmarkStart w:id="228" w:name="_Toc521685653"/>
      <w:r>
        <w:rPr>
          <w:rFonts w:ascii="宋体" w:hAnsi="宋体" w:cs="宋体"/>
          <w:b/>
          <w:bCs/>
          <w:color w:val="auto"/>
          <w:sz w:val="24"/>
          <w:szCs w:val="24"/>
        </w:rPr>
        <w:t xml:space="preserve">9.2 </w:t>
      </w:r>
      <w:r>
        <w:rPr>
          <w:rFonts w:hint="eastAsia" w:ascii="宋体" w:hAnsi="宋体" w:cs="宋体"/>
          <w:b/>
          <w:bCs/>
          <w:color w:val="auto"/>
          <w:sz w:val="24"/>
          <w:szCs w:val="24"/>
        </w:rPr>
        <w:t>劳动安全标准</w:t>
      </w:r>
      <w:bookmarkEnd w:id="226"/>
      <w:bookmarkEnd w:id="227"/>
      <w:bookmarkEnd w:id="228"/>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乙方应遵守现行的劳动保护法规，尊重职工的权利和严格执行安全法规及有关标准。</w:t>
      </w:r>
    </w:p>
    <w:p>
      <w:pPr>
        <w:keepNext/>
        <w:keepLines/>
        <w:spacing w:before="260" w:after="260" w:line="360" w:lineRule="auto"/>
        <w:jc w:val="left"/>
        <w:outlineLvl w:val="2"/>
        <w:rPr>
          <w:rFonts w:ascii="宋体"/>
          <w:b/>
          <w:bCs/>
          <w:color w:val="auto"/>
          <w:sz w:val="24"/>
          <w:szCs w:val="24"/>
        </w:rPr>
      </w:pPr>
      <w:bookmarkStart w:id="229" w:name="_Toc521685654"/>
      <w:bookmarkStart w:id="230" w:name="_Toc136332577"/>
      <w:bookmarkStart w:id="231" w:name="_Toc404263639"/>
      <w:r>
        <w:rPr>
          <w:rFonts w:ascii="宋体" w:hAnsi="宋体" w:cs="宋体"/>
          <w:b/>
          <w:bCs/>
          <w:color w:val="auto"/>
          <w:sz w:val="24"/>
          <w:szCs w:val="24"/>
        </w:rPr>
        <w:t>9.3</w:t>
      </w:r>
      <w:r>
        <w:rPr>
          <w:rFonts w:hint="eastAsia" w:ascii="宋体" w:hAnsi="宋体" w:cs="宋体"/>
          <w:b/>
          <w:bCs/>
          <w:color w:val="auto"/>
          <w:sz w:val="24"/>
          <w:szCs w:val="24"/>
        </w:rPr>
        <w:t>项目文件的协调</w:t>
      </w:r>
      <w:bookmarkEnd w:id="229"/>
      <w:bookmarkEnd w:id="230"/>
      <w:bookmarkEnd w:id="231"/>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乙方应确保任何合同、乙方章程、本协议项下的保险单以及由乙方签订的与本项目有关的任何其它合同都能符合本协议的规定和都能够履行本协议。</w:t>
      </w:r>
    </w:p>
    <w:p>
      <w:pPr>
        <w:keepNext/>
        <w:keepLines/>
        <w:spacing w:before="260" w:after="260" w:line="360" w:lineRule="auto"/>
        <w:jc w:val="left"/>
        <w:outlineLvl w:val="2"/>
        <w:rPr>
          <w:rFonts w:ascii="宋体"/>
          <w:b/>
          <w:bCs/>
          <w:color w:val="auto"/>
          <w:sz w:val="24"/>
          <w:szCs w:val="24"/>
        </w:rPr>
      </w:pPr>
      <w:bookmarkStart w:id="232" w:name="_Toc521685655"/>
      <w:bookmarkStart w:id="233" w:name="_Toc136332578"/>
      <w:bookmarkStart w:id="234" w:name="_Toc404263640"/>
      <w:r>
        <w:rPr>
          <w:rFonts w:ascii="宋体" w:hAnsi="宋体" w:cs="宋体"/>
          <w:b/>
          <w:bCs/>
          <w:color w:val="auto"/>
          <w:sz w:val="24"/>
          <w:szCs w:val="24"/>
        </w:rPr>
        <w:t>9.4</w:t>
      </w:r>
      <w:r>
        <w:rPr>
          <w:rFonts w:hint="eastAsia" w:ascii="宋体" w:hAnsi="宋体" w:cs="宋体"/>
          <w:b/>
          <w:bCs/>
          <w:color w:val="auto"/>
          <w:sz w:val="24"/>
          <w:szCs w:val="24"/>
        </w:rPr>
        <w:t>税金、关税及收费</w:t>
      </w:r>
      <w:bookmarkEnd w:id="232"/>
      <w:bookmarkEnd w:id="233"/>
      <w:bookmarkEnd w:id="234"/>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乙方应按照适用法律缴纳所有税金、关税及行政性收费。</w:t>
      </w:r>
    </w:p>
    <w:p>
      <w:pPr>
        <w:keepNext/>
        <w:keepLines/>
        <w:spacing w:before="260" w:after="260" w:line="360" w:lineRule="auto"/>
        <w:jc w:val="left"/>
        <w:outlineLvl w:val="2"/>
        <w:rPr>
          <w:rFonts w:ascii="宋体"/>
          <w:b/>
          <w:bCs/>
          <w:color w:val="auto"/>
          <w:sz w:val="24"/>
          <w:szCs w:val="24"/>
        </w:rPr>
      </w:pPr>
      <w:bookmarkStart w:id="235" w:name="_Toc136332579"/>
      <w:bookmarkStart w:id="236" w:name="_Toc521685656"/>
      <w:bookmarkStart w:id="237" w:name="_Toc404263641"/>
      <w:r>
        <w:rPr>
          <w:rFonts w:ascii="宋体" w:hAnsi="宋体" w:cs="宋体"/>
          <w:b/>
          <w:bCs/>
          <w:color w:val="auto"/>
          <w:sz w:val="24"/>
          <w:szCs w:val="24"/>
        </w:rPr>
        <w:t xml:space="preserve">9.5 </w:t>
      </w:r>
      <w:r>
        <w:rPr>
          <w:rFonts w:hint="eastAsia" w:ascii="宋体" w:hAnsi="宋体" w:cs="宋体"/>
          <w:b/>
          <w:bCs/>
          <w:color w:val="auto"/>
          <w:sz w:val="24"/>
          <w:szCs w:val="24"/>
        </w:rPr>
        <w:t>对承包商和其雇员及代理人的责任</w:t>
      </w:r>
      <w:bookmarkEnd w:id="235"/>
      <w:bookmarkEnd w:id="236"/>
      <w:bookmarkEnd w:id="237"/>
    </w:p>
    <w:p>
      <w:pPr>
        <w:spacing w:line="360" w:lineRule="auto"/>
        <w:ind w:firstLine="480" w:firstLineChars="200"/>
        <w:rPr>
          <w:rFonts w:ascii="宋体"/>
          <w:color w:val="auto"/>
          <w:sz w:val="24"/>
          <w:szCs w:val="24"/>
        </w:rPr>
      </w:pPr>
      <w:r>
        <w:rPr>
          <w:rFonts w:hint="eastAsia" w:ascii="宋体" w:hAnsi="宋体" w:cs="宋体"/>
          <w:color w:val="auto"/>
          <w:sz w:val="24"/>
          <w:szCs w:val="24"/>
        </w:rPr>
        <w:t>乙方雇用任何承包商和其雇员及其代理人，不应解除乙方在本协议项下的任何义务。承包商和其雇员及其代理人为本协议目的的所有作为或不作为视同乙方的作为或不作为。</w:t>
      </w:r>
    </w:p>
    <w:p>
      <w:pPr>
        <w:keepNext/>
        <w:keepLines/>
        <w:spacing w:before="260" w:after="260" w:line="360" w:lineRule="auto"/>
        <w:jc w:val="left"/>
        <w:outlineLvl w:val="2"/>
        <w:rPr>
          <w:rFonts w:ascii="宋体"/>
          <w:b/>
          <w:bCs/>
          <w:color w:val="auto"/>
          <w:sz w:val="24"/>
          <w:szCs w:val="24"/>
        </w:rPr>
      </w:pPr>
      <w:bookmarkStart w:id="238" w:name="_Toc136332580"/>
      <w:bookmarkStart w:id="239" w:name="_Toc521685657"/>
      <w:bookmarkStart w:id="240" w:name="_Toc404263642"/>
      <w:r>
        <w:rPr>
          <w:rFonts w:ascii="宋体" w:hAnsi="宋体" w:cs="宋体"/>
          <w:b/>
          <w:bCs/>
          <w:color w:val="auto"/>
          <w:sz w:val="24"/>
          <w:szCs w:val="24"/>
        </w:rPr>
        <w:t xml:space="preserve">9.6 </w:t>
      </w:r>
      <w:r>
        <w:rPr>
          <w:rFonts w:hint="eastAsia" w:ascii="宋体" w:hAnsi="宋体" w:cs="宋体"/>
          <w:b/>
          <w:bCs/>
          <w:color w:val="auto"/>
          <w:sz w:val="24"/>
          <w:szCs w:val="24"/>
        </w:rPr>
        <w:t>知识产权的赔偿处理</w:t>
      </w:r>
      <w:bookmarkEnd w:id="238"/>
      <w:bookmarkEnd w:id="239"/>
      <w:bookmarkEnd w:id="240"/>
    </w:p>
    <w:p>
      <w:pPr>
        <w:spacing w:line="360" w:lineRule="auto"/>
        <w:ind w:firstLine="480" w:firstLineChars="200"/>
        <w:rPr>
          <w:rFonts w:ascii="宋体"/>
          <w:color w:val="auto"/>
          <w:sz w:val="24"/>
          <w:szCs w:val="24"/>
        </w:rPr>
      </w:pPr>
      <w:r>
        <w:rPr>
          <w:rFonts w:hint="eastAsia" w:ascii="宋体" w:hAnsi="宋体" w:cs="宋体"/>
          <w:color w:val="auto"/>
          <w:sz w:val="24"/>
          <w:szCs w:val="24"/>
        </w:rPr>
        <w:t>乙方应对本项目在运行和维护管理工作中可能发生的侵犯知识产权而引起的诉讼负责应诉和赔偿。</w:t>
      </w:r>
    </w:p>
    <w:p>
      <w:pPr>
        <w:keepNext/>
        <w:keepLines/>
        <w:spacing w:before="260" w:after="260" w:line="360" w:lineRule="auto"/>
        <w:jc w:val="center"/>
        <w:outlineLvl w:val="1"/>
        <w:rPr>
          <w:rFonts w:ascii="宋体"/>
          <w:b/>
          <w:bCs/>
          <w:color w:val="auto"/>
          <w:sz w:val="24"/>
          <w:szCs w:val="24"/>
        </w:rPr>
      </w:pPr>
      <w:bookmarkStart w:id="241" w:name="_Toc404263643"/>
      <w:bookmarkStart w:id="242" w:name="_Toc136332581"/>
      <w:bookmarkStart w:id="243" w:name="_Toc521685658"/>
      <w:r>
        <w:rPr>
          <w:rFonts w:hint="eastAsia" w:ascii="宋体" w:hAnsi="宋体" w:cs="宋体"/>
          <w:b/>
          <w:bCs/>
          <w:color w:val="auto"/>
          <w:sz w:val="24"/>
          <w:szCs w:val="24"/>
        </w:rPr>
        <w:t>第</w:t>
      </w:r>
      <w:r>
        <w:rPr>
          <w:rFonts w:ascii="宋体" w:hAnsi="宋体" w:cs="宋体"/>
          <w:b/>
          <w:bCs/>
          <w:color w:val="auto"/>
          <w:sz w:val="24"/>
          <w:szCs w:val="24"/>
        </w:rPr>
        <w:t>10</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保险</w:t>
      </w:r>
      <w:bookmarkEnd w:id="241"/>
      <w:bookmarkEnd w:id="242"/>
      <w:bookmarkEnd w:id="243"/>
    </w:p>
    <w:p>
      <w:pPr>
        <w:spacing w:line="360" w:lineRule="auto"/>
        <w:ind w:firstLine="480" w:firstLineChars="200"/>
        <w:rPr>
          <w:rFonts w:ascii="宋体"/>
          <w:color w:val="auto"/>
          <w:sz w:val="24"/>
          <w:szCs w:val="24"/>
        </w:rPr>
      </w:pPr>
      <w:r>
        <w:rPr>
          <w:rFonts w:ascii="宋体" w:hAnsi="宋体" w:cs="宋体"/>
          <w:color w:val="auto"/>
          <w:sz w:val="24"/>
          <w:szCs w:val="24"/>
        </w:rPr>
        <w:t xml:space="preserve">10.1 </w:t>
      </w:r>
      <w:r>
        <w:rPr>
          <w:rFonts w:hint="eastAsia" w:ascii="宋体" w:hAnsi="宋体" w:cs="宋体"/>
          <w:color w:val="auto"/>
          <w:sz w:val="24"/>
          <w:szCs w:val="24"/>
        </w:rPr>
        <w:t>运营期内，乙方需按规定自费购买保险。</w:t>
      </w:r>
    </w:p>
    <w:p>
      <w:pPr>
        <w:spacing w:line="360" w:lineRule="auto"/>
        <w:ind w:firstLine="480" w:firstLineChars="200"/>
        <w:rPr>
          <w:rFonts w:ascii="宋体"/>
          <w:color w:val="auto"/>
          <w:sz w:val="24"/>
          <w:szCs w:val="24"/>
        </w:rPr>
      </w:pPr>
      <w:r>
        <w:rPr>
          <w:rFonts w:ascii="宋体" w:hAnsi="宋体" w:cs="宋体"/>
          <w:color w:val="auto"/>
          <w:sz w:val="24"/>
          <w:szCs w:val="24"/>
        </w:rPr>
        <w:t xml:space="preserve">10.2 </w:t>
      </w:r>
      <w:r>
        <w:rPr>
          <w:rFonts w:hint="eastAsia" w:ascii="宋体" w:hAnsi="宋体" w:cs="宋体"/>
          <w:color w:val="auto"/>
          <w:sz w:val="24"/>
          <w:szCs w:val="24"/>
        </w:rPr>
        <w:t>如果乙方不购买或维持本协议所要求的保险，则甲方有权购买该保险，并且有权根据本协议从履约保证金中支取需支付的保险费金额。</w:t>
      </w:r>
    </w:p>
    <w:p>
      <w:pPr>
        <w:widowControl/>
        <w:spacing w:line="360" w:lineRule="auto"/>
        <w:jc w:val="left"/>
        <w:rPr>
          <w:rFonts w:ascii="宋体"/>
          <w:color w:val="auto"/>
          <w:sz w:val="24"/>
          <w:szCs w:val="24"/>
        </w:rPr>
      </w:pPr>
    </w:p>
    <w:p>
      <w:pPr>
        <w:keepNext/>
        <w:keepLines/>
        <w:spacing w:before="260" w:after="260" w:line="360" w:lineRule="auto"/>
        <w:jc w:val="center"/>
        <w:outlineLvl w:val="1"/>
        <w:rPr>
          <w:rFonts w:ascii="宋体"/>
          <w:b/>
          <w:bCs/>
          <w:color w:val="auto"/>
          <w:sz w:val="24"/>
          <w:szCs w:val="24"/>
        </w:rPr>
      </w:pPr>
      <w:bookmarkStart w:id="244" w:name="_Toc521685659"/>
      <w:bookmarkStart w:id="245" w:name="_Toc136332583"/>
      <w:bookmarkStart w:id="246" w:name="_Toc71780661"/>
      <w:bookmarkStart w:id="247" w:name="_Toc404263645"/>
      <w:r>
        <w:rPr>
          <w:rFonts w:hint="eastAsia" w:ascii="宋体" w:hAnsi="宋体" w:cs="宋体"/>
          <w:b/>
          <w:bCs/>
          <w:color w:val="auto"/>
          <w:sz w:val="24"/>
          <w:szCs w:val="24"/>
        </w:rPr>
        <w:t>第</w:t>
      </w:r>
      <w:r>
        <w:rPr>
          <w:rFonts w:ascii="宋体" w:hAnsi="宋体" w:cs="宋体"/>
          <w:b/>
          <w:bCs/>
          <w:color w:val="auto"/>
          <w:sz w:val="24"/>
          <w:szCs w:val="24"/>
        </w:rPr>
        <w:t>11</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违约赔偿</w:t>
      </w:r>
      <w:bookmarkEnd w:id="244"/>
      <w:bookmarkEnd w:id="245"/>
      <w:bookmarkEnd w:id="246"/>
      <w:bookmarkEnd w:id="247"/>
    </w:p>
    <w:p>
      <w:pPr>
        <w:keepNext/>
        <w:keepLines/>
        <w:spacing w:before="260" w:after="260" w:line="360" w:lineRule="auto"/>
        <w:jc w:val="left"/>
        <w:outlineLvl w:val="2"/>
        <w:rPr>
          <w:rFonts w:ascii="宋体"/>
          <w:b/>
          <w:bCs/>
          <w:color w:val="auto"/>
          <w:sz w:val="24"/>
          <w:szCs w:val="24"/>
        </w:rPr>
      </w:pPr>
      <w:bookmarkStart w:id="248" w:name="_Toc521685660"/>
      <w:bookmarkStart w:id="249" w:name="_Toc404263646"/>
      <w:bookmarkStart w:id="250" w:name="_Toc136332584"/>
      <w:r>
        <w:rPr>
          <w:rFonts w:ascii="宋体" w:hAnsi="宋体" w:cs="宋体"/>
          <w:b/>
          <w:bCs/>
          <w:color w:val="auto"/>
          <w:sz w:val="24"/>
          <w:szCs w:val="24"/>
        </w:rPr>
        <w:t xml:space="preserve">11.1 </w:t>
      </w:r>
      <w:r>
        <w:rPr>
          <w:rFonts w:hint="eastAsia" w:ascii="宋体" w:hAnsi="宋体" w:cs="宋体"/>
          <w:b/>
          <w:bCs/>
          <w:color w:val="auto"/>
          <w:sz w:val="24"/>
          <w:szCs w:val="24"/>
        </w:rPr>
        <w:t>赔偿</w:t>
      </w:r>
      <w:bookmarkEnd w:id="248"/>
      <w:bookmarkEnd w:id="249"/>
      <w:bookmarkEnd w:id="250"/>
    </w:p>
    <w:p>
      <w:pPr>
        <w:spacing w:line="360" w:lineRule="auto"/>
        <w:ind w:firstLine="480" w:firstLineChars="200"/>
        <w:rPr>
          <w:rFonts w:ascii="宋体"/>
          <w:color w:val="auto"/>
          <w:sz w:val="24"/>
          <w:szCs w:val="24"/>
        </w:rPr>
      </w:pPr>
      <w:r>
        <w:rPr>
          <w:rFonts w:hint="eastAsia" w:ascii="宋体" w:hAnsi="宋体" w:cs="宋体"/>
          <w:color w:val="auto"/>
          <w:sz w:val="24"/>
          <w:szCs w:val="24"/>
        </w:rPr>
        <w:t>任一方应有权获得因违约方违约而使该方遭受的任何损失、支出和费用的赔偿，该项赔偿由违约方支付。</w:t>
      </w:r>
    </w:p>
    <w:p>
      <w:pPr>
        <w:keepNext/>
        <w:keepLines/>
        <w:spacing w:before="260" w:after="260" w:line="360" w:lineRule="auto"/>
        <w:jc w:val="left"/>
        <w:outlineLvl w:val="2"/>
        <w:rPr>
          <w:rFonts w:ascii="宋体"/>
          <w:b/>
          <w:bCs/>
          <w:color w:val="auto"/>
          <w:sz w:val="24"/>
          <w:szCs w:val="24"/>
        </w:rPr>
      </w:pPr>
      <w:bookmarkStart w:id="251" w:name="_Toc521685661"/>
      <w:bookmarkStart w:id="252" w:name="_Toc404263647"/>
      <w:bookmarkStart w:id="253" w:name="_Toc136332585"/>
      <w:r>
        <w:rPr>
          <w:rFonts w:ascii="宋体" w:hAnsi="宋体" w:cs="宋体"/>
          <w:b/>
          <w:bCs/>
          <w:color w:val="auto"/>
          <w:sz w:val="24"/>
          <w:szCs w:val="24"/>
        </w:rPr>
        <w:t xml:space="preserve">11.2 </w:t>
      </w:r>
      <w:r>
        <w:rPr>
          <w:rFonts w:hint="eastAsia" w:ascii="宋体" w:hAnsi="宋体" w:cs="宋体"/>
          <w:b/>
          <w:bCs/>
          <w:color w:val="auto"/>
          <w:sz w:val="24"/>
          <w:szCs w:val="24"/>
        </w:rPr>
        <w:t>减轻损失的措施</w:t>
      </w:r>
      <w:bookmarkEnd w:id="251"/>
      <w:bookmarkEnd w:id="252"/>
      <w:bookmarkEnd w:id="253"/>
    </w:p>
    <w:p>
      <w:pPr>
        <w:spacing w:line="360" w:lineRule="auto"/>
        <w:ind w:firstLine="480" w:firstLineChars="200"/>
        <w:rPr>
          <w:rFonts w:ascii="宋体"/>
          <w:color w:val="auto"/>
          <w:sz w:val="24"/>
          <w:szCs w:val="24"/>
        </w:rPr>
      </w:pPr>
      <w:r>
        <w:rPr>
          <w:rFonts w:hint="eastAsia" w:ascii="宋体" w:hAnsi="宋体" w:cs="宋体"/>
          <w:color w:val="auto"/>
          <w:sz w:val="24"/>
          <w:szCs w:val="24"/>
        </w:rPr>
        <w:t>由于另一方违约而遭受损失的一方应采取合理行动减轻损失。如果一方未能采取此类措施，违约方可以请求从赔偿金额中扣除应能够减轻或减少的损失金额。</w:t>
      </w:r>
    </w:p>
    <w:p>
      <w:pPr>
        <w:spacing w:line="360" w:lineRule="auto"/>
        <w:ind w:firstLine="480" w:firstLineChars="200"/>
        <w:rPr>
          <w:rFonts w:ascii="宋体"/>
          <w:color w:val="auto"/>
          <w:sz w:val="24"/>
          <w:szCs w:val="24"/>
        </w:rPr>
      </w:pPr>
      <w:r>
        <w:rPr>
          <w:rFonts w:hint="eastAsia" w:ascii="宋体" w:hAnsi="宋体" w:cs="宋体"/>
          <w:color w:val="auto"/>
          <w:sz w:val="24"/>
          <w:szCs w:val="24"/>
        </w:rPr>
        <w:t>受损害的一方应有权从另一方获得为减轻损失而采取行动所发生的合理费用。</w:t>
      </w:r>
    </w:p>
    <w:p>
      <w:pPr>
        <w:keepNext/>
        <w:keepLines/>
        <w:spacing w:before="260" w:after="260" w:line="360" w:lineRule="auto"/>
        <w:jc w:val="left"/>
        <w:outlineLvl w:val="2"/>
        <w:rPr>
          <w:rFonts w:ascii="宋体"/>
          <w:b/>
          <w:bCs/>
          <w:color w:val="auto"/>
          <w:sz w:val="24"/>
          <w:szCs w:val="24"/>
        </w:rPr>
      </w:pPr>
      <w:bookmarkStart w:id="254" w:name="_Toc136332586"/>
      <w:bookmarkStart w:id="255" w:name="_Toc521685662"/>
      <w:bookmarkStart w:id="256" w:name="_Toc404263648"/>
      <w:r>
        <w:rPr>
          <w:rFonts w:ascii="宋体" w:hAnsi="宋体" w:cs="宋体"/>
          <w:b/>
          <w:bCs/>
          <w:color w:val="auto"/>
          <w:sz w:val="24"/>
          <w:szCs w:val="24"/>
        </w:rPr>
        <w:t xml:space="preserve">11.3 </w:t>
      </w:r>
      <w:r>
        <w:rPr>
          <w:rFonts w:hint="eastAsia" w:ascii="宋体" w:hAnsi="宋体" w:cs="宋体"/>
          <w:b/>
          <w:bCs/>
          <w:color w:val="auto"/>
          <w:sz w:val="24"/>
          <w:szCs w:val="24"/>
        </w:rPr>
        <w:t>部分由于受损害方造成的损失</w:t>
      </w:r>
      <w:bookmarkEnd w:id="254"/>
      <w:bookmarkEnd w:id="255"/>
      <w:bookmarkEnd w:id="256"/>
    </w:p>
    <w:p>
      <w:pPr>
        <w:spacing w:line="360" w:lineRule="auto"/>
        <w:ind w:firstLine="480" w:firstLineChars="200"/>
        <w:rPr>
          <w:rFonts w:ascii="宋体"/>
          <w:color w:val="auto"/>
          <w:sz w:val="24"/>
          <w:szCs w:val="24"/>
        </w:rPr>
      </w:pPr>
      <w:r>
        <w:rPr>
          <w:rFonts w:hint="eastAsia" w:ascii="宋体" w:hAnsi="宋体" w:cs="宋体"/>
          <w:color w:val="auto"/>
          <w:sz w:val="24"/>
          <w:szCs w:val="24"/>
        </w:rPr>
        <w:t>如果造成损失的部分原因是由于受损害方的作为或不作为造成的，赔偿的数额应扣除这些因素应承担的损失。</w:t>
      </w:r>
    </w:p>
    <w:p>
      <w:pPr>
        <w:keepNext/>
        <w:keepLines/>
        <w:spacing w:before="260" w:after="260" w:line="360" w:lineRule="auto"/>
        <w:jc w:val="left"/>
        <w:outlineLvl w:val="2"/>
        <w:rPr>
          <w:rFonts w:ascii="宋体"/>
          <w:b/>
          <w:bCs/>
          <w:color w:val="auto"/>
          <w:sz w:val="24"/>
          <w:szCs w:val="24"/>
        </w:rPr>
      </w:pPr>
      <w:bookmarkStart w:id="257" w:name="_Toc136332587"/>
      <w:bookmarkStart w:id="258" w:name="_Toc521685663"/>
      <w:bookmarkStart w:id="259" w:name="_Toc404263649"/>
      <w:r>
        <w:rPr>
          <w:rFonts w:ascii="宋体" w:hAnsi="宋体" w:cs="宋体"/>
          <w:b/>
          <w:bCs/>
          <w:color w:val="auto"/>
          <w:sz w:val="24"/>
          <w:szCs w:val="24"/>
        </w:rPr>
        <w:t xml:space="preserve">11.4 </w:t>
      </w:r>
      <w:r>
        <w:rPr>
          <w:rFonts w:hint="eastAsia" w:ascii="宋体" w:hAnsi="宋体" w:cs="宋体"/>
          <w:b/>
          <w:bCs/>
          <w:color w:val="auto"/>
          <w:sz w:val="24"/>
          <w:szCs w:val="24"/>
        </w:rPr>
        <w:t>对间接损失不负责任</w:t>
      </w:r>
      <w:bookmarkEnd w:id="257"/>
      <w:bookmarkEnd w:id="258"/>
      <w:bookmarkEnd w:id="259"/>
    </w:p>
    <w:p>
      <w:pPr>
        <w:spacing w:line="360" w:lineRule="auto"/>
        <w:ind w:firstLine="480" w:firstLineChars="200"/>
        <w:rPr>
          <w:rFonts w:ascii="宋体"/>
          <w:color w:val="auto"/>
          <w:sz w:val="24"/>
          <w:szCs w:val="24"/>
        </w:rPr>
      </w:pPr>
      <w:r>
        <w:rPr>
          <w:rFonts w:hint="eastAsia" w:ascii="宋体" w:hAnsi="宋体" w:cs="宋体"/>
          <w:color w:val="auto"/>
          <w:sz w:val="24"/>
          <w:szCs w:val="24"/>
        </w:rPr>
        <w:t>除非本协议另有规定，各方均不应对由于或根据本协议产生的或与其相关的任何索赔为对方的任何间接、特殊、利润损失或附带损失或惩罚性损害赔偿负责。</w:t>
      </w:r>
    </w:p>
    <w:p>
      <w:pPr>
        <w:widowControl/>
        <w:spacing w:line="360" w:lineRule="auto"/>
        <w:jc w:val="left"/>
        <w:rPr>
          <w:rFonts w:ascii="宋体"/>
          <w:color w:val="auto"/>
          <w:sz w:val="24"/>
          <w:szCs w:val="24"/>
        </w:rPr>
      </w:pPr>
    </w:p>
    <w:p>
      <w:pPr>
        <w:keepNext/>
        <w:keepLines/>
        <w:spacing w:before="260" w:after="260" w:line="360" w:lineRule="auto"/>
        <w:jc w:val="center"/>
        <w:outlineLvl w:val="1"/>
        <w:rPr>
          <w:rFonts w:ascii="宋体"/>
          <w:b/>
          <w:bCs/>
          <w:color w:val="auto"/>
          <w:sz w:val="24"/>
          <w:szCs w:val="24"/>
        </w:rPr>
      </w:pPr>
      <w:bookmarkStart w:id="260" w:name="_Toc136332589"/>
      <w:bookmarkStart w:id="261" w:name="_Toc404263651"/>
      <w:bookmarkStart w:id="262" w:name="_Toc521685664"/>
      <w:bookmarkStart w:id="263" w:name="_Toc71780664"/>
      <w:r>
        <w:rPr>
          <w:rFonts w:hint="eastAsia" w:ascii="宋体" w:hAnsi="宋体" w:cs="宋体"/>
          <w:b/>
          <w:bCs/>
          <w:color w:val="auto"/>
          <w:sz w:val="24"/>
          <w:szCs w:val="24"/>
        </w:rPr>
        <w:t>第</w:t>
      </w:r>
      <w:r>
        <w:rPr>
          <w:rFonts w:ascii="宋体" w:hAnsi="宋体" w:cs="宋体"/>
          <w:b/>
          <w:bCs/>
          <w:color w:val="auto"/>
          <w:sz w:val="24"/>
          <w:szCs w:val="24"/>
        </w:rPr>
        <w:t>12</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终止</w:t>
      </w:r>
      <w:bookmarkEnd w:id="260"/>
      <w:bookmarkEnd w:id="261"/>
      <w:bookmarkEnd w:id="262"/>
    </w:p>
    <w:p>
      <w:pPr>
        <w:keepNext/>
        <w:keepLines/>
        <w:spacing w:before="260" w:after="260" w:line="360" w:lineRule="auto"/>
        <w:jc w:val="left"/>
        <w:outlineLvl w:val="2"/>
        <w:rPr>
          <w:rFonts w:ascii="宋体"/>
          <w:b/>
          <w:bCs/>
          <w:color w:val="auto"/>
          <w:sz w:val="24"/>
          <w:szCs w:val="24"/>
        </w:rPr>
      </w:pPr>
      <w:bookmarkStart w:id="264" w:name="_Toc136332590"/>
      <w:bookmarkStart w:id="265" w:name="_Toc521685665"/>
      <w:bookmarkStart w:id="266" w:name="_Toc404263652"/>
      <w:r>
        <w:rPr>
          <w:rFonts w:ascii="宋体" w:hAnsi="宋体" w:cs="宋体"/>
          <w:b/>
          <w:bCs/>
          <w:color w:val="auto"/>
          <w:sz w:val="24"/>
          <w:szCs w:val="24"/>
        </w:rPr>
        <w:t xml:space="preserve">12.1 </w:t>
      </w:r>
      <w:r>
        <w:rPr>
          <w:rFonts w:hint="eastAsia" w:ascii="宋体" w:hAnsi="宋体" w:cs="宋体"/>
          <w:b/>
          <w:bCs/>
          <w:color w:val="auto"/>
          <w:sz w:val="24"/>
          <w:szCs w:val="24"/>
        </w:rPr>
        <w:t>甲方的终止</w:t>
      </w:r>
      <w:bookmarkEnd w:id="264"/>
      <w:bookmarkEnd w:id="265"/>
      <w:bookmarkEnd w:id="266"/>
    </w:p>
    <w:p>
      <w:pPr>
        <w:spacing w:line="360" w:lineRule="auto"/>
        <w:ind w:firstLine="480" w:firstLineChars="200"/>
        <w:rPr>
          <w:rFonts w:ascii="宋体"/>
          <w:color w:val="auto"/>
          <w:sz w:val="24"/>
          <w:szCs w:val="24"/>
        </w:rPr>
      </w:pPr>
      <w:r>
        <w:rPr>
          <w:rFonts w:hint="eastAsia" w:ascii="宋体" w:hAnsi="宋体" w:cs="宋体"/>
          <w:color w:val="auto"/>
          <w:sz w:val="24"/>
          <w:szCs w:val="24"/>
        </w:rPr>
        <w:t>下述每一条款所述事件，如果不是由于甲方的违约或由于不可抗力所致，如果有允许的纠正期限而乙方在该期限内未能纠正，即构成乙方违约事件，甲方有权立即发出终止意向通知，并支取保证金：</w:t>
      </w:r>
    </w:p>
    <w:p>
      <w:pPr>
        <w:autoSpaceDE w:val="0"/>
        <w:autoSpaceDN w:val="0"/>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(a) </w:t>
      </w:r>
      <w:r>
        <w:rPr>
          <w:rFonts w:hint="eastAsia" w:ascii="宋体" w:hAnsi="宋体" w:cs="宋体"/>
          <w:color w:val="auto"/>
          <w:sz w:val="24"/>
          <w:szCs w:val="24"/>
        </w:rPr>
        <w:t>乙方擅自转让、出租运营权；</w:t>
      </w:r>
    </w:p>
    <w:p>
      <w:pPr>
        <w:autoSpaceDE w:val="0"/>
        <w:autoSpaceDN w:val="0"/>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(b) </w:t>
      </w:r>
      <w:r>
        <w:rPr>
          <w:rFonts w:hint="eastAsia" w:ascii="宋体" w:hAnsi="宋体" w:cs="宋体"/>
          <w:color w:val="auto"/>
          <w:sz w:val="24"/>
          <w:szCs w:val="24"/>
        </w:rPr>
        <w:t>乙方擅自将所经营的财产进行处置或者抵押；</w:t>
      </w:r>
    </w:p>
    <w:p>
      <w:pPr>
        <w:autoSpaceDE w:val="0"/>
        <w:autoSpaceDN w:val="0"/>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(c) </w:t>
      </w:r>
      <w:r>
        <w:rPr>
          <w:rFonts w:hint="eastAsia" w:ascii="宋体" w:hAnsi="宋体" w:cs="宋体"/>
          <w:color w:val="auto"/>
          <w:sz w:val="24"/>
          <w:szCs w:val="24"/>
        </w:rPr>
        <w:t>乙方因管理不善，发生特别重大质量、生产安全事故；</w:t>
      </w:r>
    </w:p>
    <w:p>
      <w:pPr>
        <w:autoSpaceDE w:val="0"/>
        <w:autoSpaceDN w:val="0"/>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(d) </w:t>
      </w:r>
      <w:r>
        <w:rPr>
          <w:rFonts w:hint="eastAsia" w:ascii="宋体" w:hAnsi="宋体" w:cs="宋体"/>
          <w:color w:val="auto"/>
          <w:sz w:val="24"/>
          <w:szCs w:val="24"/>
        </w:rPr>
        <w:t>乙方擅自停业、歇业，严重影响到社会公共利益和安全；</w:t>
      </w:r>
    </w:p>
    <w:p>
      <w:pPr>
        <w:autoSpaceDE w:val="0"/>
        <w:autoSpaceDN w:val="0"/>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(e) </w:t>
      </w:r>
      <w:r>
        <w:rPr>
          <w:rFonts w:hint="eastAsia" w:ascii="宋体" w:hAnsi="宋体" w:cs="宋体"/>
          <w:color w:val="auto"/>
          <w:sz w:val="24"/>
          <w:szCs w:val="24"/>
        </w:rPr>
        <w:t>根据中国法律乙方进行清算或资不抵债；</w:t>
      </w:r>
    </w:p>
    <w:p>
      <w:pPr>
        <w:tabs>
          <w:tab w:val="left" w:pos="1800"/>
        </w:tabs>
        <w:spacing w:line="360" w:lineRule="auto"/>
        <w:ind w:firstLine="480" w:firstLineChars="200"/>
        <w:rPr>
          <w:rFonts w:ascii="宋体"/>
          <w:color w:val="auto"/>
          <w:sz w:val="24"/>
          <w:szCs w:val="24"/>
        </w:rPr>
      </w:pPr>
      <w:r>
        <w:rPr>
          <w:rFonts w:ascii="宋体" w:hAnsi="宋体" w:cs="宋体"/>
          <w:color w:val="auto"/>
          <w:sz w:val="24"/>
          <w:szCs w:val="24"/>
        </w:rPr>
        <w:t xml:space="preserve">(f) </w:t>
      </w:r>
      <w:r>
        <w:rPr>
          <w:rFonts w:hint="eastAsia" w:ascii="宋体" w:hAnsi="宋体" w:cs="宋体"/>
          <w:color w:val="auto"/>
          <w:sz w:val="24"/>
          <w:szCs w:val="24"/>
        </w:rPr>
        <w:t>乙方在第</w:t>
      </w:r>
      <w:r>
        <w:rPr>
          <w:rFonts w:ascii="宋体" w:hAnsi="宋体" w:cs="宋体"/>
          <w:color w:val="auto"/>
          <w:sz w:val="24"/>
          <w:szCs w:val="24"/>
        </w:rPr>
        <w:t>3.2</w:t>
      </w:r>
      <w:r>
        <w:rPr>
          <w:rFonts w:hint="eastAsia" w:ascii="宋体" w:hAnsi="宋体" w:cs="宋体"/>
          <w:color w:val="auto"/>
          <w:sz w:val="24"/>
          <w:szCs w:val="24"/>
        </w:rPr>
        <w:t>条中的任何声明被证明在做出时即有严重错误，使乙方履行本协议的能力受到严重的不利影响；</w:t>
      </w:r>
    </w:p>
    <w:p>
      <w:pPr>
        <w:tabs>
          <w:tab w:val="left" w:pos="1800"/>
        </w:tabs>
        <w:spacing w:line="360" w:lineRule="auto"/>
        <w:ind w:firstLine="480" w:firstLineChars="200"/>
        <w:rPr>
          <w:rFonts w:ascii="宋体"/>
          <w:color w:val="auto"/>
          <w:sz w:val="24"/>
          <w:szCs w:val="24"/>
        </w:rPr>
      </w:pPr>
      <w:r>
        <w:rPr>
          <w:rFonts w:ascii="宋体" w:hAnsi="宋体" w:cs="宋体"/>
          <w:color w:val="auto"/>
          <w:sz w:val="24"/>
          <w:szCs w:val="24"/>
        </w:rPr>
        <w:t xml:space="preserve">(g) </w:t>
      </w:r>
      <w:r>
        <w:rPr>
          <w:rFonts w:hint="eastAsia" w:ascii="宋体" w:hAnsi="宋体" w:cs="宋体"/>
          <w:color w:val="auto"/>
          <w:sz w:val="24"/>
          <w:szCs w:val="24"/>
        </w:rPr>
        <w:t>乙方未履行本协议项下的其它义务，构成对本协议的实质性违约，并且在收到甲方说明其违约并要求补救的书面通知</w:t>
      </w:r>
      <w:r>
        <w:rPr>
          <w:rFonts w:ascii="宋体" w:hAnsi="宋体" w:cs="宋体"/>
          <w:color w:val="auto"/>
          <w:sz w:val="24"/>
          <w:szCs w:val="24"/>
          <w:u w:val="single"/>
        </w:rPr>
        <w:t xml:space="preserve">  30 </w:t>
      </w:r>
      <w:r>
        <w:rPr>
          <w:rFonts w:hint="eastAsia" w:ascii="宋体" w:hAnsi="宋体" w:cs="宋体"/>
          <w:color w:val="auto"/>
          <w:sz w:val="24"/>
          <w:szCs w:val="24"/>
        </w:rPr>
        <w:t>个工作日内仍未能补救该实质性违约。</w:t>
      </w:r>
    </w:p>
    <w:p>
      <w:pPr>
        <w:keepNext/>
        <w:keepLines/>
        <w:spacing w:before="260" w:after="260" w:line="360" w:lineRule="auto"/>
        <w:jc w:val="left"/>
        <w:outlineLvl w:val="2"/>
        <w:rPr>
          <w:rFonts w:ascii="宋体"/>
          <w:b/>
          <w:bCs/>
          <w:color w:val="auto"/>
          <w:sz w:val="24"/>
          <w:szCs w:val="24"/>
        </w:rPr>
      </w:pPr>
      <w:bookmarkStart w:id="267" w:name="_Toc136332591"/>
      <w:bookmarkStart w:id="268" w:name="_Toc521685666"/>
      <w:bookmarkStart w:id="269" w:name="_Toc404263653"/>
      <w:r>
        <w:rPr>
          <w:rFonts w:ascii="宋体" w:hAnsi="宋体" w:cs="宋体"/>
          <w:b/>
          <w:bCs/>
          <w:color w:val="auto"/>
          <w:sz w:val="24"/>
          <w:szCs w:val="24"/>
        </w:rPr>
        <w:t xml:space="preserve">12.2 </w:t>
      </w:r>
      <w:r>
        <w:rPr>
          <w:rFonts w:hint="eastAsia" w:ascii="宋体" w:hAnsi="宋体" w:cs="宋体"/>
          <w:b/>
          <w:bCs/>
          <w:color w:val="auto"/>
          <w:sz w:val="24"/>
          <w:szCs w:val="24"/>
        </w:rPr>
        <w:t>乙方的终止</w:t>
      </w:r>
      <w:bookmarkEnd w:id="267"/>
      <w:bookmarkEnd w:id="268"/>
      <w:bookmarkEnd w:id="269"/>
      <w:r>
        <w:rPr>
          <w:rFonts w:ascii="宋体" w:hAnsi="宋体" w:cs="宋体"/>
          <w:b/>
          <w:bCs/>
          <w:color w:val="auto"/>
          <w:sz w:val="24"/>
          <w:szCs w:val="24"/>
        </w:rPr>
        <w:t xml:space="preserve"> </w:t>
      </w:r>
    </w:p>
    <w:p>
      <w:pPr>
        <w:spacing w:line="360" w:lineRule="auto"/>
        <w:ind w:firstLine="480" w:firstLineChars="200"/>
        <w:rPr>
          <w:rFonts w:ascii="宋体"/>
          <w:color w:val="auto"/>
          <w:sz w:val="24"/>
          <w:szCs w:val="24"/>
        </w:rPr>
      </w:pPr>
      <w:r>
        <w:rPr>
          <w:rFonts w:hint="eastAsia" w:ascii="宋体" w:hAnsi="宋体" w:cs="宋体"/>
          <w:color w:val="auto"/>
          <w:sz w:val="24"/>
          <w:szCs w:val="24"/>
        </w:rPr>
        <w:t>下述每一条款所述事件，如果不是由于乙方的违约或由于不可抗力所致，如果有允许的纠正期限而在该期限内未能纠正，即构成甲方违约事件，乙方有权立即发出终止意向通知：</w:t>
      </w:r>
    </w:p>
    <w:p>
      <w:pPr>
        <w:numPr>
          <w:ilvl w:val="0"/>
          <w:numId w:val="19"/>
        </w:numPr>
        <w:tabs>
          <w:tab w:val="left" w:pos="1080"/>
          <w:tab w:val="left" w:pos="1800"/>
        </w:tabs>
        <w:spacing w:line="360" w:lineRule="auto"/>
        <w:ind w:left="0" w:firstLine="480" w:firstLineChars="200"/>
        <w:rPr>
          <w:rFonts w:ascii="宋体"/>
          <w:color w:val="auto"/>
          <w:sz w:val="24"/>
          <w:szCs w:val="24"/>
        </w:rPr>
      </w:pPr>
      <w:r>
        <w:rPr>
          <w:rFonts w:hint="eastAsia" w:ascii="宋体" w:hAnsi="宋体" w:cs="宋体"/>
          <w:color w:val="auto"/>
          <w:sz w:val="24"/>
          <w:szCs w:val="24"/>
        </w:rPr>
        <w:t>甲方在第</w:t>
      </w:r>
      <w:r>
        <w:rPr>
          <w:rFonts w:ascii="宋体" w:hAnsi="宋体" w:cs="宋体"/>
          <w:color w:val="auto"/>
          <w:sz w:val="24"/>
          <w:szCs w:val="24"/>
        </w:rPr>
        <w:t>3.1</w:t>
      </w:r>
      <w:r>
        <w:rPr>
          <w:rFonts w:hint="eastAsia" w:ascii="宋体" w:hAnsi="宋体" w:cs="宋体"/>
          <w:color w:val="auto"/>
          <w:sz w:val="24"/>
          <w:szCs w:val="24"/>
        </w:rPr>
        <w:t>条中的任何声明被证明在做出时即有严重错误，使甲方履行本协议的能力受到严重的不利影响；</w:t>
      </w:r>
    </w:p>
    <w:p>
      <w:pPr>
        <w:numPr>
          <w:ilvl w:val="0"/>
          <w:numId w:val="19"/>
        </w:numPr>
        <w:tabs>
          <w:tab w:val="left" w:pos="1080"/>
          <w:tab w:val="left" w:pos="1800"/>
        </w:tabs>
        <w:spacing w:line="360" w:lineRule="auto"/>
        <w:ind w:left="0" w:firstLine="480" w:firstLineChars="200"/>
        <w:rPr>
          <w:rFonts w:ascii="宋体"/>
          <w:color w:val="auto"/>
          <w:sz w:val="24"/>
          <w:szCs w:val="24"/>
        </w:rPr>
      </w:pPr>
      <w:r>
        <w:rPr>
          <w:rFonts w:hint="eastAsia" w:ascii="宋体" w:hAnsi="宋体" w:cs="宋体"/>
          <w:color w:val="auto"/>
          <w:sz w:val="24"/>
          <w:szCs w:val="24"/>
        </w:rPr>
        <w:t>甲方未能按照本协议的约定履行向乙方支付运营服务费的义务；</w:t>
      </w:r>
    </w:p>
    <w:p>
      <w:pPr>
        <w:numPr>
          <w:ilvl w:val="0"/>
          <w:numId w:val="19"/>
        </w:numPr>
        <w:tabs>
          <w:tab w:val="left" w:pos="1080"/>
          <w:tab w:val="left" w:pos="1800"/>
        </w:tabs>
        <w:spacing w:line="360" w:lineRule="auto"/>
        <w:ind w:left="0" w:firstLine="480" w:firstLineChars="200"/>
        <w:rPr>
          <w:rFonts w:ascii="宋体"/>
          <w:color w:val="auto"/>
          <w:sz w:val="24"/>
          <w:szCs w:val="24"/>
        </w:rPr>
      </w:pPr>
      <w:r>
        <w:rPr>
          <w:rFonts w:hint="eastAsia" w:ascii="宋体" w:hAnsi="宋体" w:cs="宋体"/>
          <w:color w:val="auto"/>
          <w:sz w:val="24"/>
          <w:szCs w:val="24"/>
        </w:rPr>
        <w:t>甲方未履行其在本协议项下的任何其它义务构成对本协议的实质性违约，并且在收到乙方说明其违约并要求补救的书面通知后的</w:t>
      </w:r>
      <w:r>
        <w:rPr>
          <w:rFonts w:ascii="宋体" w:hAnsi="宋体" w:cs="宋体"/>
          <w:color w:val="auto"/>
          <w:sz w:val="24"/>
          <w:szCs w:val="24"/>
          <w:u w:val="single"/>
        </w:rPr>
        <w:t xml:space="preserve">  30 </w:t>
      </w:r>
      <w:r>
        <w:rPr>
          <w:rFonts w:hint="eastAsia" w:ascii="宋体" w:hAnsi="宋体" w:cs="宋体"/>
          <w:color w:val="auto"/>
          <w:sz w:val="24"/>
          <w:szCs w:val="24"/>
        </w:rPr>
        <w:t>个工作日内未能补救该实质性违约。</w:t>
      </w:r>
    </w:p>
    <w:p>
      <w:pPr>
        <w:keepNext/>
        <w:keepLines/>
        <w:spacing w:before="260" w:after="260" w:line="360" w:lineRule="auto"/>
        <w:jc w:val="left"/>
        <w:outlineLvl w:val="2"/>
        <w:rPr>
          <w:rFonts w:ascii="宋体"/>
          <w:b/>
          <w:bCs/>
          <w:color w:val="auto"/>
          <w:sz w:val="24"/>
          <w:szCs w:val="24"/>
        </w:rPr>
      </w:pPr>
      <w:bookmarkStart w:id="270" w:name="_Toc404263654"/>
      <w:bookmarkStart w:id="271" w:name="_Toc136332592"/>
      <w:bookmarkStart w:id="272" w:name="_Toc521685667"/>
      <w:r>
        <w:rPr>
          <w:rFonts w:ascii="宋体" w:hAnsi="宋体" w:cs="宋体"/>
          <w:b/>
          <w:bCs/>
          <w:color w:val="auto"/>
          <w:sz w:val="24"/>
          <w:szCs w:val="24"/>
        </w:rPr>
        <w:t xml:space="preserve">12.3 </w:t>
      </w:r>
      <w:r>
        <w:rPr>
          <w:rFonts w:hint="eastAsia" w:ascii="宋体" w:hAnsi="宋体" w:cs="宋体"/>
          <w:b/>
          <w:bCs/>
          <w:color w:val="auto"/>
          <w:sz w:val="24"/>
          <w:szCs w:val="24"/>
        </w:rPr>
        <w:t>终止意向通知和终止通知</w:t>
      </w:r>
      <w:bookmarkEnd w:id="270"/>
      <w:bookmarkEnd w:id="271"/>
      <w:bookmarkEnd w:id="272"/>
    </w:p>
    <w:p>
      <w:pPr>
        <w:spacing w:line="360" w:lineRule="auto"/>
        <w:rPr>
          <w:rFonts w:ascii="宋体"/>
          <w:color w:val="auto"/>
          <w:sz w:val="24"/>
          <w:szCs w:val="24"/>
        </w:rPr>
      </w:pPr>
      <w:r>
        <w:rPr>
          <w:rFonts w:ascii="宋体" w:hAnsi="宋体" w:cs="宋体"/>
          <w:color w:val="auto"/>
          <w:sz w:val="24"/>
          <w:szCs w:val="24"/>
        </w:rPr>
        <w:t xml:space="preserve">12.3.1  </w:t>
      </w:r>
      <w:r>
        <w:rPr>
          <w:rFonts w:hint="eastAsia" w:ascii="宋体" w:hAnsi="宋体" w:cs="宋体"/>
          <w:color w:val="auto"/>
          <w:sz w:val="24"/>
          <w:szCs w:val="24"/>
        </w:rPr>
        <w:t>终止意向通知</w:t>
      </w:r>
    </w:p>
    <w:p>
      <w:pPr>
        <w:spacing w:line="360" w:lineRule="auto"/>
        <w:ind w:firstLine="480" w:firstLineChars="200"/>
        <w:rPr>
          <w:rFonts w:ascii="宋体"/>
          <w:color w:val="auto"/>
          <w:sz w:val="24"/>
          <w:szCs w:val="24"/>
        </w:rPr>
      </w:pPr>
      <w:r>
        <w:rPr>
          <w:rFonts w:hint="eastAsia" w:ascii="宋体" w:hAnsi="宋体" w:cs="宋体"/>
          <w:color w:val="auto"/>
          <w:sz w:val="24"/>
          <w:szCs w:val="24"/>
        </w:rPr>
        <w:t>按照第</w:t>
      </w:r>
      <w:r>
        <w:rPr>
          <w:rFonts w:ascii="宋体" w:hAnsi="宋体" w:cs="宋体"/>
          <w:color w:val="auto"/>
          <w:sz w:val="24"/>
          <w:szCs w:val="24"/>
        </w:rPr>
        <w:t>12.1</w:t>
      </w:r>
      <w:r>
        <w:rPr>
          <w:rFonts w:hint="eastAsia" w:ascii="宋体" w:hAnsi="宋体" w:cs="宋体"/>
          <w:color w:val="auto"/>
          <w:sz w:val="24"/>
          <w:szCs w:val="24"/>
        </w:rPr>
        <w:t>或</w:t>
      </w:r>
      <w:r>
        <w:rPr>
          <w:rFonts w:ascii="宋体" w:hAnsi="宋体" w:cs="宋体"/>
          <w:color w:val="auto"/>
          <w:sz w:val="24"/>
          <w:szCs w:val="24"/>
        </w:rPr>
        <w:t>12.2</w:t>
      </w:r>
      <w:r>
        <w:rPr>
          <w:rFonts w:hint="eastAsia" w:ascii="宋体" w:hAnsi="宋体" w:cs="宋体"/>
          <w:color w:val="auto"/>
          <w:sz w:val="24"/>
          <w:szCs w:val="24"/>
        </w:rPr>
        <w:t>条发出的任何终止意向通知应表述违约事件的详细情况并给出必要的协商期。</w:t>
      </w:r>
    </w:p>
    <w:p>
      <w:pPr>
        <w:spacing w:line="360" w:lineRule="auto"/>
        <w:ind w:firstLine="480" w:firstLineChars="200"/>
        <w:rPr>
          <w:rFonts w:ascii="宋体"/>
          <w:color w:val="auto"/>
          <w:sz w:val="24"/>
          <w:szCs w:val="24"/>
        </w:rPr>
      </w:pPr>
      <w:r>
        <w:rPr>
          <w:rFonts w:hint="eastAsia" w:ascii="宋体" w:hAnsi="宋体" w:cs="宋体"/>
          <w:color w:val="auto"/>
          <w:sz w:val="24"/>
          <w:szCs w:val="24"/>
        </w:rPr>
        <w:t>在终止意向通知发出之后，双方应在协商期内为避免本协议终止采取措施，如果双方就将要采取的措施达成一致意见，并且在相应的协商期内纠正了违约事件，终止意向通知应立即自动失效。</w:t>
      </w:r>
    </w:p>
    <w:p>
      <w:pPr>
        <w:spacing w:line="360" w:lineRule="auto"/>
        <w:rPr>
          <w:rFonts w:ascii="宋体"/>
          <w:color w:val="auto"/>
          <w:sz w:val="24"/>
          <w:szCs w:val="24"/>
        </w:rPr>
      </w:pPr>
      <w:r>
        <w:rPr>
          <w:rFonts w:ascii="宋体" w:hAnsi="宋体" w:cs="宋体"/>
          <w:color w:val="auto"/>
          <w:sz w:val="24"/>
          <w:szCs w:val="24"/>
        </w:rPr>
        <w:t xml:space="preserve">12.3.2  </w:t>
      </w:r>
      <w:r>
        <w:rPr>
          <w:rFonts w:hint="eastAsia" w:ascii="宋体" w:hAnsi="宋体" w:cs="宋体"/>
          <w:color w:val="auto"/>
          <w:sz w:val="24"/>
          <w:szCs w:val="24"/>
        </w:rPr>
        <w:t>终止通知</w:t>
      </w:r>
    </w:p>
    <w:p>
      <w:pPr>
        <w:spacing w:line="360" w:lineRule="auto"/>
        <w:ind w:firstLine="480" w:firstLineChars="200"/>
        <w:rPr>
          <w:rFonts w:ascii="宋体"/>
          <w:color w:val="auto"/>
          <w:sz w:val="24"/>
          <w:szCs w:val="24"/>
        </w:rPr>
      </w:pPr>
      <w:r>
        <w:rPr>
          <w:rFonts w:hint="eastAsia" w:ascii="宋体" w:hAnsi="宋体" w:cs="宋体"/>
          <w:color w:val="auto"/>
          <w:sz w:val="24"/>
          <w:szCs w:val="24"/>
        </w:rPr>
        <w:t>在协商期届满之时，除非：</w:t>
      </w:r>
    </w:p>
    <w:p>
      <w:pPr>
        <w:numPr>
          <w:ilvl w:val="0"/>
          <w:numId w:val="20"/>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双方另外达成一致；或</w:t>
      </w:r>
    </w:p>
    <w:p>
      <w:pPr>
        <w:numPr>
          <w:ilvl w:val="0"/>
          <w:numId w:val="20"/>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导致发出终止意向通知的违约事件得到纠正，发出终止意向通知的一方有权发出终止通知。</w:t>
      </w:r>
    </w:p>
    <w:p>
      <w:pPr>
        <w:keepNext/>
        <w:keepLines/>
        <w:spacing w:before="260" w:after="260" w:line="360" w:lineRule="auto"/>
        <w:jc w:val="left"/>
        <w:outlineLvl w:val="2"/>
        <w:rPr>
          <w:rFonts w:ascii="宋体"/>
          <w:b/>
          <w:bCs/>
          <w:color w:val="auto"/>
          <w:sz w:val="24"/>
          <w:szCs w:val="24"/>
        </w:rPr>
      </w:pPr>
      <w:bookmarkStart w:id="273" w:name="_Toc136332593"/>
      <w:bookmarkStart w:id="274" w:name="_Toc521685668"/>
      <w:bookmarkStart w:id="275" w:name="_Toc404263655"/>
      <w:r>
        <w:rPr>
          <w:rFonts w:ascii="宋体" w:hAnsi="宋体" w:cs="宋体"/>
          <w:b/>
          <w:bCs/>
          <w:color w:val="auto"/>
          <w:sz w:val="24"/>
          <w:szCs w:val="24"/>
        </w:rPr>
        <w:t xml:space="preserve">12.4 </w:t>
      </w:r>
      <w:r>
        <w:rPr>
          <w:rFonts w:hint="eastAsia" w:ascii="宋体" w:hAnsi="宋体" w:cs="宋体"/>
          <w:b/>
          <w:bCs/>
          <w:color w:val="auto"/>
          <w:sz w:val="24"/>
          <w:szCs w:val="24"/>
        </w:rPr>
        <w:t>终止的一般后果</w:t>
      </w:r>
      <w:bookmarkEnd w:id="273"/>
      <w:bookmarkEnd w:id="274"/>
      <w:bookmarkEnd w:id="275"/>
    </w:p>
    <w:p>
      <w:pPr>
        <w:spacing w:line="360" w:lineRule="auto"/>
        <w:ind w:firstLine="480" w:firstLineChars="200"/>
        <w:rPr>
          <w:rFonts w:ascii="宋体"/>
          <w:color w:val="auto"/>
          <w:sz w:val="24"/>
          <w:szCs w:val="24"/>
        </w:rPr>
      </w:pPr>
      <w:r>
        <w:rPr>
          <w:rFonts w:hint="eastAsia" w:ascii="宋体" w:hAnsi="宋体" w:cs="宋体"/>
          <w:color w:val="auto"/>
          <w:sz w:val="24"/>
          <w:szCs w:val="24"/>
        </w:rPr>
        <w:t>如果本协议提前终止，则自任何一方发出终止通知起，至双方商定的提前终止日止，双方应继续履行本协议下的权利和义务。</w:t>
      </w:r>
    </w:p>
    <w:p>
      <w:pPr>
        <w:spacing w:line="360" w:lineRule="auto"/>
        <w:ind w:firstLine="480" w:firstLineChars="200"/>
        <w:rPr>
          <w:rFonts w:ascii="宋体"/>
          <w:color w:val="auto"/>
          <w:sz w:val="24"/>
          <w:szCs w:val="24"/>
        </w:rPr>
      </w:pPr>
      <w:r>
        <w:rPr>
          <w:rFonts w:hint="eastAsia" w:ascii="宋体" w:hAnsi="宋体" w:cs="宋体"/>
          <w:color w:val="auto"/>
          <w:sz w:val="24"/>
          <w:szCs w:val="24"/>
        </w:rPr>
        <w:t>本协议终止后，甲方在合同终止后</w:t>
      </w:r>
      <w:r>
        <w:rPr>
          <w:rFonts w:ascii="宋体" w:hAnsi="宋体" w:cs="宋体"/>
          <w:color w:val="auto"/>
          <w:sz w:val="24"/>
          <w:szCs w:val="24"/>
        </w:rPr>
        <w:t>10</w:t>
      </w:r>
      <w:r>
        <w:rPr>
          <w:rFonts w:hint="eastAsia" w:ascii="宋体" w:hAnsi="宋体" w:cs="宋体"/>
          <w:color w:val="auto"/>
          <w:sz w:val="24"/>
          <w:szCs w:val="24"/>
        </w:rPr>
        <w:t>天内退还乙方按本合同</w:t>
      </w:r>
      <w:r>
        <w:rPr>
          <w:rFonts w:ascii="宋体" w:hAnsi="宋体" w:cs="宋体"/>
          <w:color w:val="auto"/>
          <w:sz w:val="24"/>
          <w:szCs w:val="24"/>
        </w:rPr>
        <w:t>4.5</w:t>
      </w:r>
      <w:r>
        <w:rPr>
          <w:rFonts w:hint="eastAsia" w:ascii="宋体" w:hAnsi="宋体" w:cs="宋体"/>
          <w:color w:val="auto"/>
          <w:sz w:val="24"/>
          <w:szCs w:val="24"/>
        </w:rPr>
        <w:t>条项下约定支付的保证金或配合乙方解除相应保函。双方在本协议项下不再有进一步的义务，但根据合同相关条款约定可能到期应付的任何款项，以及本协议到期或终止之前发生的而在本协议到期或终止之日尚未支付的付款义务除外。本协议的终止不影响本协议中争议解决条款和任何在本协议终止后仍然有效的其它条款。</w:t>
      </w:r>
    </w:p>
    <w:p>
      <w:pPr>
        <w:keepNext/>
        <w:keepLines/>
        <w:spacing w:before="260" w:after="260" w:line="360" w:lineRule="auto"/>
        <w:jc w:val="left"/>
        <w:outlineLvl w:val="2"/>
        <w:rPr>
          <w:rFonts w:ascii="宋体"/>
          <w:b/>
          <w:bCs/>
          <w:color w:val="auto"/>
          <w:sz w:val="24"/>
          <w:szCs w:val="24"/>
        </w:rPr>
      </w:pPr>
      <w:bookmarkStart w:id="276" w:name="_Toc404263656"/>
      <w:bookmarkStart w:id="277" w:name="_Toc136332594"/>
      <w:bookmarkStart w:id="278" w:name="_Toc521685669"/>
      <w:r>
        <w:rPr>
          <w:rFonts w:ascii="宋体" w:hAnsi="宋体" w:cs="宋体"/>
          <w:b/>
          <w:bCs/>
          <w:color w:val="auto"/>
          <w:sz w:val="24"/>
          <w:szCs w:val="24"/>
        </w:rPr>
        <w:t xml:space="preserve">12.5  </w:t>
      </w:r>
      <w:r>
        <w:rPr>
          <w:rFonts w:hint="eastAsia" w:ascii="宋体" w:hAnsi="宋体" w:cs="宋体"/>
          <w:b/>
          <w:bCs/>
          <w:color w:val="auto"/>
          <w:sz w:val="24"/>
          <w:szCs w:val="24"/>
        </w:rPr>
        <w:t>终止后的补偿</w:t>
      </w:r>
      <w:bookmarkEnd w:id="276"/>
      <w:bookmarkEnd w:id="277"/>
      <w:bookmarkEnd w:id="278"/>
    </w:p>
    <w:p>
      <w:pPr>
        <w:spacing w:line="360" w:lineRule="auto"/>
        <w:rPr>
          <w:rFonts w:ascii="宋体"/>
          <w:color w:val="auto"/>
          <w:sz w:val="24"/>
          <w:szCs w:val="24"/>
        </w:rPr>
      </w:pPr>
      <w:r>
        <w:rPr>
          <w:rFonts w:ascii="宋体" w:hAnsi="宋体" w:cs="宋体"/>
          <w:color w:val="auto"/>
          <w:sz w:val="24"/>
          <w:szCs w:val="24"/>
        </w:rPr>
        <w:t xml:space="preserve">12.5.1  </w:t>
      </w:r>
      <w:r>
        <w:rPr>
          <w:rFonts w:hint="eastAsia" w:ascii="宋体" w:hAnsi="宋体" w:cs="宋体"/>
          <w:color w:val="auto"/>
          <w:sz w:val="24"/>
          <w:szCs w:val="24"/>
        </w:rPr>
        <w:t>乙方违约事件导致的终止</w:t>
      </w:r>
    </w:p>
    <w:p>
      <w:pPr>
        <w:spacing w:line="360" w:lineRule="auto"/>
        <w:ind w:firstLine="480" w:firstLineChars="200"/>
        <w:rPr>
          <w:rFonts w:ascii="宋体"/>
          <w:color w:val="auto"/>
          <w:sz w:val="24"/>
          <w:szCs w:val="24"/>
        </w:rPr>
      </w:pPr>
      <w:r>
        <w:rPr>
          <w:rFonts w:hint="eastAsia" w:ascii="宋体" w:hAnsi="宋体" w:cs="宋体"/>
          <w:color w:val="auto"/>
          <w:sz w:val="24"/>
          <w:szCs w:val="24"/>
        </w:rPr>
        <w:t>在生效日期后，如果甲方因乙方违约事件而终止本协议，则甲方应有权收回乙方对该项目的相关权益。甲方在向乙方支付补偿金额后，乙方对该项目的相关权益将转归甲方所有。</w:t>
      </w:r>
    </w:p>
    <w:p>
      <w:pPr>
        <w:spacing w:line="360" w:lineRule="auto"/>
        <w:ind w:firstLine="480" w:firstLineChars="200"/>
        <w:rPr>
          <w:rFonts w:ascii="宋体"/>
          <w:color w:val="auto"/>
          <w:sz w:val="24"/>
          <w:szCs w:val="24"/>
        </w:rPr>
      </w:pPr>
      <w:r>
        <w:rPr>
          <w:rFonts w:hint="eastAsia" w:ascii="宋体" w:hAnsi="宋体" w:cs="宋体"/>
          <w:color w:val="auto"/>
          <w:sz w:val="24"/>
          <w:szCs w:val="24"/>
        </w:rPr>
        <w:t>补偿金额的确定应从运营年限、已运行年限、乙方在项目中的总投入、乙方的过错程度等方面进行综合考虑和设定。</w:t>
      </w:r>
    </w:p>
    <w:p>
      <w:pPr>
        <w:spacing w:line="360" w:lineRule="auto"/>
        <w:rPr>
          <w:rFonts w:ascii="宋体"/>
          <w:color w:val="auto"/>
          <w:sz w:val="24"/>
          <w:szCs w:val="24"/>
        </w:rPr>
      </w:pPr>
      <w:r>
        <w:rPr>
          <w:rFonts w:ascii="宋体" w:hAnsi="宋体" w:cs="宋体"/>
          <w:color w:val="auto"/>
          <w:sz w:val="24"/>
          <w:szCs w:val="24"/>
        </w:rPr>
        <w:t xml:space="preserve">12.5.2  </w:t>
      </w:r>
      <w:r>
        <w:rPr>
          <w:rFonts w:hint="eastAsia" w:ascii="宋体" w:hAnsi="宋体" w:cs="宋体"/>
          <w:color w:val="auto"/>
          <w:sz w:val="24"/>
          <w:szCs w:val="24"/>
        </w:rPr>
        <w:t>甲方违约事件导致的终止</w:t>
      </w:r>
    </w:p>
    <w:p>
      <w:pPr>
        <w:spacing w:line="360" w:lineRule="auto"/>
        <w:ind w:firstLine="480" w:firstLineChars="200"/>
        <w:rPr>
          <w:rFonts w:ascii="宋体"/>
          <w:color w:val="auto"/>
          <w:sz w:val="24"/>
          <w:szCs w:val="24"/>
        </w:rPr>
      </w:pPr>
      <w:r>
        <w:rPr>
          <w:rFonts w:hint="eastAsia" w:ascii="宋体" w:hAnsi="宋体" w:cs="宋体"/>
          <w:color w:val="auto"/>
          <w:sz w:val="24"/>
          <w:szCs w:val="24"/>
        </w:rPr>
        <w:t>在生效日期后，如果乙方因甲方违约事件根据第</w:t>
      </w:r>
      <w:r>
        <w:rPr>
          <w:rFonts w:ascii="宋体" w:hAnsi="宋体" w:cs="宋体"/>
          <w:color w:val="auto"/>
          <w:sz w:val="24"/>
          <w:szCs w:val="24"/>
        </w:rPr>
        <w:t>12.2</w:t>
      </w:r>
      <w:r>
        <w:rPr>
          <w:rFonts w:hint="eastAsia" w:ascii="宋体" w:hAnsi="宋体" w:cs="宋体"/>
          <w:color w:val="auto"/>
          <w:sz w:val="24"/>
          <w:szCs w:val="24"/>
        </w:rPr>
        <w:t>条终止本协议，则乙方有权要求甲方收回该项目的相关权益。甲方在向乙方支付补偿金额后，乙方在该项目中的相关权益将转归甲方所有。</w:t>
      </w:r>
    </w:p>
    <w:p>
      <w:pPr>
        <w:spacing w:line="360" w:lineRule="auto"/>
        <w:ind w:firstLine="480" w:firstLineChars="200"/>
        <w:rPr>
          <w:rFonts w:ascii="宋体"/>
          <w:color w:val="auto"/>
          <w:sz w:val="24"/>
          <w:szCs w:val="24"/>
        </w:rPr>
      </w:pPr>
      <w:r>
        <w:rPr>
          <w:rFonts w:hint="eastAsia" w:ascii="宋体" w:hAnsi="宋体" w:cs="宋体"/>
          <w:color w:val="auto"/>
          <w:sz w:val="24"/>
          <w:szCs w:val="24"/>
        </w:rPr>
        <w:t>补偿金额的确定应由甲乙双方从运营年限、乙方已运行年限、乙方在项目中的总投资、乙方已获取的收益、该项目的预期收益等方面进行综合考虑。</w:t>
      </w:r>
    </w:p>
    <w:p>
      <w:pPr>
        <w:spacing w:line="360" w:lineRule="auto"/>
        <w:rPr>
          <w:rFonts w:ascii="宋体"/>
          <w:color w:val="auto"/>
          <w:sz w:val="24"/>
          <w:szCs w:val="24"/>
        </w:rPr>
      </w:pPr>
      <w:r>
        <w:rPr>
          <w:rFonts w:ascii="宋体" w:hAnsi="宋体" w:cs="宋体"/>
          <w:color w:val="auto"/>
          <w:sz w:val="24"/>
          <w:szCs w:val="24"/>
        </w:rPr>
        <w:t xml:space="preserve">12.5.3  </w:t>
      </w:r>
      <w:r>
        <w:rPr>
          <w:rFonts w:hint="eastAsia" w:ascii="宋体" w:hAnsi="宋体" w:cs="宋体"/>
          <w:color w:val="auto"/>
          <w:sz w:val="24"/>
          <w:szCs w:val="24"/>
        </w:rPr>
        <w:t>第</w:t>
      </w:r>
      <w:r>
        <w:rPr>
          <w:rFonts w:ascii="宋体" w:hAnsi="宋体" w:cs="宋体"/>
          <w:color w:val="auto"/>
          <w:sz w:val="24"/>
          <w:szCs w:val="24"/>
        </w:rPr>
        <w:t>7.1</w:t>
      </w:r>
      <w:r>
        <w:rPr>
          <w:rFonts w:hint="eastAsia" w:ascii="宋体" w:hAnsi="宋体" w:cs="宋体"/>
          <w:color w:val="auto"/>
          <w:sz w:val="24"/>
          <w:szCs w:val="24"/>
        </w:rPr>
        <w:t>款项下不可抗力事件和</w:t>
      </w:r>
      <w:r>
        <w:rPr>
          <w:rFonts w:ascii="宋体" w:hAnsi="宋体" w:cs="宋体"/>
          <w:color w:val="auto"/>
          <w:sz w:val="24"/>
          <w:szCs w:val="24"/>
        </w:rPr>
        <w:t>/</w:t>
      </w:r>
      <w:r>
        <w:rPr>
          <w:rFonts w:hint="eastAsia" w:ascii="宋体" w:hAnsi="宋体" w:cs="宋体"/>
          <w:color w:val="auto"/>
          <w:sz w:val="24"/>
          <w:szCs w:val="24"/>
        </w:rPr>
        <w:t>或法律变更导致的终止</w:t>
      </w:r>
    </w:p>
    <w:p>
      <w:pPr>
        <w:spacing w:line="360" w:lineRule="auto"/>
        <w:ind w:firstLine="480" w:firstLineChars="200"/>
        <w:rPr>
          <w:rFonts w:ascii="宋体"/>
          <w:color w:val="auto"/>
          <w:sz w:val="24"/>
          <w:szCs w:val="24"/>
        </w:rPr>
      </w:pPr>
      <w:r>
        <w:rPr>
          <w:rFonts w:hint="eastAsia" w:ascii="宋体" w:hAnsi="宋体" w:cs="宋体"/>
          <w:color w:val="auto"/>
          <w:sz w:val="24"/>
          <w:szCs w:val="24"/>
        </w:rPr>
        <w:t>如果因第</w:t>
      </w:r>
      <w:r>
        <w:rPr>
          <w:rFonts w:ascii="宋体" w:hAnsi="宋体" w:cs="宋体"/>
          <w:color w:val="auto"/>
          <w:sz w:val="24"/>
          <w:szCs w:val="24"/>
        </w:rPr>
        <w:t>7.1</w:t>
      </w:r>
      <w:r>
        <w:rPr>
          <w:rFonts w:hint="eastAsia" w:ascii="宋体" w:hAnsi="宋体" w:cs="宋体"/>
          <w:color w:val="auto"/>
          <w:sz w:val="24"/>
          <w:szCs w:val="24"/>
        </w:rPr>
        <w:t>款所述的不可抗力事件或法律变更导致任何一方依据第</w:t>
      </w:r>
      <w:r>
        <w:rPr>
          <w:rFonts w:ascii="宋体" w:hAnsi="宋体" w:cs="宋体"/>
          <w:color w:val="auto"/>
          <w:sz w:val="24"/>
          <w:szCs w:val="24"/>
        </w:rPr>
        <w:t>12</w:t>
      </w:r>
      <w:r>
        <w:rPr>
          <w:rFonts w:hint="eastAsia" w:ascii="宋体" w:hAnsi="宋体" w:cs="宋体"/>
          <w:color w:val="auto"/>
          <w:sz w:val="24"/>
          <w:szCs w:val="24"/>
        </w:rPr>
        <w:t>条终止本协议，甲方应向乙方支付补偿金额。甲方支付该项目的补偿金额后，乙方将该项目中的相关权益转让给甲方。</w:t>
      </w:r>
    </w:p>
    <w:p>
      <w:pPr>
        <w:spacing w:line="360" w:lineRule="auto"/>
        <w:ind w:firstLine="480" w:firstLineChars="200"/>
        <w:rPr>
          <w:rFonts w:ascii="宋体"/>
          <w:color w:val="auto"/>
          <w:sz w:val="24"/>
          <w:szCs w:val="24"/>
        </w:rPr>
      </w:pPr>
      <w:r>
        <w:rPr>
          <w:rFonts w:hint="eastAsia" w:ascii="宋体" w:hAnsi="宋体" w:cs="宋体"/>
          <w:color w:val="auto"/>
          <w:sz w:val="24"/>
          <w:szCs w:val="24"/>
        </w:rPr>
        <w:t>补偿金额的确定应由甲乙双方从运营年限、乙方已运行年限、乙方在项目中的总投资、乙方已获取的收益、该项目的预期收益以及各方对此等事件承担的能力等方面进行综合考虑。</w:t>
      </w:r>
    </w:p>
    <w:p>
      <w:pPr>
        <w:keepNext/>
        <w:keepLines/>
        <w:spacing w:before="260" w:after="260" w:line="360" w:lineRule="auto"/>
        <w:jc w:val="left"/>
        <w:outlineLvl w:val="2"/>
        <w:rPr>
          <w:rFonts w:ascii="宋体"/>
          <w:b/>
          <w:bCs/>
          <w:color w:val="auto"/>
          <w:sz w:val="24"/>
          <w:szCs w:val="24"/>
        </w:rPr>
      </w:pPr>
      <w:bookmarkStart w:id="279" w:name="_Toc136332595"/>
      <w:bookmarkStart w:id="280" w:name="_Toc521685670"/>
      <w:bookmarkStart w:id="281" w:name="_Toc404263657"/>
      <w:r>
        <w:rPr>
          <w:rFonts w:ascii="宋体" w:hAnsi="宋体" w:cs="宋体"/>
          <w:b/>
          <w:bCs/>
          <w:color w:val="auto"/>
          <w:sz w:val="24"/>
          <w:szCs w:val="24"/>
        </w:rPr>
        <w:t xml:space="preserve">12.6  </w:t>
      </w:r>
      <w:r>
        <w:rPr>
          <w:rFonts w:hint="eastAsia" w:ascii="宋体" w:hAnsi="宋体" w:cs="宋体"/>
          <w:b/>
          <w:bCs/>
          <w:color w:val="auto"/>
          <w:sz w:val="24"/>
          <w:szCs w:val="24"/>
        </w:rPr>
        <w:t>终止后的移交</w:t>
      </w:r>
      <w:bookmarkEnd w:id="279"/>
      <w:bookmarkEnd w:id="280"/>
      <w:bookmarkEnd w:id="281"/>
    </w:p>
    <w:p>
      <w:pPr>
        <w:spacing w:line="360" w:lineRule="auto"/>
        <w:ind w:firstLine="480" w:firstLineChars="200"/>
        <w:rPr>
          <w:rFonts w:ascii="宋体"/>
          <w:color w:val="auto"/>
          <w:sz w:val="24"/>
          <w:szCs w:val="24"/>
        </w:rPr>
      </w:pPr>
      <w:r>
        <w:rPr>
          <w:rFonts w:ascii="宋体" w:hAnsi="宋体" w:cs="宋体"/>
          <w:color w:val="auto"/>
          <w:sz w:val="24"/>
          <w:szCs w:val="24"/>
        </w:rPr>
        <w:t xml:space="preserve">12.6.1 </w:t>
      </w:r>
      <w:r>
        <w:rPr>
          <w:rFonts w:hint="eastAsia" w:ascii="宋体" w:hAnsi="宋体" w:cs="宋体"/>
          <w:color w:val="auto"/>
          <w:sz w:val="24"/>
          <w:szCs w:val="24"/>
        </w:rPr>
        <w:t>乙方根据</w:t>
      </w:r>
      <w:r>
        <w:rPr>
          <w:rFonts w:ascii="宋体" w:hAnsi="宋体" w:cs="宋体"/>
          <w:color w:val="auto"/>
          <w:sz w:val="24"/>
          <w:szCs w:val="24"/>
        </w:rPr>
        <w:t>12.6.2</w:t>
      </w:r>
      <w:r>
        <w:rPr>
          <w:rFonts w:hint="eastAsia" w:ascii="宋体" w:hAnsi="宋体" w:cs="宋体"/>
          <w:color w:val="auto"/>
          <w:sz w:val="24"/>
          <w:szCs w:val="24"/>
        </w:rPr>
        <w:t>条款向甲方移交参照第</w:t>
      </w:r>
      <w:r>
        <w:rPr>
          <w:rFonts w:ascii="宋体" w:hAnsi="宋体" w:cs="宋体"/>
          <w:color w:val="auto"/>
          <w:sz w:val="24"/>
          <w:szCs w:val="24"/>
        </w:rPr>
        <w:t>6.2</w:t>
      </w:r>
      <w:r>
        <w:rPr>
          <w:rFonts w:hint="eastAsia" w:ascii="宋体" w:hAnsi="宋体" w:cs="宋体"/>
          <w:color w:val="auto"/>
          <w:sz w:val="24"/>
          <w:szCs w:val="24"/>
        </w:rPr>
        <w:t>条规定的运营项目所有设施的权利和权益。</w:t>
      </w:r>
    </w:p>
    <w:p>
      <w:pPr>
        <w:spacing w:line="360" w:lineRule="auto"/>
        <w:ind w:firstLine="480" w:firstLineChars="200"/>
        <w:rPr>
          <w:rFonts w:ascii="宋体"/>
          <w:color w:val="auto"/>
          <w:sz w:val="24"/>
          <w:szCs w:val="24"/>
        </w:rPr>
      </w:pPr>
      <w:r>
        <w:rPr>
          <w:rFonts w:ascii="宋体" w:hAnsi="宋体" w:cs="宋体"/>
          <w:color w:val="auto"/>
          <w:sz w:val="24"/>
          <w:szCs w:val="24"/>
        </w:rPr>
        <w:t xml:space="preserve">12.6.2 </w:t>
      </w:r>
      <w:r>
        <w:rPr>
          <w:rFonts w:hint="eastAsia" w:ascii="宋体" w:hAnsi="宋体" w:cs="宋体"/>
          <w:color w:val="auto"/>
          <w:sz w:val="24"/>
          <w:szCs w:val="24"/>
        </w:rPr>
        <w:t>乙方应于提前终止日立即向甲方移交运营项目的占有权和运行权。甲方和乙方应于</w:t>
      </w:r>
      <w:r>
        <w:rPr>
          <w:rFonts w:ascii="宋体" w:hAnsi="宋体" w:cs="宋体"/>
          <w:color w:val="auto"/>
          <w:sz w:val="24"/>
          <w:szCs w:val="24"/>
          <w:u w:val="single"/>
        </w:rPr>
        <w:t xml:space="preserve">  60  </w:t>
      </w:r>
      <w:r>
        <w:rPr>
          <w:rFonts w:hint="eastAsia" w:ascii="宋体" w:hAnsi="宋体" w:cs="宋体"/>
          <w:color w:val="auto"/>
          <w:sz w:val="24"/>
          <w:szCs w:val="24"/>
        </w:rPr>
        <w:t>日内按照</w:t>
      </w:r>
      <w:r>
        <w:rPr>
          <w:rFonts w:ascii="宋体" w:hAnsi="宋体" w:cs="宋体"/>
          <w:color w:val="auto"/>
          <w:sz w:val="24"/>
          <w:szCs w:val="24"/>
        </w:rPr>
        <w:t>12.5</w:t>
      </w:r>
      <w:r>
        <w:rPr>
          <w:rFonts w:hint="eastAsia" w:ascii="宋体" w:hAnsi="宋体" w:cs="宋体"/>
          <w:color w:val="auto"/>
          <w:sz w:val="24"/>
          <w:szCs w:val="24"/>
        </w:rPr>
        <w:t>条款确定终止补偿金额。甲方应在确定终止补偿金额后</w:t>
      </w:r>
      <w:r>
        <w:rPr>
          <w:rFonts w:ascii="宋体" w:hAnsi="宋体" w:cs="宋体"/>
          <w:color w:val="auto"/>
          <w:sz w:val="24"/>
          <w:szCs w:val="24"/>
        </w:rPr>
        <w:t xml:space="preserve"> </w:t>
      </w:r>
      <w:r>
        <w:rPr>
          <w:rFonts w:ascii="宋体" w:hAnsi="宋体" w:cs="宋体"/>
          <w:color w:val="auto"/>
          <w:sz w:val="24"/>
          <w:szCs w:val="24"/>
          <w:u w:val="single"/>
        </w:rPr>
        <w:t xml:space="preserve">  30 </w:t>
      </w:r>
      <w:r>
        <w:rPr>
          <w:rFonts w:hint="eastAsia" w:ascii="宋体" w:hAnsi="宋体" w:cs="宋体"/>
          <w:color w:val="auto"/>
          <w:sz w:val="24"/>
          <w:szCs w:val="24"/>
        </w:rPr>
        <w:t>天内将终止补偿金全部支付。乙方在收到最后一笔终止补偿金当日，将项目设施的所有权和所有权益全部移交给甲方。</w:t>
      </w:r>
    </w:p>
    <w:p>
      <w:pPr>
        <w:spacing w:line="360" w:lineRule="auto"/>
        <w:rPr>
          <w:rFonts w:ascii="宋体"/>
          <w:color w:val="auto"/>
          <w:sz w:val="24"/>
          <w:szCs w:val="24"/>
        </w:rPr>
      </w:pPr>
    </w:p>
    <w:p>
      <w:pPr>
        <w:keepNext/>
        <w:keepLines/>
        <w:spacing w:before="260" w:after="260" w:line="360" w:lineRule="auto"/>
        <w:jc w:val="center"/>
        <w:outlineLvl w:val="1"/>
        <w:rPr>
          <w:rFonts w:ascii="宋体"/>
          <w:b/>
          <w:bCs/>
          <w:color w:val="auto"/>
          <w:sz w:val="24"/>
          <w:szCs w:val="24"/>
        </w:rPr>
      </w:pPr>
      <w:bookmarkStart w:id="282" w:name="_Toc521685671"/>
      <w:bookmarkStart w:id="283" w:name="_Toc136332596"/>
      <w:bookmarkStart w:id="284" w:name="_Toc404263658"/>
      <w:r>
        <w:rPr>
          <w:rFonts w:hint="eastAsia" w:ascii="宋体" w:hAnsi="宋体" w:cs="宋体"/>
          <w:b/>
          <w:bCs/>
          <w:color w:val="auto"/>
          <w:sz w:val="24"/>
          <w:szCs w:val="24"/>
        </w:rPr>
        <w:t>第</w:t>
      </w:r>
      <w:r>
        <w:rPr>
          <w:rFonts w:ascii="宋体" w:hAnsi="宋体" w:cs="宋体"/>
          <w:b/>
          <w:bCs/>
          <w:color w:val="auto"/>
          <w:sz w:val="24"/>
          <w:szCs w:val="24"/>
        </w:rPr>
        <w:t>13</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变更和转让</w:t>
      </w:r>
      <w:bookmarkEnd w:id="263"/>
      <w:bookmarkEnd w:id="282"/>
      <w:bookmarkEnd w:id="283"/>
      <w:bookmarkEnd w:id="284"/>
    </w:p>
    <w:p>
      <w:pPr>
        <w:keepNext/>
        <w:keepLines/>
        <w:spacing w:before="260" w:after="260" w:line="360" w:lineRule="auto"/>
        <w:jc w:val="left"/>
        <w:outlineLvl w:val="2"/>
        <w:rPr>
          <w:rFonts w:ascii="宋体"/>
          <w:b/>
          <w:bCs/>
          <w:color w:val="auto"/>
          <w:sz w:val="24"/>
          <w:szCs w:val="24"/>
        </w:rPr>
      </w:pPr>
      <w:bookmarkStart w:id="285" w:name="_Toc136332597"/>
      <w:bookmarkStart w:id="286" w:name="_Toc404263659"/>
      <w:bookmarkStart w:id="287" w:name="_Toc521685672"/>
      <w:r>
        <w:rPr>
          <w:rFonts w:ascii="宋体" w:hAnsi="宋体" w:cs="宋体"/>
          <w:b/>
          <w:bCs/>
          <w:color w:val="auto"/>
          <w:sz w:val="24"/>
          <w:szCs w:val="24"/>
        </w:rPr>
        <w:t xml:space="preserve">13.1 </w:t>
      </w:r>
      <w:r>
        <w:rPr>
          <w:rFonts w:hint="eastAsia" w:ascii="宋体" w:hAnsi="宋体" w:cs="宋体"/>
          <w:b/>
          <w:bCs/>
          <w:color w:val="auto"/>
          <w:sz w:val="24"/>
          <w:szCs w:val="24"/>
        </w:rPr>
        <w:t>甲方的变更</w:t>
      </w:r>
      <w:bookmarkEnd w:id="285"/>
      <w:bookmarkEnd w:id="286"/>
      <w:bookmarkEnd w:id="287"/>
    </w:p>
    <w:p>
      <w:pPr>
        <w:spacing w:line="360" w:lineRule="auto"/>
        <w:ind w:firstLine="480" w:firstLineChars="200"/>
        <w:rPr>
          <w:rFonts w:ascii="宋体"/>
          <w:color w:val="auto"/>
          <w:sz w:val="24"/>
          <w:szCs w:val="24"/>
        </w:rPr>
      </w:pPr>
      <w:r>
        <w:rPr>
          <w:rFonts w:hint="eastAsia" w:ascii="宋体" w:hAnsi="宋体" w:cs="宋体"/>
          <w:color w:val="auto"/>
          <w:sz w:val="24"/>
          <w:szCs w:val="24"/>
        </w:rPr>
        <w:t>由于政府机构改革造成甲方的变更，但新的甲方应：</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a</w:t>
      </w:r>
      <w:r>
        <w:rPr>
          <w:rFonts w:hint="eastAsia" w:ascii="宋体" w:hAnsi="宋体" w:cs="宋体"/>
          <w:color w:val="auto"/>
          <w:sz w:val="24"/>
          <w:szCs w:val="24"/>
        </w:rPr>
        <w:t>）具有承担原甲方对项目的所有权利、义务和责任的能力，并重新得到政府的授权，以及：</w:t>
      </w:r>
      <w:r>
        <w:rPr>
          <w:rFonts w:ascii="宋体" w:hAnsi="宋体" w:cs="宋体"/>
          <w:color w:val="auto"/>
          <w:sz w:val="24"/>
          <w:szCs w:val="24"/>
        </w:rPr>
        <w:t xml:space="preserve"> </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b</w:t>
      </w:r>
      <w:r>
        <w:rPr>
          <w:rFonts w:hint="eastAsia" w:ascii="宋体" w:hAnsi="宋体" w:cs="宋体"/>
          <w:color w:val="auto"/>
          <w:sz w:val="24"/>
          <w:szCs w:val="24"/>
        </w:rPr>
        <w:t>）接受并完全承担原甲方在本协议项下义务的履行。</w:t>
      </w:r>
      <w:r>
        <w:rPr>
          <w:rFonts w:ascii="宋体" w:hAnsi="宋体" w:cs="宋体"/>
          <w:color w:val="auto"/>
          <w:sz w:val="24"/>
          <w:szCs w:val="24"/>
        </w:rPr>
        <w:t xml:space="preserve"> </w:t>
      </w:r>
    </w:p>
    <w:p>
      <w:pPr>
        <w:keepNext/>
        <w:keepLines/>
        <w:spacing w:before="260" w:after="260" w:line="360" w:lineRule="auto"/>
        <w:jc w:val="left"/>
        <w:outlineLvl w:val="2"/>
        <w:rPr>
          <w:rFonts w:ascii="宋体"/>
          <w:b/>
          <w:bCs/>
          <w:color w:val="auto"/>
          <w:sz w:val="24"/>
          <w:szCs w:val="24"/>
        </w:rPr>
      </w:pPr>
      <w:bookmarkStart w:id="288" w:name="_Toc136332598"/>
      <w:bookmarkStart w:id="289" w:name="_Toc521685673"/>
      <w:bookmarkStart w:id="290" w:name="_Toc404263660"/>
      <w:r>
        <w:rPr>
          <w:rFonts w:ascii="宋体" w:hAnsi="宋体" w:cs="宋体"/>
          <w:b/>
          <w:bCs/>
          <w:color w:val="auto"/>
          <w:sz w:val="24"/>
          <w:szCs w:val="24"/>
        </w:rPr>
        <w:t xml:space="preserve">13.2 </w:t>
      </w:r>
      <w:r>
        <w:rPr>
          <w:rFonts w:hint="eastAsia" w:ascii="宋体" w:hAnsi="宋体" w:cs="宋体"/>
          <w:b/>
          <w:bCs/>
          <w:color w:val="auto"/>
          <w:sz w:val="24"/>
          <w:szCs w:val="24"/>
        </w:rPr>
        <w:t>乙方的转让</w:t>
      </w:r>
      <w:bookmarkEnd w:id="288"/>
      <w:bookmarkEnd w:id="289"/>
      <w:bookmarkEnd w:id="290"/>
    </w:p>
    <w:p>
      <w:pPr>
        <w:spacing w:line="360" w:lineRule="auto"/>
        <w:rPr>
          <w:rFonts w:ascii="宋体"/>
          <w:color w:val="auto"/>
          <w:sz w:val="24"/>
          <w:szCs w:val="24"/>
        </w:rPr>
      </w:pPr>
      <w:r>
        <w:rPr>
          <w:rFonts w:ascii="宋体" w:hAnsi="宋体" w:cs="宋体"/>
          <w:color w:val="auto"/>
          <w:sz w:val="24"/>
          <w:szCs w:val="24"/>
        </w:rPr>
        <w:t xml:space="preserve">13.2.1 </w:t>
      </w:r>
      <w:r>
        <w:rPr>
          <w:rFonts w:hint="eastAsia" w:ascii="宋体" w:hAnsi="宋体" w:cs="宋体"/>
          <w:color w:val="auto"/>
          <w:sz w:val="24"/>
          <w:szCs w:val="24"/>
        </w:rPr>
        <w:t>资产或合同的转让</w:t>
      </w:r>
    </w:p>
    <w:p>
      <w:pPr>
        <w:spacing w:line="360" w:lineRule="auto"/>
        <w:ind w:firstLine="480" w:firstLineChars="200"/>
        <w:rPr>
          <w:rFonts w:ascii="宋体"/>
          <w:color w:val="auto"/>
          <w:sz w:val="24"/>
          <w:szCs w:val="24"/>
        </w:rPr>
      </w:pPr>
      <w:r>
        <w:rPr>
          <w:rFonts w:hint="eastAsia" w:ascii="宋体" w:hAnsi="宋体" w:cs="宋体"/>
          <w:color w:val="auto"/>
          <w:sz w:val="24"/>
          <w:szCs w:val="24"/>
        </w:rPr>
        <w:t>未经甲方事先书面同意，乙方不得将本项目转让给第三方。</w:t>
      </w:r>
    </w:p>
    <w:p>
      <w:pPr>
        <w:keepNext/>
        <w:keepLines/>
        <w:spacing w:before="260" w:after="260" w:line="360" w:lineRule="auto"/>
        <w:jc w:val="center"/>
        <w:outlineLvl w:val="1"/>
        <w:rPr>
          <w:rFonts w:ascii="宋体"/>
          <w:b/>
          <w:bCs/>
          <w:color w:val="auto"/>
          <w:sz w:val="24"/>
          <w:szCs w:val="24"/>
        </w:rPr>
      </w:pPr>
      <w:bookmarkStart w:id="291" w:name="_Toc71780669"/>
      <w:bookmarkStart w:id="292" w:name="_Toc521685674"/>
      <w:bookmarkStart w:id="293" w:name="_Toc136332600"/>
      <w:bookmarkStart w:id="294" w:name="_Toc404263662"/>
      <w:r>
        <w:rPr>
          <w:rFonts w:hint="eastAsia" w:ascii="宋体" w:hAnsi="宋体" w:cs="宋体"/>
          <w:b/>
          <w:bCs/>
          <w:color w:val="auto"/>
          <w:sz w:val="24"/>
          <w:szCs w:val="24"/>
        </w:rPr>
        <w:t>第</w:t>
      </w:r>
      <w:r>
        <w:rPr>
          <w:rFonts w:ascii="宋体" w:hAnsi="宋体" w:cs="宋体"/>
          <w:b/>
          <w:bCs/>
          <w:color w:val="auto"/>
          <w:sz w:val="24"/>
          <w:szCs w:val="24"/>
        </w:rPr>
        <w:t>14</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解释规则</w:t>
      </w:r>
      <w:bookmarkEnd w:id="291"/>
      <w:bookmarkEnd w:id="292"/>
      <w:bookmarkEnd w:id="293"/>
      <w:bookmarkEnd w:id="294"/>
    </w:p>
    <w:p>
      <w:pPr>
        <w:keepNext/>
        <w:keepLines/>
        <w:spacing w:before="260" w:after="260" w:line="360" w:lineRule="auto"/>
        <w:jc w:val="left"/>
        <w:outlineLvl w:val="2"/>
        <w:rPr>
          <w:rFonts w:ascii="宋体"/>
          <w:b/>
          <w:bCs/>
          <w:color w:val="auto"/>
          <w:sz w:val="24"/>
          <w:szCs w:val="24"/>
        </w:rPr>
      </w:pPr>
      <w:bookmarkStart w:id="295" w:name="_Toc404263663"/>
      <w:bookmarkStart w:id="296" w:name="_Toc521685675"/>
      <w:bookmarkStart w:id="297" w:name="_Toc136332601"/>
      <w:r>
        <w:rPr>
          <w:rFonts w:ascii="宋体" w:hAnsi="宋体" w:cs="宋体"/>
          <w:b/>
          <w:bCs/>
          <w:color w:val="auto"/>
          <w:sz w:val="24"/>
          <w:szCs w:val="24"/>
        </w:rPr>
        <w:t xml:space="preserve">14.1 </w:t>
      </w:r>
      <w:r>
        <w:rPr>
          <w:rFonts w:hint="eastAsia" w:ascii="宋体" w:hAnsi="宋体" w:cs="宋体"/>
          <w:b/>
          <w:bCs/>
          <w:color w:val="auto"/>
          <w:sz w:val="24"/>
          <w:szCs w:val="24"/>
        </w:rPr>
        <w:t>修改</w:t>
      </w:r>
      <w:bookmarkEnd w:id="295"/>
      <w:bookmarkEnd w:id="296"/>
      <w:bookmarkEnd w:id="297"/>
      <w:r>
        <w:rPr>
          <w:rFonts w:ascii="宋体" w:hAnsi="宋体" w:cs="宋体"/>
          <w:b/>
          <w:bCs/>
          <w:color w:val="auto"/>
          <w:sz w:val="24"/>
          <w:szCs w:val="24"/>
        </w:rPr>
        <w:t xml:space="preserve">            </w:t>
      </w:r>
    </w:p>
    <w:p>
      <w:pPr>
        <w:spacing w:line="360" w:lineRule="auto"/>
        <w:ind w:firstLine="480" w:firstLineChars="200"/>
        <w:rPr>
          <w:rFonts w:ascii="宋体"/>
          <w:color w:val="auto"/>
          <w:sz w:val="24"/>
          <w:szCs w:val="24"/>
        </w:rPr>
      </w:pPr>
      <w:r>
        <w:rPr>
          <w:rFonts w:hint="eastAsia" w:ascii="宋体" w:hAnsi="宋体" w:cs="宋体"/>
          <w:color w:val="auto"/>
          <w:sz w:val="24"/>
          <w:szCs w:val="24"/>
        </w:rPr>
        <w:t>本协议任何修改、补充或变更只有以书面形式并由双方授权代表签字，并加盖公章方可生效并具约束力。</w:t>
      </w:r>
    </w:p>
    <w:p>
      <w:pPr>
        <w:keepNext/>
        <w:keepLines/>
        <w:spacing w:before="260" w:after="260" w:line="360" w:lineRule="auto"/>
        <w:jc w:val="left"/>
        <w:outlineLvl w:val="2"/>
        <w:rPr>
          <w:rFonts w:ascii="宋体"/>
          <w:b/>
          <w:bCs/>
          <w:color w:val="auto"/>
          <w:sz w:val="24"/>
          <w:szCs w:val="24"/>
        </w:rPr>
      </w:pPr>
      <w:bookmarkStart w:id="298" w:name="_Toc404263664"/>
      <w:bookmarkStart w:id="299" w:name="_Toc521685676"/>
      <w:bookmarkStart w:id="300" w:name="_Toc136332602"/>
      <w:r>
        <w:rPr>
          <w:rFonts w:ascii="宋体" w:hAnsi="宋体" w:cs="宋体"/>
          <w:b/>
          <w:bCs/>
          <w:color w:val="auto"/>
          <w:sz w:val="24"/>
          <w:szCs w:val="24"/>
        </w:rPr>
        <w:t xml:space="preserve">14.2 </w:t>
      </w:r>
      <w:r>
        <w:rPr>
          <w:rFonts w:hint="eastAsia" w:ascii="宋体" w:hAnsi="宋体" w:cs="宋体"/>
          <w:b/>
          <w:bCs/>
          <w:color w:val="auto"/>
          <w:sz w:val="24"/>
          <w:szCs w:val="24"/>
        </w:rPr>
        <w:t>可分割性</w:t>
      </w:r>
      <w:bookmarkEnd w:id="298"/>
      <w:bookmarkEnd w:id="299"/>
      <w:bookmarkEnd w:id="300"/>
      <w:r>
        <w:rPr>
          <w:rFonts w:ascii="宋体" w:hAnsi="宋体" w:cs="宋体"/>
          <w:b/>
          <w:bCs/>
          <w:color w:val="auto"/>
          <w:sz w:val="24"/>
          <w:szCs w:val="24"/>
        </w:rPr>
        <w:t xml:space="preserve">    </w:t>
      </w:r>
    </w:p>
    <w:p>
      <w:pPr>
        <w:spacing w:line="360" w:lineRule="auto"/>
        <w:ind w:firstLine="480" w:firstLineChars="200"/>
        <w:rPr>
          <w:rFonts w:ascii="宋体"/>
          <w:color w:val="auto"/>
          <w:sz w:val="24"/>
          <w:szCs w:val="24"/>
        </w:rPr>
      </w:pPr>
      <w:r>
        <w:rPr>
          <w:rFonts w:hint="eastAsia" w:ascii="宋体" w:hAnsi="宋体" w:cs="宋体"/>
          <w:color w:val="auto"/>
          <w:sz w:val="24"/>
          <w:szCs w:val="24"/>
        </w:rPr>
        <w:t>如果本协议任何条款不合法、无效或不能执行，或者被任何有管辖权的仲裁庭或法院宣布为不合法、无效或不能执行，则</w:t>
      </w:r>
    </w:p>
    <w:p>
      <w:pPr>
        <w:numPr>
          <w:ilvl w:val="0"/>
          <w:numId w:val="21"/>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其它条款仍然有效和可执行；</w:t>
      </w:r>
      <w:r>
        <w:rPr>
          <w:rFonts w:ascii="宋体" w:hAnsi="宋体" w:cs="宋体"/>
          <w:color w:val="auto"/>
          <w:sz w:val="24"/>
          <w:szCs w:val="24"/>
        </w:rPr>
        <w:t xml:space="preserve"> </w:t>
      </w:r>
    </w:p>
    <w:p>
      <w:pPr>
        <w:numPr>
          <w:ilvl w:val="0"/>
          <w:numId w:val="21"/>
        </w:numPr>
        <w:tabs>
          <w:tab w:val="left" w:pos="1080"/>
        </w:tabs>
        <w:spacing w:line="360" w:lineRule="auto"/>
        <w:ind w:left="0" w:firstLine="480" w:firstLineChars="200"/>
        <w:rPr>
          <w:rFonts w:ascii="宋体"/>
          <w:color w:val="auto"/>
          <w:sz w:val="24"/>
          <w:szCs w:val="24"/>
        </w:rPr>
      </w:pPr>
      <w:r>
        <w:rPr>
          <w:rFonts w:hint="eastAsia" w:ascii="宋体" w:hAnsi="宋体" w:cs="宋体"/>
          <w:color w:val="auto"/>
          <w:sz w:val="24"/>
          <w:szCs w:val="24"/>
        </w:rPr>
        <w:t>双方应对不合法、无效或不能执行的条款进行修改，使之合法、有效并可执行，并且这些修改应尽可能平衡双方之间的利益。</w:t>
      </w:r>
    </w:p>
    <w:p>
      <w:pPr>
        <w:keepNext/>
        <w:keepLines/>
        <w:spacing w:before="260" w:after="260" w:line="360" w:lineRule="auto"/>
        <w:jc w:val="center"/>
        <w:outlineLvl w:val="1"/>
        <w:rPr>
          <w:rFonts w:ascii="宋体"/>
          <w:b/>
          <w:bCs/>
          <w:color w:val="auto"/>
          <w:sz w:val="24"/>
          <w:szCs w:val="24"/>
        </w:rPr>
      </w:pPr>
      <w:bookmarkStart w:id="301" w:name="_Toc404263665"/>
      <w:bookmarkStart w:id="302" w:name="_Toc71780670"/>
      <w:bookmarkStart w:id="303" w:name="_Toc521685677"/>
      <w:bookmarkStart w:id="304" w:name="_Toc136332603"/>
      <w:r>
        <w:rPr>
          <w:rFonts w:hint="eastAsia" w:ascii="宋体" w:hAnsi="宋体" w:cs="宋体"/>
          <w:b/>
          <w:bCs/>
          <w:color w:val="auto"/>
          <w:sz w:val="24"/>
          <w:szCs w:val="24"/>
        </w:rPr>
        <w:t>第</w:t>
      </w:r>
      <w:r>
        <w:rPr>
          <w:rFonts w:ascii="宋体" w:hAnsi="宋体" w:cs="宋体"/>
          <w:b/>
          <w:bCs/>
          <w:color w:val="auto"/>
          <w:sz w:val="24"/>
          <w:szCs w:val="24"/>
        </w:rPr>
        <w:t>15</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争议的解决</w:t>
      </w:r>
      <w:bookmarkEnd w:id="301"/>
      <w:bookmarkEnd w:id="302"/>
      <w:bookmarkEnd w:id="303"/>
      <w:bookmarkEnd w:id="304"/>
    </w:p>
    <w:p>
      <w:pPr>
        <w:keepNext/>
        <w:keepLines/>
        <w:spacing w:before="260" w:after="260" w:line="360" w:lineRule="auto"/>
        <w:jc w:val="left"/>
        <w:outlineLvl w:val="2"/>
        <w:rPr>
          <w:rFonts w:ascii="宋体"/>
          <w:b/>
          <w:bCs/>
          <w:color w:val="auto"/>
          <w:sz w:val="24"/>
          <w:szCs w:val="24"/>
        </w:rPr>
      </w:pPr>
      <w:bookmarkStart w:id="305" w:name="_Toc521685678"/>
      <w:bookmarkStart w:id="306" w:name="_Toc136332604"/>
      <w:bookmarkStart w:id="307" w:name="_Toc404263666"/>
      <w:r>
        <w:rPr>
          <w:rFonts w:ascii="宋体" w:hAnsi="宋体" w:cs="宋体"/>
          <w:b/>
          <w:bCs/>
          <w:color w:val="auto"/>
          <w:sz w:val="24"/>
          <w:szCs w:val="24"/>
        </w:rPr>
        <w:t xml:space="preserve">15.1 </w:t>
      </w:r>
      <w:r>
        <w:rPr>
          <w:rFonts w:hint="eastAsia" w:ascii="宋体" w:hAnsi="宋体" w:cs="宋体"/>
          <w:b/>
          <w:bCs/>
          <w:color w:val="auto"/>
          <w:sz w:val="24"/>
          <w:szCs w:val="24"/>
        </w:rPr>
        <w:t>双方友好协商解决</w:t>
      </w:r>
      <w:bookmarkEnd w:id="305"/>
      <w:bookmarkEnd w:id="306"/>
      <w:bookmarkEnd w:id="307"/>
    </w:p>
    <w:p>
      <w:pPr>
        <w:spacing w:line="360" w:lineRule="auto"/>
        <w:ind w:firstLine="480" w:firstLineChars="200"/>
        <w:rPr>
          <w:rFonts w:ascii="宋体"/>
          <w:color w:val="auto"/>
          <w:sz w:val="24"/>
          <w:szCs w:val="24"/>
        </w:rPr>
      </w:pPr>
      <w:r>
        <w:rPr>
          <w:rFonts w:hint="eastAsia" w:ascii="宋体" w:hAnsi="宋体" w:cs="宋体"/>
          <w:color w:val="auto"/>
          <w:sz w:val="24"/>
          <w:szCs w:val="24"/>
        </w:rPr>
        <w:t>若双方对本协议条款的解释（包括关于其存在、有效或终止的任何问题）产生任何争议、分歧或索赔，则应尽力通过友好协商解决该争议、分歧或索赔。若在</w:t>
      </w:r>
      <w:r>
        <w:rPr>
          <w:rFonts w:ascii="宋体" w:hAnsi="宋体" w:cs="宋体"/>
          <w:color w:val="auto"/>
          <w:sz w:val="24"/>
          <w:szCs w:val="24"/>
          <w:u w:val="single"/>
        </w:rPr>
        <w:t xml:space="preserve">  30 </w:t>
      </w:r>
      <w:r>
        <w:rPr>
          <w:rFonts w:hint="eastAsia" w:ascii="宋体" w:hAnsi="宋体" w:cs="宋体"/>
          <w:color w:val="auto"/>
          <w:sz w:val="24"/>
          <w:szCs w:val="24"/>
        </w:rPr>
        <w:t>个工作日内该争议未能得到解决，则应适用第</w:t>
      </w:r>
      <w:r>
        <w:rPr>
          <w:rFonts w:ascii="宋体" w:hAnsi="宋体" w:cs="宋体"/>
          <w:color w:val="auto"/>
          <w:sz w:val="24"/>
          <w:szCs w:val="24"/>
        </w:rPr>
        <w:t>15.2</w:t>
      </w:r>
      <w:r>
        <w:rPr>
          <w:rFonts w:hint="eastAsia" w:ascii="宋体" w:hAnsi="宋体" w:cs="宋体"/>
          <w:color w:val="auto"/>
          <w:sz w:val="24"/>
          <w:szCs w:val="24"/>
        </w:rPr>
        <w:t>条的规定。</w:t>
      </w:r>
    </w:p>
    <w:p>
      <w:pPr>
        <w:keepNext/>
        <w:keepLines/>
        <w:spacing w:before="260" w:after="260" w:line="360" w:lineRule="auto"/>
        <w:jc w:val="left"/>
        <w:outlineLvl w:val="2"/>
        <w:rPr>
          <w:rFonts w:ascii="宋体"/>
          <w:b/>
          <w:bCs/>
          <w:color w:val="auto"/>
          <w:sz w:val="24"/>
          <w:szCs w:val="24"/>
        </w:rPr>
      </w:pPr>
      <w:bookmarkStart w:id="308" w:name="_Toc521685679"/>
      <w:bookmarkStart w:id="309" w:name="_Toc404263667"/>
      <w:bookmarkStart w:id="310" w:name="_Toc136332605"/>
      <w:r>
        <w:rPr>
          <w:rFonts w:ascii="宋体" w:hAnsi="宋体" w:cs="宋体"/>
          <w:b/>
          <w:bCs/>
          <w:color w:val="auto"/>
          <w:sz w:val="24"/>
          <w:szCs w:val="24"/>
        </w:rPr>
        <w:t xml:space="preserve">15.2 </w:t>
      </w:r>
      <w:r>
        <w:rPr>
          <w:rFonts w:hint="eastAsia" w:ascii="宋体" w:hAnsi="宋体" w:cs="宋体"/>
          <w:b/>
          <w:bCs/>
          <w:color w:val="auto"/>
          <w:sz w:val="24"/>
          <w:szCs w:val="24"/>
        </w:rPr>
        <w:t>仲裁</w:t>
      </w:r>
      <w:bookmarkEnd w:id="308"/>
      <w:bookmarkEnd w:id="309"/>
      <w:bookmarkEnd w:id="310"/>
    </w:p>
    <w:p>
      <w:pPr>
        <w:spacing w:line="360" w:lineRule="auto"/>
        <w:ind w:firstLine="480" w:firstLineChars="200"/>
        <w:rPr>
          <w:rFonts w:ascii="宋体"/>
          <w:color w:val="auto"/>
          <w:sz w:val="24"/>
          <w:szCs w:val="24"/>
        </w:rPr>
      </w:pPr>
      <w:r>
        <w:rPr>
          <w:rFonts w:hint="eastAsia" w:ascii="宋体" w:hAnsi="宋体" w:cs="宋体"/>
          <w:color w:val="auto"/>
          <w:sz w:val="24"/>
          <w:szCs w:val="24"/>
        </w:rPr>
        <w:t>本协议引起的或与本协议有关的所有争议，由甲乙双方选择仲裁或诉讼方式解决。选择仲裁方式解决争议的，应提交给</w:t>
      </w:r>
      <w:r>
        <w:rPr>
          <w:rFonts w:ascii="宋体" w:hAnsi="宋体" w:cs="宋体"/>
          <w:color w:val="auto"/>
          <w:sz w:val="24"/>
          <w:szCs w:val="24"/>
          <w:u w:val="single"/>
        </w:rPr>
        <w:t xml:space="preserve">  </w:t>
      </w:r>
      <w:r>
        <w:rPr>
          <w:rFonts w:hint="eastAsia" w:ascii="宋体" w:hAnsi="宋体" w:cs="宋体"/>
          <w:color w:val="auto"/>
          <w:sz w:val="24"/>
          <w:szCs w:val="24"/>
          <w:u w:val="single"/>
        </w:rPr>
        <w:t>台州</w:t>
      </w:r>
      <w:r>
        <w:rPr>
          <w:rFonts w:ascii="宋体" w:hAnsi="宋体" w:cs="宋体"/>
          <w:color w:val="auto"/>
          <w:sz w:val="24"/>
          <w:szCs w:val="24"/>
          <w:u w:val="single"/>
        </w:rPr>
        <w:t xml:space="preserve">  </w:t>
      </w:r>
      <w:r>
        <w:rPr>
          <w:rFonts w:hint="eastAsia" w:ascii="宋体" w:hAnsi="宋体" w:cs="宋体"/>
          <w:color w:val="auto"/>
          <w:sz w:val="24"/>
          <w:szCs w:val="24"/>
        </w:rPr>
        <w:t>仲裁委员会，按其届时有效的仲裁规则进行仲裁，仲裁裁决是终局的，对双方均有约束力。</w:t>
      </w:r>
    </w:p>
    <w:p>
      <w:pPr>
        <w:keepNext/>
        <w:keepLines/>
        <w:spacing w:before="260" w:after="260" w:line="360" w:lineRule="auto"/>
        <w:jc w:val="left"/>
        <w:outlineLvl w:val="2"/>
        <w:rPr>
          <w:rFonts w:ascii="宋体"/>
          <w:b/>
          <w:bCs/>
          <w:color w:val="auto"/>
          <w:sz w:val="24"/>
          <w:szCs w:val="24"/>
        </w:rPr>
      </w:pPr>
      <w:bookmarkStart w:id="311" w:name="_Toc521685680"/>
      <w:bookmarkStart w:id="312" w:name="_Toc136332606"/>
      <w:bookmarkStart w:id="313" w:name="_Toc404263668"/>
      <w:r>
        <w:rPr>
          <w:rFonts w:ascii="宋体" w:hAnsi="宋体" w:cs="宋体"/>
          <w:b/>
          <w:bCs/>
          <w:color w:val="auto"/>
          <w:sz w:val="24"/>
          <w:szCs w:val="24"/>
        </w:rPr>
        <w:t xml:space="preserve">15.3 </w:t>
      </w:r>
      <w:r>
        <w:rPr>
          <w:rFonts w:hint="eastAsia" w:ascii="宋体" w:hAnsi="宋体" w:cs="宋体"/>
          <w:b/>
          <w:bCs/>
          <w:color w:val="auto"/>
          <w:sz w:val="24"/>
          <w:szCs w:val="24"/>
        </w:rPr>
        <w:t>争议解决期间的履行</w:t>
      </w:r>
      <w:bookmarkEnd w:id="311"/>
      <w:bookmarkEnd w:id="312"/>
      <w:bookmarkEnd w:id="313"/>
    </w:p>
    <w:p>
      <w:pPr>
        <w:spacing w:line="360" w:lineRule="auto"/>
        <w:ind w:firstLine="480" w:firstLineChars="200"/>
        <w:rPr>
          <w:rFonts w:ascii="宋体"/>
          <w:color w:val="auto"/>
          <w:sz w:val="24"/>
          <w:szCs w:val="24"/>
        </w:rPr>
      </w:pPr>
      <w:r>
        <w:rPr>
          <w:rFonts w:hint="eastAsia" w:ascii="宋体" w:hAnsi="宋体" w:cs="宋体"/>
          <w:color w:val="auto"/>
          <w:sz w:val="24"/>
          <w:szCs w:val="24"/>
        </w:rPr>
        <w:t>在争议、分歧或索赔作出最终裁决前，各方应继续履行其在本协议项下的所有义务并继续享有其在本协议项下的所有权利，在最终裁决作出后按裁决进行最终调整。</w:t>
      </w:r>
    </w:p>
    <w:p>
      <w:pPr>
        <w:keepNext/>
        <w:keepLines/>
        <w:spacing w:before="260" w:after="260" w:line="360" w:lineRule="auto"/>
        <w:jc w:val="left"/>
        <w:outlineLvl w:val="2"/>
        <w:rPr>
          <w:rFonts w:ascii="宋体"/>
          <w:b/>
          <w:bCs/>
          <w:color w:val="auto"/>
          <w:sz w:val="24"/>
          <w:szCs w:val="24"/>
        </w:rPr>
      </w:pPr>
      <w:bookmarkStart w:id="314" w:name="_Toc404263669"/>
      <w:bookmarkStart w:id="315" w:name="_Toc136332607"/>
      <w:bookmarkStart w:id="316" w:name="_Toc521685681"/>
      <w:r>
        <w:rPr>
          <w:rFonts w:ascii="宋体" w:hAnsi="宋体" w:cs="宋体"/>
          <w:b/>
          <w:bCs/>
          <w:color w:val="auto"/>
          <w:sz w:val="24"/>
          <w:szCs w:val="24"/>
        </w:rPr>
        <w:t xml:space="preserve">15.4 </w:t>
      </w:r>
      <w:r>
        <w:rPr>
          <w:rFonts w:hint="eastAsia" w:ascii="宋体" w:hAnsi="宋体" w:cs="宋体"/>
          <w:b/>
          <w:bCs/>
          <w:color w:val="auto"/>
          <w:sz w:val="24"/>
          <w:szCs w:val="24"/>
        </w:rPr>
        <w:t>继续有效</w:t>
      </w:r>
      <w:bookmarkEnd w:id="314"/>
      <w:bookmarkEnd w:id="315"/>
      <w:bookmarkEnd w:id="316"/>
    </w:p>
    <w:p>
      <w:pPr>
        <w:spacing w:line="360" w:lineRule="auto"/>
        <w:ind w:firstLine="480" w:firstLineChars="200"/>
        <w:rPr>
          <w:rFonts w:ascii="宋体"/>
          <w:color w:val="auto"/>
          <w:sz w:val="24"/>
          <w:szCs w:val="24"/>
        </w:rPr>
      </w:pPr>
      <w:r>
        <w:rPr>
          <w:rFonts w:hint="eastAsia" w:ascii="宋体" w:hAnsi="宋体" w:cs="宋体"/>
          <w:color w:val="auto"/>
          <w:sz w:val="24"/>
          <w:szCs w:val="24"/>
        </w:rPr>
        <w:t>第</w:t>
      </w:r>
      <w:r>
        <w:rPr>
          <w:rFonts w:ascii="宋体" w:hAnsi="宋体" w:cs="宋体"/>
          <w:color w:val="auto"/>
          <w:sz w:val="24"/>
          <w:szCs w:val="24"/>
        </w:rPr>
        <w:t>15</w:t>
      </w:r>
      <w:r>
        <w:rPr>
          <w:rFonts w:hint="eastAsia" w:ascii="宋体" w:hAnsi="宋体" w:cs="宋体"/>
          <w:color w:val="auto"/>
          <w:sz w:val="24"/>
          <w:szCs w:val="24"/>
        </w:rPr>
        <w:t>条规定的争议解决条款在本协议终止后继续有效。</w:t>
      </w:r>
    </w:p>
    <w:p>
      <w:pPr>
        <w:spacing w:line="360" w:lineRule="auto"/>
        <w:ind w:firstLine="480" w:firstLineChars="200"/>
        <w:rPr>
          <w:rFonts w:ascii="宋体"/>
          <w:color w:val="auto"/>
          <w:sz w:val="24"/>
          <w:szCs w:val="24"/>
        </w:rPr>
      </w:pPr>
      <w:r>
        <w:rPr>
          <w:rFonts w:ascii="宋体" w:hAnsi="宋体" w:cs="宋体"/>
          <w:color w:val="auto"/>
          <w:sz w:val="24"/>
          <w:szCs w:val="24"/>
        </w:rPr>
        <w:t>(</w:t>
      </w:r>
      <w:r>
        <w:rPr>
          <w:rFonts w:hint="eastAsia" w:ascii="宋体" w:hAnsi="宋体" w:cs="宋体"/>
          <w:color w:val="auto"/>
          <w:sz w:val="24"/>
          <w:szCs w:val="24"/>
        </w:rPr>
        <w:t>注：争议解决方式只能选择仲裁机构和法院中的一种</w:t>
      </w:r>
      <w:r>
        <w:rPr>
          <w:rFonts w:ascii="宋体" w:hAnsi="宋体" w:cs="宋体"/>
          <w:color w:val="auto"/>
          <w:sz w:val="24"/>
          <w:szCs w:val="24"/>
        </w:rPr>
        <w:t>)</w:t>
      </w:r>
    </w:p>
    <w:p>
      <w:pPr>
        <w:keepNext/>
        <w:keepLines/>
        <w:spacing w:before="260" w:after="260" w:line="360" w:lineRule="auto"/>
        <w:jc w:val="center"/>
        <w:outlineLvl w:val="1"/>
        <w:rPr>
          <w:rFonts w:ascii="宋体"/>
          <w:b/>
          <w:bCs/>
          <w:color w:val="auto"/>
          <w:sz w:val="24"/>
          <w:szCs w:val="24"/>
        </w:rPr>
      </w:pPr>
      <w:bookmarkStart w:id="317" w:name="_Toc404263671"/>
      <w:bookmarkStart w:id="318" w:name="_Toc71780672"/>
      <w:bookmarkStart w:id="319" w:name="_Toc521685682"/>
      <w:bookmarkStart w:id="320" w:name="_Toc136332609"/>
      <w:r>
        <w:rPr>
          <w:rFonts w:hint="eastAsia" w:ascii="宋体" w:hAnsi="宋体" w:cs="宋体"/>
          <w:b/>
          <w:bCs/>
          <w:color w:val="auto"/>
          <w:sz w:val="24"/>
          <w:szCs w:val="24"/>
        </w:rPr>
        <w:t>第</w:t>
      </w:r>
      <w:r>
        <w:rPr>
          <w:rFonts w:ascii="宋体" w:hAnsi="宋体" w:cs="宋体"/>
          <w:b/>
          <w:bCs/>
          <w:color w:val="auto"/>
          <w:sz w:val="24"/>
          <w:szCs w:val="24"/>
        </w:rPr>
        <w:t>16</w:t>
      </w:r>
      <w:r>
        <w:rPr>
          <w:rFonts w:hint="eastAsia" w:ascii="宋体" w:hAnsi="宋体" w:cs="宋体"/>
          <w:b/>
          <w:bCs/>
          <w:color w:val="auto"/>
          <w:sz w:val="24"/>
          <w:szCs w:val="24"/>
        </w:rPr>
        <w:t>条</w:t>
      </w:r>
      <w:r>
        <w:rPr>
          <w:rFonts w:ascii="宋体" w:hAnsi="宋体" w:cs="宋体"/>
          <w:b/>
          <w:bCs/>
          <w:color w:val="auto"/>
          <w:sz w:val="24"/>
          <w:szCs w:val="24"/>
        </w:rPr>
        <w:t xml:space="preserve">  </w:t>
      </w:r>
      <w:r>
        <w:rPr>
          <w:rFonts w:hint="eastAsia" w:ascii="宋体" w:hAnsi="宋体" w:cs="宋体"/>
          <w:b/>
          <w:bCs/>
          <w:color w:val="auto"/>
          <w:sz w:val="24"/>
          <w:szCs w:val="24"/>
        </w:rPr>
        <w:t>其他条款</w:t>
      </w:r>
      <w:bookmarkEnd w:id="317"/>
      <w:bookmarkEnd w:id="318"/>
      <w:bookmarkEnd w:id="319"/>
      <w:bookmarkEnd w:id="320"/>
    </w:p>
    <w:p>
      <w:pPr>
        <w:keepNext/>
        <w:keepLines/>
        <w:spacing w:before="260" w:after="260" w:line="360" w:lineRule="auto"/>
        <w:jc w:val="left"/>
        <w:outlineLvl w:val="2"/>
        <w:rPr>
          <w:rFonts w:ascii="宋体"/>
          <w:b/>
          <w:bCs/>
          <w:color w:val="auto"/>
          <w:sz w:val="24"/>
          <w:szCs w:val="24"/>
        </w:rPr>
      </w:pPr>
      <w:bookmarkStart w:id="321" w:name="_Toc136332610"/>
      <w:bookmarkStart w:id="322" w:name="_Toc404263672"/>
      <w:bookmarkStart w:id="323" w:name="_Toc521685683"/>
      <w:r>
        <w:rPr>
          <w:rFonts w:ascii="宋体" w:hAnsi="宋体" w:cs="宋体"/>
          <w:b/>
          <w:bCs/>
          <w:color w:val="auto"/>
          <w:sz w:val="24"/>
          <w:szCs w:val="24"/>
        </w:rPr>
        <w:t xml:space="preserve">16.1 </w:t>
      </w:r>
      <w:r>
        <w:rPr>
          <w:rFonts w:hint="eastAsia" w:ascii="宋体" w:hAnsi="宋体" w:cs="宋体"/>
          <w:b/>
          <w:bCs/>
          <w:color w:val="auto"/>
          <w:sz w:val="24"/>
          <w:szCs w:val="24"/>
        </w:rPr>
        <w:t>通知</w:t>
      </w:r>
      <w:bookmarkEnd w:id="321"/>
      <w:bookmarkEnd w:id="322"/>
      <w:bookmarkEnd w:id="323"/>
    </w:p>
    <w:p>
      <w:pPr>
        <w:spacing w:line="360" w:lineRule="auto"/>
        <w:rPr>
          <w:rFonts w:ascii="宋体"/>
          <w:color w:val="auto"/>
          <w:sz w:val="24"/>
          <w:szCs w:val="24"/>
        </w:rPr>
      </w:pPr>
      <w:r>
        <w:rPr>
          <w:rFonts w:hint="eastAsia" w:ascii="宋体" w:hAnsi="宋体" w:cs="宋体"/>
          <w:color w:val="auto"/>
          <w:sz w:val="24"/>
          <w:szCs w:val="24"/>
        </w:rPr>
        <w:t>本协议项下的通知，通过专人递交、快递、邮寄、传真或电子邮件按下述地址送至或发至对方：</w:t>
      </w:r>
    </w:p>
    <w:p>
      <w:pPr>
        <w:spacing w:line="360" w:lineRule="auto"/>
        <w:rPr>
          <w:rFonts w:ascii="宋体"/>
          <w:color w:val="auto"/>
          <w:sz w:val="24"/>
          <w:szCs w:val="24"/>
        </w:rPr>
      </w:pPr>
      <w:r>
        <w:rPr>
          <w:rFonts w:hint="eastAsia" w:ascii="宋体" w:hAnsi="宋体" w:cs="宋体"/>
          <w:color w:val="auto"/>
          <w:sz w:val="24"/>
          <w:szCs w:val="24"/>
        </w:rPr>
        <w:t>甲方：</w:t>
      </w:r>
    </w:p>
    <w:p>
      <w:pPr>
        <w:spacing w:line="360" w:lineRule="auto"/>
        <w:rPr>
          <w:rFonts w:ascii="宋体"/>
          <w:color w:val="auto"/>
          <w:sz w:val="24"/>
          <w:szCs w:val="24"/>
        </w:rPr>
      </w:pPr>
      <w:r>
        <w:rPr>
          <w:rFonts w:hint="eastAsia" w:ascii="宋体" w:hAnsi="宋体" w:cs="宋体"/>
          <w:color w:val="auto"/>
          <w:sz w:val="24"/>
          <w:szCs w:val="24"/>
        </w:rPr>
        <w:t>地址：</w:t>
      </w:r>
    </w:p>
    <w:p>
      <w:pPr>
        <w:spacing w:line="360" w:lineRule="auto"/>
        <w:rPr>
          <w:rFonts w:ascii="宋体"/>
          <w:color w:val="auto"/>
          <w:sz w:val="24"/>
          <w:szCs w:val="24"/>
        </w:rPr>
      </w:pPr>
      <w:r>
        <w:rPr>
          <w:rFonts w:hint="eastAsia" w:ascii="宋体" w:hAnsi="宋体" w:cs="宋体"/>
          <w:color w:val="auto"/>
          <w:sz w:val="24"/>
          <w:szCs w:val="24"/>
        </w:rPr>
        <w:t>邮编：</w:t>
      </w:r>
    </w:p>
    <w:p>
      <w:pPr>
        <w:spacing w:line="360" w:lineRule="auto"/>
        <w:rPr>
          <w:rFonts w:ascii="宋体"/>
          <w:color w:val="auto"/>
          <w:sz w:val="24"/>
          <w:szCs w:val="24"/>
        </w:rPr>
      </w:pPr>
      <w:r>
        <w:rPr>
          <w:rFonts w:hint="eastAsia" w:ascii="宋体" w:hAnsi="宋体" w:cs="宋体"/>
          <w:color w:val="auto"/>
          <w:sz w:val="24"/>
          <w:szCs w:val="24"/>
        </w:rPr>
        <w:t>收件人：</w:t>
      </w:r>
    </w:p>
    <w:p>
      <w:pPr>
        <w:spacing w:line="360" w:lineRule="auto"/>
        <w:rPr>
          <w:rFonts w:ascii="宋体"/>
          <w:color w:val="auto"/>
          <w:sz w:val="24"/>
          <w:szCs w:val="24"/>
        </w:rPr>
      </w:pPr>
      <w:r>
        <w:rPr>
          <w:rFonts w:hint="eastAsia" w:ascii="宋体" w:hAnsi="宋体" w:cs="宋体"/>
          <w:color w:val="auto"/>
          <w:sz w:val="24"/>
          <w:szCs w:val="24"/>
        </w:rPr>
        <w:t>传真：</w:t>
      </w:r>
    </w:p>
    <w:p>
      <w:pPr>
        <w:spacing w:line="360" w:lineRule="auto"/>
        <w:rPr>
          <w:rFonts w:ascii="宋体"/>
          <w:color w:val="auto"/>
          <w:sz w:val="24"/>
          <w:szCs w:val="24"/>
        </w:rPr>
      </w:pPr>
      <w:r>
        <w:rPr>
          <w:rFonts w:hint="eastAsia" w:ascii="宋体" w:hAnsi="宋体" w:cs="宋体"/>
          <w:color w:val="auto"/>
          <w:sz w:val="24"/>
          <w:szCs w:val="24"/>
        </w:rPr>
        <w:t>电子信箱：</w:t>
      </w:r>
    </w:p>
    <w:p>
      <w:pPr>
        <w:spacing w:line="360" w:lineRule="auto"/>
        <w:rPr>
          <w:rFonts w:ascii="宋体"/>
          <w:color w:val="auto"/>
          <w:sz w:val="24"/>
          <w:szCs w:val="24"/>
        </w:rPr>
      </w:pPr>
    </w:p>
    <w:p>
      <w:pPr>
        <w:spacing w:line="360" w:lineRule="auto"/>
        <w:rPr>
          <w:rFonts w:ascii="宋体"/>
          <w:color w:val="auto"/>
          <w:sz w:val="24"/>
          <w:szCs w:val="24"/>
        </w:rPr>
      </w:pPr>
      <w:r>
        <w:rPr>
          <w:rFonts w:hint="eastAsia" w:ascii="宋体" w:hAnsi="宋体" w:cs="宋体"/>
          <w:color w:val="auto"/>
          <w:sz w:val="24"/>
          <w:szCs w:val="24"/>
        </w:rPr>
        <w:t>乙方：</w:t>
      </w:r>
      <w:r>
        <w:rPr>
          <w:rFonts w:ascii="宋体" w:hAnsi="宋体" w:cs="宋体"/>
          <w:color w:val="auto"/>
          <w:sz w:val="24"/>
          <w:szCs w:val="24"/>
        </w:rPr>
        <w:t xml:space="preserve"> </w:t>
      </w:r>
    </w:p>
    <w:p>
      <w:pPr>
        <w:spacing w:line="360" w:lineRule="auto"/>
        <w:rPr>
          <w:rFonts w:ascii="宋体"/>
          <w:color w:val="auto"/>
          <w:sz w:val="24"/>
          <w:szCs w:val="24"/>
        </w:rPr>
      </w:pPr>
      <w:r>
        <w:rPr>
          <w:rFonts w:hint="eastAsia" w:ascii="宋体" w:hAnsi="宋体" w:cs="宋体"/>
          <w:color w:val="auto"/>
          <w:sz w:val="24"/>
          <w:szCs w:val="24"/>
        </w:rPr>
        <w:t>地址：</w:t>
      </w:r>
      <w:r>
        <w:rPr>
          <w:rFonts w:ascii="宋体" w:hAnsi="宋体" w:cs="宋体"/>
          <w:color w:val="auto"/>
          <w:sz w:val="24"/>
          <w:szCs w:val="24"/>
        </w:rPr>
        <w:t xml:space="preserve"> </w:t>
      </w:r>
    </w:p>
    <w:p>
      <w:pPr>
        <w:spacing w:line="360" w:lineRule="auto"/>
        <w:rPr>
          <w:rFonts w:ascii="宋体"/>
          <w:color w:val="auto"/>
          <w:sz w:val="24"/>
          <w:szCs w:val="24"/>
        </w:rPr>
      </w:pPr>
      <w:r>
        <w:rPr>
          <w:rFonts w:hint="eastAsia" w:ascii="宋体" w:hAnsi="宋体" w:cs="宋体"/>
          <w:color w:val="auto"/>
          <w:sz w:val="24"/>
          <w:szCs w:val="24"/>
        </w:rPr>
        <w:t>邮编：</w:t>
      </w:r>
    </w:p>
    <w:p>
      <w:pPr>
        <w:spacing w:line="360" w:lineRule="auto"/>
        <w:rPr>
          <w:rFonts w:ascii="宋体"/>
          <w:color w:val="auto"/>
          <w:sz w:val="24"/>
          <w:szCs w:val="24"/>
        </w:rPr>
      </w:pPr>
      <w:r>
        <w:rPr>
          <w:rFonts w:hint="eastAsia" w:ascii="宋体" w:hAnsi="宋体" w:cs="宋体"/>
          <w:color w:val="auto"/>
          <w:sz w:val="24"/>
          <w:szCs w:val="24"/>
        </w:rPr>
        <w:t>收件人：</w:t>
      </w:r>
    </w:p>
    <w:p>
      <w:pPr>
        <w:spacing w:line="360" w:lineRule="auto"/>
        <w:rPr>
          <w:rFonts w:ascii="宋体"/>
          <w:color w:val="auto"/>
          <w:sz w:val="24"/>
          <w:szCs w:val="24"/>
        </w:rPr>
      </w:pPr>
      <w:r>
        <w:rPr>
          <w:rFonts w:hint="eastAsia" w:ascii="宋体" w:hAnsi="宋体" w:cs="宋体"/>
          <w:color w:val="auto"/>
          <w:sz w:val="24"/>
          <w:szCs w:val="24"/>
        </w:rPr>
        <w:t>传真：</w:t>
      </w:r>
    </w:p>
    <w:p>
      <w:pPr>
        <w:spacing w:line="360" w:lineRule="auto"/>
        <w:rPr>
          <w:rFonts w:ascii="宋体"/>
          <w:color w:val="auto"/>
          <w:sz w:val="24"/>
          <w:szCs w:val="24"/>
        </w:rPr>
      </w:pPr>
      <w:r>
        <w:rPr>
          <w:rFonts w:hint="eastAsia" w:ascii="宋体" w:hAnsi="宋体" w:cs="宋体"/>
          <w:color w:val="auto"/>
          <w:sz w:val="24"/>
          <w:szCs w:val="24"/>
        </w:rPr>
        <w:t>电子信箱：</w:t>
      </w:r>
    </w:p>
    <w:p>
      <w:pPr>
        <w:spacing w:line="360" w:lineRule="auto"/>
        <w:ind w:firstLine="480" w:firstLineChars="200"/>
        <w:rPr>
          <w:rFonts w:ascii="宋体"/>
          <w:color w:val="auto"/>
          <w:sz w:val="24"/>
          <w:szCs w:val="24"/>
        </w:rPr>
      </w:pPr>
      <w:r>
        <w:rPr>
          <w:rFonts w:hint="eastAsia" w:ascii="宋体" w:hAnsi="宋体" w:cs="宋体"/>
          <w:color w:val="auto"/>
          <w:sz w:val="24"/>
          <w:szCs w:val="24"/>
        </w:rPr>
        <w:t>一方的收件人地址、电传传真号码或电子邮箱若有变更应及时以书面形式通知另一方。下述情况应视为已送达：（</w:t>
      </w:r>
      <w:r>
        <w:rPr>
          <w:rFonts w:ascii="宋体" w:hAnsi="宋体" w:cs="宋体"/>
          <w:color w:val="auto"/>
          <w:sz w:val="24"/>
          <w:szCs w:val="24"/>
        </w:rPr>
        <w:t>i</w:t>
      </w:r>
      <w:r>
        <w:rPr>
          <w:rFonts w:hint="eastAsia" w:ascii="宋体" w:hAnsi="宋体" w:cs="宋体"/>
          <w:color w:val="auto"/>
          <w:sz w:val="24"/>
          <w:szCs w:val="24"/>
        </w:rPr>
        <w:t>）如用信件进行任何通讯，在由专人递交、快递或邮寄方式（挂号、要求回执）发送至上述地址时；和（</w:t>
      </w:r>
      <w:r>
        <w:rPr>
          <w:rFonts w:ascii="宋体" w:hAnsi="宋体" w:cs="宋体"/>
          <w:color w:val="auto"/>
          <w:sz w:val="24"/>
          <w:szCs w:val="24"/>
        </w:rPr>
        <w:t>ii</w:t>
      </w:r>
      <w:r>
        <w:rPr>
          <w:rFonts w:hint="eastAsia" w:ascii="宋体" w:hAnsi="宋体" w:cs="宋体"/>
          <w:color w:val="auto"/>
          <w:sz w:val="24"/>
          <w:szCs w:val="24"/>
        </w:rPr>
        <w:t>）如用传真或电子邮件形式，在准确发送至上述传真号码或电子邮箱时。</w:t>
      </w:r>
    </w:p>
    <w:p>
      <w:pPr>
        <w:keepNext/>
        <w:keepLines/>
        <w:spacing w:before="260" w:after="260" w:line="360" w:lineRule="auto"/>
        <w:jc w:val="left"/>
        <w:outlineLvl w:val="2"/>
        <w:rPr>
          <w:rFonts w:ascii="宋体"/>
          <w:b/>
          <w:bCs/>
          <w:color w:val="auto"/>
          <w:sz w:val="24"/>
          <w:szCs w:val="24"/>
        </w:rPr>
      </w:pPr>
      <w:bookmarkStart w:id="324" w:name="_Toc136332612"/>
      <w:bookmarkStart w:id="325" w:name="_Toc404263673"/>
      <w:bookmarkStart w:id="326" w:name="_Toc521685684"/>
      <w:r>
        <w:rPr>
          <w:rFonts w:ascii="宋体" w:hAnsi="宋体" w:cs="宋体"/>
          <w:b/>
          <w:bCs/>
          <w:color w:val="auto"/>
          <w:sz w:val="24"/>
          <w:szCs w:val="24"/>
        </w:rPr>
        <w:t>16.2</w:t>
      </w:r>
      <w:r>
        <w:rPr>
          <w:rFonts w:hint="eastAsia" w:ascii="宋体" w:hAnsi="宋体" w:cs="宋体"/>
          <w:b/>
          <w:bCs/>
          <w:color w:val="auto"/>
          <w:sz w:val="24"/>
          <w:szCs w:val="24"/>
        </w:rPr>
        <w:t>不弃权</w:t>
      </w:r>
      <w:bookmarkEnd w:id="324"/>
      <w:bookmarkEnd w:id="325"/>
      <w:bookmarkEnd w:id="326"/>
    </w:p>
    <w:p>
      <w:pPr>
        <w:spacing w:line="360" w:lineRule="auto"/>
        <w:ind w:firstLine="480" w:firstLineChars="200"/>
        <w:rPr>
          <w:rFonts w:ascii="宋体"/>
          <w:color w:val="auto"/>
          <w:sz w:val="24"/>
          <w:szCs w:val="24"/>
        </w:rPr>
      </w:pPr>
      <w:r>
        <w:rPr>
          <w:rFonts w:hint="eastAsia" w:ascii="宋体" w:hAnsi="宋体" w:cs="宋体"/>
          <w:color w:val="auto"/>
          <w:sz w:val="24"/>
          <w:szCs w:val="24"/>
        </w:rPr>
        <w:t>任何一方均不被视为放弃本协议中的任何条款，除非一方以书面形式作出放弃。任何一方未坚持严格履行本协议中的任何条款，或未行使其本协议中规定的任何权利，均不应被视为对任何上述条款的放弃或对今后行使任何上述权利的放弃。</w:t>
      </w:r>
    </w:p>
    <w:p>
      <w:pPr>
        <w:keepNext/>
        <w:keepLines/>
        <w:spacing w:before="260" w:after="260" w:line="360" w:lineRule="auto"/>
        <w:jc w:val="left"/>
        <w:outlineLvl w:val="2"/>
        <w:rPr>
          <w:rFonts w:ascii="宋体"/>
          <w:b/>
          <w:bCs/>
          <w:color w:val="auto"/>
          <w:sz w:val="24"/>
          <w:szCs w:val="24"/>
        </w:rPr>
      </w:pPr>
      <w:bookmarkStart w:id="327" w:name="_Toc136332614"/>
      <w:bookmarkStart w:id="328" w:name="_Toc404263675"/>
      <w:bookmarkStart w:id="329" w:name="_Toc521685686"/>
      <w:r>
        <w:rPr>
          <w:rFonts w:ascii="宋体" w:hAnsi="宋体" w:cs="宋体"/>
          <w:b/>
          <w:bCs/>
          <w:color w:val="auto"/>
          <w:sz w:val="24"/>
          <w:szCs w:val="24"/>
        </w:rPr>
        <w:t>16.3</w:t>
      </w:r>
      <w:r>
        <w:rPr>
          <w:rFonts w:hint="eastAsia" w:ascii="宋体" w:hAnsi="宋体" w:cs="宋体"/>
          <w:b/>
          <w:bCs/>
          <w:color w:val="auto"/>
          <w:sz w:val="24"/>
          <w:szCs w:val="24"/>
        </w:rPr>
        <w:t>生效日期</w:t>
      </w:r>
      <w:bookmarkEnd w:id="327"/>
      <w:bookmarkEnd w:id="328"/>
      <w:bookmarkEnd w:id="329"/>
    </w:p>
    <w:p>
      <w:pPr>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a</w:t>
      </w:r>
      <w:r>
        <w:rPr>
          <w:rFonts w:hint="eastAsia" w:ascii="宋体" w:hAnsi="宋体" w:cs="宋体"/>
          <w:color w:val="auto"/>
          <w:sz w:val="24"/>
          <w:szCs w:val="24"/>
        </w:rPr>
        <w:t>）双方签字盖章后生效。</w:t>
      </w:r>
    </w:p>
    <w:p>
      <w:pPr>
        <w:pStyle w:val="23"/>
        <w:ind w:left="0" w:leftChars="0" w:firstLine="0"/>
        <w:rPr>
          <w:color w:val="auto"/>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31680"/>
        <w:rPr>
          <w:rFonts w:ascii="宋体"/>
          <w:color w:val="auto"/>
          <w:sz w:val="24"/>
          <w:szCs w:val="24"/>
        </w:rPr>
      </w:pPr>
    </w:p>
    <w:p>
      <w:pPr>
        <w:pStyle w:val="23"/>
        <w:ind w:left="0" w:leftChars="0" w:firstLine="0"/>
        <w:rPr>
          <w:rFonts w:ascii="宋体"/>
          <w:color w:val="auto"/>
          <w:sz w:val="24"/>
          <w:szCs w:val="24"/>
        </w:rPr>
      </w:pPr>
    </w:p>
    <w:p>
      <w:pPr>
        <w:pStyle w:val="23"/>
        <w:ind w:left="31680"/>
        <w:rPr>
          <w:rFonts w:ascii="宋体"/>
          <w:color w:val="auto"/>
          <w:sz w:val="24"/>
          <w:szCs w:val="24"/>
        </w:rPr>
      </w:pPr>
    </w:p>
    <w:p>
      <w:pPr>
        <w:spacing w:line="360" w:lineRule="auto"/>
        <w:jc w:val="center"/>
        <w:rPr>
          <w:rFonts w:ascii="宋体"/>
          <w:b/>
          <w:bCs/>
          <w:color w:val="auto"/>
          <w:sz w:val="36"/>
          <w:szCs w:val="36"/>
        </w:rPr>
      </w:pPr>
      <w:r>
        <w:rPr>
          <w:rFonts w:hint="eastAsia" w:ascii="宋体" w:hAnsi="宋体" w:cs="宋体"/>
          <w:b/>
          <w:bCs/>
          <w:color w:val="auto"/>
          <w:sz w:val="36"/>
          <w:szCs w:val="36"/>
        </w:rPr>
        <w:t>第六章</w:t>
      </w:r>
      <w:r>
        <w:rPr>
          <w:rFonts w:ascii="宋体" w:hAnsi="宋体" w:cs="宋体"/>
          <w:b/>
          <w:bCs/>
          <w:color w:val="auto"/>
          <w:sz w:val="36"/>
          <w:szCs w:val="36"/>
        </w:rPr>
        <w:t xml:space="preserve"> </w:t>
      </w:r>
      <w:r>
        <w:rPr>
          <w:rFonts w:hint="eastAsia" w:ascii="宋体" w:hAnsi="宋体" w:cs="宋体"/>
          <w:b/>
          <w:bCs/>
          <w:color w:val="auto"/>
          <w:sz w:val="36"/>
          <w:szCs w:val="36"/>
        </w:rPr>
        <w:t>投标文件格式附件</w:t>
      </w:r>
    </w:p>
    <w:p>
      <w:pPr>
        <w:rPr>
          <w:rFonts w:ascii="宋体"/>
          <w:b/>
          <w:bCs/>
          <w:color w:val="auto"/>
          <w:kern w:val="0"/>
          <w:sz w:val="28"/>
          <w:szCs w:val="28"/>
        </w:rPr>
      </w:pPr>
      <w:r>
        <w:rPr>
          <w:rFonts w:hint="eastAsia" w:ascii="宋体" w:hAnsi="宋体" w:cs="宋体"/>
          <w:b/>
          <w:bCs/>
          <w:color w:val="auto"/>
          <w:sz w:val="28"/>
          <w:szCs w:val="28"/>
        </w:rPr>
        <w:t>附件</w:t>
      </w:r>
      <w:r>
        <w:rPr>
          <w:rFonts w:ascii="宋体" w:hAnsi="宋体" w:cs="宋体"/>
          <w:b/>
          <w:bCs/>
          <w:color w:val="auto"/>
          <w:sz w:val="28"/>
          <w:szCs w:val="28"/>
        </w:rPr>
        <w:t>1</w:t>
      </w:r>
      <w:r>
        <w:rPr>
          <w:rFonts w:hint="eastAsia" w:ascii="宋体" w:hAnsi="宋体" w:cs="宋体"/>
          <w:b/>
          <w:bCs/>
          <w:color w:val="auto"/>
          <w:sz w:val="28"/>
          <w:szCs w:val="28"/>
        </w:rPr>
        <w:t>　</w:t>
      </w:r>
      <w:r>
        <w:rPr>
          <w:rFonts w:hint="eastAsia" w:ascii="宋体" w:hAnsi="宋体" w:cs="宋体"/>
          <w:color w:val="auto"/>
          <w:sz w:val="30"/>
          <w:szCs w:val="30"/>
        </w:rPr>
        <w:t>　　</w:t>
      </w:r>
      <w:r>
        <w:rPr>
          <w:rFonts w:ascii="宋体" w:hAnsi="宋体" w:cs="宋体"/>
          <w:color w:val="auto"/>
          <w:sz w:val="30"/>
          <w:szCs w:val="30"/>
        </w:rPr>
        <w:t xml:space="preserve">                                       </w:t>
      </w:r>
      <w:r>
        <w:rPr>
          <w:rFonts w:ascii="宋体" w:hAnsi="宋体" w:cs="宋体"/>
          <w:color w:val="auto"/>
          <w:sz w:val="30"/>
          <w:szCs w:val="30"/>
          <w:u w:val="single"/>
        </w:rPr>
        <w:t xml:space="preserve">   </w:t>
      </w:r>
      <w:r>
        <w:rPr>
          <w:rFonts w:hint="eastAsia" w:ascii="宋体" w:hAnsi="宋体" w:cs="宋体"/>
          <w:color w:val="auto"/>
          <w:sz w:val="24"/>
          <w:szCs w:val="24"/>
        </w:rPr>
        <w:t>本</w:t>
      </w:r>
    </w:p>
    <w:p>
      <w:pPr>
        <w:spacing w:line="360" w:lineRule="auto"/>
        <w:rPr>
          <w:rFonts w:ascii="宋体"/>
          <w:b/>
          <w:bCs/>
          <w:color w:val="auto"/>
          <w:sz w:val="30"/>
          <w:szCs w:val="30"/>
        </w:rPr>
      </w:pPr>
    </w:p>
    <w:p>
      <w:pPr>
        <w:spacing w:line="360" w:lineRule="auto"/>
        <w:jc w:val="center"/>
        <w:rPr>
          <w:rFonts w:ascii="宋体"/>
          <w:color w:val="auto"/>
          <w:spacing w:val="40"/>
          <w:sz w:val="52"/>
          <w:szCs w:val="52"/>
        </w:rPr>
      </w:pPr>
      <w:r>
        <w:rPr>
          <w:rFonts w:hint="eastAsia" w:ascii="宋体" w:hAnsi="宋体" w:cs="宋体"/>
          <w:color w:val="auto"/>
          <w:spacing w:val="40"/>
          <w:sz w:val="52"/>
          <w:szCs w:val="52"/>
        </w:rPr>
        <w:t>项目名称</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36"/>
          <w:szCs w:val="36"/>
        </w:rPr>
        <w:t>项目编号：</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件</w:t>
      </w:r>
    </w:p>
    <w:p>
      <w:pPr>
        <w:autoSpaceDE w:val="0"/>
        <w:autoSpaceDN w:val="0"/>
        <w:adjustRightInd w:val="0"/>
        <w:spacing w:line="360" w:lineRule="auto"/>
        <w:jc w:val="center"/>
        <w:rPr>
          <w:rFonts w:ascii="宋体"/>
          <w:b/>
          <w:bCs/>
          <w:color w:val="auto"/>
          <w:spacing w:val="40"/>
          <w:sz w:val="28"/>
          <w:szCs w:val="28"/>
        </w:rPr>
      </w:pPr>
      <w:r>
        <w:rPr>
          <w:rFonts w:hint="eastAsia" w:ascii="宋体" w:hAnsi="宋体" w:cs="宋体"/>
          <w:color w:val="auto"/>
          <w:sz w:val="28"/>
          <w:szCs w:val="28"/>
          <w:lang w:val="zh-CN"/>
        </w:rPr>
        <w:t>（</w:t>
      </w:r>
      <w:r>
        <w:rPr>
          <w:rFonts w:hint="eastAsia" w:ascii="宋体" w:hAnsi="宋体" w:cs="宋体"/>
          <w:b/>
          <w:bCs/>
          <w:color w:val="auto"/>
          <w:spacing w:val="40"/>
          <w:sz w:val="28"/>
          <w:szCs w:val="28"/>
        </w:rPr>
        <w:t>资格证明文件）</w:t>
      </w:r>
    </w:p>
    <w:p>
      <w:pPr>
        <w:autoSpaceDE w:val="0"/>
        <w:autoSpaceDN w:val="0"/>
        <w:adjustRightInd w:val="0"/>
        <w:spacing w:line="360" w:lineRule="auto"/>
        <w:rPr>
          <w:rFonts w:ascii="宋体"/>
          <w:color w:val="auto"/>
          <w:sz w:val="36"/>
          <w:szCs w:val="36"/>
        </w:rPr>
      </w:pP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投标人全称（公章）：</w:t>
      </w: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地址：</w:t>
      </w: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时间：</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jc w:val="center"/>
        <w:rPr>
          <w:b/>
          <w:bCs/>
          <w:color w:val="auto"/>
          <w:sz w:val="36"/>
          <w:szCs w:val="36"/>
        </w:rPr>
      </w:pPr>
    </w:p>
    <w:p>
      <w:pPr>
        <w:spacing w:line="360" w:lineRule="auto"/>
        <w:jc w:val="center"/>
        <w:rPr>
          <w:b/>
          <w:bCs/>
          <w:color w:val="auto"/>
          <w:sz w:val="36"/>
          <w:szCs w:val="36"/>
        </w:rPr>
      </w:pPr>
    </w:p>
    <w:p>
      <w:pPr>
        <w:spacing w:line="360" w:lineRule="auto"/>
        <w:jc w:val="center"/>
        <w:rPr>
          <w:b/>
          <w:bCs/>
          <w:color w:val="auto"/>
          <w:sz w:val="36"/>
          <w:szCs w:val="36"/>
        </w:rPr>
      </w:pPr>
      <w:r>
        <w:rPr>
          <w:rFonts w:hint="eastAsia" w:cs="宋体"/>
          <w:b/>
          <w:bCs/>
          <w:color w:val="auto"/>
          <w:sz w:val="36"/>
          <w:szCs w:val="36"/>
        </w:rPr>
        <w:t>资格证明文件目录</w:t>
      </w:r>
    </w:p>
    <w:p>
      <w:pPr>
        <w:spacing w:line="360" w:lineRule="auto"/>
        <w:rPr>
          <w:rFonts w:ascii="宋体"/>
          <w:color w:val="auto"/>
          <w:sz w:val="24"/>
          <w:szCs w:val="24"/>
        </w:rPr>
      </w:pP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1</w:t>
      </w:r>
      <w:r>
        <w:rPr>
          <w:rFonts w:hint="eastAsia" w:ascii="宋体" w:hAnsi="宋体" w:cs="宋体"/>
          <w:color w:val="auto"/>
          <w:sz w:val="28"/>
          <w:szCs w:val="28"/>
        </w:rPr>
        <w:t>）投标声明书；</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2</w:t>
      </w:r>
      <w:r>
        <w:rPr>
          <w:rFonts w:hint="eastAsia" w:ascii="宋体" w:hAnsi="宋体" w:cs="宋体"/>
          <w:color w:val="auto"/>
          <w:sz w:val="28"/>
          <w:szCs w:val="28"/>
        </w:rPr>
        <w:t>）授权委托书（法定代表人亲自办理投标事宜的，则无需提交</w:t>
      </w:r>
      <w:r>
        <w:rPr>
          <w:rFonts w:ascii="宋体" w:hAnsi="宋体" w:cs="宋体"/>
          <w:color w:val="auto"/>
          <w:sz w:val="28"/>
          <w:szCs w:val="28"/>
        </w:rPr>
        <w:t>)</w:t>
      </w:r>
      <w:r>
        <w:rPr>
          <w:rFonts w:hint="eastAsia" w:ascii="宋体" w:hAnsi="宋体" w:cs="宋体"/>
          <w:color w:val="auto"/>
          <w:sz w:val="28"/>
          <w:szCs w:val="28"/>
        </w:rPr>
        <w:t>；</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3</w:t>
      </w:r>
      <w:r>
        <w:rPr>
          <w:rFonts w:hint="eastAsia" w:ascii="宋体" w:hAnsi="宋体" w:cs="宋体"/>
          <w:color w:val="auto"/>
          <w:sz w:val="28"/>
          <w:szCs w:val="28"/>
        </w:rPr>
        <w:t>）法人或者其他组织的营业执照等证明文件，自然人的身份证明；</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4</w:t>
      </w:r>
      <w:r>
        <w:rPr>
          <w:rFonts w:hint="eastAsia" w:ascii="宋体" w:hAnsi="宋体" w:cs="宋体"/>
          <w:color w:val="auto"/>
          <w:sz w:val="28"/>
          <w:szCs w:val="28"/>
        </w:rPr>
        <w:t>）财务状况报告，依法缴纳税收和社会保障资金的相关材料；</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5</w:t>
      </w:r>
      <w:r>
        <w:rPr>
          <w:rFonts w:hint="eastAsia" w:ascii="宋体" w:hAnsi="宋体" w:cs="宋体"/>
          <w:color w:val="auto"/>
          <w:sz w:val="28"/>
          <w:szCs w:val="28"/>
        </w:rPr>
        <w:t>）具备履行合同所必需的设备和专业技术能力的证明材料</w:t>
      </w:r>
      <w:r>
        <w:rPr>
          <w:rFonts w:ascii="宋体" w:hAnsi="宋体" w:cs="宋体"/>
          <w:color w:val="auto"/>
          <w:sz w:val="28"/>
          <w:szCs w:val="28"/>
        </w:rPr>
        <w:t>(</w:t>
      </w:r>
      <w:r>
        <w:rPr>
          <w:rFonts w:hint="eastAsia" w:ascii="宋体" w:hAnsi="宋体" w:cs="宋体"/>
          <w:color w:val="auto"/>
          <w:sz w:val="28"/>
          <w:szCs w:val="28"/>
        </w:rPr>
        <w:t>根据项目性质提供</w:t>
      </w:r>
      <w:r>
        <w:rPr>
          <w:rFonts w:ascii="宋体" w:hAnsi="宋体" w:cs="宋体"/>
          <w:color w:val="auto"/>
          <w:sz w:val="28"/>
          <w:szCs w:val="28"/>
        </w:rPr>
        <w:t>)</w:t>
      </w:r>
      <w:r>
        <w:rPr>
          <w:rFonts w:hint="eastAsia" w:ascii="宋体" w:hAnsi="宋体" w:cs="宋体"/>
          <w:color w:val="auto"/>
          <w:sz w:val="28"/>
          <w:szCs w:val="28"/>
        </w:rPr>
        <w:t>；</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6</w:t>
      </w:r>
      <w:r>
        <w:rPr>
          <w:rFonts w:hint="eastAsia" w:ascii="宋体" w:hAnsi="宋体" w:cs="宋体"/>
          <w:color w:val="auto"/>
          <w:sz w:val="28"/>
          <w:szCs w:val="28"/>
        </w:rPr>
        <w:t>）提供采购公告中符合供应商特定条件的有效资质证书复印件（投标供应商特定条件中有要求的必须提供），以及需要说明的其他资料。</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b/>
          <w:bCs/>
          <w:color w:val="auto"/>
          <w:kern w:val="0"/>
          <w:sz w:val="32"/>
          <w:szCs w:val="32"/>
          <w:lang w:val="zh-CN"/>
        </w:rPr>
      </w:pPr>
      <w:r>
        <w:rPr>
          <w:rFonts w:hint="eastAsia" w:ascii="宋体" w:hAnsi="宋体" w:cs="宋体"/>
          <w:b/>
          <w:bCs/>
          <w:color w:val="auto"/>
          <w:sz w:val="28"/>
          <w:szCs w:val="28"/>
        </w:rPr>
        <w:t>附件</w:t>
      </w:r>
      <w:r>
        <w:rPr>
          <w:rFonts w:ascii="宋体" w:hAnsi="宋体" w:cs="宋体"/>
          <w:b/>
          <w:bCs/>
          <w:color w:val="auto"/>
          <w:sz w:val="28"/>
          <w:szCs w:val="28"/>
        </w:rPr>
        <w:t xml:space="preserve">2                  </w:t>
      </w:r>
      <w:r>
        <w:rPr>
          <w:rFonts w:hint="eastAsia" w:ascii="宋体" w:hAnsi="宋体" w:cs="宋体"/>
          <w:b/>
          <w:bCs/>
          <w:color w:val="auto"/>
          <w:kern w:val="0"/>
          <w:sz w:val="32"/>
          <w:szCs w:val="32"/>
          <w:lang w:val="zh-CN"/>
        </w:rPr>
        <w:t>投标声明书</w:t>
      </w:r>
    </w:p>
    <w:p>
      <w:pPr>
        <w:spacing w:line="360" w:lineRule="auto"/>
        <w:rPr>
          <w:rFonts w:ascii="宋体"/>
          <w:color w:val="auto"/>
          <w:sz w:val="24"/>
          <w:szCs w:val="24"/>
        </w:rPr>
      </w:pPr>
      <w:r>
        <w:rPr>
          <w:rFonts w:hint="eastAsia" w:ascii="宋体" w:hAnsi="宋体" w:cs="宋体"/>
          <w:color w:val="auto"/>
          <w:sz w:val="24"/>
          <w:szCs w:val="24"/>
          <w:u w:val="single"/>
        </w:rPr>
        <w:t>浙江五石工程咨询有限公司</w:t>
      </w:r>
      <w:r>
        <w:rPr>
          <w:rFonts w:hint="eastAsia" w:ascii="宋体" w:hAnsi="宋体" w:cs="宋体"/>
          <w:color w:val="auto"/>
          <w:sz w:val="24"/>
          <w:szCs w:val="24"/>
        </w:rPr>
        <w:t>（采购代理机构名称）：</w:t>
      </w:r>
    </w:p>
    <w:p>
      <w:pPr>
        <w:spacing w:line="360" w:lineRule="auto"/>
        <w:ind w:firstLine="480" w:firstLineChars="200"/>
        <w:rPr>
          <w:rFonts w:ascii="宋体"/>
          <w:color w:val="auto"/>
          <w:sz w:val="24"/>
          <w:szCs w:val="24"/>
        </w:rPr>
      </w:pPr>
      <w:r>
        <w:rPr>
          <w:rFonts w:hint="eastAsia" w:ascii="宋体" w:hAnsi="宋体" w:cs="宋体"/>
          <w:color w:val="auto"/>
          <w:sz w:val="24"/>
          <w:szCs w:val="24"/>
          <w:u w:val="single"/>
        </w:rPr>
        <w:t>（投标人名称）</w:t>
      </w:r>
      <w:r>
        <w:rPr>
          <w:rFonts w:hint="eastAsia" w:ascii="宋体" w:hAnsi="宋体" w:cs="宋体"/>
          <w:color w:val="auto"/>
          <w:sz w:val="24"/>
          <w:szCs w:val="24"/>
        </w:rPr>
        <w:t>系中华人民共和国合法企业，经营地址。</w:t>
      </w:r>
    </w:p>
    <w:p>
      <w:pPr>
        <w:spacing w:line="360" w:lineRule="auto"/>
        <w:ind w:firstLine="480" w:firstLineChars="200"/>
        <w:rPr>
          <w:rFonts w:ascii="宋体"/>
          <w:color w:val="auto"/>
          <w:sz w:val="24"/>
          <w:szCs w:val="24"/>
        </w:rPr>
      </w:pPr>
      <w:r>
        <w:rPr>
          <w:rFonts w:hint="eastAsia" w:ascii="宋体" w:hAnsi="宋体" w:cs="宋体"/>
          <w:color w:val="auto"/>
          <w:sz w:val="24"/>
          <w:szCs w:val="24"/>
        </w:rPr>
        <w:t>我（</w:t>
      </w:r>
      <w:r>
        <w:rPr>
          <w:rFonts w:ascii="宋体" w:hAnsi="宋体" w:cs="宋体"/>
          <w:color w:val="auto"/>
          <w:sz w:val="24"/>
          <w:szCs w:val="24"/>
          <w:u w:val="single"/>
        </w:rPr>
        <w:t xml:space="preserve"> </w:t>
      </w:r>
      <w:r>
        <w:rPr>
          <w:rFonts w:hint="eastAsia" w:ascii="宋体" w:hAnsi="宋体" w:cs="宋体"/>
          <w:color w:val="auto"/>
          <w:sz w:val="24"/>
          <w:szCs w:val="24"/>
          <w:u w:val="single"/>
        </w:rPr>
        <w:t>姓名</w:t>
      </w:r>
      <w:r>
        <w:rPr>
          <w:rFonts w:ascii="宋体" w:hAnsi="宋体" w:cs="宋体"/>
          <w:color w:val="auto"/>
          <w:sz w:val="24"/>
          <w:szCs w:val="24"/>
          <w:u w:val="single"/>
        </w:rPr>
        <w:t xml:space="preserve"> </w:t>
      </w:r>
      <w:r>
        <w:rPr>
          <w:rFonts w:hint="eastAsia" w:ascii="宋体" w:hAnsi="宋体" w:cs="宋体"/>
          <w:color w:val="auto"/>
          <w:sz w:val="24"/>
          <w:szCs w:val="24"/>
        </w:rPr>
        <w:t>）系（</w:t>
      </w:r>
      <w:r>
        <w:rPr>
          <w:rFonts w:ascii="宋体" w:hAnsi="宋体" w:cs="宋体"/>
          <w:color w:val="auto"/>
          <w:sz w:val="24"/>
          <w:szCs w:val="24"/>
          <w:u w:val="single"/>
        </w:rPr>
        <w:t xml:space="preserve"> </w:t>
      </w:r>
      <w:r>
        <w:rPr>
          <w:rFonts w:hint="eastAsia" w:ascii="宋体" w:hAnsi="宋体" w:cs="宋体"/>
          <w:color w:val="auto"/>
          <w:sz w:val="24"/>
          <w:szCs w:val="24"/>
          <w:u w:val="single"/>
        </w:rPr>
        <w:t>投标人名称</w:t>
      </w:r>
      <w:r>
        <w:rPr>
          <w:rFonts w:ascii="宋体" w:hAnsi="宋体" w:cs="宋体"/>
          <w:color w:val="auto"/>
          <w:sz w:val="24"/>
          <w:szCs w:val="24"/>
          <w:u w:val="single"/>
        </w:rPr>
        <w:t xml:space="preserve"> </w:t>
      </w:r>
      <w:r>
        <w:rPr>
          <w:rFonts w:hint="eastAsia" w:ascii="宋体" w:hAnsi="宋体" w:cs="宋体"/>
          <w:color w:val="auto"/>
          <w:sz w:val="24"/>
          <w:szCs w:val="24"/>
        </w:rPr>
        <w:t>）的法定代表人，我公司自愿参加贵方组织的（</w:t>
      </w:r>
      <w:r>
        <w:rPr>
          <w:rFonts w:ascii="宋体" w:hAnsi="宋体" w:cs="宋体"/>
          <w:color w:val="auto"/>
          <w:sz w:val="24"/>
          <w:szCs w:val="24"/>
          <w:u w:val="single"/>
        </w:rPr>
        <w:t xml:space="preserve"> </w:t>
      </w:r>
      <w:r>
        <w:rPr>
          <w:rFonts w:hint="eastAsia" w:ascii="宋体" w:hAnsi="宋体" w:cs="宋体"/>
          <w:color w:val="auto"/>
          <w:sz w:val="24"/>
          <w:szCs w:val="24"/>
          <w:u w:val="single"/>
        </w:rPr>
        <w:t>台州市路桥区垃圾填埋场渗滤液处理运管服务项目</w:t>
      </w:r>
      <w:r>
        <w:rPr>
          <w:rFonts w:ascii="宋体" w:hAnsi="宋体" w:cs="宋体"/>
          <w:color w:val="auto"/>
          <w:sz w:val="24"/>
          <w:szCs w:val="24"/>
          <w:u w:val="single"/>
        </w:rPr>
        <w:t xml:space="preserve"> </w:t>
      </w:r>
      <w:r>
        <w:rPr>
          <w:rFonts w:hint="eastAsia" w:ascii="宋体" w:hAnsi="宋体" w:cs="宋体"/>
          <w:color w:val="auto"/>
          <w:sz w:val="24"/>
          <w:szCs w:val="24"/>
        </w:rPr>
        <w:t>）（编号为</w:t>
      </w:r>
      <w:r>
        <w:rPr>
          <w:rFonts w:ascii="宋体" w:hAnsi="宋体" w:cs="宋体"/>
          <w:color w:val="auto"/>
          <w:sz w:val="24"/>
          <w:szCs w:val="24"/>
          <w:u w:val="single"/>
        </w:rPr>
        <w:t xml:space="preserve"> ZJWS2021-LQ127 </w:t>
      </w:r>
      <w:r>
        <w:rPr>
          <w:rFonts w:hint="eastAsia" w:ascii="宋体" w:hAnsi="宋体" w:cs="宋体"/>
          <w:color w:val="auto"/>
          <w:sz w:val="24"/>
          <w:szCs w:val="24"/>
        </w:rPr>
        <w:t>）的投标，为此，我公司就本次投标有关事项郑重声明如下：</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、我</w:t>
      </w:r>
      <w:r>
        <w:rPr>
          <w:rFonts w:hint="eastAsia" w:ascii="宋体" w:hAnsi="宋体" w:cs="宋体"/>
          <w:color w:val="auto"/>
          <w:sz w:val="24"/>
          <w:szCs w:val="24"/>
          <w:lang w:val="zh-CN"/>
        </w:rPr>
        <w:t>公司</w:t>
      </w:r>
      <w:r>
        <w:rPr>
          <w:rFonts w:hint="eastAsia" w:ascii="宋体" w:hAnsi="宋体" w:cs="宋体"/>
          <w:color w:val="auto"/>
          <w:sz w:val="24"/>
          <w:szCs w:val="24"/>
        </w:rPr>
        <w:t>不是采购人的附属机构；在获知本项目采购信息后，与采购人聘请的为此项目提供咨询服务的公司及其附属机构没有任何联系。</w:t>
      </w:r>
    </w:p>
    <w:p>
      <w:pPr>
        <w:spacing w:line="360" w:lineRule="auto"/>
        <w:ind w:firstLine="480" w:firstLineChars="200"/>
        <w:rPr>
          <w:rFonts w:ascii="宋体"/>
          <w:color w:val="auto"/>
          <w:sz w:val="24"/>
          <w:szCs w:val="24"/>
          <w:lang w:val="af-ZA"/>
        </w:rPr>
      </w:pPr>
      <w:r>
        <w:rPr>
          <w:rFonts w:ascii="宋体" w:hAnsi="宋体" w:cs="宋体"/>
          <w:color w:val="auto"/>
          <w:sz w:val="24"/>
          <w:szCs w:val="24"/>
        </w:rPr>
        <w:t>4</w:t>
      </w:r>
      <w:r>
        <w:rPr>
          <w:rFonts w:hint="eastAsia" w:ascii="宋体" w:hAnsi="宋体" w:cs="宋体"/>
          <w:color w:val="auto"/>
          <w:sz w:val="24"/>
          <w:szCs w:val="24"/>
        </w:rPr>
        <w:t>、我</w:t>
      </w:r>
      <w:r>
        <w:rPr>
          <w:rFonts w:hint="eastAsia" w:ascii="宋体" w:hAnsi="宋体" w:cs="宋体"/>
          <w:color w:val="auto"/>
          <w:sz w:val="24"/>
          <w:szCs w:val="24"/>
          <w:lang w:val="zh-CN"/>
        </w:rPr>
        <w:t>公司</w:t>
      </w:r>
      <w:r>
        <w:rPr>
          <w:rFonts w:hint="eastAsia" w:ascii="宋体" w:hAnsi="宋体" w:cs="宋体"/>
          <w:color w:val="auto"/>
          <w:sz w:val="24"/>
          <w:szCs w:val="24"/>
        </w:rPr>
        <w:t>保证，</w:t>
      </w:r>
      <w:r>
        <w:rPr>
          <w:rFonts w:hint="eastAsia" w:ascii="宋体" w:hAnsi="宋体" w:cs="宋体"/>
          <w:color w:val="auto"/>
          <w:sz w:val="24"/>
          <w:szCs w:val="24"/>
          <w:lang w:val="af-ZA"/>
        </w:rPr>
        <w:t>采购人在中华人民共和国境内使用</w:t>
      </w:r>
      <w:r>
        <w:rPr>
          <w:rFonts w:hint="eastAsia" w:ascii="宋体" w:hAnsi="宋体" w:cs="宋体"/>
          <w:color w:val="auto"/>
          <w:sz w:val="24"/>
          <w:szCs w:val="24"/>
        </w:rPr>
        <w:t>我</w:t>
      </w:r>
      <w:r>
        <w:rPr>
          <w:rFonts w:hint="eastAsia" w:ascii="宋体" w:hAnsi="宋体" w:cs="宋体"/>
          <w:color w:val="auto"/>
          <w:sz w:val="24"/>
          <w:szCs w:val="24"/>
          <w:lang w:val="zh-CN"/>
        </w:rPr>
        <w:t>公司</w:t>
      </w:r>
      <w:r>
        <w:rPr>
          <w:rFonts w:hint="eastAsia" w:ascii="宋体" w:hAnsi="宋体" w:cs="宋体"/>
          <w:color w:val="auto"/>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80" w:firstLineChars="200"/>
        <w:rPr>
          <w:rFonts w:ascii="宋体"/>
          <w:color w:val="auto"/>
          <w:sz w:val="24"/>
          <w:szCs w:val="24"/>
        </w:rPr>
      </w:pPr>
      <w:r>
        <w:rPr>
          <w:rFonts w:ascii="宋体" w:hAnsi="宋体" w:cs="宋体"/>
          <w:color w:val="auto"/>
          <w:sz w:val="24"/>
          <w:szCs w:val="24"/>
          <w:lang w:val="af-ZA"/>
        </w:rPr>
        <w:t>5</w:t>
      </w:r>
      <w:r>
        <w:rPr>
          <w:rFonts w:hint="eastAsia" w:ascii="宋体" w:hAnsi="宋体" w:cs="宋体"/>
          <w:color w:val="auto"/>
          <w:sz w:val="24"/>
          <w:szCs w:val="24"/>
          <w:lang w:val="af-ZA"/>
        </w:rPr>
        <w:t>、我</w:t>
      </w:r>
      <w:r>
        <w:rPr>
          <w:rFonts w:hint="eastAsia" w:ascii="宋体" w:hAnsi="宋体" w:cs="宋体"/>
          <w:color w:val="auto"/>
          <w:sz w:val="24"/>
          <w:szCs w:val="24"/>
          <w:lang w:val="zh-CN"/>
        </w:rPr>
        <w:t>公司</w:t>
      </w:r>
      <w:r>
        <w:rPr>
          <w:rFonts w:hint="eastAsia" w:ascii="宋体" w:hAnsi="宋体" w:cs="宋体"/>
          <w:color w:val="auto"/>
          <w:sz w:val="24"/>
          <w:szCs w:val="24"/>
          <w:lang w:val="af-ZA"/>
        </w:rPr>
        <w:t>严格履行政府采购合同，不降低合同约定的产品质量和服务，不擅自变更、中止、终止合同，或拒绝履行合同义务；</w:t>
      </w:r>
    </w:p>
    <w:p>
      <w:pPr>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、以上事项如有虚假或隐瞒，我</w:t>
      </w:r>
      <w:r>
        <w:rPr>
          <w:rFonts w:hint="eastAsia" w:ascii="宋体" w:hAnsi="宋体" w:cs="宋体"/>
          <w:color w:val="auto"/>
          <w:sz w:val="24"/>
          <w:szCs w:val="24"/>
          <w:lang w:val="zh-CN"/>
        </w:rPr>
        <w:t>公司</w:t>
      </w:r>
      <w:r>
        <w:rPr>
          <w:rFonts w:hint="eastAsia" w:ascii="宋体" w:hAnsi="宋体" w:cs="宋体"/>
          <w:color w:val="auto"/>
          <w:sz w:val="24"/>
          <w:szCs w:val="24"/>
        </w:rPr>
        <w:t>愿意承担一切后果，并不再寻求任何旨在减轻或免除法律责任的辩解。</w:t>
      </w:r>
    </w:p>
    <w:p>
      <w:pPr>
        <w:adjustRightInd w:val="0"/>
        <w:snapToGrid w:val="0"/>
        <w:spacing w:line="360" w:lineRule="auto"/>
        <w:ind w:firstLine="480"/>
        <w:rPr>
          <w:rFonts w:ascii="宋体"/>
          <w:color w:val="auto"/>
          <w:kern w:val="0"/>
          <w:sz w:val="24"/>
          <w:szCs w:val="24"/>
        </w:rPr>
      </w:pPr>
    </w:p>
    <w:p>
      <w:pPr>
        <w:spacing w:line="360" w:lineRule="auto"/>
        <w:ind w:firstLine="4560" w:firstLineChars="1900"/>
        <w:rPr>
          <w:rFonts w:ascii="宋体"/>
          <w:color w:val="auto"/>
          <w:sz w:val="24"/>
          <w:szCs w:val="24"/>
          <w:lang w:val="zh-CN"/>
        </w:rPr>
      </w:pPr>
      <w:r>
        <w:rPr>
          <w:rFonts w:hint="eastAsia" w:ascii="宋体" w:hAnsi="宋体" w:cs="宋体"/>
          <w:color w:val="auto"/>
          <w:sz w:val="24"/>
          <w:szCs w:val="24"/>
          <w:lang w:val="zh-CN"/>
        </w:rPr>
        <w:t>投标人名称</w:t>
      </w:r>
      <w:r>
        <w:rPr>
          <w:rFonts w:ascii="宋体" w:hAnsi="宋体" w:cs="宋体"/>
          <w:color w:val="auto"/>
          <w:sz w:val="24"/>
          <w:szCs w:val="24"/>
          <w:lang w:val="zh-CN"/>
        </w:rPr>
        <w:t>(</w:t>
      </w:r>
      <w:r>
        <w:rPr>
          <w:rFonts w:hint="eastAsia" w:ascii="宋体" w:hAnsi="宋体" w:cs="宋体"/>
          <w:color w:val="auto"/>
          <w:sz w:val="24"/>
          <w:szCs w:val="24"/>
          <w:lang w:val="zh-CN"/>
        </w:rPr>
        <w:t>公章</w:t>
      </w:r>
      <w:r>
        <w:rPr>
          <w:rFonts w:ascii="宋体" w:hAnsi="宋体" w:cs="宋体"/>
          <w:color w:val="auto"/>
          <w:sz w:val="24"/>
          <w:szCs w:val="24"/>
          <w:lang w:val="zh-CN"/>
        </w:rPr>
        <w:t>)</w:t>
      </w:r>
      <w:r>
        <w:rPr>
          <w:rFonts w:hint="eastAsia" w:ascii="宋体" w:hAnsi="宋体" w:cs="宋体"/>
          <w:color w:val="auto"/>
          <w:sz w:val="24"/>
          <w:szCs w:val="24"/>
          <w:lang w:val="zh-CN"/>
        </w:rPr>
        <w:t>：</w:t>
      </w:r>
    </w:p>
    <w:p>
      <w:pPr>
        <w:spacing w:line="360" w:lineRule="auto"/>
        <w:ind w:firstLine="4560" w:firstLineChars="1900"/>
        <w:rPr>
          <w:rFonts w:ascii="宋体"/>
          <w:color w:val="auto"/>
          <w:sz w:val="24"/>
          <w:szCs w:val="24"/>
          <w:lang w:val="zh-CN"/>
        </w:rPr>
      </w:pPr>
      <w:r>
        <w:rPr>
          <w:rFonts w:hint="eastAsia" w:ascii="宋体" w:hAnsi="宋体" w:cs="宋体"/>
          <w:color w:val="auto"/>
          <w:sz w:val="24"/>
          <w:szCs w:val="24"/>
          <w:lang w:val="zh-CN"/>
        </w:rPr>
        <w:t>法定代表人或授权委托人</w:t>
      </w:r>
      <w:r>
        <w:rPr>
          <w:rFonts w:ascii="宋体" w:hAnsi="宋体" w:cs="宋体"/>
          <w:color w:val="auto"/>
          <w:sz w:val="24"/>
          <w:szCs w:val="24"/>
          <w:lang w:val="zh-CN"/>
        </w:rPr>
        <w:t>(</w:t>
      </w:r>
      <w:r>
        <w:rPr>
          <w:rFonts w:hint="eastAsia" w:ascii="宋体" w:hAnsi="宋体" w:cs="宋体"/>
          <w:color w:val="auto"/>
          <w:sz w:val="24"/>
          <w:szCs w:val="24"/>
          <w:lang w:val="zh-CN"/>
        </w:rPr>
        <w:t>签字</w:t>
      </w:r>
      <w:r>
        <w:rPr>
          <w:rFonts w:ascii="宋体" w:hAnsi="宋体" w:cs="宋体"/>
          <w:color w:val="auto"/>
          <w:sz w:val="24"/>
          <w:szCs w:val="24"/>
          <w:lang w:val="zh-CN"/>
        </w:rPr>
        <w:t>)</w:t>
      </w:r>
      <w:r>
        <w:rPr>
          <w:rFonts w:hint="eastAsia" w:ascii="宋体" w:hAnsi="宋体" w:cs="宋体"/>
          <w:color w:val="auto"/>
          <w:sz w:val="24"/>
          <w:szCs w:val="24"/>
          <w:lang w:val="zh-CN"/>
        </w:rPr>
        <w:t>：</w:t>
      </w:r>
    </w:p>
    <w:p>
      <w:pPr>
        <w:spacing w:line="360" w:lineRule="auto"/>
        <w:ind w:firstLine="4560" w:firstLineChars="1900"/>
        <w:rPr>
          <w:rFonts w:ascii="宋体"/>
          <w:color w:val="auto"/>
          <w:sz w:val="24"/>
          <w:szCs w:val="24"/>
          <w:lang w:val="zh-CN"/>
        </w:rPr>
      </w:pPr>
      <w:r>
        <w:rPr>
          <w:rFonts w:hint="eastAsia" w:ascii="宋体" w:hAnsi="宋体" w:cs="宋体"/>
          <w:color w:val="auto"/>
          <w:sz w:val="24"/>
          <w:szCs w:val="24"/>
          <w:lang w:val="zh-CN"/>
        </w:rPr>
        <w:t>日期：</w:t>
      </w:r>
      <w:r>
        <w:rPr>
          <w:rFonts w:ascii="宋体" w:hAnsi="宋体" w:cs="宋体"/>
          <w:color w:val="auto"/>
          <w:sz w:val="24"/>
          <w:szCs w:val="24"/>
          <w:u w:val="single"/>
        </w:rPr>
        <w:t xml:space="preserve">      </w:t>
      </w:r>
      <w:r>
        <w:rPr>
          <w:rFonts w:hint="eastAsia" w:ascii="宋体" w:hAnsi="宋体" w:cs="宋体"/>
          <w:color w:val="auto"/>
          <w:sz w:val="24"/>
          <w:szCs w:val="24"/>
          <w:lang w:val="zh-CN"/>
        </w:rPr>
        <w:t>年</w:t>
      </w:r>
      <w:r>
        <w:rPr>
          <w:rFonts w:ascii="宋体" w:hAnsi="宋体" w:cs="宋体"/>
          <w:color w:val="auto"/>
          <w:sz w:val="24"/>
          <w:szCs w:val="24"/>
          <w:u w:val="single"/>
        </w:rPr>
        <w:t xml:space="preserve">    </w:t>
      </w:r>
      <w:r>
        <w:rPr>
          <w:rFonts w:hint="eastAsia" w:ascii="宋体" w:hAnsi="宋体" w:cs="宋体"/>
          <w:color w:val="auto"/>
          <w:sz w:val="24"/>
          <w:szCs w:val="24"/>
          <w:lang w:val="zh-CN"/>
        </w:rPr>
        <w:t>月</w:t>
      </w:r>
      <w:r>
        <w:rPr>
          <w:rFonts w:ascii="宋体" w:hAnsi="宋体" w:cs="宋体"/>
          <w:color w:val="auto"/>
          <w:sz w:val="24"/>
          <w:szCs w:val="24"/>
          <w:u w:val="single"/>
        </w:rPr>
        <w:t xml:space="preserve">    </w:t>
      </w:r>
      <w:r>
        <w:rPr>
          <w:rFonts w:hint="eastAsia" w:ascii="宋体" w:hAnsi="宋体" w:cs="宋体"/>
          <w:color w:val="auto"/>
          <w:sz w:val="24"/>
          <w:szCs w:val="24"/>
          <w:lang w:val="zh-CN"/>
        </w:rPr>
        <w:t>日</w:t>
      </w:r>
    </w:p>
    <w:p>
      <w:pPr>
        <w:adjustRightInd w:val="0"/>
        <w:snapToGrid w:val="0"/>
        <w:spacing w:line="360" w:lineRule="auto"/>
        <w:ind w:firstLine="480"/>
        <w:rPr>
          <w:rFonts w:ascii="宋体"/>
          <w:color w:val="auto"/>
          <w:kern w:val="0"/>
          <w:sz w:val="24"/>
          <w:szCs w:val="24"/>
        </w:rPr>
      </w:pPr>
    </w:p>
    <w:p>
      <w:pPr>
        <w:spacing w:line="360" w:lineRule="auto"/>
        <w:rPr>
          <w:rFonts w:ascii="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 xml:space="preserve">3                   </w:t>
      </w:r>
      <w:r>
        <w:rPr>
          <w:rFonts w:hint="eastAsia" w:ascii="宋体" w:hAnsi="宋体" w:cs="宋体"/>
          <w:b/>
          <w:bCs/>
          <w:color w:val="auto"/>
          <w:sz w:val="28"/>
          <w:szCs w:val="28"/>
        </w:rPr>
        <w:t>授权委托书</w:t>
      </w:r>
    </w:p>
    <w:p>
      <w:pPr>
        <w:spacing w:line="360" w:lineRule="auto"/>
        <w:jc w:val="left"/>
        <w:rPr>
          <w:rFonts w:ascii="宋体"/>
          <w:color w:val="auto"/>
          <w:sz w:val="24"/>
          <w:szCs w:val="24"/>
        </w:rPr>
      </w:pPr>
      <w:r>
        <w:rPr>
          <w:rFonts w:hint="eastAsia" w:ascii="宋体" w:hAnsi="宋体" w:cs="宋体"/>
          <w:color w:val="auto"/>
          <w:sz w:val="24"/>
          <w:szCs w:val="24"/>
          <w:u w:val="single"/>
        </w:rPr>
        <w:t>浙江五石工程咨询有限公司</w:t>
      </w:r>
      <w:r>
        <w:rPr>
          <w:rFonts w:hint="eastAsia" w:ascii="宋体" w:hAnsi="宋体" w:cs="宋体"/>
          <w:color w:val="auto"/>
          <w:sz w:val="24"/>
          <w:szCs w:val="24"/>
        </w:rPr>
        <w:t>（采购代理机构名称）：</w:t>
      </w:r>
    </w:p>
    <w:p>
      <w:pPr>
        <w:spacing w:line="360" w:lineRule="auto"/>
        <w:ind w:firstLine="480" w:firstLineChars="200"/>
        <w:rPr>
          <w:rFonts w:ascii="宋体"/>
          <w:color w:val="auto"/>
          <w:sz w:val="24"/>
          <w:szCs w:val="24"/>
        </w:rPr>
      </w:pPr>
      <w:r>
        <w:rPr>
          <w:rFonts w:hint="eastAsia" w:ascii="宋体" w:hAnsi="宋体" w:cs="宋体"/>
          <w:color w:val="auto"/>
          <w:sz w:val="24"/>
          <w:szCs w:val="24"/>
          <w:u w:val="single"/>
        </w:rPr>
        <w:t>（投标人全称）</w:t>
      </w:r>
      <w:r>
        <w:rPr>
          <w:rFonts w:hint="eastAsia" w:ascii="宋体" w:hAnsi="宋体" w:cs="宋体"/>
          <w:color w:val="auto"/>
          <w:sz w:val="24"/>
          <w:szCs w:val="24"/>
        </w:rPr>
        <w:t>法定代表人（或营业执照中单位负责人）</w:t>
      </w:r>
      <w:r>
        <w:rPr>
          <w:rFonts w:ascii="宋体"/>
          <w:color w:val="auto"/>
          <w:sz w:val="24"/>
          <w:szCs w:val="24"/>
          <w:u w:val="single"/>
        </w:rPr>
        <w:tab/>
      </w:r>
      <w:r>
        <w:rPr>
          <w:rFonts w:hint="eastAsia" w:ascii="宋体" w:hAnsi="宋体" w:cs="宋体"/>
          <w:color w:val="auto"/>
          <w:sz w:val="24"/>
          <w:szCs w:val="24"/>
          <w:u w:val="single"/>
        </w:rPr>
        <w:t>（法定代表人或营业执照中单位负责人姓名）</w:t>
      </w:r>
      <w:r>
        <w:rPr>
          <w:rFonts w:ascii="宋体" w:hAnsi="宋体" w:cs="宋体"/>
          <w:color w:val="auto"/>
          <w:sz w:val="24"/>
          <w:szCs w:val="24"/>
          <w:u w:val="single"/>
        </w:rPr>
        <w:t xml:space="preserve"> </w:t>
      </w:r>
      <w:r>
        <w:rPr>
          <w:rFonts w:hint="eastAsia" w:ascii="宋体" w:hAnsi="宋体" w:cs="宋体"/>
          <w:color w:val="auto"/>
          <w:sz w:val="24"/>
          <w:szCs w:val="24"/>
        </w:rPr>
        <w:t>授权</w:t>
      </w:r>
      <w:r>
        <w:rPr>
          <w:rFonts w:ascii="宋体" w:hAnsi="宋体" w:cs="宋体"/>
          <w:color w:val="auto"/>
          <w:sz w:val="24"/>
          <w:szCs w:val="24"/>
          <w:u w:val="single"/>
        </w:rPr>
        <w:t xml:space="preserve"> </w:t>
      </w:r>
      <w:r>
        <w:rPr>
          <w:rFonts w:hint="eastAsia" w:ascii="宋体" w:hAnsi="宋体" w:cs="宋体"/>
          <w:color w:val="auto"/>
          <w:sz w:val="24"/>
          <w:szCs w:val="24"/>
          <w:u w:val="single"/>
        </w:rPr>
        <w:t>（授权委托代理人姓名）</w:t>
      </w:r>
      <w:r>
        <w:rPr>
          <w:rFonts w:ascii="宋体" w:hAnsi="宋体" w:cs="宋体"/>
          <w:color w:val="auto"/>
          <w:sz w:val="24"/>
          <w:szCs w:val="24"/>
          <w:u w:val="single"/>
        </w:rPr>
        <w:t xml:space="preserve"> </w:t>
      </w:r>
      <w:r>
        <w:rPr>
          <w:rFonts w:hint="eastAsia" w:ascii="宋体" w:hAnsi="宋体" w:cs="宋体"/>
          <w:color w:val="auto"/>
          <w:sz w:val="24"/>
          <w:szCs w:val="24"/>
        </w:rPr>
        <w:t>为授权委托代理人，参加贵单位组织的</w:t>
      </w:r>
      <w:r>
        <w:rPr>
          <w:rFonts w:ascii="宋体" w:hAnsi="宋体" w:cs="宋体"/>
          <w:color w:val="auto"/>
          <w:sz w:val="24"/>
          <w:szCs w:val="24"/>
          <w:u w:val="single"/>
        </w:rPr>
        <w:t xml:space="preserve"> </w:t>
      </w:r>
      <w:r>
        <w:rPr>
          <w:rFonts w:hint="eastAsia" w:ascii="宋体" w:hAnsi="宋体" w:cs="宋体"/>
          <w:color w:val="auto"/>
          <w:sz w:val="24"/>
          <w:szCs w:val="24"/>
          <w:u w:val="single"/>
        </w:rPr>
        <w:t>台州市路桥区垃圾填埋场渗滤液处理运管服务项目</w:t>
      </w:r>
      <w:r>
        <w:rPr>
          <w:rFonts w:ascii="宋体" w:hAnsi="宋体" w:cs="宋体"/>
          <w:color w:val="auto"/>
          <w:sz w:val="24"/>
          <w:szCs w:val="24"/>
          <w:u w:val="single"/>
        </w:rPr>
        <w:t xml:space="preserve"> </w:t>
      </w:r>
      <w:r>
        <w:rPr>
          <w:rFonts w:hint="eastAsia" w:ascii="宋体" w:hAnsi="宋体" w:cs="宋体"/>
          <w:color w:val="auto"/>
          <w:sz w:val="24"/>
          <w:szCs w:val="24"/>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color w:val="auto"/>
          <w:sz w:val="24"/>
          <w:szCs w:val="24"/>
        </w:rPr>
      </w:pPr>
      <w:r>
        <w:rPr>
          <w:rFonts w:hint="eastAsia" w:ascii="宋体" w:hAnsi="宋体" w:cs="宋体"/>
          <w:color w:val="auto"/>
          <w:sz w:val="24"/>
          <w:szCs w:val="24"/>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color w:val="auto"/>
          <w:sz w:val="24"/>
          <w:szCs w:val="24"/>
        </w:rPr>
      </w:pPr>
      <w:r>
        <w:rPr>
          <w:rFonts w:hint="eastAsia" w:ascii="宋体" w:hAnsi="宋体" w:cs="宋体"/>
          <w:color w:val="auto"/>
          <w:sz w:val="24"/>
          <w:szCs w:val="24"/>
        </w:rPr>
        <w:t>授权委托代理人无转委托权，特此委托。</w:t>
      </w: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r>
        <w:rPr>
          <w:rFonts w:hint="eastAsia" w:ascii="宋体" w:hAnsi="宋体" w:cs="宋体"/>
          <w:color w:val="auto"/>
          <w:sz w:val="24"/>
          <w:szCs w:val="24"/>
        </w:rPr>
        <w:t>法定代表人签字或盖章：</w:t>
      </w: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r>
        <w:rPr>
          <w:rFonts w:hint="eastAsia" w:ascii="宋体" w:hAnsi="宋体" w:cs="宋体"/>
          <w:color w:val="auto"/>
          <w:sz w:val="24"/>
          <w:szCs w:val="24"/>
        </w:rPr>
        <w:t>投标人全称（公章）：</w:t>
      </w:r>
      <w:r>
        <w:rPr>
          <w:rFonts w:ascii="宋体" w:hAnsi="宋体" w:cs="宋体"/>
          <w:color w:val="auto"/>
          <w:sz w:val="24"/>
          <w:szCs w:val="24"/>
        </w:rPr>
        <w:t xml:space="preserve">                      </w:t>
      </w:r>
      <w:r>
        <w:rPr>
          <w:rFonts w:hint="eastAsia" w:ascii="宋体" w:hAnsi="宋体" w:cs="宋体"/>
          <w:color w:val="auto"/>
          <w:sz w:val="24"/>
          <w:szCs w:val="24"/>
          <w:lang w:val="zh-CN"/>
        </w:rPr>
        <w:t>日期：</w:t>
      </w:r>
      <w:r>
        <w:rPr>
          <w:rFonts w:ascii="宋体" w:hAnsi="宋体" w:cs="宋体"/>
          <w:color w:val="auto"/>
          <w:sz w:val="24"/>
          <w:szCs w:val="24"/>
          <w:u w:val="single"/>
        </w:rPr>
        <w:t xml:space="preserve">      </w:t>
      </w:r>
      <w:r>
        <w:rPr>
          <w:rFonts w:hint="eastAsia" w:ascii="宋体" w:hAnsi="宋体" w:cs="宋体"/>
          <w:color w:val="auto"/>
          <w:sz w:val="24"/>
          <w:szCs w:val="24"/>
          <w:lang w:val="zh-CN"/>
        </w:rPr>
        <w:t>年</w:t>
      </w:r>
      <w:r>
        <w:rPr>
          <w:rFonts w:ascii="宋体" w:hAnsi="宋体" w:cs="宋体"/>
          <w:color w:val="auto"/>
          <w:sz w:val="24"/>
          <w:szCs w:val="24"/>
          <w:u w:val="single"/>
        </w:rPr>
        <w:t xml:space="preserve">    </w:t>
      </w:r>
      <w:r>
        <w:rPr>
          <w:rFonts w:hint="eastAsia" w:ascii="宋体" w:hAnsi="宋体" w:cs="宋体"/>
          <w:color w:val="auto"/>
          <w:sz w:val="24"/>
          <w:szCs w:val="24"/>
          <w:lang w:val="zh-CN"/>
        </w:rPr>
        <w:t>月</w:t>
      </w:r>
      <w:r>
        <w:rPr>
          <w:rFonts w:ascii="宋体" w:hAnsi="宋体" w:cs="宋体"/>
          <w:color w:val="auto"/>
          <w:sz w:val="24"/>
          <w:szCs w:val="24"/>
          <w:u w:val="single"/>
        </w:rPr>
        <w:t xml:space="preserve">    </w:t>
      </w:r>
      <w:r>
        <w:rPr>
          <w:rFonts w:hint="eastAsia" w:ascii="宋体" w:hAnsi="宋体" w:cs="宋体"/>
          <w:color w:val="auto"/>
          <w:sz w:val="24"/>
          <w:szCs w:val="24"/>
          <w:lang w:val="zh-CN"/>
        </w:rPr>
        <w:t>日</w:t>
      </w:r>
    </w:p>
    <w:p>
      <w:pPr>
        <w:spacing w:line="360" w:lineRule="auto"/>
        <w:ind w:firstLine="480" w:firstLineChars="200"/>
        <w:rPr>
          <w:rFonts w:ascii="宋体"/>
          <w:color w:val="auto"/>
          <w:sz w:val="24"/>
          <w:szCs w:val="24"/>
        </w:rPr>
      </w:pPr>
    </w:p>
    <w:p>
      <w:pPr>
        <w:spacing w:line="360" w:lineRule="auto"/>
        <w:rPr>
          <w:rFonts w:ascii="宋体"/>
          <w:b/>
          <w:bCs/>
          <w:color w:val="auto"/>
          <w:sz w:val="24"/>
          <w:szCs w:val="24"/>
        </w:rPr>
      </w:pPr>
      <w:r>
        <w:rPr>
          <w:rFonts w:hint="eastAsia" w:ascii="宋体" w:hAnsi="宋体" w:cs="宋体"/>
          <w:b/>
          <w:bCs/>
          <w:color w:val="auto"/>
          <w:sz w:val="24"/>
          <w:szCs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bCs/>
                <w:color w:val="auto"/>
                <w:sz w:val="24"/>
                <w:szCs w:val="24"/>
              </w:rPr>
            </w:pPr>
            <w:r>
              <w:rPr>
                <w:rFonts w:hint="eastAsia" w:ascii="宋体" w:cs="宋体"/>
                <w:b/>
                <w:bCs/>
                <w:color w:val="auto"/>
                <w:sz w:val="24"/>
                <w:szCs w:val="24"/>
              </w:rPr>
              <w:t>法定代表身份证复印件粘帖处</w:t>
            </w:r>
          </w:p>
        </w:tc>
      </w:tr>
    </w:tbl>
    <w:p>
      <w:pPr>
        <w:spacing w:line="360" w:lineRule="auto"/>
        <w:rPr>
          <w:rFonts w:ascii="宋体"/>
          <w:color w:val="auto"/>
          <w:sz w:val="24"/>
          <w:szCs w:val="24"/>
        </w:rPr>
      </w:pPr>
      <w:r>
        <w:rPr>
          <w:rFonts w:hint="eastAsia" w:ascii="宋体" w:hAnsi="宋体" w:cs="宋体"/>
          <w:color w:val="auto"/>
          <w:sz w:val="24"/>
          <w:szCs w:val="24"/>
        </w:rPr>
        <w:t>法定代表人姓名：</w:t>
      </w:r>
    </w:p>
    <w:p>
      <w:pPr>
        <w:spacing w:line="360" w:lineRule="auto"/>
        <w:rPr>
          <w:rFonts w:ascii="宋体"/>
          <w:color w:val="auto"/>
          <w:sz w:val="24"/>
          <w:szCs w:val="24"/>
        </w:rPr>
      </w:pPr>
      <w:r>
        <w:rPr>
          <w:rFonts w:hint="eastAsia" w:ascii="宋体" w:hAnsi="宋体" w:cs="宋体"/>
          <w:color w:val="auto"/>
          <w:sz w:val="24"/>
          <w:szCs w:val="24"/>
        </w:rPr>
        <w:t>传真：</w:t>
      </w:r>
    </w:p>
    <w:p>
      <w:pPr>
        <w:spacing w:line="360" w:lineRule="auto"/>
        <w:rPr>
          <w:rFonts w:ascii="宋体"/>
          <w:color w:val="auto"/>
          <w:sz w:val="24"/>
          <w:szCs w:val="24"/>
        </w:rPr>
      </w:pPr>
      <w:r>
        <w:rPr>
          <w:rFonts w:hint="eastAsia" w:ascii="宋体" w:hAnsi="宋体" w:cs="宋体"/>
          <w:color w:val="auto"/>
          <w:sz w:val="24"/>
          <w:szCs w:val="24"/>
        </w:rPr>
        <w:t>电话：</w:t>
      </w:r>
    </w:p>
    <w:p>
      <w:pPr>
        <w:spacing w:line="360" w:lineRule="auto"/>
        <w:rPr>
          <w:rFonts w:ascii="宋体"/>
          <w:color w:val="auto"/>
          <w:sz w:val="24"/>
          <w:szCs w:val="24"/>
        </w:rPr>
      </w:pPr>
      <w:r>
        <w:rPr>
          <w:rFonts w:hint="eastAsia" w:ascii="宋体" w:hAnsi="宋体" w:cs="宋体"/>
          <w:color w:val="auto"/>
          <w:sz w:val="24"/>
          <w:szCs w:val="24"/>
        </w:rPr>
        <w:t>详细通讯地址：</w:t>
      </w:r>
    </w:p>
    <w:p>
      <w:pPr>
        <w:spacing w:line="360" w:lineRule="auto"/>
        <w:rPr>
          <w:rFonts w:ascii="宋体"/>
          <w:color w:val="auto"/>
          <w:sz w:val="24"/>
          <w:szCs w:val="24"/>
        </w:rPr>
      </w:pPr>
      <w:r>
        <w:rPr>
          <w:rFonts w:hint="eastAsia" w:ascii="宋体" w:hAnsi="宋体" w:cs="宋体"/>
          <w:color w:val="auto"/>
          <w:sz w:val="24"/>
          <w:szCs w:val="24"/>
        </w:rPr>
        <w:t>邮政编码：</w:t>
      </w:r>
    </w:p>
    <w:p>
      <w:pPr>
        <w:spacing w:line="360" w:lineRule="auto"/>
        <w:rPr>
          <w:b/>
          <w:bCs/>
          <w:color w:val="auto"/>
          <w:sz w:val="24"/>
          <w:szCs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bCs/>
                <w:color w:val="auto"/>
                <w:sz w:val="24"/>
                <w:szCs w:val="24"/>
              </w:rPr>
            </w:pPr>
            <w:r>
              <w:rPr>
                <w:rFonts w:hint="eastAsia" w:ascii="宋体" w:cs="宋体"/>
                <w:b/>
                <w:bCs/>
                <w:color w:val="auto"/>
                <w:sz w:val="24"/>
                <w:szCs w:val="24"/>
              </w:rPr>
              <w:t>授权委托代理人身份证复印件粘帖处</w:t>
            </w:r>
          </w:p>
        </w:tc>
      </w:tr>
    </w:tbl>
    <w:p>
      <w:pPr>
        <w:spacing w:line="360" w:lineRule="auto"/>
        <w:rPr>
          <w:rFonts w:ascii="宋体"/>
          <w:color w:val="auto"/>
          <w:sz w:val="24"/>
          <w:szCs w:val="24"/>
        </w:rPr>
      </w:pPr>
      <w:r>
        <w:rPr>
          <w:rFonts w:hint="eastAsia" w:ascii="宋体" w:hAnsi="宋体" w:cs="宋体"/>
          <w:color w:val="auto"/>
          <w:sz w:val="24"/>
          <w:szCs w:val="24"/>
        </w:rPr>
        <w:t>授权委托代理人姓名：</w:t>
      </w:r>
    </w:p>
    <w:p>
      <w:pPr>
        <w:spacing w:line="360" w:lineRule="auto"/>
        <w:rPr>
          <w:rFonts w:ascii="宋体"/>
          <w:color w:val="auto"/>
          <w:sz w:val="24"/>
          <w:szCs w:val="24"/>
        </w:rPr>
      </w:pPr>
      <w:r>
        <w:rPr>
          <w:rFonts w:hint="eastAsia" w:ascii="宋体" w:hAnsi="宋体" w:cs="宋体"/>
          <w:color w:val="auto"/>
          <w:sz w:val="24"/>
          <w:szCs w:val="24"/>
        </w:rPr>
        <w:t>职务：</w:t>
      </w:r>
    </w:p>
    <w:p>
      <w:pPr>
        <w:spacing w:line="360" w:lineRule="auto"/>
        <w:rPr>
          <w:rFonts w:ascii="宋体"/>
          <w:color w:val="auto"/>
          <w:sz w:val="24"/>
          <w:szCs w:val="24"/>
        </w:rPr>
      </w:pPr>
      <w:r>
        <w:rPr>
          <w:rFonts w:hint="eastAsia" w:ascii="宋体" w:hAnsi="宋体" w:cs="宋体"/>
          <w:color w:val="auto"/>
          <w:sz w:val="24"/>
          <w:szCs w:val="24"/>
        </w:rPr>
        <w:t>传真：</w:t>
      </w:r>
    </w:p>
    <w:p>
      <w:pPr>
        <w:spacing w:line="360" w:lineRule="auto"/>
        <w:rPr>
          <w:rFonts w:ascii="宋体"/>
          <w:color w:val="auto"/>
          <w:sz w:val="24"/>
          <w:szCs w:val="24"/>
        </w:rPr>
      </w:pPr>
      <w:r>
        <w:rPr>
          <w:rFonts w:hint="eastAsia" w:ascii="宋体" w:hAnsi="宋体" w:cs="宋体"/>
          <w:color w:val="auto"/>
          <w:sz w:val="24"/>
          <w:szCs w:val="24"/>
        </w:rPr>
        <w:t>电话：</w:t>
      </w:r>
    </w:p>
    <w:p>
      <w:pPr>
        <w:spacing w:line="360" w:lineRule="auto"/>
        <w:rPr>
          <w:rFonts w:ascii="宋体"/>
          <w:color w:val="auto"/>
          <w:sz w:val="24"/>
          <w:szCs w:val="24"/>
        </w:rPr>
      </w:pPr>
      <w:r>
        <w:rPr>
          <w:rFonts w:hint="eastAsia" w:ascii="宋体" w:hAnsi="宋体" w:cs="宋体"/>
          <w:color w:val="auto"/>
          <w:sz w:val="24"/>
          <w:szCs w:val="24"/>
        </w:rPr>
        <w:t>详细通讯地址：</w:t>
      </w:r>
    </w:p>
    <w:p>
      <w:pPr>
        <w:spacing w:line="360" w:lineRule="auto"/>
        <w:rPr>
          <w:rFonts w:ascii="宋体"/>
          <w:color w:val="auto"/>
          <w:sz w:val="24"/>
          <w:szCs w:val="24"/>
        </w:rPr>
      </w:pPr>
      <w:r>
        <w:rPr>
          <w:rFonts w:hint="eastAsia" w:ascii="宋体" w:hAnsi="宋体" w:cs="宋体"/>
          <w:color w:val="auto"/>
          <w:sz w:val="24"/>
          <w:szCs w:val="24"/>
        </w:rPr>
        <w:t>邮政编码：</w:t>
      </w:r>
    </w:p>
    <w:p>
      <w:pPr>
        <w:spacing w:line="360" w:lineRule="auto"/>
        <w:ind w:firstLine="480" w:firstLineChars="200"/>
        <w:rPr>
          <w:rFonts w:ascii="宋体"/>
          <w:color w:val="auto"/>
          <w:sz w:val="24"/>
          <w:szCs w:val="24"/>
        </w:rPr>
      </w:pPr>
    </w:p>
    <w:p>
      <w:pPr>
        <w:rPr>
          <w:rFonts w:ascii="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4</w:t>
      </w:r>
      <w:r>
        <w:rPr>
          <w:rFonts w:hint="eastAsia" w:ascii="宋体" w:hAnsi="宋体" w:cs="宋体"/>
          <w:b/>
          <w:bCs/>
          <w:color w:val="auto"/>
          <w:sz w:val="28"/>
          <w:szCs w:val="28"/>
        </w:rPr>
        <w:t>　</w:t>
      </w:r>
      <w:r>
        <w:rPr>
          <w:rFonts w:hint="eastAsia" w:ascii="宋体" w:hAnsi="宋体" w:cs="宋体"/>
          <w:color w:val="auto"/>
          <w:sz w:val="30"/>
          <w:szCs w:val="30"/>
        </w:rPr>
        <w:t>　　</w:t>
      </w:r>
      <w:r>
        <w:rPr>
          <w:rFonts w:ascii="宋体" w:hAnsi="宋体" w:cs="宋体"/>
          <w:color w:val="auto"/>
          <w:sz w:val="30"/>
          <w:szCs w:val="30"/>
        </w:rPr>
        <w:t xml:space="preserve">                                       </w:t>
      </w:r>
      <w:r>
        <w:rPr>
          <w:rFonts w:ascii="宋体" w:hAnsi="宋体" w:cs="宋体"/>
          <w:color w:val="auto"/>
          <w:sz w:val="30"/>
          <w:szCs w:val="30"/>
          <w:u w:val="single"/>
        </w:rPr>
        <w:t xml:space="preserve">   </w:t>
      </w:r>
      <w:r>
        <w:rPr>
          <w:rFonts w:hint="eastAsia" w:ascii="宋体" w:hAnsi="宋体" w:cs="宋体"/>
          <w:color w:val="auto"/>
          <w:sz w:val="24"/>
          <w:szCs w:val="24"/>
        </w:rPr>
        <w:t>本</w:t>
      </w:r>
    </w:p>
    <w:p>
      <w:pPr>
        <w:spacing w:line="360" w:lineRule="auto"/>
        <w:rPr>
          <w:rFonts w:ascii="宋体"/>
          <w:color w:val="auto"/>
          <w:sz w:val="24"/>
          <w:szCs w:val="24"/>
        </w:rPr>
      </w:pPr>
    </w:p>
    <w:p>
      <w:pPr>
        <w:spacing w:line="360" w:lineRule="auto"/>
        <w:jc w:val="center"/>
        <w:rPr>
          <w:rFonts w:ascii="宋体"/>
          <w:color w:val="auto"/>
          <w:spacing w:val="40"/>
          <w:sz w:val="52"/>
          <w:szCs w:val="52"/>
        </w:rPr>
      </w:pPr>
      <w:r>
        <w:rPr>
          <w:rFonts w:hint="eastAsia" w:ascii="宋体" w:hAnsi="宋体" w:cs="宋体"/>
          <w:color w:val="auto"/>
          <w:spacing w:val="40"/>
          <w:sz w:val="52"/>
          <w:szCs w:val="52"/>
        </w:rPr>
        <w:t>项目名称</w:t>
      </w:r>
    </w:p>
    <w:p>
      <w:pPr>
        <w:spacing w:line="360" w:lineRule="auto"/>
        <w:jc w:val="center"/>
        <w:rPr>
          <w:rFonts w:ascii="宋体"/>
          <w:color w:val="auto"/>
          <w:sz w:val="36"/>
          <w:szCs w:val="36"/>
        </w:rPr>
      </w:pPr>
      <w:r>
        <w:rPr>
          <w:rFonts w:hint="eastAsia" w:ascii="宋体" w:hAnsi="宋体" w:cs="宋体"/>
          <w:color w:val="auto"/>
          <w:sz w:val="36"/>
          <w:szCs w:val="36"/>
        </w:rPr>
        <w:t>项目编号：（标段）</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件</w:t>
      </w:r>
    </w:p>
    <w:p>
      <w:pPr>
        <w:autoSpaceDE w:val="0"/>
        <w:autoSpaceDN w:val="0"/>
        <w:adjustRightInd w:val="0"/>
        <w:spacing w:line="360" w:lineRule="auto"/>
        <w:jc w:val="center"/>
        <w:rPr>
          <w:rFonts w:ascii="宋体"/>
          <w:color w:val="auto"/>
          <w:spacing w:val="40"/>
          <w:sz w:val="28"/>
          <w:szCs w:val="28"/>
        </w:rPr>
      </w:pPr>
      <w:r>
        <w:rPr>
          <w:rFonts w:hint="eastAsia" w:ascii="宋体" w:hAnsi="宋体" w:cs="宋体"/>
          <w:color w:val="auto"/>
          <w:sz w:val="28"/>
          <w:szCs w:val="28"/>
          <w:lang w:val="zh-CN"/>
        </w:rPr>
        <w:t>（商务与技术文件</w:t>
      </w:r>
      <w:r>
        <w:rPr>
          <w:rFonts w:hint="eastAsia" w:ascii="宋体" w:hAnsi="宋体" w:cs="宋体"/>
          <w:color w:val="auto"/>
          <w:spacing w:val="40"/>
          <w:sz w:val="28"/>
          <w:szCs w:val="28"/>
        </w:rPr>
        <w:t>）</w:t>
      </w:r>
    </w:p>
    <w:p>
      <w:pPr>
        <w:autoSpaceDE w:val="0"/>
        <w:autoSpaceDN w:val="0"/>
        <w:adjustRightInd w:val="0"/>
        <w:spacing w:line="360" w:lineRule="auto"/>
        <w:rPr>
          <w:rFonts w:ascii="宋体"/>
          <w:color w:val="auto"/>
          <w:sz w:val="36"/>
          <w:szCs w:val="36"/>
        </w:rPr>
      </w:pP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投标人全称（公章）：</w:t>
      </w: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地址：</w:t>
      </w: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时间：</w:t>
      </w:r>
    </w:p>
    <w:p>
      <w:pPr>
        <w:spacing w:line="360" w:lineRule="auto"/>
        <w:rPr>
          <w:rFonts w:ascii="宋体"/>
          <w:color w:val="auto"/>
          <w:sz w:val="24"/>
          <w:szCs w:val="24"/>
        </w:rPr>
      </w:pPr>
    </w:p>
    <w:p>
      <w:pPr>
        <w:spacing w:line="360" w:lineRule="auto"/>
        <w:jc w:val="center"/>
        <w:rPr>
          <w:rFonts w:ascii="宋体"/>
          <w:b/>
          <w:bCs/>
          <w:color w:val="auto"/>
          <w:sz w:val="32"/>
          <w:szCs w:val="32"/>
          <w:lang w:val="zh-CN"/>
        </w:rPr>
      </w:pPr>
    </w:p>
    <w:p>
      <w:pPr>
        <w:spacing w:line="360" w:lineRule="auto"/>
        <w:jc w:val="center"/>
        <w:rPr>
          <w:rFonts w:ascii="宋体"/>
          <w:b/>
          <w:bCs/>
          <w:color w:val="auto"/>
          <w:sz w:val="32"/>
          <w:szCs w:val="32"/>
          <w:lang w:val="zh-CN"/>
        </w:rPr>
      </w:pPr>
    </w:p>
    <w:p>
      <w:pPr>
        <w:spacing w:line="360" w:lineRule="auto"/>
        <w:jc w:val="center"/>
        <w:rPr>
          <w:rFonts w:ascii="宋体"/>
          <w:b/>
          <w:bCs/>
          <w:color w:val="auto"/>
          <w:sz w:val="32"/>
          <w:szCs w:val="32"/>
        </w:rPr>
      </w:pPr>
      <w:r>
        <w:rPr>
          <w:rFonts w:hint="eastAsia" w:ascii="宋体" w:hAnsi="宋体" w:cs="宋体"/>
          <w:b/>
          <w:bCs/>
          <w:color w:val="auto"/>
          <w:sz w:val="32"/>
          <w:szCs w:val="32"/>
          <w:lang w:val="zh-CN"/>
        </w:rPr>
        <w:t>商务与技术文件</w:t>
      </w:r>
      <w:r>
        <w:rPr>
          <w:rFonts w:hint="eastAsia" w:ascii="宋体" w:hAnsi="宋体" w:cs="宋体"/>
          <w:b/>
          <w:bCs/>
          <w:color w:val="auto"/>
          <w:sz w:val="32"/>
          <w:szCs w:val="32"/>
        </w:rPr>
        <w:t>目录</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1</w:t>
      </w:r>
      <w:r>
        <w:rPr>
          <w:rFonts w:hint="eastAsia" w:ascii="宋体" w:hAnsi="宋体" w:cs="宋体"/>
          <w:color w:val="auto"/>
          <w:sz w:val="28"/>
          <w:szCs w:val="28"/>
        </w:rPr>
        <w:t>）投标人情况介绍。</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2</w:t>
      </w:r>
      <w:r>
        <w:rPr>
          <w:rFonts w:hint="eastAsia" w:ascii="宋体" w:hAnsi="宋体" w:cs="宋体"/>
          <w:color w:val="auto"/>
          <w:sz w:val="28"/>
          <w:szCs w:val="28"/>
        </w:rPr>
        <w:t>）投标方案描述：</w:t>
      </w:r>
    </w:p>
    <w:p>
      <w:pPr>
        <w:spacing w:line="360" w:lineRule="auto"/>
        <w:ind w:firstLine="560" w:firstLineChars="200"/>
        <w:rPr>
          <w:rFonts w:ascii="宋体"/>
          <w:color w:val="auto"/>
          <w:sz w:val="28"/>
          <w:szCs w:val="28"/>
        </w:rPr>
      </w:pPr>
      <w:r>
        <w:rPr>
          <w:rFonts w:ascii="宋体" w:hAnsi="宋体" w:cs="宋体"/>
          <w:color w:val="auto"/>
          <w:sz w:val="28"/>
          <w:szCs w:val="28"/>
        </w:rPr>
        <w:t>A.</w:t>
      </w:r>
      <w:r>
        <w:rPr>
          <w:rFonts w:hint="eastAsia" w:ascii="宋体" w:hAnsi="宋体" w:cs="宋体"/>
          <w:color w:val="auto"/>
          <w:sz w:val="28"/>
          <w:szCs w:val="28"/>
        </w:rPr>
        <w:t>项目需求的理解与分析</w:t>
      </w:r>
      <w:r>
        <w:rPr>
          <w:rFonts w:ascii="宋体" w:hAnsi="宋体" w:cs="宋体"/>
          <w:color w:val="auto"/>
          <w:sz w:val="28"/>
          <w:szCs w:val="28"/>
        </w:rPr>
        <w:t>(</w:t>
      </w:r>
      <w:r>
        <w:rPr>
          <w:rFonts w:hint="eastAsia" w:ascii="宋体" w:hAnsi="宋体" w:cs="宋体"/>
          <w:color w:val="auto"/>
          <w:sz w:val="28"/>
          <w:szCs w:val="28"/>
        </w:rPr>
        <w:t>投标人对项目现状及需求的理解情况，对项目现状和需求描述的全面性、准确性、针对性，对项目重点、难点的把握，解决方案及合理化建议</w:t>
      </w:r>
      <w:r>
        <w:rPr>
          <w:rFonts w:ascii="宋体" w:hAnsi="宋体" w:cs="宋体"/>
          <w:color w:val="auto"/>
          <w:sz w:val="28"/>
          <w:szCs w:val="28"/>
        </w:rPr>
        <w:t>)</w:t>
      </w:r>
      <w:r>
        <w:rPr>
          <w:rFonts w:hint="eastAsia" w:ascii="宋体" w:hAnsi="宋体" w:cs="宋体"/>
          <w:color w:val="auto"/>
          <w:sz w:val="28"/>
          <w:szCs w:val="28"/>
        </w:rPr>
        <w:t>。</w:t>
      </w:r>
    </w:p>
    <w:p>
      <w:pPr>
        <w:spacing w:line="360" w:lineRule="auto"/>
        <w:ind w:firstLine="560" w:firstLineChars="200"/>
        <w:rPr>
          <w:rFonts w:ascii="宋体"/>
          <w:color w:val="auto"/>
          <w:sz w:val="28"/>
          <w:szCs w:val="28"/>
        </w:rPr>
      </w:pPr>
      <w:r>
        <w:rPr>
          <w:rFonts w:ascii="宋体" w:hAnsi="宋体" w:cs="宋体"/>
          <w:color w:val="auto"/>
          <w:sz w:val="28"/>
          <w:szCs w:val="28"/>
        </w:rPr>
        <w:t>B.</w:t>
      </w:r>
      <w:r>
        <w:rPr>
          <w:rFonts w:hint="eastAsia" w:ascii="宋体" w:hAnsi="宋体" w:cs="宋体"/>
          <w:color w:val="auto"/>
          <w:sz w:val="28"/>
          <w:szCs w:val="28"/>
        </w:rPr>
        <w:t>项目组织实施方案（包括确保项目服务质量的措施或方案、项目实施人员及项目负责人的资质、类似经验及社保证明等）。</w:t>
      </w:r>
    </w:p>
    <w:p>
      <w:pPr>
        <w:spacing w:line="360" w:lineRule="auto"/>
        <w:ind w:firstLine="560" w:firstLineChars="200"/>
        <w:rPr>
          <w:rFonts w:ascii="宋体"/>
          <w:color w:val="auto"/>
          <w:sz w:val="28"/>
          <w:szCs w:val="28"/>
        </w:rPr>
      </w:pPr>
      <w:r>
        <w:rPr>
          <w:rFonts w:hint="eastAsia" w:ascii="宋体" w:hAnsi="宋体" w:cs="宋体"/>
          <w:color w:val="auto"/>
          <w:sz w:val="28"/>
          <w:szCs w:val="28"/>
        </w:rPr>
        <w:t>（可根据投标人对招标任务的理解和自身情况编制，利用投标文件中承诺提供的设备、人员等资源围绕采购人的服务质量要求、工作的实际要求如何实现这些要求，如何保质保量按时完成任务。）</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3</w:t>
      </w:r>
      <w:r>
        <w:rPr>
          <w:rFonts w:hint="eastAsia" w:ascii="宋体" w:hAnsi="宋体" w:cs="宋体"/>
          <w:color w:val="auto"/>
          <w:sz w:val="28"/>
          <w:szCs w:val="28"/>
        </w:rPr>
        <w:t>）投标人通过的质量管理和质量保证体系、环保体系、自主创新相关证书等等与本项目相关的认证证书或文件；</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4</w:t>
      </w:r>
      <w:r>
        <w:rPr>
          <w:rFonts w:hint="eastAsia" w:ascii="宋体" w:hAnsi="宋体" w:cs="宋体"/>
          <w:color w:val="auto"/>
          <w:sz w:val="28"/>
          <w:szCs w:val="28"/>
        </w:rPr>
        <w:t>）近三年来类似项目的成功案例（投标人类似项目实施情况一览表、合同复印件及其相应的发票、用户验收报告等；</w:t>
      </w:r>
    </w:p>
    <w:p>
      <w:pPr>
        <w:spacing w:line="360" w:lineRule="auto"/>
        <w:ind w:firstLine="560" w:firstLineChars="200"/>
        <w:rPr>
          <w:rFonts w:ascii="宋体"/>
          <w:color w:val="auto"/>
          <w:sz w:val="28"/>
          <w:szCs w:val="28"/>
          <w:lang w:val="zh-CN"/>
        </w:rPr>
      </w:pPr>
      <w:r>
        <w:rPr>
          <w:rFonts w:hint="eastAsia" w:ascii="宋体" w:hAnsi="宋体" w:cs="宋体"/>
          <w:color w:val="auto"/>
          <w:sz w:val="28"/>
          <w:szCs w:val="28"/>
        </w:rPr>
        <w:t>（</w:t>
      </w:r>
      <w:r>
        <w:rPr>
          <w:rFonts w:ascii="宋体" w:hAnsi="宋体" w:cs="宋体"/>
          <w:color w:val="auto"/>
          <w:sz w:val="28"/>
          <w:szCs w:val="28"/>
        </w:rPr>
        <w:t>5</w:t>
      </w:r>
      <w:r>
        <w:rPr>
          <w:rFonts w:hint="eastAsia" w:ascii="宋体" w:hAnsi="宋体" w:cs="宋体"/>
          <w:color w:val="auto"/>
          <w:sz w:val="28"/>
          <w:szCs w:val="28"/>
        </w:rPr>
        <w:t>）投标人认为需要提供的其他资料（包括可能影响投标人商务与技术文件评分的各类证明材料）。</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6</w:t>
      </w:r>
      <w:r>
        <w:rPr>
          <w:rFonts w:hint="eastAsia" w:ascii="宋体" w:hAnsi="宋体" w:cs="宋体"/>
          <w:color w:val="auto"/>
          <w:sz w:val="28"/>
          <w:szCs w:val="28"/>
        </w:rPr>
        <w:t>）售后服务描述及承诺：</w:t>
      </w:r>
    </w:p>
    <w:p>
      <w:pPr>
        <w:spacing w:line="360" w:lineRule="auto"/>
        <w:ind w:firstLine="560" w:firstLineChars="200"/>
        <w:rPr>
          <w:rFonts w:ascii="宋体"/>
          <w:color w:val="auto"/>
          <w:sz w:val="28"/>
          <w:szCs w:val="28"/>
        </w:rPr>
      </w:pPr>
      <w:r>
        <w:rPr>
          <w:rFonts w:ascii="宋体" w:hAnsi="宋体" w:cs="宋体"/>
          <w:color w:val="auto"/>
          <w:sz w:val="28"/>
          <w:szCs w:val="28"/>
        </w:rPr>
        <w:t>A.</w:t>
      </w:r>
      <w:r>
        <w:rPr>
          <w:rFonts w:hint="eastAsia" w:ascii="宋体" w:hAnsi="宋体" w:cs="宋体"/>
          <w:color w:val="auto"/>
          <w:sz w:val="28"/>
          <w:szCs w:val="28"/>
        </w:rPr>
        <w:t>距采购人最近的服务网点详细介绍（包括地理位置、资质资格、技术力量、工作业绩、服务内容及联系电话等）。</w:t>
      </w:r>
    </w:p>
    <w:p>
      <w:pPr>
        <w:spacing w:line="360" w:lineRule="auto"/>
        <w:ind w:firstLine="560" w:firstLineChars="200"/>
        <w:rPr>
          <w:rFonts w:ascii="宋体"/>
          <w:color w:val="auto"/>
          <w:sz w:val="28"/>
          <w:szCs w:val="28"/>
        </w:rPr>
      </w:pPr>
      <w:r>
        <w:rPr>
          <w:rFonts w:ascii="宋体" w:hAnsi="宋体" w:cs="宋体"/>
          <w:color w:val="auto"/>
          <w:sz w:val="28"/>
          <w:szCs w:val="28"/>
        </w:rPr>
        <w:t>B.</w:t>
      </w:r>
      <w:r>
        <w:rPr>
          <w:rFonts w:hint="eastAsia" w:ascii="宋体" w:hAnsi="宋体" w:cs="宋体"/>
          <w:color w:val="auto"/>
          <w:sz w:val="28"/>
          <w:szCs w:val="28"/>
        </w:rPr>
        <w:t>针对本项目的售后服务措施及承诺（售后技术服务方案、人员配备、故障响应时间、技术培训方案等）。</w:t>
      </w:r>
    </w:p>
    <w:p>
      <w:pPr>
        <w:spacing w:line="360" w:lineRule="auto"/>
        <w:ind w:firstLine="560" w:firstLineChars="200"/>
        <w:rPr>
          <w:rFonts w:ascii="宋体"/>
          <w:color w:val="auto"/>
          <w:sz w:val="28"/>
          <w:szCs w:val="28"/>
        </w:rPr>
      </w:pPr>
      <w:r>
        <w:rPr>
          <w:rFonts w:hint="eastAsia" w:ascii="宋体" w:hAnsi="宋体" w:cs="宋体"/>
          <w:color w:val="auto"/>
          <w:sz w:val="28"/>
          <w:szCs w:val="28"/>
        </w:rPr>
        <w:t>（</w:t>
      </w:r>
      <w:r>
        <w:rPr>
          <w:rFonts w:ascii="宋体" w:hAnsi="宋体" w:cs="宋体"/>
          <w:color w:val="auto"/>
          <w:sz w:val="28"/>
          <w:szCs w:val="28"/>
        </w:rPr>
        <w:t>7</w:t>
      </w:r>
      <w:r>
        <w:rPr>
          <w:rFonts w:hint="eastAsia" w:ascii="宋体" w:hAnsi="宋体" w:cs="宋体"/>
          <w:color w:val="auto"/>
          <w:sz w:val="28"/>
          <w:szCs w:val="28"/>
        </w:rPr>
        <w:t>）与评分标准相关的其他内容</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pStyle w:val="47"/>
        <w:ind w:firstLine="31680"/>
        <w:rPr>
          <w:rFonts w:ascii="宋体"/>
          <w:color w:val="auto"/>
          <w:sz w:val="24"/>
          <w:szCs w:val="24"/>
        </w:rPr>
      </w:pPr>
    </w:p>
    <w:p>
      <w:pPr>
        <w:rPr>
          <w:rFonts w:ascii="宋体"/>
          <w:b/>
          <w:bCs/>
          <w:color w:val="auto"/>
          <w:sz w:val="28"/>
          <w:szCs w:val="28"/>
          <w:lang w:val="zh-CN"/>
        </w:rPr>
      </w:pPr>
      <w:r>
        <w:rPr>
          <w:rFonts w:hint="eastAsia" w:ascii="宋体" w:hAnsi="宋体" w:cs="宋体"/>
          <w:b/>
          <w:bCs/>
          <w:color w:val="auto"/>
          <w:sz w:val="28"/>
          <w:szCs w:val="28"/>
          <w:lang w:val="zh-CN"/>
        </w:rPr>
        <w:t>附件</w:t>
      </w:r>
      <w:r>
        <w:rPr>
          <w:rFonts w:ascii="宋体" w:hAnsi="宋体" w:cs="宋体"/>
          <w:b/>
          <w:bCs/>
          <w:color w:val="auto"/>
          <w:sz w:val="28"/>
          <w:szCs w:val="28"/>
          <w:lang w:val="zh-CN"/>
        </w:rPr>
        <w:t>5</w:t>
      </w: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投标人基本情况表</w:t>
      </w:r>
    </w:p>
    <w:tbl>
      <w:tblPr>
        <w:tblStyle w:val="24"/>
        <w:tblW w:w="8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55"/>
              <w:shd w:val="clear" w:color="auto" w:fill="FFFFFF"/>
              <w:spacing w:line="360" w:lineRule="auto"/>
              <w:jc w:val="both"/>
              <w:rPr>
                <w:rFonts w:cs="Times New Roman"/>
                <w:color w:val="auto"/>
              </w:rPr>
            </w:pPr>
            <w:r>
              <w:rPr>
                <w:rFonts w:hint="eastAsia"/>
                <w:color w:val="auto"/>
                <w:spacing w:val="27"/>
              </w:rPr>
              <w:t>企业名称</w:t>
            </w:r>
          </w:p>
        </w:tc>
        <w:tc>
          <w:tcPr>
            <w:tcW w:w="3765" w:type="dxa"/>
            <w:gridSpan w:val="6"/>
            <w:vAlign w:val="center"/>
          </w:tcPr>
          <w:p>
            <w:pPr>
              <w:pStyle w:val="55"/>
              <w:shd w:val="clear" w:color="auto" w:fill="FFFFFF"/>
              <w:spacing w:line="360" w:lineRule="auto"/>
              <w:jc w:val="both"/>
              <w:rPr>
                <w:rFonts w:cs="Times New Roman"/>
                <w:color w:val="auto"/>
              </w:rPr>
            </w:pPr>
          </w:p>
        </w:tc>
        <w:tc>
          <w:tcPr>
            <w:tcW w:w="1560" w:type="dxa"/>
            <w:vAlign w:val="center"/>
          </w:tcPr>
          <w:p>
            <w:pPr>
              <w:pStyle w:val="55"/>
              <w:shd w:val="clear" w:color="auto" w:fill="FFFFFF"/>
              <w:spacing w:line="360" w:lineRule="auto"/>
              <w:jc w:val="center"/>
              <w:rPr>
                <w:rFonts w:cs="Times New Roman"/>
                <w:color w:val="auto"/>
              </w:rPr>
            </w:pPr>
            <w:r>
              <w:rPr>
                <w:rFonts w:hint="eastAsia"/>
                <w:color w:val="auto"/>
                <w:spacing w:val="16"/>
              </w:rPr>
              <w:t>法人代表</w:t>
            </w:r>
          </w:p>
        </w:tc>
        <w:tc>
          <w:tcPr>
            <w:tcW w:w="2608" w:type="dxa"/>
            <w:gridSpan w:val="3"/>
            <w:vAlign w:val="center"/>
          </w:tcPr>
          <w:p>
            <w:pPr>
              <w:pStyle w:val="55"/>
              <w:shd w:val="clear" w:color="auto" w:fill="FFFFFF"/>
              <w:spacing w:line="360" w:lineRule="auto"/>
              <w:jc w:val="both"/>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55"/>
              <w:shd w:val="clear" w:color="auto" w:fill="FFFFFF"/>
              <w:spacing w:line="360" w:lineRule="auto"/>
              <w:jc w:val="both"/>
              <w:rPr>
                <w:rFonts w:cs="Times New Roman"/>
                <w:color w:val="auto"/>
                <w:spacing w:val="16"/>
              </w:rPr>
            </w:pPr>
            <w:r>
              <w:rPr>
                <w:rFonts w:hint="eastAsia"/>
                <w:color w:val="auto"/>
                <w:spacing w:val="27"/>
              </w:rPr>
              <w:t>地址</w:t>
            </w:r>
          </w:p>
        </w:tc>
        <w:tc>
          <w:tcPr>
            <w:tcW w:w="3765" w:type="dxa"/>
            <w:gridSpan w:val="6"/>
            <w:vAlign w:val="center"/>
          </w:tcPr>
          <w:p>
            <w:pPr>
              <w:pStyle w:val="55"/>
              <w:shd w:val="clear" w:color="auto" w:fill="FFFFFF"/>
              <w:spacing w:line="360" w:lineRule="auto"/>
              <w:jc w:val="both"/>
              <w:rPr>
                <w:rFonts w:cs="Times New Roman"/>
                <w:color w:val="auto"/>
                <w:spacing w:val="16"/>
              </w:rPr>
            </w:pPr>
          </w:p>
        </w:tc>
        <w:tc>
          <w:tcPr>
            <w:tcW w:w="1560" w:type="dxa"/>
            <w:vAlign w:val="center"/>
          </w:tcPr>
          <w:p>
            <w:pPr>
              <w:pStyle w:val="55"/>
              <w:shd w:val="clear" w:color="auto" w:fill="FFFFFF"/>
              <w:spacing w:line="360" w:lineRule="auto"/>
              <w:jc w:val="center"/>
              <w:rPr>
                <w:rFonts w:cs="Times New Roman"/>
                <w:color w:val="auto"/>
                <w:spacing w:val="16"/>
              </w:rPr>
            </w:pPr>
            <w:r>
              <w:rPr>
                <w:rFonts w:hint="eastAsia"/>
                <w:color w:val="auto"/>
                <w:spacing w:val="16"/>
              </w:rPr>
              <w:t>企业性质</w:t>
            </w:r>
          </w:p>
        </w:tc>
        <w:tc>
          <w:tcPr>
            <w:tcW w:w="2608" w:type="dxa"/>
            <w:gridSpan w:val="3"/>
            <w:vAlign w:val="center"/>
          </w:tcPr>
          <w:p>
            <w:pPr>
              <w:pStyle w:val="55"/>
              <w:shd w:val="clear" w:color="auto" w:fill="FFFFFF"/>
              <w:spacing w:line="360" w:lineRule="auto"/>
              <w:jc w:val="both"/>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vAlign w:val="center"/>
          </w:tcPr>
          <w:p>
            <w:pPr>
              <w:pStyle w:val="55"/>
              <w:shd w:val="clear" w:color="auto" w:fill="FFFFFF"/>
              <w:spacing w:line="360" w:lineRule="auto"/>
              <w:jc w:val="both"/>
              <w:rPr>
                <w:rFonts w:cs="Times New Roman"/>
                <w:color w:val="auto"/>
                <w:spacing w:val="16"/>
              </w:rPr>
            </w:pPr>
            <w:r>
              <w:rPr>
                <w:rFonts w:hint="eastAsia"/>
                <w:color w:val="auto"/>
                <w:spacing w:val="27"/>
              </w:rPr>
              <w:t>股东姓名</w:t>
            </w:r>
          </w:p>
        </w:tc>
        <w:tc>
          <w:tcPr>
            <w:tcW w:w="690" w:type="dxa"/>
            <w:vAlign w:val="center"/>
          </w:tcPr>
          <w:p>
            <w:pPr>
              <w:pStyle w:val="55"/>
              <w:shd w:val="clear" w:color="auto" w:fill="FFFFFF"/>
              <w:spacing w:before="0" w:beforeAutospacing="0" w:after="0" w:afterAutospacing="0" w:line="360" w:lineRule="auto"/>
              <w:jc w:val="both"/>
              <w:rPr>
                <w:rFonts w:cs="Times New Roman"/>
                <w:color w:val="auto"/>
                <w:spacing w:val="16"/>
              </w:rPr>
            </w:pPr>
          </w:p>
        </w:tc>
        <w:tc>
          <w:tcPr>
            <w:tcW w:w="960" w:type="dxa"/>
            <w:gridSpan w:val="2"/>
            <w:vAlign w:val="center"/>
          </w:tcPr>
          <w:p>
            <w:pPr>
              <w:pStyle w:val="55"/>
              <w:shd w:val="clear" w:color="auto" w:fill="FFFFFF"/>
              <w:spacing w:line="360" w:lineRule="auto"/>
              <w:jc w:val="both"/>
              <w:rPr>
                <w:rFonts w:cs="Times New Roman"/>
                <w:color w:val="auto"/>
                <w:spacing w:val="16"/>
              </w:rPr>
            </w:pPr>
            <w:r>
              <w:rPr>
                <w:rFonts w:hint="eastAsia"/>
                <w:color w:val="auto"/>
                <w:spacing w:val="16"/>
              </w:rPr>
              <w:t>股权结构（</w:t>
            </w:r>
            <w:r>
              <w:rPr>
                <w:color w:val="auto"/>
                <w:spacing w:val="16"/>
              </w:rPr>
              <w:t>%</w:t>
            </w:r>
            <w:r>
              <w:rPr>
                <w:rFonts w:hint="eastAsia"/>
                <w:color w:val="auto"/>
                <w:spacing w:val="16"/>
              </w:rPr>
              <w:t>）</w:t>
            </w:r>
          </w:p>
        </w:tc>
        <w:tc>
          <w:tcPr>
            <w:tcW w:w="2115" w:type="dxa"/>
            <w:gridSpan w:val="3"/>
            <w:vAlign w:val="center"/>
          </w:tcPr>
          <w:p>
            <w:pPr>
              <w:widowControl/>
              <w:spacing w:line="360" w:lineRule="auto"/>
              <w:rPr>
                <w:rFonts w:ascii="宋体"/>
                <w:color w:val="auto"/>
                <w:spacing w:val="16"/>
                <w:kern w:val="0"/>
                <w:sz w:val="24"/>
                <w:szCs w:val="24"/>
              </w:rPr>
            </w:pPr>
          </w:p>
          <w:p>
            <w:pPr>
              <w:pStyle w:val="55"/>
              <w:shd w:val="clear" w:color="auto" w:fill="FFFFFF"/>
              <w:spacing w:line="360" w:lineRule="auto"/>
              <w:jc w:val="both"/>
              <w:rPr>
                <w:rFonts w:cs="Times New Roman"/>
                <w:color w:val="auto"/>
                <w:spacing w:val="16"/>
              </w:rPr>
            </w:pPr>
          </w:p>
        </w:tc>
        <w:tc>
          <w:tcPr>
            <w:tcW w:w="1560" w:type="dxa"/>
            <w:vAlign w:val="center"/>
          </w:tcPr>
          <w:p>
            <w:pPr>
              <w:pStyle w:val="55"/>
              <w:shd w:val="clear" w:color="auto" w:fill="FFFFFF"/>
              <w:spacing w:line="360" w:lineRule="auto"/>
              <w:ind w:left="107"/>
              <w:jc w:val="center"/>
              <w:rPr>
                <w:rFonts w:cs="Times New Roman"/>
                <w:color w:val="auto"/>
                <w:spacing w:val="16"/>
              </w:rPr>
            </w:pPr>
            <w:r>
              <w:rPr>
                <w:rFonts w:hint="eastAsia"/>
                <w:color w:val="auto"/>
                <w:spacing w:val="16"/>
              </w:rPr>
              <w:t>股东关系</w:t>
            </w:r>
          </w:p>
        </w:tc>
        <w:tc>
          <w:tcPr>
            <w:tcW w:w="2608" w:type="dxa"/>
            <w:gridSpan w:val="3"/>
            <w:vAlign w:val="center"/>
          </w:tcPr>
          <w:p>
            <w:pPr>
              <w:pStyle w:val="55"/>
              <w:shd w:val="clear" w:color="auto" w:fill="FFFFFF"/>
              <w:spacing w:line="360" w:lineRule="auto"/>
              <w:ind w:left="107"/>
              <w:jc w:val="both"/>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55"/>
              <w:shd w:val="clear" w:color="auto" w:fill="FFFFFF"/>
              <w:spacing w:line="360" w:lineRule="auto"/>
              <w:jc w:val="both"/>
              <w:rPr>
                <w:rFonts w:cs="Times New Roman"/>
                <w:color w:val="auto"/>
                <w:spacing w:val="16"/>
              </w:rPr>
            </w:pPr>
            <w:r>
              <w:rPr>
                <w:rFonts w:hint="eastAsia"/>
                <w:color w:val="auto"/>
                <w:spacing w:val="12"/>
              </w:rPr>
              <w:t>联系人</w:t>
            </w:r>
            <w:r>
              <w:rPr>
                <w:rFonts w:hint="eastAsia"/>
                <w:color w:val="auto"/>
                <w:spacing w:val="27"/>
              </w:rPr>
              <w:t>姓名</w:t>
            </w:r>
          </w:p>
        </w:tc>
        <w:tc>
          <w:tcPr>
            <w:tcW w:w="690" w:type="dxa"/>
            <w:vMerge w:val="restart"/>
            <w:tcBorders>
              <w:top w:val="nil"/>
            </w:tcBorders>
            <w:vAlign w:val="center"/>
          </w:tcPr>
          <w:p>
            <w:pPr>
              <w:pStyle w:val="55"/>
              <w:shd w:val="clear" w:color="auto" w:fill="FFFFFF"/>
              <w:spacing w:line="360" w:lineRule="auto"/>
              <w:jc w:val="both"/>
              <w:rPr>
                <w:rFonts w:cs="Times New Roman"/>
                <w:color w:val="auto"/>
                <w:spacing w:val="16"/>
              </w:rPr>
            </w:pPr>
          </w:p>
        </w:tc>
        <w:tc>
          <w:tcPr>
            <w:tcW w:w="960" w:type="dxa"/>
            <w:gridSpan w:val="2"/>
            <w:tcBorders>
              <w:top w:val="nil"/>
            </w:tcBorders>
            <w:vAlign w:val="center"/>
          </w:tcPr>
          <w:p>
            <w:pPr>
              <w:pStyle w:val="55"/>
              <w:shd w:val="clear" w:color="auto" w:fill="FFFFFF"/>
              <w:spacing w:line="360" w:lineRule="auto"/>
              <w:jc w:val="both"/>
              <w:rPr>
                <w:rFonts w:cs="Times New Roman"/>
                <w:color w:val="auto"/>
                <w:spacing w:val="16"/>
              </w:rPr>
            </w:pPr>
            <w:r>
              <w:rPr>
                <w:rFonts w:hint="eastAsia"/>
                <w:color w:val="auto"/>
                <w:spacing w:val="16"/>
              </w:rPr>
              <w:t>固定电话</w:t>
            </w:r>
          </w:p>
        </w:tc>
        <w:tc>
          <w:tcPr>
            <w:tcW w:w="2115" w:type="dxa"/>
            <w:gridSpan w:val="3"/>
            <w:tcBorders>
              <w:top w:val="nil"/>
            </w:tcBorders>
            <w:vAlign w:val="center"/>
          </w:tcPr>
          <w:p>
            <w:pPr>
              <w:widowControl/>
              <w:spacing w:line="360" w:lineRule="auto"/>
              <w:rPr>
                <w:rFonts w:ascii="宋体"/>
                <w:color w:val="auto"/>
                <w:spacing w:val="16"/>
                <w:kern w:val="0"/>
                <w:sz w:val="24"/>
                <w:szCs w:val="24"/>
              </w:rPr>
            </w:pPr>
          </w:p>
          <w:p>
            <w:pPr>
              <w:pStyle w:val="55"/>
              <w:shd w:val="clear" w:color="auto" w:fill="FFFFFF"/>
              <w:spacing w:line="360" w:lineRule="auto"/>
              <w:jc w:val="both"/>
              <w:rPr>
                <w:rFonts w:cs="Times New Roman"/>
                <w:color w:val="auto"/>
                <w:spacing w:val="16"/>
              </w:rPr>
            </w:pPr>
          </w:p>
        </w:tc>
        <w:tc>
          <w:tcPr>
            <w:tcW w:w="1560" w:type="dxa"/>
            <w:vMerge w:val="restart"/>
            <w:vAlign w:val="center"/>
          </w:tcPr>
          <w:p>
            <w:pPr>
              <w:pStyle w:val="55"/>
              <w:shd w:val="clear" w:color="auto" w:fill="FFFFFF"/>
              <w:spacing w:before="0" w:beforeAutospacing="0" w:after="0" w:afterAutospacing="0" w:line="360" w:lineRule="auto"/>
              <w:jc w:val="center"/>
              <w:rPr>
                <w:rFonts w:cs="Times New Roman"/>
                <w:color w:val="auto"/>
                <w:spacing w:val="16"/>
              </w:rPr>
            </w:pPr>
            <w:r>
              <w:rPr>
                <w:rFonts w:hint="eastAsia"/>
                <w:color w:val="auto"/>
                <w:spacing w:val="16"/>
              </w:rPr>
              <w:t>传真</w:t>
            </w:r>
          </w:p>
        </w:tc>
        <w:tc>
          <w:tcPr>
            <w:tcW w:w="2608" w:type="dxa"/>
            <w:gridSpan w:val="3"/>
            <w:vMerge w:val="restart"/>
            <w:vAlign w:val="center"/>
          </w:tcPr>
          <w:p>
            <w:pPr>
              <w:pStyle w:val="55"/>
              <w:shd w:val="clear" w:color="auto" w:fill="FFFFFF"/>
              <w:spacing w:line="360" w:lineRule="auto"/>
              <w:jc w:val="both"/>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vAlign w:val="center"/>
          </w:tcPr>
          <w:p>
            <w:pPr>
              <w:pStyle w:val="55"/>
              <w:shd w:val="clear" w:color="auto" w:fill="FFFFFF"/>
              <w:spacing w:line="360" w:lineRule="auto"/>
              <w:ind w:left="107"/>
              <w:jc w:val="both"/>
              <w:rPr>
                <w:rFonts w:cs="Times New Roman"/>
                <w:color w:val="auto"/>
              </w:rPr>
            </w:pPr>
          </w:p>
        </w:tc>
        <w:tc>
          <w:tcPr>
            <w:tcW w:w="690" w:type="dxa"/>
            <w:vMerge w:val="continue"/>
            <w:vAlign w:val="center"/>
          </w:tcPr>
          <w:p>
            <w:pPr>
              <w:pStyle w:val="55"/>
              <w:shd w:val="clear" w:color="auto" w:fill="FFFFFF"/>
              <w:spacing w:line="360" w:lineRule="auto"/>
              <w:jc w:val="both"/>
              <w:rPr>
                <w:rFonts w:cs="Times New Roman"/>
                <w:color w:val="auto"/>
                <w:spacing w:val="16"/>
              </w:rPr>
            </w:pPr>
          </w:p>
        </w:tc>
        <w:tc>
          <w:tcPr>
            <w:tcW w:w="960" w:type="dxa"/>
            <w:gridSpan w:val="2"/>
            <w:vAlign w:val="center"/>
          </w:tcPr>
          <w:p>
            <w:pPr>
              <w:pStyle w:val="55"/>
              <w:shd w:val="clear" w:color="auto" w:fill="FFFFFF"/>
              <w:spacing w:line="360" w:lineRule="auto"/>
              <w:jc w:val="both"/>
              <w:rPr>
                <w:rFonts w:cs="Times New Roman"/>
                <w:color w:val="auto"/>
                <w:spacing w:val="16"/>
              </w:rPr>
            </w:pPr>
            <w:r>
              <w:rPr>
                <w:rFonts w:hint="eastAsia"/>
                <w:color w:val="auto"/>
                <w:spacing w:val="27"/>
              </w:rPr>
              <w:t>手机</w:t>
            </w:r>
          </w:p>
        </w:tc>
        <w:tc>
          <w:tcPr>
            <w:tcW w:w="2115" w:type="dxa"/>
            <w:gridSpan w:val="3"/>
            <w:vAlign w:val="center"/>
          </w:tcPr>
          <w:p>
            <w:pPr>
              <w:pStyle w:val="55"/>
              <w:shd w:val="clear" w:color="auto" w:fill="FFFFFF"/>
              <w:spacing w:line="360" w:lineRule="auto"/>
              <w:jc w:val="both"/>
              <w:rPr>
                <w:rFonts w:cs="Times New Roman"/>
                <w:color w:val="auto"/>
                <w:spacing w:val="16"/>
              </w:rPr>
            </w:pPr>
          </w:p>
        </w:tc>
        <w:tc>
          <w:tcPr>
            <w:tcW w:w="1560" w:type="dxa"/>
            <w:vMerge w:val="continue"/>
            <w:vAlign w:val="center"/>
          </w:tcPr>
          <w:p>
            <w:pPr>
              <w:pStyle w:val="55"/>
              <w:shd w:val="clear" w:color="auto" w:fill="FFFFFF"/>
              <w:spacing w:line="360" w:lineRule="auto"/>
              <w:jc w:val="center"/>
              <w:rPr>
                <w:rFonts w:cs="Times New Roman"/>
                <w:color w:val="auto"/>
                <w:spacing w:val="16"/>
              </w:rPr>
            </w:pPr>
          </w:p>
        </w:tc>
        <w:tc>
          <w:tcPr>
            <w:tcW w:w="2608" w:type="dxa"/>
            <w:gridSpan w:val="3"/>
            <w:vMerge w:val="continue"/>
            <w:vAlign w:val="center"/>
          </w:tcPr>
          <w:p>
            <w:pPr>
              <w:pStyle w:val="55"/>
              <w:shd w:val="clear" w:color="auto" w:fill="FFFFFF"/>
              <w:spacing w:line="360" w:lineRule="auto"/>
              <w:jc w:val="both"/>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55"/>
              <w:shd w:val="clear" w:color="auto" w:fill="FFFFFF"/>
              <w:spacing w:line="360" w:lineRule="auto"/>
              <w:ind w:left="107"/>
              <w:jc w:val="both"/>
              <w:rPr>
                <w:color w:val="auto"/>
              </w:rPr>
            </w:pPr>
            <w:r>
              <w:rPr>
                <w:color w:val="auto"/>
              </w:rPr>
              <w:t>1.</w:t>
            </w:r>
          </w:p>
          <w:p>
            <w:pPr>
              <w:pStyle w:val="55"/>
              <w:shd w:val="clear" w:color="auto" w:fill="FFFFFF"/>
              <w:spacing w:line="360" w:lineRule="auto"/>
              <w:ind w:left="107"/>
              <w:jc w:val="both"/>
              <w:rPr>
                <w:rFonts w:cs="Times New Roman"/>
                <w:color w:val="auto"/>
              </w:rPr>
            </w:pPr>
            <w:r>
              <w:rPr>
                <w:rFonts w:hint="eastAsia"/>
                <w:color w:val="auto"/>
              </w:rPr>
              <w:t>企</w:t>
            </w:r>
          </w:p>
          <w:p>
            <w:pPr>
              <w:pStyle w:val="55"/>
              <w:shd w:val="clear" w:color="auto" w:fill="FFFFFF"/>
              <w:spacing w:line="360" w:lineRule="auto"/>
              <w:ind w:left="107"/>
              <w:jc w:val="both"/>
              <w:rPr>
                <w:rFonts w:cs="Times New Roman"/>
                <w:color w:val="auto"/>
              </w:rPr>
            </w:pPr>
            <w:r>
              <w:rPr>
                <w:rFonts w:hint="eastAsia"/>
                <w:color w:val="auto"/>
              </w:rPr>
              <w:t>业</w:t>
            </w:r>
          </w:p>
          <w:p>
            <w:pPr>
              <w:pStyle w:val="55"/>
              <w:shd w:val="clear" w:color="auto" w:fill="FFFFFF"/>
              <w:spacing w:line="360" w:lineRule="auto"/>
              <w:ind w:left="107"/>
              <w:jc w:val="both"/>
              <w:rPr>
                <w:rFonts w:cs="Times New Roman"/>
                <w:color w:val="auto"/>
                <w:spacing w:val="27"/>
              </w:rPr>
            </w:pPr>
            <w:r>
              <w:rPr>
                <w:rFonts w:hint="eastAsia"/>
                <w:color w:val="auto"/>
                <w:spacing w:val="27"/>
              </w:rPr>
              <w:t>概</w:t>
            </w:r>
          </w:p>
          <w:p>
            <w:pPr>
              <w:pStyle w:val="55"/>
              <w:shd w:val="clear" w:color="auto" w:fill="FFFFFF"/>
              <w:spacing w:line="360" w:lineRule="auto"/>
              <w:ind w:left="107"/>
              <w:jc w:val="both"/>
              <w:rPr>
                <w:rFonts w:cs="Times New Roman"/>
                <w:color w:val="auto"/>
              </w:rPr>
            </w:pPr>
            <w:r>
              <w:rPr>
                <w:rFonts w:hint="eastAsia"/>
                <w:color w:val="auto"/>
                <w:spacing w:val="27"/>
              </w:rPr>
              <w:t>况</w:t>
            </w:r>
          </w:p>
        </w:tc>
        <w:tc>
          <w:tcPr>
            <w:tcW w:w="690" w:type="dxa"/>
            <w:tcBorders>
              <w:top w:val="nil"/>
            </w:tcBorders>
            <w:vAlign w:val="center"/>
          </w:tcPr>
          <w:p>
            <w:pPr>
              <w:pStyle w:val="55"/>
              <w:shd w:val="clear" w:color="auto" w:fill="FFFFFF"/>
              <w:spacing w:line="360" w:lineRule="auto"/>
              <w:jc w:val="both"/>
              <w:rPr>
                <w:rFonts w:cs="Times New Roman"/>
                <w:color w:val="auto"/>
                <w:spacing w:val="16"/>
              </w:rPr>
            </w:pPr>
            <w:r>
              <w:rPr>
                <w:rFonts w:hint="eastAsia"/>
                <w:color w:val="auto"/>
                <w:spacing w:val="16"/>
              </w:rPr>
              <w:t>职工人数</w:t>
            </w:r>
          </w:p>
        </w:tc>
        <w:tc>
          <w:tcPr>
            <w:tcW w:w="960" w:type="dxa"/>
            <w:gridSpan w:val="2"/>
            <w:tcBorders>
              <w:top w:val="nil"/>
            </w:tcBorders>
            <w:vAlign w:val="center"/>
          </w:tcPr>
          <w:p>
            <w:pPr>
              <w:pStyle w:val="55"/>
              <w:shd w:val="clear" w:color="auto" w:fill="FFFFFF"/>
              <w:spacing w:line="360" w:lineRule="auto"/>
              <w:jc w:val="both"/>
              <w:rPr>
                <w:rFonts w:cs="Times New Roman"/>
                <w:color w:val="auto"/>
                <w:spacing w:val="16"/>
              </w:rPr>
            </w:pPr>
          </w:p>
        </w:tc>
        <w:tc>
          <w:tcPr>
            <w:tcW w:w="926" w:type="dxa"/>
            <w:tcBorders>
              <w:top w:val="nil"/>
            </w:tcBorders>
            <w:vAlign w:val="center"/>
          </w:tcPr>
          <w:p>
            <w:pPr>
              <w:pStyle w:val="55"/>
              <w:shd w:val="clear" w:color="auto" w:fill="FFFFFF"/>
              <w:spacing w:before="0" w:beforeAutospacing="0" w:after="0" w:afterAutospacing="0" w:line="360" w:lineRule="auto"/>
              <w:jc w:val="both"/>
              <w:rPr>
                <w:rFonts w:cs="Times New Roman"/>
                <w:color w:val="auto"/>
              </w:rPr>
            </w:pPr>
            <w:r>
              <w:rPr>
                <w:rFonts w:hint="eastAsia"/>
                <w:color w:val="auto"/>
                <w:spacing w:val="18"/>
              </w:rPr>
              <w:t>具备大专以</w:t>
            </w:r>
            <w:r>
              <w:rPr>
                <w:rFonts w:hint="eastAsia"/>
                <w:color w:val="auto"/>
                <w:spacing w:val="12"/>
              </w:rPr>
              <w:t>上学历人数</w:t>
            </w:r>
          </w:p>
        </w:tc>
        <w:tc>
          <w:tcPr>
            <w:tcW w:w="1189" w:type="dxa"/>
            <w:gridSpan w:val="2"/>
            <w:tcBorders>
              <w:top w:val="nil"/>
            </w:tcBorders>
            <w:vAlign w:val="center"/>
          </w:tcPr>
          <w:p>
            <w:pPr>
              <w:widowControl/>
              <w:spacing w:line="360" w:lineRule="auto"/>
              <w:rPr>
                <w:rFonts w:ascii="宋体"/>
                <w:color w:val="auto"/>
                <w:spacing w:val="16"/>
                <w:kern w:val="0"/>
                <w:sz w:val="24"/>
                <w:szCs w:val="24"/>
              </w:rPr>
            </w:pPr>
          </w:p>
          <w:p>
            <w:pPr>
              <w:widowControl/>
              <w:spacing w:line="360" w:lineRule="auto"/>
              <w:rPr>
                <w:rFonts w:ascii="宋体"/>
                <w:color w:val="auto"/>
                <w:spacing w:val="16"/>
                <w:kern w:val="0"/>
                <w:sz w:val="24"/>
                <w:szCs w:val="24"/>
              </w:rPr>
            </w:pPr>
          </w:p>
          <w:p>
            <w:pPr>
              <w:pStyle w:val="55"/>
              <w:shd w:val="clear" w:color="auto" w:fill="FFFFFF"/>
              <w:spacing w:line="360" w:lineRule="auto"/>
              <w:jc w:val="both"/>
              <w:rPr>
                <w:rFonts w:cs="Times New Roman"/>
                <w:color w:val="auto"/>
                <w:spacing w:val="16"/>
              </w:rPr>
            </w:pPr>
          </w:p>
        </w:tc>
        <w:tc>
          <w:tcPr>
            <w:tcW w:w="1560" w:type="dxa"/>
            <w:vAlign w:val="center"/>
          </w:tcPr>
          <w:p>
            <w:pPr>
              <w:pStyle w:val="55"/>
              <w:shd w:val="clear" w:color="auto" w:fill="FFFFFF"/>
              <w:spacing w:line="360" w:lineRule="auto"/>
              <w:jc w:val="center"/>
              <w:rPr>
                <w:rFonts w:cs="Times New Roman"/>
                <w:color w:val="auto"/>
                <w:spacing w:val="16"/>
              </w:rPr>
            </w:pPr>
            <w:r>
              <w:rPr>
                <w:rFonts w:hint="eastAsia"/>
                <w:color w:val="auto"/>
                <w:spacing w:val="65"/>
              </w:rPr>
              <w:t>国家授予技</w:t>
            </w:r>
            <w:r>
              <w:rPr>
                <w:rFonts w:hint="eastAsia"/>
                <w:color w:val="auto"/>
                <w:spacing w:val="12"/>
              </w:rPr>
              <w:t>术职称人数</w:t>
            </w:r>
          </w:p>
        </w:tc>
        <w:tc>
          <w:tcPr>
            <w:tcW w:w="2608" w:type="dxa"/>
            <w:gridSpan w:val="3"/>
            <w:vAlign w:val="center"/>
          </w:tcPr>
          <w:p>
            <w:pPr>
              <w:widowControl/>
              <w:spacing w:line="360" w:lineRule="auto"/>
              <w:rPr>
                <w:rFonts w:ascii="宋体"/>
                <w:color w:val="auto"/>
                <w:spacing w:val="16"/>
                <w:kern w:val="0"/>
                <w:sz w:val="24"/>
                <w:szCs w:val="24"/>
              </w:rPr>
            </w:pPr>
          </w:p>
          <w:p>
            <w:pPr>
              <w:pStyle w:val="55"/>
              <w:shd w:val="clear" w:color="auto" w:fill="FFFFFF"/>
              <w:spacing w:line="360" w:lineRule="auto"/>
              <w:jc w:val="both"/>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55"/>
              <w:shd w:val="clear" w:color="auto" w:fill="FFFFFF"/>
              <w:spacing w:line="360" w:lineRule="auto"/>
              <w:ind w:left="107"/>
              <w:jc w:val="both"/>
              <w:rPr>
                <w:rFonts w:cs="Times New Roman"/>
                <w:color w:val="auto"/>
              </w:rPr>
            </w:pPr>
          </w:p>
        </w:tc>
        <w:tc>
          <w:tcPr>
            <w:tcW w:w="690" w:type="dxa"/>
            <w:vAlign w:val="center"/>
          </w:tcPr>
          <w:p>
            <w:pPr>
              <w:pStyle w:val="55"/>
              <w:shd w:val="clear" w:color="auto" w:fill="FFFFFF"/>
              <w:spacing w:line="360" w:lineRule="auto"/>
              <w:jc w:val="both"/>
              <w:rPr>
                <w:rFonts w:cs="Times New Roman"/>
                <w:color w:val="auto"/>
              </w:rPr>
            </w:pPr>
            <w:r>
              <w:rPr>
                <w:rFonts w:hint="eastAsia"/>
                <w:color w:val="auto"/>
                <w:spacing w:val="16"/>
              </w:rPr>
              <w:t>占地面积</w:t>
            </w:r>
          </w:p>
        </w:tc>
        <w:tc>
          <w:tcPr>
            <w:tcW w:w="960" w:type="dxa"/>
            <w:gridSpan w:val="2"/>
            <w:vAlign w:val="center"/>
          </w:tcPr>
          <w:p>
            <w:pPr>
              <w:pStyle w:val="55"/>
              <w:shd w:val="clear" w:color="auto" w:fill="FFFFFF"/>
              <w:spacing w:line="360" w:lineRule="auto"/>
              <w:jc w:val="both"/>
              <w:rPr>
                <w:rFonts w:cs="Times New Roman"/>
                <w:color w:val="auto"/>
              </w:rPr>
            </w:pPr>
          </w:p>
        </w:tc>
        <w:tc>
          <w:tcPr>
            <w:tcW w:w="926" w:type="dxa"/>
            <w:vAlign w:val="center"/>
          </w:tcPr>
          <w:p>
            <w:pPr>
              <w:pStyle w:val="55"/>
              <w:shd w:val="clear" w:color="auto" w:fill="FFFFFF"/>
              <w:spacing w:line="360" w:lineRule="auto"/>
              <w:jc w:val="both"/>
              <w:rPr>
                <w:rFonts w:cs="Times New Roman"/>
                <w:color w:val="auto"/>
              </w:rPr>
            </w:pPr>
            <w:r>
              <w:rPr>
                <w:rFonts w:hint="eastAsia"/>
                <w:color w:val="auto"/>
                <w:spacing w:val="16"/>
              </w:rPr>
              <w:t>建筑面积</w:t>
            </w:r>
          </w:p>
        </w:tc>
        <w:tc>
          <w:tcPr>
            <w:tcW w:w="1189" w:type="dxa"/>
            <w:gridSpan w:val="2"/>
            <w:vAlign w:val="center"/>
          </w:tcPr>
          <w:p>
            <w:pPr>
              <w:pStyle w:val="55"/>
              <w:shd w:val="clear" w:color="auto" w:fill="FFFFFF"/>
              <w:spacing w:line="360" w:lineRule="auto"/>
              <w:jc w:val="both"/>
              <w:rPr>
                <w:rFonts w:cs="Times New Roman"/>
                <w:color w:val="auto"/>
              </w:rPr>
            </w:pPr>
            <w:r>
              <w:rPr>
                <w:rFonts w:hint="eastAsia"/>
                <w:color w:val="auto"/>
              </w:rPr>
              <w:t>平方米</w:t>
            </w:r>
          </w:p>
          <w:p>
            <w:pPr>
              <w:pStyle w:val="55"/>
              <w:shd w:val="clear" w:color="auto" w:fill="FFFFFF"/>
              <w:spacing w:line="360" w:lineRule="auto"/>
              <w:jc w:val="both"/>
              <w:rPr>
                <w:rFonts w:cs="Times New Roman"/>
                <w:color w:val="auto"/>
              </w:rPr>
            </w:pPr>
            <w:r>
              <w:rPr>
                <w:rFonts w:hint="eastAsia"/>
                <w:color w:val="auto"/>
                <w:spacing w:val="16"/>
              </w:rPr>
              <w:t>□自有□租赁</w:t>
            </w:r>
          </w:p>
        </w:tc>
        <w:tc>
          <w:tcPr>
            <w:tcW w:w="1560" w:type="dxa"/>
            <w:vAlign w:val="center"/>
          </w:tcPr>
          <w:p>
            <w:pPr>
              <w:pStyle w:val="55"/>
              <w:shd w:val="clear" w:color="auto" w:fill="FFFFFF"/>
              <w:spacing w:line="360" w:lineRule="auto"/>
              <w:jc w:val="center"/>
              <w:rPr>
                <w:rFonts w:cs="Times New Roman"/>
                <w:color w:val="auto"/>
              </w:rPr>
            </w:pPr>
            <w:r>
              <w:rPr>
                <w:rFonts w:hint="eastAsia"/>
                <w:color w:val="auto"/>
                <w:spacing w:val="16"/>
              </w:rPr>
              <w:t>生产经营场所及场所的设施与设备</w:t>
            </w:r>
          </w:p>
        </w:tc>
        <w:tc>
          <w:tcPr>
            <w:tcW w:w="2608" w:type="dxa"/>
            <w:gridSpan w:val="3"/>
            <w:vAlign w:val="center"/>
          </w:tcPr>
          <w:p>
            <w:pPr>
              <w:pStyle w:val="55"/>
              <w:shd w:val="clear" w:color="auto" w:fill="FFFFFF"/>
              <w:spacing w:before="0" w:beforeAutospacing="0" w:after="0" w:afterAutospacing="0" w:line="360" w:lineRule="auto"/>
              <w:jc w:val="both"/>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55"/>
              <w:shd w:val="clear" w:color="auto" w:fill="FFFFFF"/>
              <w:spacing w:line="360" w:lineRule="auto"/>
              <w:ind w:left="107"/>
              <w:jc w:val="both"/>
              <w:rPr>
                <w:rFonts w:cs="Times New Roman"/>
                <w:color w:val="auto"/>
              </w:rPr>
            </w:pPr>
          </w:p>
        </w:tc>
        <w:tc>
          <w:tcPr>
            <w:tcW w:w="690" w:type="dxa"/>
            <w:vAlign w:val="center"/>
          </w:tcPr>
          <w:p>
            <w:pPr>
              <w:pStyle w:val="55"/>
              <w:shd w:val="clear" w:color="auto" w:fill="FFFFFF"/>
              <w:spacing w:line="360" w:lineRule="auto"/>
              <w:ind w:left="2"/>
              <w:jc w:val="both"/>
              <w:rPr>
                <w:rFonts w:cs="Times New Roman"/>
                <w:color w:val="auto"/>
                <w:spacing w:val="16"/>
              </w:rPr>
            </w:pPr>
            <w:r>
              <w:rPr>
                <w:rFonts w:hint="eastAsia"/>
                <w:color w:val="auto"/>
                <w:spacing w:val="16"/>
              </w:rPr>
              <w:t>注册资金</w:t>
            </w:r>
          </w:p>
        </w:tc>
        <w:tc>
          <w:tcPr>
            <w:tcW w:w="960" w:type="dxa"/>
            <w:gridSpan w:val="2"/>
            <w:vAlign w:val="center"/>
          </w:tcPr>
          <w:p>
            <w:pPr>
              <w:pStyle w:val="55"/>
              <w:shd w:val="clear" w:color="auto" w:fill="FFFFFF"/>
              <w:spacing w:line="360" w:lineRule="auto"/>
              <w:ind w:left="2"/>
              <w:jc w:val="both"/>
              <w:rPr>
                <w:rFonts w:cs="Times New Roman"/>
                <w:color w:val="auto"/>
              </w:rPr>
            </w:pPr>
          </w:p>
        </w:tc>
        <w:tc>
          <w:tcPr>
            <w:tcW w:w="926" w:type="dxa"/>
            <w:vAlign w:val="center"/>
          </w:tcPr>
          <w:p>
            <w:pPr>
              <w:pStyle w:val="55"/>
              <w:shd w:val="clear" w:color="auto" w:fill="FFFFFF"/>
              <w:spacing w:line="360" w:lineRule="auto"/>
              <w:ind w:left="107"/>
              <w:jc w:val="both"/>
              <w:rPr>
                <w:rFonts w:cs="Times New Roman"/>
                <w:color w:val="auto"/>
              </w:rPr>
            </w:pPr>
            <w:r>
              <w:rPr>
                <w:rFonts w:hint="eastAsia"/>
                <w:color w:val="auto"/>
                <w:spacing w:val="16"/>
              </w:rPr>
              <w:t>注册发证</w:t>
            </w:r>
            <w:r>
              <w:rPr>
                <w:rFonts w:hint="eastAsia"/>
                <w:color w:val="auto"/>
                <w:spacing w:val="27"/>
              </w:rPr>
              <w:t>机关</w:t>
            </w:r>
          </w:p>
        </w:tc>
        <w:tc>
          <w:tcPr>
            <w:tcW w:w="2749" w:type="dxa"/>
            <w:gridSpan w:val="3"/>
            <w:vAlign w:val="center"/>
          </w:tcPr>
          <w:p>
            <w:pPr>
              <w:widowControl/>
              <w:spacing w:line="360" w:lineRule="auto"/>
              <w:rPr>
                <w:rFonts w:ascii="宋体"/>
                <w:color w:val="auto"/>
                <w:kern w:val="0"/>
                <w:sz w:val="24"/>
                <w:szCs w:val="24"/>
              </w:rPr>
            </w:pPr>
          </w:p>
          <w:p>
            <w:pPr>
              <w:pStyle w:val="55"/>
              <w:shd w:val="clear" w:color="auto" w:fill="FFFFFF"/>
              <w:spacing w:line="360" w:lineRule="auto"/>
              <w:ind w:left="107"/>
              <w:jc w:val="both"/>
              <w:rPr>
                <w:rFonts w:cs="Times New Roman"/>
                <w:color w:val="auto"/>
              </w:rPr>
            </w:pPr>
          </w:p>
        </w:tc>
        <w:tc>
          <w:tcPr>
            <w:tcW w:w="1675" w:type="dxa"/>
            <w:gridSpan w:val="2"/>
            <w:vAlign w:val="center"/>
          </w:tcPr>
          <w:p>
            <w:pPr>
              <w:pStyle w:val="55"/>
              <w:shd w:val="clear" w:color="auto" w:fill="FFFFFF"/>
              <w:spacing w:line="360" w:lineRule="auto"/>
              <w:ind w:left="107"/>
              <w:jc w:val="both"/>
              <w:rPr>
                <w:rFonts w:cs="Times New Roman"/>
                <w:color w:val="auto"/>
              </w:rPr>
            </w:pPr>
            <w:r>
              <w:rPr>
                <w:rFonts w:hint="eastAsia"/>
                <w:color w:val="auto"/>
              </w:rPr>
              <w:t>公司成</w:t>
            </w:r>
            <w:r>
              <w:rPr>
                <w:rFonts w:hint="eastAsia"/>
                <w:color w:val="auto"/>
                <w:spacing w:val="12"/>
              </w:rPr>
              <w:t>立时间</w:t>
            </w:r>
          </w:p>
        </w:tc>
        <w:tc>
          <w:tcPr>
            <w:tcW w:w="933" w:type="dxa"/>
            <w:vAlign w:val="center"/>
          </w:tcPr>
          <w:p>
            <w:pPr>
              <w:pStyle w:val="55"/>
              <w:shd w:val="clear" w:color="auto" w:fill="FFFFFF"/>
              <w:spacing w:line="360" w:lineRule="auto"/>
              <w:ind w:left="107"/>
              <w:jc w:val="both"/>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55"/>
              <w:shd w:val="clear" w:color="auto" w:fill="FFFFFF"/>
              <w:spacing w:line="360" w:lineRule="auto"/>
              <w:ind w:left="107"/>
              <w:jc w:val="both"/>
              <w:rPr>
                <w:rFonts w:cs="Times New Roman"/>
                <w:color w:val="auto"/>
              </w:rPr>
            </w:pPr>
          </w:p>
        </w:tc>
        <w:tc>
          <w:tcPr>
            <w:tcW w:w="690" w:type="dxa"/>
            <w:vAlign w:val="center"/>
          </w:tcPr>
          <w:p>
            <w:pPr>
              <w:pStyle w:val="55"/>
              <w:shd w:val="clear" w:color="auto" w:fill="FFFFFF"/>
              <w:spacing w:line="360" w:lineRule="auto"/>
              <w:ind w:left="2"/>
              <w:jc w:val="both"/>
              <w:rPr>
                <w:rFonts w:cs="Times New Roman"/>
                <w:color w:val="auto"/>
              </w:rPr>
            </w:pPr>
            <w:r>
              <w:rPr>
                <w:rFonts w:hint="eastAsia"/>
                <w:color w:val="auto"/>
              </w:rPr>
              <w:t>核准经营范围</w:t>
            </w:r>
          </w:p>
        </w:tc>
        <w:tc>
          <w:tcPr>
            <w:tcW w:w="7243" w:type="dxa"/>
            <w:gridSpan w:val="9"/>
            <w:vAlign w:val="center"/>
          </w:tcPr>
          <w:p>
            <w:pPr>
              <w:pStyle w:val="55"/>
              <w:shd w:val="clear" w:color="auto" w:fill="FFFFFF"/>
              <w:spacing w:line="360" w:lineRule="auto"/>
              <w:ind w:left="107"/>
              <w:jc w:val="both"/>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55"/>
              <w:shd w:val="clear" w:color="auto" w:fill="FFFFFF"/>
              <w:spacing w:line="360" w:lineRule="auto"/>
              <w:ind w:left="107"/>
              <w:jc w:val="both"/>
              <w:rPr>
                <w:rFonts w:cs="Times New Roman"/>
                <w:color w:val="auto"/>
              </w:rPr>
            </w:pPr>
          </w:p>
        </w:tc>
        <w:tc>
          <w:tcPr>
            <w:tcW w:w="7933" w:type="dxa"/>
            <w:gridSpan w:val="10"/>
            <w:vAlign w:val="center"/>
          </w:tcPr>
          <w:p>
            <w:pPr>
              <w:pStyle w:val="55"/>
              <w:shd w:val="clear" w:color="auto" w:fill="FFFFFF"/>
              <w:spacing w:line="360" w:lineRule="auto"/>
              <w:jc w:val="both"/>
              <w:rPr>
                <w:rFonts w:cs="Times New Roman"/>
                <w:color w:val="auto"/>
                <w:spacing w:val="13"/>
              </w:rPr>
            </w:pPr>
            <w:r>
              <w:rPr>
                <w:rFonts w:hint="eastAsia"/>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55"/>
              <w:shd w:val="clear" w:color="auto" w:fill="FFFFFF"/>
              <w:spacing w:line="360" w:lineRule="auto"/>
              <w:ind w:left="107"/>
              <w:jc w:val="both"/>
              <w:rPr>
                <w:rFonts w:cs="Times New Roman"/>
                <w:color w:val="auto"/>
              </w:rPr>
            </w:pPr>
            <w:r>
              <w:rPr>
                <w:color w:val="auto"/>
              </w:rPr>
              <w:t>2</w:t>
            </w:r>
            <w:r>
              <w:rPr>
                <w:rFonts w:hint="eastAsia"/>
                <w:color w:val="auto"/>
              </w:rPr>
              <w:t>．</w:t>
            </w:r>
          </w:p>
          <w:p>
            <w:pPr>
              <w:pStyle w:val="55"/>
              <w:shd w:val="clear" w:color="auto" w:fill="FFFFFF"/>
              <w:spacing w:line="360" w:lineRule="auto"/>
              <w:ind w:left="107"/>
              <w:jc w:val="both"/>
              <w:rPr>
                <w:rFonts w:cs="Times New Roman"/>
                <w:color w:val="auto"/>
                <w:spacing w:val="16"/>
              </w:rPr>
            </w:pPr>
            <w:r>
              <w:rPr>
                <w:rFonts w:hint="eastAsia"/>
                <w:color w:val="auto"/>
              </w:rPr>
              <w:t>企</w:t>
            </w:r>
            <w:r>
              <w:rPr>
                <w:rFonts w:hint="eastAsia"/>
                <w:color w:val="auto"/>
                <w:spacing w:val="12"/>
              </w:rPr>
              <w:t>业有关资质获证情况</w:t>
            </w:r>
          </w:p>
        </w:tc>
        <w:tc>
          <w:tcPr>
            <w:tcW w:w="1355" w:type="dxa"/>
            <w:gridSpan w:val="2"/>
            <w:vMerge w:val="restart"/>
            <w:vAlign w:val="center"/>
          </w:tcPr>
          <w:p>
            <w:pPr>
              <w:pStyle w:val="55"/>
              <w:shd w:val="clear" w:color="auto" w:fill="FFFFFF"/>
              <w:spacing w:before="0" w:beforeAutospacing="0" w:after="0" w:afterAutospacing="0" w:line="360" w:lineRule="auto"/>
              <w:jc w:val="both"/>
              <w:rPr>
                <w:rFonts w:cs="Times New Roman"/>
                <w:color w:val="auto"/>
                <w:spacing w:val="16"/>
              </w:rPr>
            </w:pPr>
            <w:r>
              <w:rPr>
                <w:rFonts w:hint="eastAsia"/>
                <w:color w:val="auto"/>
                <w:spacing w:val="12"/>
              </w:rPr>
              <w:t>产品生产许可证情况</w:t>
            </w:r>
            <w:r>
              <w:rPr>
                <w:rFonts w:hint="eastAsia"/>
                <w:color w:val="auto"/>
                <w:spacing w:val="41"/>
              </w:rPr>
              <w:t>（对需获得生产许可证的</w:t>
            </w:r>
            <w:r>
              <w:rPr>
                <w:rFonts w:hint="eastAsia"/>
                <w:color w:val="auto"/>
                <w:spacing w:val="11"/>
              </w:rPr>
              <w:t>产品要填写此栏）</w:t>
            </w:r>
          </w:p>
        </w:tc>
        <w:tc>
          <w:tcPr>
            <w:tcW w:w="1333" w:type="dxa"/>
            <w:gridSpan w:val="3"/>
            <w:vAlign w:val="center"/>
          </w:tcPr>
          <w:p>
            <w:pPr>
              <w:pStyle w:val="55"/>
              <w:shd w:val="clear" w:color="auto" w:fill="FFFFFF"/>
              <w:spacing w:line="360" w:lineRule="auto"/>
              <w:ind w:right="-78" w:rightChars="-37"/>
              <w:jc w:val="both"/>
              <w:rPr>
                <w:rFonts w:cs="Times New Roman"/>
                <w:color w:val="auto"/>
                <w:spacing w:val="16"/>
              </w:rPr>
            </w:pPr>
            <w:r>
              <w:rPr>
                <w:rFonts w:hint="eastAsia"/>
                <w:color w:val="auto"/>
                <w:spacing w:val="16"/>
              </w:rPr>
              <w:t>产品名称</w:t>
            </w:r>
          </w:p>
        </w:tc>
        <w:tc>
          <w:tcPr>
            <w:tcW w:w="1077" w:type="dxa"/>
            <w:vAlign w:val="center"/>
          </w:tcPr>
          <w:p>
            <w:pPr>
              <w:pStyle w:val="55"/>
              <w:shd w:val="clear" w:color="auto" w:fill="FFFFFF"/>
              <w:spacing w:before="0" w:beforeAutospacing="0" w:after="0" w:afterAutospacing="0" w:line="360" w:lineRule="auto"/>
              <w:jc w:val="both"/>
              <w:rPr>
                <w:rFonts w:cs="Times New Roman"/>
                <w:color w:val="auto"/>
              </w:rPr>
            </w:pPr>
            <w:r>
              <w:rPr>
                <w:rFonts w:hint="eastAsia"/>
                <w:color w:val="auto"/>
                <w:spacing w:val="16"/>
              </w:rPr>
              <w:t>发证机关</w:t>
            </w:r>
          </w:p>
        </w:tc>
        <w:tc>
          <w:tcPr>
            <w:tcW w:w="1617" w:type="dxa"/>
            <w:gridSpan w:val="2"/>
            <w:vAlign w:val="center"/>
          </w:tcPr>
          <w:p>
            <w:pPr>
              <w:pStyle w:val="55"/>
              <w:shd w:val="clear" w:color="auto" w:fill="FFFFFF"/>
              <w:spacing w:line="360" w:lineRule="auto"/>
              <w:jc w:val="both"/>
              <w:rPr>
                <w:rFonts w:cs="Times New Roman"/>
                <w:color w:val="auto"/>
              </w:rPr>
            </w:pPr>
            <w:r>
              <w:rPr>
                <w:rFonts w:hint="eastAsia"/>
                <w:color w:val="auto"/>
                <w:spacing w:val="27"/>
              </w:rPr>
              <w:t>编号</w:t>
            </w:r>
          </w:p>
        </w:tc>
        <w:tc>
          <w:tcPr>
            <w:tcW w:w="1618" w:type="dxa"/>
            <w:vAlign w:val="center"/>
          </w:tcPr>
          <w:p>
            <w:pPr>
              <w:pStyle w:val="55"/>
              <w:shd w:val="clear" w:color="auto" w:fill="FFFFFF"/>
              <w:spacing w:line="360" w:lineRule="auto"/>
              <w:jc w:val="both"/>
              <w:rPr>
                <w:rFonts w:cs="Times New Roman"/>
                <w:color w:val="auto"/>
              </w:rPr>
            </w:pPr>
            <w:r>
              <w:rPr>
                <w:rFonts w:hint="eastAsia"/>
                <w:color w:val="auto"/>
                <w:spacing w:val="16"/>
              </w:rPr>
              <w:t>发证时间</w:t>
            </w:r>
          </w:p>
        </w:tc>
        <w:tc>
          <w:tcPr>
            <w:tcW w:w="933" w:type="dxa"/>
            <w:vAlign w:val="center"/>
          </w:tcPr>
          <w:p>
            <w:pPr>
              <w:pStyle w:val="55"/>
              <w:shd w:val="clear" w:color="auto" w:fill="FFFFFF"/>
              <w:spacing w:before="0" w:beforeAutospacing="0" w:after="0" w:afterAutospacing="0" w:line="360" w:lineRule="auto"/>
              <w:jc w:val="both"/>
              <w:rPr>
                <w:rFonts w:cs="Times New Roman"/>
                <w:color w:val="auto"/>
              </w:rPr>
            </w:pPr>
            <w:r>
              <w:rPr>
                <w:rFonts w:hint="eastAsia"/>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55"/>
              <w:shd w:val="clear" w:color="auto" w:fill="FFFFFF"/>
              <w:spacing w:line="360" w:lineRule="auto"/>
              <w:ind w:left="107"/>
              <w:jc w:val="both"/>
              <w:rPr>
                <w:rFonts w:cs="Times New Roman"/>
                <w:color w:val="auto"/>
              </w:rPr>
            </w:pPr>
          </w:p>
        </w:tc>
        <w:tc>
          <w:tcPr>
            <w:tcW w:w="1355" w:type="dxa"/>
            <w:gridSpan w:val="2"/>
            <w:vMerge w:val="continue"/>
            <w:vAlign w:val="center"/>
          </w:tcPr>
          <w:p>
            <w:pPr>
              <w:pStyle w:val="55"/>
              <w:shd w:val="clear" w:color="auto" w:fill="FFFFFF"/>
              <w:spacing w:line="360" w:lineRule="auto"/>
              <w:jc w:val="both"/>
              <w:rPr>
                <w:rFonts w:cs="Times New Roman"/>
                <w:color w:val="auto"/>
              </w:rPr>
            </w:pPr>
          </w:p>
        </w:tc>
        <w:tc>
          <w:tcPr>
            <w:tcW w:w="1333" w:type="dxa"/>
            <w:gridSpan w:val="3"/>
            <w:vAlign w:val="center"/>
          </w:tcPr>
          <w:p>
            <w:pPr>
              <w:pStyle w:val="55"/>
              <w:shd w:val="clear" w:color="auto" w:fill="FFFFFF"/>
              <w:spacing w:line="360" w:lineRule="auto"/>
              <w:jc w:val="both"/>
              <w:rPr>
                <w:rFonts w:cs="Times New Roman"/>
                <w:color w:val="auto"/>
              </w:rPr>
            </w:pPr>
          </w:p>
        </w:tc>
        <w:tc>
          <w:tcPr>
            <w:tcW w:w="1077" w:type="dxa"/>
            <w:vAlign w:val="center"/>
          </w:tcPr>
          <w:p>
            <w:pPr>
              <w:pStyle w:val="55"/>
              <w:shd w:val="clear" w:color="auto" w:fill="FFFFFF"/>
              <w:spacing w:line="360" w:lineRule="auto"/>
              <w:jc w:val="both"/>
              <w:rPr>
                <w:rFonts w:cs="Times New Roman"/>
                <w:color w:val="auto"/>
              </w:rPr>
            </w:pPr>
          </w:p>
        </w:tc>
        <w:tc>
          <w:tcPr>
            <w:tcW w:w="1617" w:type="dxa"/>
            <w:gridSpan w:val="2"/>
            <w:vAlign w:val="center"/>
          </w:tcPr>
          <w:p>
            <w:pPr>
              <w:pStyle w:val="55"/>
              <w:shd w:val="clear" w:color="auto" w:fill="FFFFFF"/>
              <w:spacing w:line="360" w:lineRule="auto"/>
              <w:jc w:val="both"/>
              <w:rPr>
                <w:rFonts w:cs="Times New Roman"/>
                <w:color w:val="auto"/>
              </w:rPr>
            </w:pPr>
          </w:p>
        </w:tc>
        <w:tc>
          <w:tcPr>
            <w:tcW w:w="2551" w:type="dxa"/>
            <w:gridSpan w:val="2"/>
            <w:vAlign w:val="center"/>
          </w:tcPr>
          <w:p>
            <w:pPr>
              <w:pStyle w:val="55"/>
              <w:shd w:val="clear" w:color="auto" w:fill="FFFFFF"/>
              <w:spacing w:line="360" w:lineRule="auto"/>
              <w:jc w:val="both"/>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55"/>
              <w:shd w:val="clear" w:color="auto" w:fill="FFFFFF"/>
              <w:spacing w:line="360" w:lineRule="auto"/>
              <w:ind w:left="107"/>
              <w:jc w:val="both"/>
              <w:rPr>
                <w:rFonts w:cs="Times New Roman"/>
                <w:color w:val="auto"/>
                <w:spacing w:val="16"/>
              </w:rPr>
            </w:pPr>
          </w:p>
        </w:tc>
        <w:tc>
          <w:tcPr>
            <w:tcW w:w="1355" w:type="dxa"/>
            <w:gridSpan w:val="2"/>
            <w:vAlign w:val="center"/>
          </w:tcPr>
          <w:p>
            <w:pPr>
              <w:pStyle w:val="55"/>
              <w:shd w:val="clear" w:color="auto" w:fill="FFFFFF"/>
              <w:spacing w:before="0" w:beforeAutospacing="0" w:after="0" w:afterAutospacing="0" w:line="360" w:lineRule="auto"/>
              <w:ind w:right="-107" w:rightChars="-51"/>
              <w:jc w:val="both"/>
              <w:rPr>
                <w:rFonts w:cs="Times New Roman"/>
                <w:color w:val="auto"/>
                <w:spacing w:val="41"/>
              </w:rPr>
            </w:pPr>
            <w:r>
              <w:rPr>
                <w:rFonts w:hint="eastAsia"/>
                <w:color w:val="auto"/>
                <w:spacing w:val="41"/>
              </w:rPr>
              <w:t>企业通过质量体系、环保</w:t>
            </w:r>
            <w:r>
              <w:rPr>
                <w:rFonts w:hint="eastAsia"/>
                <w:color w:val="auto"/>
                <w:spacing w:val="11"/>
              </w:rPr>
              <w:t>体系、计量等认证情况</w:t>
            </w:r>
          </w:p>
        </w:tc>
        <w:tc>
          <w:tcPr>
            <w:tcW w:w="6578" w:type="dxa"/>
            <w:gridSpan w:val="8"/>
            <w:vAlign w:val="center"/>
          </w:tcPr>
          <w:p>
            <w:pPr>
              <w:pStyle w:val="55"/>
              <w:shd w:val="clear" w:color="auto" w:fill="FFFFFF"/>
              <w:spacing w:line="360" w:lineRule="auto"/>
              <w:jc w:val="both"/>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55"/>
              <w:shd w:val="clear" w:color="auto" w:fill="FFFFFF"/>
              <w:spacing w:line="360" w:lineRule="auto"/>
              <w:ind w:left="107"/>
              <w:jc w:val="both"/>
              <w:rPr>
                <w:rFonts w:cs="Times New Roman"/>
                <w:color w:val="auto"/>
                <w:spacing w:val="27"/>
              </w:rPr>
            </w:pPr>
          </w:p>
        </w:tc>
        <w:tc>
          <w:tcPr>
            <w:tcW w:w="1355" w:type="dxa"/>
            <w:gridSpan w:val="2"/>
            <w:vAlign w:val="center"/>
          </w:tcPr>
          <w:p>
            <w:pPr>
              <w:pStyle w:val="55"/>
              <w:shd w:val="clear" w:color="auto" w:fill="FFFFFF"/>
              <w:spacing w:line="360" w:lineRule="auto"/>
              <w:jc w:val="both"/>
              <w:rPr>
                <w:rFonts w:cs="Times New Roman"/>
                <w:color w:val="auto"/>
                <w:spacing w:val="16"/>
              </w:rPr>
            </w:pPr>
            <w:r>
              <w:rPr>
                <w:rFonts w:hint="eastAsia"/>
                <w:color w:val="auto"/>
                <w:spacing w:val="10"/>
              </w:rPr>
              <w:t>企业获得专利情况</w:t>
            </w:r>
          </w:p>
        </w:tc>
        <w:tc>
          <w:tcPr>
            <w:tcW w:w="6578" w:type="dxa"/>
            <w:gridSpan w:val="8"/>
            <w:vAlign w:val="center"/>
          </w:tcPr>
          <w:p>
            <w:pPr>
              <w:pStyle w:val="55"/>
              <w:shd w:val="clear" w:color="auto" w:fill="FFFFFF"/>
              <w:spacing w:line="360" w:lineRule="auto"/>
              <w:jc w:val="both"/>
              <w:rPr>
                <w:rFonts w:cs="Times New Roman"/>
                <w:color w:val="auto"/>
                <w:spacing w:val="16"/>
              </w:rPr>
            </w:pPr>
          </w:p>
        </w:tc>
      </w:tr>
    </w:tbl>
    <w:p>
      <w:pPr>
        <w:spacing w:line="360" w:lineRule="auto"/>
        <w:rPr>
          <w:rFonts w:ascii="宋体"/>
          <w:color w:val="auto"/>
          <w:sz w:val="24"/>
          <w:szCs w:val="24"/>
        </w:rPr>
      </w:pPr>
    </w:p>
    <w:p>
      <w:pPr>
        <w:spacing w:line="360" w:lineRule="auto"/>
        <w:rPr>
          <w:b/>
          <w:bCs/>
          <w:color w:val="auto"/>
          <w:sz w:val="24"/>
          <w:szCs w:val="24"/>
        </w:rPr>
      </w:pPr>
      <w:r>
        <w:rPr>
          <w:rFonts w:hint="eastAsia" w:cs="宋体"/>
          <w:b/>
          <w:bCs/>
          <w:color w:val="auto"/>
          <w:sz w:val="24"/>
          <w:szCs w:val="24"/>
        </w:rPr>
        <w:t>要求：</w:t>
      </w:r>
    </w:p>
    <w:p>
      <w:pPr>
        <w:spacing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姓名栏必须将所有股东都统计在内，若非股份公司此行（第三行）无需填写；</w:t>
      </w:r>
    </w:p>
    <w:p>
      <w:pPr>
        <w:spacing w:line="360" w:lineRule="auto"/>
        <w:rPr>
          <w:rFonts w:ascii="宋体"/>
          <w:color w:val="auto"/>
          <w:sz w:val="24"/>
          <w:szCs w:val="24"/>
        </w:rPr>
      </w:pPr>
    </w:p>
    <w:p>
      <w:pPr>
        <w:spacing w:line="480" w:lineRule="auto"/>
        <w:rPr>
          <w:rFonts w:ascii="宋体"/>
          <w:color w:val="auto"/>
          <w:sz w:val="24"/>
          <w:szCs w:val="24"/>
        </w:rPr>
      </w:pPr>
      <w:r>
        <w:rPr>
          <w:rFonts w:hint="eastAsia" w:ascii="宋体" w:hAnsi="宋体" w:cs="宋体"/>
          <w:color w:val="auto"/>
          <w:sz w:val="24"/>
          <w:szCs w:val="24"/>
        </w:rPr>
        <w:t>投标人名称（盖章）：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授权委托代理人签字或盖章：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p>
    <w:p>
      <w:pPr>
        <w:spacing w:line="360" w:lineRule="auto"/>
        <w:rPr>
          <w:rFonts w:ascii="宋体"/>
          <w:b/>
          <w:bCs/>
          <w:color w:val="auto"/>
          <w:sz w:val="28"/>
          <w:szCs w:val="28"/>
        </w:rPr>
      </w:pPr>
    </w:p>
    <w:p>
      <w:pPr>
        <w:spacing w:line="360" w:lineRule="auto"/>
        <w:rPr>
          <w:rFonts w:ascii="宋体"/>
          <w:color w:val="auto"/>
          <w:sz w:val="24"/>
          <w:szCs w:val="24"/>
        </w:rPr>
      </w:pPr>
      <w:r>
        <w:rPr>
          <w:rFonts w:hint="eastAsia" w:ascii="宋体" w:hAnsi="宋体" w:cs="宋体"/>
          <w:b/>
          <w:bCs/>
          <w:color w:val="auto"/>
          <w:sz w:val="28"/>
          <w:szCs w:val="28"/>
        </w:rPr>
        <w:t>附件</w:t>
      </w:r>
      <w:r>
        <w:rPr>
          <w:rFonts w:ascii="宋体" w:hAnsi="宋体" w:cs="宋体"/>
          <w:b/>
          <w:bCs/>
          <w:color w:val="auto"/>
          <w:sz w:val="28"/>
          <w:szCs w:val="28"/>
        </w:rPr>
        <w:t>6</w:t>
      </w: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项目实施人员一览表</w:t>
      </w:r>
    </w:p>
    <w:p>
      <w:pPr>
        <w:spacing w:line="360" w:lineRule="auto"/>
        <w:jc w:val="center"/>
        <w:rPr>
          <w:color w:val="auto"/>
          <w:sz w:val="24"/>
          <w:szCs w:val="24"/>
        </w:rPr>
      </w:pPr>
      <w:r>
        <w:rPr>
          <w:rFonts w:hint="eastAsia" w:cs="宋体"/>
          <w:color w:val="auto"/>
          <w:sz w:val="24"/>
          <w:szCs w:val="24"/>
        </w:rPr>
        <w:t>（主要从业人员及其技术资格）</w:t>
      </w:r>
    </w:p>
    <w:tbl>
      <w:tblPr>
        <w:tblStyle w:val="24"/>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31680"/>
              <w:rPr>
                <w:rFonts w:ascii="宋体" w:hAnsi="宋体" w:eastAsia="宋体" w:cs="Times New Roman"/>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31680"/>
              <w:rPr>
                <w:rFonts w:ascii="宋体" w:hAnsi="宋体" w:eastAsia="宋体" w:cs="Times New Roman"/>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31680"/>
              <w:rPr>
                <w:rFonts w:asci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bl>
    <w:p>
      <w:pPr>
        <w:spacing w:line="360" w:lineRule="auto"/>
        <w:jc w:val="left"/>
        <w:rPr>
          <w:b/>
          <w:bCs/>
          <w:color w:val="auto"/>
          <w:sz w:val="24"/>
          <w:szCs w:val="24"/>
        </w:rPr>
      </w:pPr>
      <w:r>
        <w:rPr>
          <w:rFonts w:hint="eastAsia" w:cs="宋体"/>
          <w:b/>
          <w:bCs/>
          <w:color w:val="auto"/>
          <w:sz w:val="24"/>
          <w:szCs w:val="24"/>
        </w:rPr>
        <w:t>要求：</w:t>
      </w:r>
    </w:p>
    <w:p>
      <w:pPr>
        <w:spacing w:line="360" w:lineRule="auto"/>
        <w:ind w:firstLine="480" w:firstLineChars="20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在填写时，如本表格不适合投标单位的实际情况，可根据本表格式自行划表填写。</w:t>
      </w:r>
    </w:p>
    <w:p>
      <w:pPr>
        <w:spacing w:line="360" w:lineRule="auto"/>
        <w:ind w:firstLine="480" w:firstLineChars="20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附人员证书复印件；</w:t>
      </w:r>
    </w:p>
    <w:p>
      <w:pPr>
        <w:spacing w:line="360" w:lineRule="auto"/>
        <w:jc w:val="left"/>
        <w:rPr>
          <w:rFonts w:ascii="宋体"/>
          <w:color w:val="auto"/>
          <w:sz w:val="24"/>
          <w:szCs w:val="24"/>
        </w:rPr>
      </w:pPr>
      <w:r>
        <w:rPr>
          <w:rFonts w:hint="eastAsia" w:ascii="宋体" w:hAnsi="宋体" w:cs="宋体"/>
          <w:color w:val="auto"/>
          <w:sz w:val="24"/>
          <w:szCs w:val="24"/>
        </w:rPr>
        <w:t>　　</w:t>
      </w:r>
      <w:r>
        <w:rPr>
          <w:rFonts w:ascii="宋体" w:hAnsi="宋体" w:cs="宋体"/>
          <w:color w:val="auto"/>
          <w:sz w:val="24"/>
          <w:szCs w:val="24"/>
        </w:rPr>
        <w:t>3.</w:t>
      </w:r>
      <w:r>
        <w:rPr>
          <w:rFonts w:hint="eastAsia" w:ascii="宋体" w:hAnsi="宋体" w:cs="宋体"/>
          <w:color w:val="auto"/>
          <w:sz w:val="24"/>
          <w:szCs w:val="24"/>
        </w:rPr>
        <w:t>出具上述人员在本单位服务的外部证明，如：投标截止日之前近六个月的代缴个税税单、参加社会保险的《投保单》或《社会保险参保人员证明》等。</w:t>
      </w:r>
    </w:p>
    <w:p>
      <w:pPr>
        <w:spacing w:line="360" w:lineRule="auto"/>
        <w:rPr>
          <w:rFonts w:ascii="宋体"/>
          <w:color w:val="auto"/>
          <w:sz w:val="24"/>
          <w:szCs w:val="24"/>
        </w:rPr>
      </w:pPr>
    </w:p>
    <w:p>
      <w:pPr>
        <w:spacing w:line="360" w:lineRule="auto"/>
        <w:rPr>
          <w:rFonts w:ascii="宋体"/>
          <w:color w:val="auto"/>
          <w:sz w:val="24"/>
          <w:szCs w:val="24"/>
        </w:rPr>
      </w:pPr>
      <w:r>
        <w:rPr>
          <w:rFonts w:hint="eastAsia" w:ascii="宋体" w:hAnsi="宋体" w:cs="宋体"/>
          <w:color w:val="auto"/>
          <w:sz w:val="24"/>
          <w:szCs w:val="24"/>
        </w:rPr>
        <w:t>投标人名称（盖章）：</w:t>
      </w:r>
      <w:r>
        <w:rPr>
          <w:rFonts w:ascii="宋体" w:hAnsi="宋体" w:cs="宋体"/>
          <w:color w:val="auto"/>
          <w:sz w:val="24"/>
          <w:szCs w:val="24"/>
          <w:u w:val="single"/>
        </w:rPr>
        <w:t xml:space="preserve">                         </w:t>
      </w:r>
    </w:p>
    <w:p>
      <w:pPr>
        <w:spacing w:line="360" w:lineRule="auto"/>
        <w:rPr>
          <w:rFonts w:ascii="宋体"/>
          <w:color w:val="auto"/>
          <w:sz w:val="24"/>
          <w:szCs w:val="24"/>
        </w:rPr>
      </w:pPr>
      <w:r>
        <w:rPr>
          <w:rFonts w:hint="eastAsia" w:ascii="宋体" w:hAnsi="宋体" w:cs="宋体"/>
          <w:color w:val="auto"/>
          <w:sz w:val="24"/>
          <w:szCs w:val="24"/>
        </w:rPr>
        <w:t>授权委托代理人签字或盖章：</w:t>
      </w:r>
      <w:r>
        <w:rPr>
          <w:rFonts w:ascii="宋体" w:hAnsi="宋体" w:cs="宋体"/>
          <w:color w:val="auto"/>
          <w:sz w:val="24"/>
          <w:szCs w:val="24"/>
          <w:u w:val="single"/>
        </w:rPr>
        <w:t xml:space="preserve">                   </w:t>
      </w:r>
    </w:p>
    <w:p>
      <w:pPr>
        <w:spacing w:line="360" w:lineRule="auto"/>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p>
    <w:p>
      <w:pPr>
        <w:spacing w:line="360" w:lineRule="auto"/>
        <w:rPr>
          <w:rFonts w:ascii="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7</w:t>
      </w:r>
    </w:p>
    <w:p>
      <w:pPr>
        <w:spacing w:beforeLines="50" w:afterLines="50" w:line="360" w:lineRule="auto"/>
        <w:ind w:right="-10"/>
        <w:jc w:val="center"/>
        <w:rPr>
          <w:rFonts w:ascii="宋体"/>
          <w:b/>
          <w:bCs/>
          <w:color w:val="auto"/>
          <w:sz w:val="32"/>
          <w:szCs w:val="32"/>
        </w:rPr>
      </w:pPr>
      <w:r>
        <w:rPr>
          <w:rFonts w:hint="eastAsia" w:ascii="宋体" w:hAnsi="宋体" w:cs="宋体"/>
          <w:b/>
          <w:bCs/>
          <w:color w:val="auto"/>
          <w:sz w:val="32"/>
          <w:szCs w:val="32"/>
        </w:rPr>
        <w:t>项目负责人资格情况表</w:t>
      </w:r>
    </w:p>
    <w:p>
      <w:pPr>
        <w:spacing w:line="360" w:lineRule="auto"/>
        <w:rPr>
          <w:rFonts w:ascii="宋体"/>
          <w:color w:val="auto"/>
          <w:sz w:val="24"/>
          <w:szCs w:val="24"/>
        </w:rPr>
      </w:pPr>
      <w:r>
        <w:rPr>
          <w:rFonts w:hint="eastAsia" w:ascii="宋体" w:hAnsi="宋体" w:cs="宋体"/>
          <w:color w:val="auto"/>
          <w:sz w:val="24"/>
          <w:szCs w:val="24"/>
        </w:rPr>
        <w:t>采购项目：</w:t>
      </w:r>
      <w:r>
        <w:rPr>
          <w:rFonts w:ascii="宋体" w:hAnsi="宋体" w:cs="宋体"/>
          <w:color w:val="auto"/>
          <w:sz w:val="24"/>
          <w:szCs w:val="24"/>
        </w:rPr>
        <w:t xml:space="preserve">                                        </w:t>
      </w:r>
      <w:r>
        <w:rPr>
          <w:rFonts w:hint="eastAsia" w:ascii="宋体" w:hAnsi="宋体" w:cs="宋体"/>
          <w:color w:val="auto"/>
          <w:sz w:val="24"/>
          <w:szCs w:val="24"/>
        </w:rPr>
        <w:t>采购编号：</w:t>
      </w:r>
    </w:p>
    <w:tbl>
      <w:tblPr>
        <w:tblStyle w:val="24"/>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rPr>
                <w:b/>
                <w:bCs/>
                <w:color w:val="auto"/>
                <w:sz w:val="24"/>
                <w:szCs w:val="24"/>
                <w:lang w:val="zh-CN"/>
              </w:rPr>
            </w:pPr>
            <w:r>
              <w:rPr>
                <w:rFonts w:hint="eastAsia" w:cs="宋体"/>
                <w:b/>
                <w:bCs/>
                <w:color w:val="auto"/>
                <w:sz w:val="24"/>
                <w:szCs w:val="24"/>
                <w:lang w:val="zh-CN"/>
              </w:rPr>
              <w:t>姓名</w:t>
            </w:r>
          </w:p>
        </w:tc>
        <w:tc>
          <w:tcPr>
            <w:tcW w:w="2967" w:type="dxa"/>
            <w:tcBorders>
              <w:top w:val="single" w:color="auto" w:sz="12" w:space="0"/>
            </w:tcBorders>
            <w:vAlign w:val="center"/>
          </w:tcPr>
          <w:p>
            <w:pPr>
              <w:jc w:val="center"/>
              <w:rPr>
                <w:b/>
                <w:bCs/>
                <w:color w:val="auto"/>
                <w:sz w:val="24"/>
                <w:szCs w:val="24"/>
                <w:lang w:val="zh-CN"/>
              </w:rPr>
            </w:pPr>
          </w:p>
        </w:tc>
        <w:tc>
          <w:tcPr>
            <w:tcW w:w="3685" w:type="dxa"/>
            <w:tcBorders>
              <w:top w:val="single" w:color="auto" w:sz="12" w:space="0"/>
              <w:right w:val="single" w:color="auto" w:sz="12" w:space="0"/>
            </w:tcBorders>
            <w:vAlign w:val="center"/>
          </w:tcPr>
          <w:p>
            <w:pPr>
              <w:jc w:val="center"/>
              <w:rPr>
                <w:b/>
                <w:bCs/>
                <w:color w:val="auto"/>
                <w:sz w:val="24"/>
                <w:szCs w:val="24"/>
                <w:lang w:val="zh-CN"/>
              </w:rPr>
            </w:pPr>
            <w:r>
              <w:rPr>
                <w:rFonts w:hint="eastAsia" w:cs="宋体"/>
                <w:b/>
                <w:bCs/>
                <w:color w:val="auto"/>
                <w:sz w:val="24"/>
                <w:szCs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b/>
                <w:bCs/>
                <w:color w:val="auto"/>
                <w:sz w:val="24"/>
                <w:szCs w:val="24"/>
                <w:lang w:val="zh-CN"/>
              </w:rPr>
            </w:pPr>
            <w:r>
              <w:rPr>
                <w:rFonts w:hint="eastAsia" w:cs="宋体"/>
                <w:b/>
                <w:bCs/>
                <w:color w:val="auto"/>
                <w:sz w:val="24"/>
                <w:szCs w:val="24"/>
                <w:lang w:val="zh-CN"/>
              </w:rPr>
              <w:t>性别</w:t>
            </w:r>
          </w:p>
        </w:tc>
        <w:tc>
          <w:tcPr>
            <w:tcW w:w="2967" w:type="dxa"/>
            <w:vAlign w:val="center"/>
          </w:tcPr>
          <w:p>
            <w:pPr>
              <w:jc w:val="center"/>
              <w:rPr>
                <w:b/>
                <w:bCs/>
                <w:color w:val="auto"/>
                <w:sz w:val="24"/>
                <w:szCs w:val="24"/>
                <w:lang w:val="zh-CN"/>
              </w:rPr>
            </w:pPr>
          </w:p>
        </w:tc>
        <w:tc>
          <w:tcPr>
            <w:tcW w:w="3685" w:type="dxa"/>
            <w:vMerge w:val="restart"/>
            <w:tcBorders>
              <w:right w:val="single" w:color="auto" w:sz="12" w:space="0"/>
            </w:tcBorders>
            <w:vAlign w:val="center"/>
          </w:tcPr>
          <w:p>
            <w:pPr>
              <w:jc w:val="center"/>
              <w:rPr>
                <w:b/>
                <w:bCs/>
                <w:color w:val="auto"/>
                <w:sz w:val="24"/>
                <w:szCs w:val="24"/>
              </w:rPr>
            </w:pPr>
            <w:r>
              <w:rPr>
                <w:rFonts w:hint="eastAsia" w:cs="宋体"/>
                <w:b/>
                <w:bCs/>
                <w:color w:val="auto"/>
                <w:sz w:val="24"/>
                <w:szCs w:val="24"/>
              </w:rPr>
              <w:t>注：业绩证明应提供旁证材料</w:t>
            </w:r>
          </w:p>
          <w:p>
            <w:pPr>
              <w:jc w:val="center"/>
              <w:rPr>
                <w:b/>
                <w:bCs/>
                <w:color w:val="auto"/>
                <w:sz w:val="24"/>
                <w:szCs w:val="24"/>
                <w:lang w:val="zh-CN"/>
              </w:rPr>
            </w:pPr>
            <w:r>
              <w:rPr>
                <w:rFonts w:hint="eastAsia" w:cs="宋体"/>
                <w:b/>
                <w:bCs/>
                <w:color w:val="auto"/>
                <w:sz w:val="24"/>
                <w:szCs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b/>
                <w:bCs/>
                <w:color w:val="auto"/>
                <w:sz w:val="24"/>
                <w:szCs w:val="24"/>
                <w:lang w:val="zh-CN"/>
              </w:rPr>
            </w:pPr>
            <w:r>
              <w:rPr>
                <w:rFonts w:hint="eastAsia" w:cs="宋体"/>
                <w:b/>
                <w:bCs/>
                <w:color w:val="auto"/>
                <w:sz w:val="24"/>
                <w:szCs w:val="24"/>
                <w:lang w:val="zh-CN"/>
              </w:rPr>
              <w:t>年龄</w:t>
            </w:r>
          </w:p>
        </w:tc>
        <w:tc>
          <w:tcPr>
            <w:tcW w:w="2967" w:type="dxa"/>
            <w:vAlign w:val="center"/>
          </w:tcPr>
          <w:p>
            <w:pPr>
              <w:jc w:val="center"/>
              <w:rPr>
                <w:b/>
                <w:bCs/>
                <w:color w:val="auto"/>
                <w:sz w:val="24"/>
                <w:szCs w:val="24"/>
                <w:lang w:val="zh-CN"/>
              </w:rPr>
            </w:pPr>
          </w:p>
        </w:tc>
        <w:tc>
          <w:tcPr>
            <w:tcW w:w="3685" w:type="dxa"/>
            <w:vMerge w:val="continue"/>
            <w:tcBorders>
              <w:right w:val="single" w:color="auto" w:sz="12" w:space="0"/>
            </w:tcBorders>
            <w:vAlign w:val="center"/>
          </w:tcPr>
          <w:p>
            <w:pPr>
              <w:jc w:val="center"/>
              <w:rPr>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b/>
                <w:bCs/>
                <w:color w:val="auto"/>
                <w:sz w:val="24"/>
                <w:szCs w:val="24"/>
                <w:lang w:val="zh-CN"/>
              </w:rPr>
            </w:pPr>
            <w:r>
              <w:rPr>
                <w:rFonts w:hint="eastAsia" w:cs="宋体"/>
                <w:b/>
                <w:bCs/>
                <w:color w:val="auto"/>
                <w:sz w:val="24"/>
                <w:szCs w:val="24"/>
                <w:lang w:val="zh-CN"/>
              </w:rPr>
              <w:t>职称</w:t>
            </w:r>
          </w:p>
        </w:tc>
        <w:tc>
          <w:tcPr>
            <w:tcW w:w="2967" w:type="dxa"/>
            <w:vAlign w:val="center"/>
          </w:tcPr>
          <w:p>
            <w:pPr>
              <w:jc w:val="center"/>
              <w:rPr>
                <w:b/>
                <w:bCs/>
                <w:color w:val="auto"/>
                <w:sz w:val="24"/>
                <w:szCs w:val="24"/>
                <w:lang w:val="zh-CN"/>
              </w:rPr>
            </w:pPr>
          </w:p>
        </w:tc>
        <w:tc>
          <w:tcPr>
            <w:tcW w:w="3685" w:type="dxa"/>
            <w:vMerge w:val="continue"/>
            <w:tcBorders>
              <w:right w:val="single" w:color="auto" w:sz="12" w:space="0"/>
            </w:tcBorders>
            <w:vAlign w:val="center"/>
          </w:tcPr>
          <w:p>
            <w:pPr>
              <w:jc w:val="center"/>
              <w:rPr>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b/>
                <w:bCs/>
                <w:color w:val="auto"/>
                <w:sz w:val="24"/>
                <w:szCs w:val="24"/>
                <w:lang w:val="zh-CN"/>
              </w:rPr>
            </w:pPr>
            <w:r>
              <w:rPr>
                <w:rFonts w:hint="eastAsia" w:cs="宋体"/>
                <w:b/>
                <w:bCs/>
                <w:color w:val="auto"/>
                <w:sz w:val="24"/>
                <w:szCs w:val="24"/>
                <w:lang w:val="zh-CN"/>
              </w:rPr>
              <w:t>毕业时间</w:t>
            </w:r>
          </w:p>
        </w:tc>
        <w:tc>
          <w:tcPr>
            <w:tcW w:w="2967" w:type="dxa"/>
            <w:vAlign w:val="center"/>
          </w:tcPr>
          <w:p>
            <w:pPr>
              <w:jc w:val="center"/>
              <w:rPr>
                <w:b/>
                <w:bCs/>
                <w:color w:val="auto"/>
                <w:sz w:val="24"/>
                <w:szCs w:val="24"/>
                <w:lang w:val="zh-CN"/>
              </w:rPr>
            </w:pPr>
          </w:p>
        </w:tc>
        <w:tc>
          <w:tcPr>
            <w:tcW w:w="3685" w:type="dxa"/>
            <w:vMerge w:val="continue"/>
            <w:tcBorders>
              <w:right w:val="single" w:color="auto" w:sz="12" w:space="0"/>
            </w:tcBorders>
            <w:vAlign w:val="center"/>
          </w:tcPr>
          <w:p>
            <w:pPr>
              <w:jc w:val="center"/>
              <w:rPr>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b/>
                <w:bCs/>
                <w:color w:val="auto"/>
                <w:sz w:val="24"/>
                <w:szCs w:val="24"/>
                <w:lang w:val="zh-CN"/>
              </w:rPr>
            </w:pPr>
            <w:r>
              <w:rPr>
                <w:rFonts w:hint="eastAsia" w:cs="宋体"/>
                <w:b/>
                <w:bCs/>
                <w:color w:val="auto"/>
                <w:sz w:val="24"/>
                <w:szCs w:val="24"/>
                <w:lang w:val="zh-CN"/>
              </w:rPr>
              <w:t>学校专业</w:t>
            </w:r>
          </w:p>
        </w:tc>
        <w:tc>
          <w:tcPr>
            <w:tcW w:w="2967" w:type="dxa"/>
            <w:vAlign w:val="center"/>
          </w:tcPr>
          <w:p>
            <w:pPr>
              <w:jc w:val="center"/>
              <w:rPr>
                <w:b/>
                <w:bCs/>
                <w:color w:val="auto"/>
                <w:sz w:val="24"/>
                <w:szCs w:val="24"/>
                <w:lang w:val="zh-CN"/>
              </w:rPr>
            </w:pPr>
          </w:p>
        </w:tc>
        <w:tc>
          <w:tcPr>
            <w:tcW w:w="3685" w:type="dxa"/>
            <w:vMerge w:val="continue"/>
            <w:tcBorders>
              <w:right w:val="single" w:color="auto" w:sz="12" w:space="0"/>
            </w:tcBorders>
            <w:vAlign w:val="center"/>
          </w:tcPr>
          <w:p>
            <w:pPr>
              <w:jc w:val="center"/>
              <w:rPr>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b/>
                <w:bCs/>
                <w:color w:val="auto"/>
                <w:sz w:val="24"/>
                <w:szCs w:val="24"/>
                <w:lang w:val="zh-CN"/>
              </w:rPr>
            </w:pPr>
            <w:r>
              <w:rPr>
                <w:rFonts w:hint="eastAsia" w:cs="宋体"/>
                <w:b/>
                <w:bCs/>
                <w:color w:val="auto"/>
                <w:sz w:val="24"/>
                <w:szCs w:val="24"/>
                <w:lang w:val="zh-CN"/>
              </w:rPr>
              <w:t>联系电话</w:t>
            </w:r>
          </w:p>
        </w:tc>
        <w:tc>
          <w:tcPr>
            <w:tcW w:w="2967" w:type="dxa"/>
            <w:vAlign w:val="center"/>
          </w:tcPr>
          <w:p>
            <w:pPr>
              <w:jc w:val="center"/>
              <w:rPr>
                <w:b/>
                <w:bCs/>
                <w:color w:val="auto"/>
                <w:sz w:val="24"/>
                <w:szCs w:val="24"/>
                <w:lang w:val="zh-CN"/>
              </w:rPr>
            </w:pPr>
          </w:p>
        </w:tc>
        <w:tc>
          <w:tcPr>
            <w:tcW w:w="3685" w:type="dxa"/>
            <w:vMerge w:val="continue"/>
            <w:tcBorders>
              <w:right w:val="single" w:color="auto" w:sz="12" w:space="0"/>
            </w:tcBorders>
            <w:vAlign w:val="center"/>
          </w:tcPr>
          <w:p>
            <w:pPr>
              <w:jc w:val="center"/>
              <w:rPr>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b/>
                <w:bCs/>
                <w:color w:val="auto"/>
                <w:sz w:val="24"/>
                <w:szCs w:val="24"/>
                <w:lang w:val="zh-CN"/>
              </w:rPr>
            </w:pPr>
            <w:r>
              <w:rPr>
                <w:rFonts w:hint="eastAsia" w:cs="宋体"/>
                <w:b/>
                <w:bCs/>
                <w:color w:val="auto"/>
                <w:sz w:val="24"/>
                <w:szCs w:val="24"/>
              </w:rPr>
              <w:t>最近一年工作状况</w:t>
            </w:r>
          </w:p>
        </w:tc>
        <w:tc>
          <w:tcPr>
            <w:tcW w:w="2967" w:type="dxa"/>
            <w:vAlign w:val="center"/>
          </w:tcPr>
          <w:p>
            <w:pPr>
              <w:jc w:val="center"/>
              <w:rPr>
                <w:b/>
                <w:bCs/>
                <w:color w:val="auto"/>
                <w:sz w:val="24"/>
                <w:szCs w:val="24"/>
                <w:lang w:val="zh-CN"/>
              </w:rPr>
            </w:pPr>
          </w:p>
        </w:tc>
        <w:tc>
          <w:tcPr>
            <w:tcW w:w="3685" w:type="dxa"/>
            <w:vMerge w:val="continue"/>
            <w:tcBorders>
              <w:right w:val="single" w:color="auto" w:sz="12" w:space="0"/>
            </w:tcBorders>
            <w:vAlign w:val="center"/>
          </w:tcPr>
          <w:p>
            <w:pPr>
              <w:jc w:val="center"/>
              <w:rPr>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rPr>
                <w:b/>
                <w:bCs/>
                <w:color w:val="auto"/>
                <w:sz w:val="24"/>
                <w:szCs w:val="24"/>
                <w:lang w:val="zh-CN"/>
              </w:rPr>
            </w:pPr>
            <w:r>
              <w:rPr>
                <w:rFonts w:hint="eastAsia" w:cs="宋体"/>
                <w:b/>
                <w:bCs/>
                <w:color w:val="auto"/>
                <w:sz w:val="24"/>
                <w:szCs w:val="24"/>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b/>
                <w:bCs/>
                <w:color w:val="auto"/>
                <w:sz w:val="24"/>
                <w:szCs w:val="24"/>
                <w:lang w:val="zh-CN"/>
              </w:rPr>
            </w:pPr>
          </w:p>
        </w:tc>
      </w:tr>
    </w:tbl>
    <w:p>
      <w:pPr>
        <w:spacing w:line="360" w:lineRule="auto"/>
        <w:rPr>
          <w:rFonts w:ascii="宋体"/>
          <w:color w:val="auto"/>
          <w:sz w:val="24"/>
          <w:szCs w:val="24"/>
        </w:rPr>
      </w:pPr>
    </w:p>
    <w:p>
      <w:pPr>
        <w:spacing w:line="480" w:lineRule="auto"/>
        <w:rPr>
          <w:rFonts w:ascii="宋体"/>
          <w:color w:val="auto"/>
          <w:sz w:val="24"/>
          <w:szCs w:val="24"/>
        </w:rPr>
      </w:pPr>
      <w:r>
        <w:rPr>
          <w:rFonts w:hint="eastAsia" w:ascii="宋体" w:hAnsi="宋体" w:cs="宋体"/>
          <w:color w:val="auto"/>
          <w:sz w:val="24"/>
          <w:szCs w:val="24"/>
        </w:rPr>
        <w:t>投标人名称（盖章）：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授权委托代理人签字或盖章：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jc w:val="left"/>
        <w:rPr>
          <w:rFonts w:ascii="宋体"/>
          <w:b/>
          <w:bCs/>
          <w:color w:val="auto"/>
          <w:sz w:val="28"/>
          <w:szCs w:val="28"/>
          <w:lang w:val="zh-CN"/>
        </w:rPr>
      </w:pPr>
      <w:r>
        <w:rPr>
          <w:rFonts w:hint="eastAsia" w:ascii="宋体" w:hAnsi="宋体" w:cs="宋体"/>
          <w:b/>
          <w:bCs/>
          <w:color w:val="auto"/>
          <w:sz w:val="28"/>
          <w:szCs w:val="28"/>
          <w:lang w:val="zh-CN"/>
        </w:rPr>
        <w:t>附件</w:t>
      </w:r>
      <w:r>
        <w:rPr>
          <w:rFonts w:ascii="宋体" w:hAnsi="宋体" w:cs="宋体"/>
          <w:b/>
          <w:bCs/>
          <w:color w:val="auto"/>
          <w:sz w:val="28"/>
          <w:szCs w:val="28"/>
        </w:rPr>
        <w:t>8</w:t>
      </w: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证书一览表</w:t>
      </w:r>
    </w:p>
    <w:p>
      <w:pPr>
        <w:spacing w:line="360" w:lineRule="auto"/>
        <w:jc w:val="left"/>
        <w:rPr>
          <w:rFonts w:ascii="宋体"/>
          <w:b/>
          <w:bCs/>
          <w:color w:val="auto"/>
          <w:sz w:val="24"/>
          <w:szCs w:val="24"/>
          <w:lang w:val="zh-CN"/>
        </w:rPr>
      </w:pPr>
    </w:p>
    <w:tbl>
      <w:tblPr>
        <w:tblStyle w:val="2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9"/>
              <w:spacing w:line="360" w:lineRule="auto"/>
              <w:jc w:val="center"/>
              <w:rPr>
                <w:rFonts w:ascii="宋体"/>
                <w:b/>
                <w:bCs/>
                <w:color w:val="auto"/>
                <w:sz w:val="24"/>
                <w:szCs w:val="24"/>
              </w:rPr>
            </w:pPr>
            <w:r>
              <w:rPr>
                <w:rFonts w:hint="eastAsia" w:ascii="宋体" w:hAnsi="宋体" w:cs="宋体"/>
                <w:b/>
                <w:bCs/>
                <w:color w:val="auto"/>
                <w:sz w:val="24"/>
                <w:szCs w:val="24"/>
              </w:rPr>
              <w:t>证书名称</w:t>
            </w:r>
          </w:p>
        </w:tc>
        <w:tc>
          <w:tcPr>
            <w:tcW w:w="2258" w:type="dxa"/>
            <w:tcBorders>
              <w:top w:val="double" w:color="auto" w:sz="4" w:space="0"/>
            </w:tcBorders>
          </w:tcPr>
          <w:p>
            <w:pPr>
              <w:pStyle w:val="59"/>
              <w:spacing w:line="360" w:lineRule="auto"/>
              <w:jc w:val="center"/>
              <w:rPr>
                <w:rFonts w:ascii="宋体"/>
                <w:b/>
                <w:bCs/>
                <w:color w:val="auto"/>
                <w:sz w:val="24"/>
                <w:szCs w:val="24"/>
              </w:rPr>
            </w:pPr>
            <w:r>
              <w:rPr>
                <w:rFonts w:hint="eastAsia" w:ascii="宋体" w:hAnsi="宋体" w:cs="宋体"/>
                <w:b/>
                <w:bCs/>
                <w:color w:val="auto"/>
                <w:sz w:val="24"/>
                <w:szCs w:val="24"/>
              </w:rPr>
              <w:t>发证单位</w:t>
            </w:r>
          </w:p>
        </w:tc>
        <w:tc>
          <w:tcPr>
            <w:tcW w:w="2260" w:type="dxa"/>
            <w:tcBorders>
              <w:top w:val="double" w:color="auto" w:sz="4" w:space="0"/>
            </w:tcBorders>
          </w:tcPr>
          <w:p>
            <w:pPr>
              <w:pStyle w:val="59"/>
              <w:spacing w:line="360" w:lineRule="auto"/>
              <w:jc w:val="center"/>
              <w:rPr>
                <w:rFonts w:ascii="宋体"/>
                <w:b/>
                <w:bCs/>
                <w:color w:val="auto"/>
                <w:sz w:val="24"/>
                <w:szCs w:val="24"/>
              </w:rPr>
            </w:pPr>
            <w:r>
              <w:rPr>
                <w:rFonts w:hint="eastAsia" w:ascii="宋体" w:hAnsi="宋体" w:cs="宋体"/>
                <w:b/>
                <w:bCs/>
                <w:color w:val="auto"/>
                <w:sz w:val="24"/>
                <w:szCs w:val="24"/>
              </w:rPr>
              <w:t>证书等级</w:t>
            </w:r>
          </w:p>
        </w:tc>
        <w:tc>
          <w:tcPr>
            <w:tcW w:w="2047" w:type="dxa"/>
            <w:tcBorders>
              <w:top w:val="double" w:color="auto" w:sz="4" w:space="0"/>
              <w:right w:val="single" w:color="auto" w:sz="4" w:space="0"/>
            </w:tcBorders>
          </w:tcPr>
          <w:p>
            <w:pPr>
              <w:pStyle w:val="59"/>
              <w:spacing w:line="360" w:lineRule="auto"/>
              <w:jc w:val="center"/>
              <w:rPr>
                <w:rFonts w:ascii="宋体"/>
                <w:b/>
                <w:bCs/>
                <w:color w:val="auto"/>
                <w:sz w:val="24"/>
                <w:szCs w:val="24"/>
              </w:rPr>
            </w:pPr>
            <w:r>
              <w:rPr>
                <w:rFonts w:hint="eastAsia" w:ascii="宋体" w:hAnsi="宋体" w:cs="宋体"/>
                <w:b/>
                <w:bCs/>
                <w:color w:val="auto"/>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line="360" w:lineRule="auto"/>
              <w:jc w:val="center"/>
              <w:rPr>
                <w:rFonts w:ascii="宋体"/>
                <w:color w:val="auto"/>
              </w:rPr>
            </w:pPr>
          </w:p>
        </w:tc>
        <w:tc>
          <w:tcPr>
            <w:tcW w:w="2258" w:type="dxa"/>
          </w:tcPr>
          <w:p>
            <w:pPr>
              <w:pStyle w:val="59"/>
              <w:spacing w:line="360" w:lineRule="auto"/>
              <w:jc w:val="center"/>
              <w:rPr>
                <w:rFonts w:ascii="宋体"/>
                <w:color w:val="auto"/>
              </w:rPr>
            </w:pPr>
          </w:p>
        </w:tc>
        <w:tc>
          <w:tcPr>
            <w:tcW w:w="2260" w:type="dxa"/>
          </w:tcPr>
          <w:p>
            <w:pPr>
              <w:pStyle w:val="59"/>
              <w:spacing w:line="360" w:lineRule="auto"/>
              <w:jc w:val="center"/>
              <w:rPr>
                <w:rFonts w:ascii="宋体"/>
                <w:color w:val="auto"/>
              </w:rPr>
            </w:pPr>
          </w:p>
        </w:tc>
        <w:tc>
          <w:tcPr>
            <w:tcW w:w="2047" w:type="dxa"/>
            <w:tcBorders>
              <w:right w:val="single" w:color="auto" w:sz="4" w:space="0"/>
            </w:tcBorders>
          </w:tcPr>
          <w:p>
            <w:pPr>
              <w:pStyle w:val="59"/>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line="360" w:lineRule="auto"/>
              <w:jc w:val="center"/>
              <w:rPr>
                <w:rFonts w:ascii="宋体"/>
                <w:color w:val="auto"/>
              </w:rPr>
            </w:pPr>
          </w:p>
        </w:tc>
        <w:tc>
          <w:tcPr>
            <w:tcW w:w="2258" w:type="dxa"/>
          </w:tcPr>
          <w:p>
            <w:pPr>
              <w:pStyle w:val="59"/>
              <w:spacing w:line="360" w:lineRule="auto"/>
              <w:jc w:val="center"/>
              <w:rPr>
                <w:rFonts w:ascii="宋体"/>
                <w:color w:val="auto"/>
              </w:rPr>
            </w:pPr>
          </w:p>
        </w:tc>
        <w:tc>
          <w:tcPr>
            <w:tcW w:w="2260" w:type="dxa"/>
          </w:tcPr>
          <w:p>
            <w:pPr>
              <w:pStyle w:val="59"/>
              <w:spacing w:line="360" w:lineRule="auto"/>
              <w:jc w:val="center"/>
              <w:rPr>
                <w:rFonts w:ascii="宋体"/>
                <w:color w:val="auto"/>
              </w:rPr>
            </w:pPr>
          </w:p>
        </w:tc>
        <w:tc>
          <w:tcPr>
            <w:tcW w:w="2047" w:type="dxa"/>
            <w:tcBorders>
              <w:right w:val="single" w:color="auto" w:sz="4" w:space="0"/>
            </w:tcBorders>
          </w:tcPr>
          <w:p>
            <w:pPr>
              <w:pStyle w:val="59"/>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line="360" w:lineRule="auto"/>
              <w:jc w:val="center"/>
              <w:rPr>
                <w:rFonts w:ascii="宋体"/>
                <w:color w:val="auto"/>
              </w:rPr>
            </w:pPr>
          </w:p>
        </w:tc>
        <w:tc>
          <w:tcPr>
            <w:tcW w:w="2258" w:type="dxa"/>
          </w:tcPr>
          <w:p>
            <w:pPr>
              <w:pStyle w:val="59"/>
              <w:spacing w:line="360" w:lineRule="auto"/>
              <w:jc w:val="center"/>
              <w:rPr>
                <w:rFonts w:ascii="宋体"/>
                <w:color w:val="auto"/>
              </w:rPr>
            </w:pPr>
          </w:p>
        </w:tc>
        <w:tc>
          <w:tcPr>
            <w:tcW w:w="2260" w:type="dxa"/>
          </w:tcPr>
          <w:p>
            <w:pPr>
              <w:pStyle w:val="59"/>
              <w:spacing w:line="360" w:lineRule="auto"/>
              <w:jc w:val="center"/>
              <w:rPr>
                <w:rFonts w:ascii="宋体"/>
                <w:color w:val="auto"/>
              </w:rPr>
            </w:pPr>
          </w:p>
        </w:tc>
        <w:tc>
          <w:tcPr>
            <w:tcW w:w="2047" w:type="dxa"/>
            <w:tcBorders>
              <w:right w:val="single" w:color="auto" w:sz="4" w:space="0"/>
            </w:tcBorders>
          </w:tcPr>
          <w:p>
            <w:pPr>
              <w:pStyle w:val="59"/>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line="360" w:lineRule="auto"/>
              <w:jc w:val="center"/>
              <w:rPr>
                <w:rFonts w:ascii="宋体"/>
                <w:color w:val="auto"/>
              </w:rPr>
            </w:pPr>
          </w:p>
        </w:tc>
        <w:tc>
          <w:tcPr>
            <w:tcW w:w="2258" w:type="dxa"/>
          </w:tcPr>
          <w:p>
            <w:pPr>
              <w:pStyle w:val="59"/>
              <w:spacing w:line="360" w:lineRule="auto"/>
              <w:jc w:val="center"/>
              <w:rPr>
                <w:rFonts w:ascii="宋体"/>
                <w:color w:val="auto"/>
              </w:rPr>
            </w:pPr>
          </w:p>
        </w:tc>
        <w:tc>
          <w:tcPr>
            <w:tcW w:w="2260" w:type="dxa"/>
          </w:tcPr>
          <w:p>
            <w:pPr>
              <w:pStyle w:val="59"/>
              <w:spacing w:line="360" w:lineRule="auto"/>
              <w:jc w:val="center"/>
              <w:rPr>
                <w:rFonts w:ascii="宋体"/>
                <w:color w:val="auto"/>
              </w:rPr>
            </w:pPr>
          </w:p>
        </w:tc>
        <w:tc>
          <w:tcPr>
            <w:tcW w:w="2047" w:type="dxa"/>
            <w:tcBorders>
              <w:right w:val="single" w:color="auto" w:sz="4" w:space="0"/>
            </w:tcBorders>
          </w:tcPr>
          <w:p>
            <w:pPr>
              <w:pStyle w:val="59"/>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line="360" w:lineRule="auto"/>
              <w:jc w:val="center"/>
              <w:rPr>
                <w:rFonts w:ascii="宋体"/>
                <w:color w:val="auto"/>
              </w:rPr>
            </w:pPr>
          </w:p>
        </w:tc>
        <w:tc>
          <w:tcPr>
            <w:tcW w:w="2258" w:type="dxa"/>
          </w:tcPr>
          <w:p>
            <w:pPr>
              <w:pStyle w:val="59"/>
              <w:spacing w:line="360" w:lineRule="auto"/>
              <w:jc w:val="center"/>
              <w:rPr>
                <w:rFonts w:ascii="宋体"/>
                <w:color w:val="auto"/>
              </w:rPr>
            </w:pPr>
          </w:p>
        </w:tc>
        <w:tc>
          <w:tcPr>
            <w:tcW w:w="2260" w:type="dxa"/>
          </w:tcPr>
          <w:p>
            <w:pPr>
              <w:pStyle w:val="59"/>
              <w:spacing w:line="360" w:lineRule="auto"/>
              <w:jc w:val="center"/>
              <w:rPr>
                <w:rFonts w:ascii="宋体"/>
                <w:color w:val="auto"/>
              </w:rPr>
            </w:pPr>
          </w:p>
        </w:tc>
        <w:tc>
          <w:tcPr>
            <w:tcW w:w="2047" w:type="dxa"/>
            <w:tcBorders>
              <w:right w:val="single" w:color="auto" w:sz="4" w:space="0"/>
            </w:tcBorders>
          </w:tcPr>
          <w:p>
            <w:pPr>
              <w:pStyle w:val="59"/>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line="360" w:lineRule="auto"/>
              <w:jc w:val="center"/>
              <w:rPr>
                <w:rFonts w:ascii="宋体"/>
                <w:color w:val="auto"/>
              </w:rPr>
            </w:pPr>
          </w:p>
        </w:tc>
        <w:tc>
          <w:tcPr>
            <w:tcW w:w="2258" w:type="dxa"/>
          </w:tcPr>
          <w:p>
            <w:pPr>
              <w:pStyle w:val="59"/>
              <w:spacing w:line="360" w:lineRule="auto"/>
              <w:jc w:val="center"/>
              <w:rPr>
                <w:rFonts w:ascii="宋体"/>
                <w:color w:val="auto"/>
              </w:rPr>
            </w:pPr>
          </w:p>
        </w:tc>
        <w:tc>
          <w:tcPr>
            <w:tcW w:w="2260" w:type="dxa"/>
          </w:tcPr>
          <w:p>
            <w:pPr>
              <w:pStyle w:val="59"/>
              <w:spacing w:line="360" w:lineRule="auto"/>
              <w:jc w:val="center"/>
              <w:rPr>
                <w:rFonts w:ascii="宋体"/>
                <w:color w:val="auto"/>
              </w:rPr>
            </w:pPr>
          </w:p>
        </w:tc>
        <w:tc>
          <w:tcPr>
            <w:tcW w:w="2047" w:type="dxa"/>
            <w:tcBorders>
              <w:right w:val="single" w:color="auto" w:sz="4" w:space="0"/>
            </w:tcBorders>
          </w:tcPr>
          <w:p>
            <w:pPr>
              <w:pStyle w:val="59"/>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9"/>
              <w:spacing w:line="360" w:lineRule="auto"/>
              <w:jc w:val="center"/>
              <w:rPr>
                <w:rFonts w:ascii="宋体"/>
                <w:color w:val="auto"/>
              </w:rPr>
            </w:pPr>
          </w:p>
        </w:tc>
        <w:tc>
          <w:tcPr>
            <w:tcW w:w="2258" w:type="dxa"/>
            <w:tcBorders>
              <w:bottom w:val="double" w:color="auto" w:sz="4" w:space="0"/>
            </w:tcBorders>
          </w:tcPr>
          <w:p>
            <w:pPr>
              <w:pStyle w:val="59"/>
              <w:spacing w:line="360" w:lineRule="auto"/>
              <w:jc w:val="center"/>
              <w:rPr>
                <w:rFonts w:ascii="宋体"/>
                <w:color w:val="auto"/>
              </w:rPr>
            </w:pPr>
          </w:p>
        </w:tc>
        <w:tc>
          <w:tcPr>
            <w:tcW w:w="2260" w:type="dxa"/>
            <w:tcBorders>
              <w:bottom w:val="double" w:color="auto" w:sz="4" w:space="0"/>
            </w:tcBorders>
          </w:tcPr>
          <w:p>
            <w:pPr>
              <w:pStyle w:val="59"/>
              <w:spacing w:line="360" w:lineRule="auto"/>
              <w:jc w:val="center"/>
              <w:rPr>
                <w:rFonts w:ascii="宋体"/>
                <w:color w:val="auto"/>
              </w:rPr>
            </w:pPr>
          </w:p>
        </w:tc>
        <w:tc>
          <w:tcPr>
            <w:tcW w:w="2047" w:type="dxa"/>
            <w:tcBorders>
              <w:bottom w:val="double" w:color="auto" w:sz="4" w:space="0"/>
              <w:right w:val="single" w:color="auto" w:sz="4" w:space="0"/>
            </w:tcBorders>
          </w:tcPr>
          <w:p>
            <w:pPr>
              <w:pStyle w:val="59"/>
              <w:spacing w:line="360" w:lineRule="auto"/>
              <w:jc w:val="center"/>
              <w:rPr>
                <w:rFonts w:ascii="宋体"/>
                <w:color w:val="auto"/>
              </w:rPr>
            </w:pPr>
          </w:p>
        </w:tc>
      </w:tr>
    </w:tbl>
    <w:p>
      <w:pPr>
        <w:spacing w:line="360" w:lineRule="auto"/>
        <w:jc w:val="left"/>
        <w:rPr>
          <w:rFonts w:ascii="宋体"/>
          <w:b/>
          <w:bCs/>
          <w:color w:val="auto"/>
          <w:sz w:val="24"/>
          <w:szCs w:val="24"/>
          <w:lang w:val="zh-CN"/>
        </w:rPr>
      </w:pPr>
    </w:p>
    <w:p>
      <w:pPr>
        <w:spacing w:line="360" w:lineRule="auto"/>
        <w:rPr>
          <w:rFonts w:ascii="宋体"/>
          <w:b/>
          <w:bCs/>
          <w:color w:val="auto"/>
          <w:sz w:val="24"/>
          <w:szCs w:val="24"/>
        </w:rPr>
      </w:pPr>
      <w:r>
        <w:rPr>
          <w:rFonts w:hint="eastAsia" w:ascii="宋体" w:hAnsi="宋体" w:cs="宋体"/>
          <w:b/>
          <w:bCs/>
          <w:color w:val="auto"/>
          <w:sz w:val="24"/>
          <w:szCs w:val="24"/>
        </w:rPr>
        <w:t>要求：</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填写投标人获得资质、认证或企业信誉证书；</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附所列证书复印件或其他证明材料。</w:t>
      </w:r>
    </w:p>
    <w:p>
      <w:pPr>
        <w:spacing w:line="360" w:lineRule="auto"/>
        <w:jc w:val="left"/>
        <w:rPr>
          <w:rFonts w:ascii="宋体"/>
          <w:b/>
          <w:bCs/>
          <w:color w:val="auto"/>
          <w:sz w:val="24"/>
          <w:szCs w:val="24"/>
          <w:lang w:val="zh-CN"/>
        </w:rPr>
      </w:pPr>
    </w:p>
    <w:p>
      <w:pPr>
        <w:spacing w:line="360" w:lineRule="auto"/>
        <w:jc w:val="left"/>
        <w:rPr>
          <w:rFonts w:ascii="宋体"/>
          <w:b/>
          <w:bCs/>
          <w:color w:val="auto"/>
          <w:sz w:val="24"/>
          <w:szCs w:val="24"/>
          <w:lang w:val="zh-CN"/>
        </w:rPr>
      </w:pPr>
    </w:p>
    <w:p>
      <w:pPr>
        <w:spacing w:line="360" w:lineRule="auto"/>
        <w:jc w:val="left"/>
        <w:rPr>
          <w:rFonts w:ascii="宋体"/>
          <w:b/>
          <w:bCs/>
          <w:color w:val="auto"/>
          <w:sz w:val="24"/>
          <w:szCs w:val="24"/>
          <w:lang w:val="zh-CN"/>
        </w:rPr>
      </w:pPr>
    </w:p>
    <w:p>
      <w:pPr>
        <w:spacing w:line="480" w:lineRule="auto"/>
        <w:rPr>
          <w:rFonts w:ascii="宋体"/>
          <w:color w:val="auto"/>
          <w:sz w:val="24"/>
          <w:szCs w:val="24"/>
        </w:rPr>
      </w:pPr>
      <w:r>
        <w:rPr>
          <w:rFonts w:hint="eastAsia" w:ascii="宋体" w:hAnsi="宋体" w:cs="宋体"/>
          <w:color w:val="auto"/>
          <w:sz w:val="24"/>
          <w:szCs w:val="24"/>
        </w:rPr>
        <w:t>投标人名称（盖章）：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授权委托代理人签字或盖章：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jc w:val="left"/>
        <w:rPr>
          <w:rFonts w:ascii="宋体"/>
          <w:b/>
          <w:bCs/>
          <w:color w:val="auto"/>
          <w:sz w:val="28"/>
          <w:szCs w:val="28"/>
          <w:lang w:val="zh-CN"/>
        </w:rPr>
      </w:pPr>
      <w:r>
        <w:rPr>
          <w:rFonts w:hint="eastAsia" w:ascii="宋体" w:hAnsi="宋体" w:cs="宋体"/>
          <w:b/>
          <w:bCs/>
          <w:color w:val="auto"/>
          <w:sz w:val="28"/>
          <w:szCs w:val="28"/>
          <w:lang w:val="zh-CN"/>
        </w:rPr>
        <w:t>附件</w:t>
      </w:r>
      <w:r>
        <w:rPr>
          <w:rFonts w:ascii="宋体" w:hAnsi="宋体" w:cs="宋体"/>
          <w:b/>
          <w:bCs/>
          <w:color w:val="auto"/>
          <w:sz w:val="28"/>
          <w:szCs w:val="28"/>
        </w:rPr>
        <w:t>9</w:t>
      </w: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投标人类似项目实施情况一览表</w:t>
      </w:r>
    </w:p>
    <w:p>
      <w:pPr>
        <w:spacing w:line="360" w:lineRule="auto"/>
        <w:rPr>
          <w:rFonts w:ascii="宋体"/>
          <w:b/>
          <w:bCs/>
          <w:color w:val="auto"/>
          <w:sz w:val="24"/>
          <w:szCs w:val="24"/>
        </w:rPr>
      </w:pPr>
    </w:p>
    <w:tbl>
      <w:tblPr>
        <w:tblStyle w:val="2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b/>
                <w:bCs/>
                <w:color w:val="auto"/>
                <w:sz w:val="24"/>
                <w:szCs w:val="24"/>
              </w:rPr>
            </w:pPr>
            <w:r>
              <w:rPr>
                <w:rFonts w:hint="eastAsia" w:ascii="宋体" w:hAnsi="宋体" w:cs="宋体"/>
                <w:b/>
                <w:bCs/>
                <w:color w:val="auto"/>
                <w:sz w:val="24"/>
                <w:szCs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b/>
                <w:bCs/>
                <w:color w:val="auto"/>
                <w:sz w:val="24"/>
                <w:szCs w:val="24"/>
              </w:rPr>
            </w:pPr>
            <w:r>
              <w:rPr>
                <w:rFonts w:hint="eastAsia" w:ascii="宋体" w:hAnsi="宋体" w:cs="宋体"/>
                <w:b/>
                <w:bCs/>
                <w:color w:val="auto"/>
                <w:sz w:val="24"/>
                <w:szCs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b/>
                <w:bCs/>
                <w:color w:val="auto"/>
                <w:sz w:val="24"/>
                <w:szCs w:val="24"/>
              </w:rPr>
            </w:pPr>
            <w:r>
              <w:rPr>
                <w:rFonts w:hint="eastAsia" w:ascii="宋体" w:hAnsi="宋体" w:cs="宋体"/>
                <w:b/>
                <w:bCs/>
                <w:color w:val="auto"/>
                <w:sz w:val="24"/>
                <w:szCs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b/>
                <w:bCs/>
                <w:color w:val="auto"/>
                <w:sz w:val="24"/>
                <w:szCs w:val="24"/>
              </w:rPr>
            </w:pPr>
            <w:r>
              <w:rPr>
                <w:rFonts w:hint="eastAsia" w:ascii="宋体" w:hAnsi="宋体" w:cs="宋体"/>
                <w:b/>
                <w:bCs/>
                <w:color w:val="auto"/>
                <w:sz w:val="24"/>
                <w:szCs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b/>
                <w:bCs/>
                <w:color w:val="auto"/>
                <w:sz w:val="24"/>
                <w:szCs w:val="24"/>
              </w:rPr>
            </w:pPr>
            <w:r>
              <w:rPr>
                <w:rFonts w:hint="eastAsia" w:ascii="宋体" w:hAnsi="宋体" w:cs="宋体"/>
                <w:b/>
                <w:bCs/>
                <w:color w:val="auto"/>
                <w:sz w:val="24"/>
                <w:szCs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b/>
                <w:bCs/>
                <w:color w:val="auto"/>
                <w:sz w:val="24"/>
                <w:szCs w:val="24"/>
              </w:rPr>
            </w:pPr>
            <w:r>
              <w:rPr>
                <w:rFonts w:hint="eastAsia" w:ascii="宋体" w:hAnsi="宋体" w:cs="宋体"/>
                <w:b/>
                <w:bCs/>
                <w:color w:val="auto"/>
                <w:sz w:val="24"/>
                <w:szCs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b/>
                <w:bCs/>
                <w:color w:val="auto"/>
                <w:sz w:val="24"/>
                <w:szCs w:val="24"/>
              </w:rPr>
            </w:pPr>
            <w:r>
              <w:rPr>
                <w:rFonts w:hint="eastAsia" w:ascii="宋体" w:hAnsi="宋体" w:cs="宋体"/>
                <w:b/>
                <w:bCs/>
                <w:color w:val="auto"/>
                <w:sz w:val="24"/>
                <w:szCs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jc w:val="center"/>
              <w:rPr>
                <w:rFonts w:ascii="宋体"/>
                <w:color w:val="auto"/>
                <w:sz w:val="24"/>
                <w:szCs w:val="24"/>
              </w:rPr>
            </w:pPr>
            <w:r>
              <w:rPr>
                <w:rFonts w:ascii="宋体" w:hAnsi="宋体" w:cs="宋体"/>
                <w:color w:val="auto"/>
                <w:sz w:val="24"/>
                <w:szCs w:val="24"/>
              </w:rPr>
              <w:t>1</w:t>
            </w: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jc w:val="center"/>
              <w:rPr>
                <w:rFonts w:ascii="宋体"/>
                <w:color w:val="auto"/>
                <w:sz w:val="24"/>
                <w:szCs w:val="24"/>
              </w:rPr>
            </w:pPr>
            <w:r>
              <w:rPr>
                <w:rFonts w:ascii="宋体" w:hAnsi="宋体" w:cs="宋体"/>
                <w:color w:val="auto"/>
                <w:sz w:val="24"/>
                <w:szCs w:val="24"/>
              </w:rPr>
              <w:t>2</w:t>
            </w: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jc w:val="center"/>
              <w:rPr>
                <w:rFonts w:ascii="宋体"/>
                <w:color w:val="auto"/>
                <w:sz w:val="24"/>
                <w:szCs w:val="24"/>
              </w:rPr>
            </w:pPr>
            <w:r>
              <w:rPr>
                <w:rFonts w:ascii="宋体" w:hAnsi="宋体" w:cs="宋体"/>
                <w:color w:val="auto"/>
                <w:sz w:val="24"/>
                <w:szCs w:val="24"/>
              </w:rPr>
              <w:t>3</w:t>
            </w: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r>
              <w:rPr>
                <w:rFonts w:hint="eastAsia" w:ascii="宋体" w:hAnsi="宋体" w:cs="宋体"/>
                <w:color w:val="auto"/>
                <w:sz w:val="24"/>
                <w:szCs w:val="24"/>
              </w:rPr>
              <w:t>…</w:t>
            </w: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color w:val="auto"/>
                <w:sz w:val="24"/>
                <w:szCs w:val="24"/>
              </w:rPr>
            </w:pPr>
          </w:p>
        </w:tc>
      </w:tr>
    </w:tbl>
    <w:p>
      <w:pPr>
        <w:spacing w:line="360" w:lineRule="auto"/>
        <w:rPr>
          <w:rFonts w:ascii="宋体"/>
          <w:b/>
          <w:bCs/>
          <w:color w:val="auto"/>
          <w:sz w:val="24"/>
          <w:szCs w:val="24"/>
        </w:rPr>
      </w:pPr>
      <w:r>
        <w:rPr>
          <w:rFonts w:hint="eastAsia" w:ascii="宋体" w:hAnsi="宋体" w:cs="宋体"/>
          <w:b/>
          <w:bCs/>
          <w:color w:val="auto"/>
          <w:sz w:val="24"/>
          <w:szCs w:val="24"/>
        </w:rPr>
        <w:t>要求：</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业绩证明应提供证明材料（合同复印件可只提供首页、含金额页、盖章页并加盖投标人公章）；</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报价供应商可按此表格式复制。</w:t>
      </w: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p>
    <w:p>
      <w:pPr>
        <w:spacing w:line="480" w:lineRule="auto"/>
        <w:rPr>
          <w:rFonts w:ascii="宋体"/>
          <w:color w:val="auto"/>
          <w:sz w:val="24"/>
          <w:szCs w:val="24"/>
        </w:rPr>
      </w:pPr>
      <w:r>
        <w:rPr>
          <w:rFonts w:hint="eastAsia" w:ascii="宋体" w:hAnsi="宋体" w:cs="宋体"/>
          <w:color w:val="auto"/>
          <w:sz w:val="24"/>
          <w:szCs w:val="24"/>
        </w:rPr>
        <w:t>投标人名称（盖章）：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授权委托代理人签字或盖章：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p>
    <w:p>
      <w:pPr>
        <w:spacing w:line="360" w:lineRule="auto"/>
        <w:jc w:val="left"/>
        <w:rPr>
          <w:rFonts w:ascii="宋体"/>
          <w:b/>
          <w:bCs/>
          <w:color w:val="auto"/>
          <w:sz w:val="28"/>
          <w:szCs w:val="28"/>
          <w:lang w:val="zh-CN"/>
        </w:rPr>
      </w:pPr>
      <w:r>
        <w:rPr>
          <w:rFonts w:hint="eastAsia" w:ascii="宋体" w:hAnsi="宋体" w:cs="宋体"/>
          <w:b/>
          <w:bCs/>
          <w:color w:val="auto"/>
          <w:sz w:val="28"/>
          <w:szCs w:val="28"/>
          <w:lang w:val="zh-CN"/>
        </w:rPr>
        <w:t>附件</w:t>
      </w:r>
      <w:r>
        <w:rPr>
          <w:rFonts w:ascii="宋体" w:hAnsi="宋体" w:cs="宋体"/>
          <w:b/>
          <w:bCs/>
          <w:color w:val="auto"/>
          <w:sz w:val="28"/>
          <w:szCs w:val="28"/>
          <w:lang w:val="zh-CN"/>
        </w:rPr>
        <w:t>1</w:t>
      </w:r>
      <w:r>
        <w:rPr>
          <w:rFonts w:ascii="宋体" w:cs="宋体"/>
          <w:b/>
          <w:bCs/>
          <w:color w:val="auto"/>
          <w:sz w:val="28"/>
          <w:szCs w:val="28"/>
        </w:rPr>
        <w:t>0</w:t>
      </w: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资信及商务需求响应表</w:t>
      </w:r>
    </w:p>
    <w:p>
      <w:pPr>
        <w:spacing w:line="360" w:lineRule="auto"/>
        <w:rPr>
          <w:rFonts w:ascii="宋体"/>
          <w:b/>
          <w:bCs/>
          <w:color w:val="auto"/>
          <w:sz w:val="24"/>
          <w:szCs w:val="24"/>
        </w:rPr>
      </w:pPr>
    </w:p>
    <w:tbl>
      <w:tblPr>
        <w:tblStyle w:val="24"/>
        <w:tblW w:w="829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jc w:val="center"/>
              <w:rPr>
                <w:rFonts w:ascii="宋体"/>
                <w:b/>
                <w:bCs/>
                <w:color w:val="auto"/>
                <w:sz w:val="24"/>
                <w:szCs w:val="24"/>
              </w:rPr>
            </w:pPr>
            <w:r>
              <w:rPr>
                <w:rFonts w:hint="eastAsia" w:ascii="宋体" w:hAnsi="宋体" w:cs="宋体"/>
                <w:b/>
                <w:bCs/>
                <w:color w:val="auto"/>
                <w:sz w:val="24"/>
                <w:szCs w:val="24"/>
              </w:rPr>
              <w:t>序号</w:t>
            </w:r>
          </w:p>
        </w:tc>
        <w:tc>
          <w:tcPr>
            <w:tcW w:w="1785" w:type="dxa"/>
            <w:vAlign w:val="center"/>
          </w:tcPr>
          <w:p>
            <w:pPr>
              <w:jc w:val="center"/>
              <w:rPr>
                <w:rFonts w:ascii="宋体"/>
                <w:b/>
                <w:bCs/>
                <w:color w:val="auto"/>
                <w:sz w:val="24"/>
                <w:szCs w:val="24"/>
              </w:rPr>
            </w:pPr>
            <w:r>
              <w:rPr>
                <w:rFonts w:hint="eastAsia" w:ascii="宋体" w:hAnsi="宋体" w:cs="宋体"/>
                <w:b/>
                <w:bCs/>
                <w:color w:val="auto"/>
                <w:sz w:val="24"/>
                <w:szCs w:val="24"/>
              </w:rPr>
              <w:t>内容</w:t>
            </w:r>
          </w:p>
        </w:tc>
        <w:tc>
          <w:tcPr>
            <w:tcW w:w="1785" w:type="dxa"/>
            <w:vAlign w:val="center"/>
          </w:tcPr>
          <w:p>
            <w:pPr>
              <w:jc w:val="center"/>
              <w:rPr>
                <w:rFonts w:ascii="宋体"/>
                <w:b/>
                <w:bCs/>
                <w:color w:val="auto"/>
                <w:sz w:val="24"/>
                <w:szCs w:val="24"/>
              </w:rPr>
            </w:pPr>
            <w:r>
              <w:rPr>
                <w:rFonts w:hint="eastAsia" w:ascii="宋体" w:hAnsi="宋体" w:cs="宋体"/>
                <w:b/>
                <w:bCs/>
                <w:color w:val="auto"/>
                <w:sz w:val="24"/>
                <w:szCs w:val="24"/>
              </w:rPr>
              <w:t>招标需求</w:t>
            </w:r>
          </w:p>
        </w:tc>
        <w:tc>
          <w:tcPr>
            <w:tcW w:w="1365" w:type="dxa"/>
            <w:vAlign w:val="center"/>
          </w:tcPr>
          <w:p>
            <w:pPr>
              <w:ind w:left="152"/>
              <w:jc w:val="center"/>
              <w:rPr>
                <w:rFonts w:ascii="宋体"/>
                <w:b/>
                <w:bCs/>
                <w:color w:val="auto"/>
                <w:sz w:val="24"/>
                <w:szCs w:val="24"/>
              </w:rPr>
            </w:pPr>
            <w:r>
              <w:rPr>
                <w:rFonts w:hint="eastAsia" w:ascii="宋体" w:hAnsi="宋体" w:cs="宋体"/>
                <w:b/>
                <w:bCs/>
                <w:color w:val="auto"/>
                <w:sz w:val="24"/>
                <w:szCs w:val="24"/>
              </w:rPr>
              <w:t>是否响应</w:t>
            </w:r>
          </w:p>
        </w:tc>
        <w:tc>
          <w:tcPr>
            <w:tcW w:w="2625" w:type="dxa"/>
            <w:vAlign w:val="center"/>
          </w:tcPr>
          <w:p>
            <w:pPr>
              <w:jc w:val="center"/>
              <w:rPr>
                <w:rFonts w:ascii="宋体"/>
                <w:b/>
                <w:bCs/>
                <w:color w:val="auto"/>
                <w:sz w:val="24"/>
                <w:szCs w:val="24"/>
              </w:rPr>
            </w:pPr>
            <w:r>
              <w:rPr>
                <w:rFonts w:hint="eastAsia" w:ascii="宋体" w:hAnsi="宋体" w:cs="宋体"/>
                <w:b/>
                <w:bCs/>
                <w:color w:val="auto"/>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jc w:val="center"/>
              <w:rPr>
                <w:rFonts w:ascii="宋体"/>
                <w:color w:val="auto"/>
                <w:sz w:val="24"/>
                <w:szCs w:val="24"/>
              </w:rPr>
            </w:pPr>
          </w:p>
        </w:tc>
        <w:tc>
          <w:tcPr>
            <w:tcW w:w="1785" w:type="dxa"/>
            <w:vAlign w:val="center"/>
          </w:tcPr>
          <w:p>
            <w:pPr>
              <w:snapToGrid w:val="0"/>
              <w:jc w:val="center"/>
              <w:rPr>
                <w:rFonts w:ascii="宋体"/>
                <w:color w:val="auto"/>
                <w:sz w:val="24"/>
                <w:szCs w:val="24"/>
              </w:rPr>
            </w:pPr>
            <w:r>
              <w:rPr>
                <w:rFonts w:hint="eastAsia" w:ascii="宋体" w:hAnsi="宋体" w:cs="宋体"/>
                <w:color w:val="auto"/>
                <w:sz w:val="24"/>
                <w:szCs w:val="24"/>
              </w:rPr>
              <w:t>售后服务保障要求</w:t>
            </w:r>
          </w:p>
        </w:tc>
        <w:tc>
          <w:tcPr>
            <w:tcW w:w="1785" w:type="dxa"/>
            <w:vAlign w:val="center"/>
          </w:tcPr>
          <w:p>
            <w:pPr>
              <w:jc w:val="center"/>
              <w:rPr>
                <w:rFonts w:ascii="宋体"/>
                <w:color w:val="auto"/>
                <w:sz w:val="24"/>
                <w:szCs w:val="24"/>
              </w:rPr>
            </w:pPr>
          </w:p>
        </w:tc>
        <w:tc>
          <w:tcPr>
            <w:tcW w:w="1365" w:type="dxa"/>
            <w:vAlign w:val="center"/>
          </w:tcPr>
          <w:p>
            <w:pPr>
              <w:jc w:val="center"/>
              <w:rPr>
                <w:rFonts w:ascii="宋体"/>
                <w:color w:val="auto"/>
                <w:sz w:val="24"/>
                <w:szCs w:val="24"/>
              </w:rPr>
            </w:pPr>
          </w:p>
        </w:tc>
        <w:tc>
          <w:tcPr>
            <w:tcW w:w="2625"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ascii="宋体"/>
                <w:color w:val="auto"/>
                <w:sz w:val="24"/>
                <w:szCs w:val="24"/>
              </w:rPr>
            </w:pPr>
          </w:p>
        </w:tc>
        <w:tc>
          <w:tcPr>
            <w:tcW w:w="1785" w:type="dxa"/>
            <w:vAlign w:val="center"/>
          </w:tcPr>
          <w:p>
            <w:pPr>
              <w:snapToGrid w:val="0"/>
              <w:jc w:val="center"/>
              <w:rPr>
                <w:rFonts w:ascii="宋体"/>
                <w:color w:val="auto"/>
                <w:sz w:val="24"/>
                <w:szCs w:val="24"/>
              </w:rPr>
            </w:pPr>
            <w:r>
              <w:rPr>
                <w:rFonts w:hint="eastAsia" w:ascii="宋体" w:hAnsi="宋体" w:cs="宋体"/>
                <w:color w:val="auto"/>
                <w:sz w:val="24"/>
                <w:szCs w:val="24"/>
              </w:rPr>
              <w:t>交货和服务</w:t>
            </w:r>
          </w:p>
          <w:p>
            <w:pPr>
              <w:snapToGrid w:val="0"/>
              <w:jc w:val="center"/>
              <w:rPr>
                <w:rFonts w:ascii="宋体"/>
                <w:color w:val="auto"/>
                <w:sz w:val="24"/>
                <w:szCs w:val="24"/>
              </w:rPr>
            </w:pPr>
            <w:r>
              <w:rPr>
                <w:rFonts w:hint="eastAsia" w:ascii="宋体" w:hAnsi="宋体" w:cs="宋体"/>
                <w:color w:val="auto"/>
                <w:sz w:val="24"/>
                <w:szCs w:val="24"/>
              </w:rPr>
              <w:t>时间及地点</w:t>
            </w:r>
          </w:p>
        </w:tc>
        <w:tc>
          <w:tcPr>
            <w:tcW w:w="1785" w:type="dxa"/>
            <w:vAlign w:val="center"/>
          </w:tcPr>
          <w:p>
            <w:pPr>
              <w:jc w:val="center"/>
              <w:rPr>
                <w:rFonts w:ascii="宋体"/>
                <w:color w:val="auto"/>
                <w:sz w:val="24"/>
                <w:szCs w:val="24"/>
              </w:rPr>
            </w:pPr>
          </w:p>
        </w:tc>
        <w:tc>
          <w:tcPr>
            <w:tcW w:w="1365" w:type="dxa"/>
            <w:vAlign w:val="center"/>
          </w:tcPr>
          <w:p>
            <w:pPr>
              <w:jc w:val="center"/>
              <w:rPr>
                <w:rFonts w:ascii="宋体"/>
                <w:color w:val="auto"/>
                <w:sz w:val="24"/>
                <w:szCs w:val="24"/>
              </w:rPr>
            </w:pPr>
          </w:p>
        </w:tc>
        <w:tc>
          <w:tcPr>
            <w:tcW w:w="2625"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color w:val="auto"/>
                <w:sz w:val="24"/>
                <w:szCs w:val="24"/>
              </w:rPr>
            </w:pPr>
          </w:p>
        </w:tc>
        <w:tc>
          <w:tcPr>
            <w:tcW w:w="1785" w:type="dxa"/>
            <w:vAlign w:val="center"/>
          </w:tcPr>
          <w:p>
            <w:pPr>
              <w:snapToGrid w:val="0"/>
              <w:jc w:val="center"/>
              <w:rPr>
                <w:rFonts w:ascii="宋体"/>
                <w:color w:val="auto"/>
                <w:sz w:val="24"/>
                <w:szCs w:val="24"/>
              </w:rPr>
            </w:pPr>
            <w:r>
              <w:rPr>
                <w:rFonts w:hint="eastAsia" w:ascii="宋体" w:hAnsi="宋体" w:cs="宋体"/>
                <w:color w:val="auto"/>
                <w:sz w:val="24"/>
                <w:szCs w:val="24"/>
              </w:rPr>
              <w:t>付款条件</w:t>
            </w:r>
          </w:p>
        </w:tc>
        <w:tc>
          <w:tcPr>
            <w:tcW w:w="1785" w:type="dxa"/>
            <w:vAlign w:val="center"/>
          </w:tcPr>
          <w:p>
            <w:pPr>
              <w:jc w:val="center"/>
              <w:rPr>
                <w:rFonts w:ascii="宋体"/>
                <w:color w:val="auto"/>
                <w:sz w:val="24"/>
                <w:szCs w:val="24"/>
              </w:rPr>
            </w:pPr>
          </w:p>
        </w:tc>
        <w:tc>
          <w:tcPr>
            <w:tcW w:w="1365" w:type="dxa"/>
            <w:vAlign w:val="center"/>
          </w:tcPr>
          <w:p>
            <w:pPr>
              <w:jc w:val="center"/>
              <w:rPr>
                <w:rFonts w:ascii="宋体"/>
                <w:color w:val="auto"/>
                <w:sz w:val="24"/>
                <w:szCs w:val="24"/>
              </w:rPr>
            </w:pPr>
          </w:p>
        </w:tc>
        <w:tc>
          <w:tcPr>
            <w:tcW w:w="2625"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color w:val="auto"/>
                <w:sz w:val="24"/>
                <w:szCs w:val="24"/>
              </w:rPr>
            </w:pPr>
          </w:p>
        </w:tc>
        <w:tc>
          <w:tcPr>
            <w:tcW w:w="1785" w:type="dxa"/>
            <w:vAlign w:val="center"/>
          </w:tcPr>
          <w:p>
            <w:pPr>
              <w:snapToGrid w:val="0"/>
              <w:jc w:val="center"/>
              <w:rPr>
                <w:rFonts w:ascii="宋体"/>
                <w:color w:val="auto"/>
                <w:sz w:val="24"/>
                <w:szCs w:val="24"/>
              </w:rPr>
            </w:pPr>
            <w:r>
              <w:rPr>
                <w:rFonts w:hint="eastAsia" w:ascii="宋体" w:hAnsi="宋体" w:cs="宋体"/>
                <w:color w:val="auto"/>
                <w:sz w:val="24"/>
                <w:szCs w:val="24"/>
              </w:rPr>
              <w:t>……</w:t>
            </w:r>
          </w:p>
        </w:tc>
        <w:tc>
          <w:tcPr>
            <w:tcW w:w="1785" w:type="dxa"/>
            <w:vAlign w:val="center"/>
          </w:tcPr>
          <w:p>
            <w:pPr>
              <w:jc w:val="center"/>
              <w:rPr>
                <w:rFonts w:ascii="宋体"/>
                <w:color w:val="auto"/>
                <w:sz w:val="24"/>
                <w:szCs w:val="24"/>
              </w:rPr>
            </w:pPr>
          </w:p>
        </w:tc>
        <w:tc>
          <w:tcPr>
            <w:tcW w:w="1365" w:type="dxa"/>
            <w:vAlign w:val="center"/>
          </w:tcPr>
          <w:p>
            <w:pPr>
              <w:jc w:val="center"/>
              <w:rPr>
                <w:rFonts w:ascii="宋体"/>
                <w:color w:val="auto"/>
                <w:sz w:val="24"/>
                <w:szCs w:val="24"/>
              </w:rPr>
            </w:pPr>
          </w:p>
        </w:tc>
        <w:tc>
          <w:tcPr>
            <w:tcW w:w="2625"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color w:val="auto"/>
                <w:sz w:val="24"/>
                <w:szCs w:val="24"/>
              </w:rPr>
            </w:pPr>
          </w:p>
        </w:tc>
        <w:tc>
          <w:tcPr>
            <w:tcW w:w="1785" w:type="dxa"/>
            <w:vAlign w:val="center"/>
          </w:tcPr>
          <w:p>
            <w:pPr>
              <w:snapToGrid w:val="0"/>
              <w:jc w:val="center"/>
              <w:rPr>
                <w:rFonts w:ascii="宋体"/>
                <w:color w:val="auto"/>
                <w:sz w:val="24"/>
                <w:szCs w:val="24"/>
              </w:rPr>
            </w:pPr>
          </w:p>
        </w:tc>
        <w:tc>
          <w:tcPr>
            <w:tcW w:w="1785" w:type="dxa"/>
            <w:vAlign w:val="center"/>
          </w:tcPr>
          <w:p>
            <w:pPr>
              <w:jc w:val="center"/>
              <w:rPr>
                <w:rFonts w:ascii="宋体"/>
                <w:color w:val="auto"/>
                <w:sz w:val="24"/>
                <w:szCs w:val="24"/>
              </w:rPr>
            </w:pPr>
          </w:p>
        </w:tc>
        <w:tc>
          <w:tcPr>
            <w:tcW w:w="1365" w:type="dxa"/>
            <w:vAlign w:val="center"/>
          </w:tcPr>
          <w:p>
            <w:pPr>
              <w:jc w:val="center"/>
              <w:rPr>
                <w:rFonts w:ascii="宋体"/>
                <w:color w:val="auto"/>
                <w:sz w:val="24"/>
                <w:szCs w:val="24"/>
              </w:rPr>
            </w:pPr>
          </w:p>
        </w:tc>
        <w:tc>
          <w:tcPr>
            <w:tcW w:w="2625"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color w:val="auto"/>
                <w:sz w:val="24"/>
                <w:szCs w:val="24"/>
              </w:rPr>
            </w:pPr>
          </w:p>
        </w:tc>
        <w:tc>
          <w:tcPr>
            <w:tcW w:w="1785" w:type="dxa"/>
            <w:vAlign w:val="center"/>
          </w:tcPr>
          <w:p>
            <w:pPr>
              <w:snapToGrid w:val="0"/>
              <w:jc w:val="center"/>
              <w:rPr>
                <w:rFonts w:ascii="宋体"/>
                <w:color w:val="auto"/>
                <w:sz w:val="24"/>
                <w:szCs w:val="24"/>
              </w:rPr>
            </w:pPr>
          </w:p>
        </w:tc>
        <w:tc>
          <w:tcPr>
            <w:tcW w:w="1785" w:type="dxa"/>
            <w:vAlign w:val="center"/>
          </w:tcPr>
          <w:p>
            <w:pPr>
              <w:jc w:val="center"/>
              <w:rPr>
                <w:rFonts w:ascii="宋体"/>
                <w:color w:val="auto"/>
                <w:sz w:val="24"/>
                <w:szCs w:val="24"/>
              </w:rPr>
            </w:pPr>
          </w:p>
        </w:tc>
        <w:tc>
          <w:tcPr>
            <w:tcW w:w="1365" w:type="dxa"/>
            <w:vAlign w:val="center"/>
          </w:tcPr>
          <w:p>
            <w:pPr>
              <w:jc w:val="center"/>
              <w:rPr>
                <w:rFonts w:ascii="宋体"/>
                <w:color w:val="auto"/>
                <w:sz w:val="24"/>
                <w:szCs w:val="24"/>
              </w:rPr>
            </w:pPr>
          </w:p>
        </w:tc>
        <w:tc>
          <w:tcPr>
            <w:tcW w:w="2625"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jc w:val="center"/>
              <w:rPr>
                <w:rFonts w:ascii="宋体"/>
                <w:color w:val="auto"/>
                <w:sz w:val="24"/>
                <w:szCs w:val="24"/>
              </w:rPr>
            </w:pPr>
          </w:p>
        </w:tc>
        <w:tc>
          <w:tcPr>
            <w:tcW w:w="1785" w:type="dxa"/>
            <w:vAlign w:val="center"/>
          </w:tcPr>
          <w:p>
            <w:pPr>
              <w:snapToGrid w:val="0"/>
              <w:jc w:val="center"/>
              <w:rPr>
                <w:rFonts w:ascii="宋体"/>
                <w:color w:val="auto"/>
                <w:sz w:val="24"/>
                <w:szCs w:val="24"/>
              </w:rPr>
            </w:pPr>
          </w:p>
        </w:tc>
        <w:tc>
          <w:tcPr>
            <w:tcW w:w="1785" w:type="dxa"/>
            <w:vAlign w:val="center"/>
          </w:tcPr>
          <w:p>
            <w:pPr>
              <w:jc w:val="center"/>
              <w:rPr>
                <w:rFonts w:ascii="宋体"/>
                <w:color w:val="auto"/>
                <w:sz w:val="24"/>
                <w:szCs w:val="24"/>
              </w:rPr>
            </w:pPr>
          </w:p>
        </w:tc>
        <w:tc>
          <w:tcPr>
            <w:tcW w:w="1365" w:type="dxa"/>
            <w:vAlign w:val="center"/>
          </w:tcPr>
          <w:p>
            <w:pPr>
              <w:jc w:val="center"/>
              <w:rPr>
                <w:rFonts w:ascii="宋体"/>
                <w:color w:val="auto"/>
                <w:sz w:val="24"/>
                <w:szCs w:val="24"/>
              </w:rPr>
            </w:pPr>
          </w:p>
        </w:tc>
        <w:tc>
          <w:tcPr>
            <w:tcW w:w="2625"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jc w:val="center"/>
              <w:rPr>
                <w:rFonts w:ascii="宋体"/>
                <w:color w:val="auto"/>
                <w:sz w:val="24"/>
                <w:szCs w:val="24"/>
              </w:rPr>
            </w:pPr>
          </w:p>
        </w:tc>
        <w:tc>
          <w:tcPr>
            <w:tcW w:w="1785" w:type="dxa"/>
            <w:vAlign w:val="center"/>
          </w:tcPr>
          <w:p>
            <w:pPr>
              <w:snapToGrid w:val="0"/>
              <w:jc w:val="center"/>
              <w:rPr>
                <w:rFonts w:ascii="宋体"/>
                <w:color w:val="auto"/>
                <w:sz w:val="24"/>
                <w:szCs w:val="24"/>
              </w:rPr>
            </w:pPr>
          </w:p>
        </w:tc>
        <w:tc>
          <w:tcPr>
            <w:tcW w:w="1785" w:type="dxa"/>
            <w:vAlign w:val="center"/>
          </w:tcPr>
          <w:p>
            <w:pPr>
              <w:jc w:val="center"/>
              <w:rPr>
                <w:rFonts w:ascii="宋体"/>
                <w:color w:val="auto"/>
                <w:sz w:val="24"/>
                <w:szCs w:val="24"/>
              </w:rPr>
            </w:pPr>
          </w:p>
        </w:tc>
        <w:tc>
          <w:tcPr>
            <w:tcW w:w="1365" w:type="dxa"/>
            <w:vAlign w:val="center"/>
          </w:tcPr>
          <w:p>
            <w:pPr>
              <w:jc w:val="center"/>
              <w:rPr>
                <w:rFonts w:ascii="宋体"/>
                <w:color w:val="auto"/>
                <w:sz w:val="24"/>
                <w:szCs w:val="24"/>
              </w:rPr>
            </w:pPr>
          </w:p>
        </w:tc>
        <w:tc>
          <w:tcPr>
            <w:tcW w:w="2625" w:type="dxa"/>
            <w:vAlign w:val="center"/>
          </w:tcPr>
          <w:p>
            <w:pPr>
              <w:jc w:val="center"/>
              <w:rPr>
                <w:rFonts w:ascii="宋体"/>
                <w:color w:val="auto"/>
                <w:sz w:val="24"/>
                <w:szCs w:val="24"/>
              </w:rPr>
            </w:pPr>
          </w:p>
        </w:tc>
      </w:tr>
    </w:tbl>
    <w:p>
      <w:pPr>
        <w:spacing w:line="360" w:lineRule="auto"/>
        <w:rPr>
          <w:rFonts w:ascii="宋体"/>
          <w:b/>
          <w:bCs/>
          <w:color w:val="auto"/>
          <w:sz w:val="24"/>
          <w:szCs w:val="24"/>
        </w:rPr>
      </w:pPr>
    </w:p>
    <w:p>
      <w:pPr>
        <w:spacing w:line="480" w:lineRule="auto"/>
        <w:rPr>
          <w:rFonts w:ascii="宋体"/>
          <w:color w:val="auto"/>
          <w:sz w:val="24"/>
          <w:szCs w:val="24"/>
        </w:rPr>
      </w:pPr>
      <w:r>
        <w:rPr>
          <w:rFonts w:hint="eastAsia" w:ascii="宋体" w:hAnsi="宋体" w:cs="宋体"/>
          <w:color w:val="auto"/>
          <w:sz w:val="24"/>
          <w:szCs w:val="24"/>
        </w:rPr>
        <w:t>投标人名称（盖章）：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授权委托代理人签字或盖章：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tabs>
          <w:tab w:val="left" w:pos="2460"/>
        </w:tabs>
        <w:spacing w:line="360" w:lineRule="auto"/>
        <w:rPr>
          <w:rFonts w:ascii="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11</w:t>
      </w:r>
    </w:p>
    <w:p>
      <w:pPr>
        <w:spacing w:line="360" w:lineRule="auto"/>
        <w:ind w:left="31680" w:hanging="549" w:hangingChars="171"/>
        <w:jc w:val="center"/>
        <w:rPr>
          <w:rFonts w:ascii="宋体"/>
          <w:b/>
          <w:bCs/>
          <w:color w:val="auto"/>
          <w:sz w:val="32"/>
          <w:szCs w:val="32"/>
        </w:rPr>
      </w:pPr>
      <w:r>
        <w:rPr>
          <w:rFonts w:hint="eastAsia" w:ascii="宋体" w:hAnsi="宋体" w:cs="宋体"/>
          <w:b/>
          <w:bCs/>
          <w:color w:val="auto"/>
          <w:sz w:val="32"/>
          <w:szCs w:val="32"/>
        </w:rPr>
        <w:t>距采购人最近的服务网点情况表</w:t>
      </w:r>
    </w:p>
    <w:tbl>
      <w:tblPr>
        <w:tblStyle w:val="2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220"/>
        <w:gridCol w:w="285"/>
        <w:gridCol w:w="1500"/>
        <w:gridCol w:w="6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服务网点名称</w:t>
            </w:r>
          </w:p>
        </w:tc>
        <w:tc>
          <w:tcPr>
            <w:tcW w:w="6873" w:type="dxa"/>
            <w:gridSpan w:val="5"/>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地址</w:t>
            </w:r>
          </w:p>
        </w:tc>
        <w:tc>
          <w:tcPr>
            <w:tcW w:w="6873" w:type="dxa"/>
            <w:gridSpan w:val="5"/>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注册资本金</w:t>
            </w:r>
          </w:p>
        </w:tc>
        <w:tc>
          <w:tcPr>
            <w:tcW w:w="2220" w:type="dxa"/>
            <w:vAlign w:val="center"/>
          </w:tcPr>
          <w:p>
            <w:pPr>
              <w:spacing w:line="360" w:lineRule="auto"/>
              <w:jc w:val="center"/>
              <w:rPr>
                <w:color w:val="auto"/>
                <w:sz w:val="24"/>
                <w:szCs w:val="24"/>
              </w:rPr>
            </w:pPr>
          </w:p>
        </w:tc>
        <w:tc>
          <w:tcPr>
            <w:tcW w:w="2385" w:type="dxa"/>
            <w:gridSpan w:val="3"/>
            <w:vAlign w:val="center"/>
          </w:tcPr>
          <w:p>
            <w:pPr>
              <w:spacing w:line="360" w:lineRule="auto"/>
              <w:jc w:val="center"/>
              <w:rPr>
                <w:color w:val="auto"/>
                <w:sz w:val="24"/>
                <w:szCs w:val="24"/>
              </w:rPr>
            </w:pPr>
            <w:r>
              <w:rPr>
                <w:rFonts w:hint="eastAsia" w:cs="宋体"/>
                <w:color w:val="auto"/>
                <w:sz w:val="24"/>
                <w:szCs w:val="24"/>
              </w:rPr>
              <w:t>其中投标人出资比例</w:t>
            </w:r>
          </w:p>
        </w:tc>
        <w:tc>
          <w:tcPr>
            <w:tcW w:w="2268" w:type="dxa"/>
            <w:vAlign w:val="center"/>
          </w:tcPr>
          <w:p>
            <w:pPr>
              <w:spacing w:line="360" w:lineRule="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员工总人数</w:t>
            </w:r>
          </w:p>
        </w:tc>
        <w:tc>
          <w:tcPr>
            <w:tcW w:w="2220" w:type="dxa"/>
            <w:vAlign w:val="center"/>
          </w:tcPr>
          <w:p>
            <w:pPr>
              <w:spacing w:line="360" w:lineRule="auto"/>
              <w:jc w:val="center"/>
              <w:rPr>
                <w:color w:val="auto"/>
                <w:sz w:val="24"/>
                <w:szCs w:val="24"/>
              </w:rPr>
            </w:pPr>
          </w:p>
        </w:tc>
        <w:tc>
          <w:tcPr>
            <w:tcW w:w="2385" w:type="dxa"/>
            <w:gridSpan w:val="3"/>
            <w:vAlign w:val="center"/>
          </w:tcPr>
          <w:p>
            <w:pPr>
              <w:spacing w:line="360" w:lineRule="auto"/>
              <w:jc w:val="center"/>
              <w:rPr>
                <w:color w:val="auto"/>
                <w:sz w:val="24"/>
                <w:szCs w:val="24"/>
              </w:rPr>
            </w:pPr>
            <w:r>
              <w:rPr>
                <w:rFonts w:hint="eastAsia" w:cs="宋体"/>
                <w:color w:val="auto"/>
                <w:sz w:val="24"/>
                <w:szCs w:val="24"/>
              </w:rPr>
              <w:t>其中：技术人员数</w:t>
            </w:r>
          </w:p>
        </w:tc>
        <w:tc>
          <w:tcPr>
            <w:tcW w:w="2268" w:type="dxa"/>
            <w:vAlign w:val="center"/>
          </w:tcPr>
          <w:p>
            <w:pPr>
              <w:spacing w:line="360" w:lineRule="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经营期限</w:t>
            </w:r>
          </w:p>
        </w:tc>
        <w:tc>
          <w:tcPr>
            <w:tcW w:w="6873" w:type="dxa"/>
            <w:gridSpan w:val="5"/>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售后服务协议</w:t>
            </w:r>
          </w:p>
        </w:tc>
        <w:tc>
          <w:tcPr>
            <w:tcW w:w="6873" w:type="dxa"/>
            <w:gridSpan w:val="5"/>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售后服务内容</w:t>
            </w:r>
          </w:p>
        </w:tc>
        <w:tc>
          <w:tcPr>
            <w:tcW w:w="6873" w:type="dxa"/>
            <w:gridSpan w:val="5"/>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工作业绩</w:t>
            </w:r>
          </w:p>
        </w:tc>
        <w:tc>
          <w:tcPr>
            <w:tcW w:w="6873" w:type="dxa"/>
            <w:gridSpan w:val="5"/>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服务承诺</w:t>
            </w:r>
          </w:p>
        </w:tc>
        <w:tc>
          <w:tcPr>
            <w:tcW w:w="6873" w:type="dxa"/>
            <w:gridSpan w:val="5"/>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业务咨询电话</w:t>
            </w:r>
          </w:p>
        </w:tc>
        <w:tc>
          <w:tcPr>
            <w:tcW w:w="2505" w:type="dxa"/>
            <w:gridSpan w:val="2"/>
            <w:vAlign w:val="center"/>
          </w:tcPr>
          <w:p>
            <w:pPr>
              <w:spacing w:line="360" w:lineRule="auto"/>
              <w:jc w:val="center"/>
              <w:rPr>
                <w:color w:val="auto"/>
                <w:sz w:val="24"/>
                <w:szCs w:val="24"/>
              </w:rPr>
            </w:pPr>
          </w:p>
        </w:tc>
        <w:tc>
          <w:tcPr>
            <w:tcW w:w="1500" w:type="dxa"/>
            <w:vAlign w:val="center"/>
          </w:tcPr>
          <w:p>
            <w:pPr>
              <w:spacing w:line="360" w:lineRule="auto"/>
              <w:jc w:val="center"/>
              <w:rPr>
                <w:color w:val="auto"/>
                <w:sz w:val="24"/>
                <w:szCs w:val="24"/>
              </w:rPr>
            </w:pPr>
            <w:r>
              <w:rPr>
                <w:rFonts w:hint="eastAsia" w:cs="宋体"/>
                <w:color w:val="auto"/>
                <w:sz w:val="24"/>
                <w:szCs w:val="24"/>
              </w:rPr>
              <w:t>传真</w:t>
            </w:r>
          </w:p>
        </w:tc>
        <w:tc>
          <w:tcPr>
            <w:tcW w:w="2868" w:type="dxa"/>
            <w:gridSpan w:val="2"/>
            <w:vAlign w:val="center"/>
          </w:tcPr>
          <w:p>
            <w:pPr>
              <w:spacing w:line="360" w:lineRule="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color w:val="auto"/>
                <w:sz w:val="24"/>
                <w:szCs w:val="24"/>
              </w:rPr>
            </w:pPr>
            <w:r>
              <w:rPr>
                <w:rFonts w:hint="eastAsia" w:cs="宋体"/>
                <w:color w:val="auto"/>
                <w:sz w:val="24"/>
                <w:szCs w:val="24"/>
              </w:rPr>
              <w:t>负责人</w:t>
            </w:r>
          </w:p>
        </w:tc>
        <w:tc>
          <w:tcPr>
            <w:tcW w:w="2505" w:type="dxa"/>
            <w:gridSpan w:val="2"/>
            <w:vAlign w:val="center"/>
          </w:tcPr>
          <w:p>
            <w:pPr>
              <w:spacing w:line="360" w:lineRule="auto"/>
              <w:jc w:val="center"/>
              <w:rPr>
                <w:color w:val="auto"/>
                <w:sz w:val="24"/>
                <w:szCs w:val="24"/>
              </w:rPr>
            </w:pPr>
          </w:p>
        </w:tc>
        <w:tc>
          <w:tcPr>
            <w:tcW w:w="1500" w:type="dxa"/>
            <w:vAlign w:val="center"/>
          </w:tcPr>
          <w:p>
            <w:pPr>
              <w:spacing w:line="360" w:lineRule="auto"/>
              <w:jc w:val="center"/>
              <w:rPr>
                <w:color w:val="auto"/>
                <w:sz w:val="24"/>
                <w:szCs w:val="24"/>
              </w:rPr>
            </w:pPr>
            <w:r>
              <w:rPr>
                <w:rFonts w:hint="eastAsia" w:cs="宋体"/>
                <w:color w:val="auto"/>
                <w:sz w:val="24"/>
                <w:szCs w:val="24"/>
              </w:rPr>
              <w:t>联系电话</w:t>
            </w:r>
          </w:p>
        </w:tc>
        <w:tc>
          <w:tcPr>
            <w:tcW w:w="2868" w:type="dxa"/>
            <w:gridSpan w:val="2"/>
            <w:vAlign w:val="center"/>
          </w:tcPr>
          <w:p>
            <w:pPr>
              <w:spacing w:line="360" w:lineRule="auto"/>
              <w:rPr>
                <w:color w:val="auto"/>
                <w:sz w:val="24"/>
                <w:szCs w:val="24"/>
              </w:rPr>
            </w:pPr>
          </w:p>
        </w:tc>
      </w:tr>
    </w:tbl>
    <w:p>
      <w:pPr>
        <w:spacing w:line="360" w:lineRule="auto"/>
        <w:rPr>
          <w:rFonts w:ascii="宋体"/>
          <w:color w:val="auto"/>
          <w:sz w:val="24"/>
          <w:szCs w:val="24"/>
        </w:rPr>
      </w:pPr>
    </w:p>
    <w:p>
      <w:pPr>
        <w:spacing w:line="480" w:lineRule="auto"/>
        <w:rPr>
          <w:rFonts w:ascii="宋体"/>
          <w:color w:val="auto"/>
          <w:sz w:val="24"/>
          <w:szCs w:val="24"/>
        </w:rPr>
      </w:pPr>
      <w:r>
        <w:rPr>
          <w:rFonts w:hint="eastAsia" w:ascii="宋体" w:hAnsi="宋体" w:cs="宋体"/>
          <w:color w:val="auto"/>
          <w:sz w:val="24"/>
          <w:szCs w:val="24"/>
        </w:rPr>
        <w:t>投标人名称（盖章）：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授权委托代理人签字或盖章：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p>
    <w:p>
      <w:pPr>
        <w:spacing w:line="360" w:lineRule="auto"/>
        <w:rPr>
          <w:rFonts w:ascii="宋体"/>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p>
    <w:p>
      <w:pPr>
        <w:rPr>
          <w:rFonts w:ascii="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12</w:t>
      </w:r>
      <w:r>
        <w:rPr>
          <w:rFonts w:hint="eastAsia" w:ascii="宋体" w:hAnsi="宋体" w:cs="宋体"/>
          <w:b/>
          <w:bCs/>
          <w:color w:val="auto"/>
          <w:sz w:val="28"/>
          <w:szCs w:val="28"/>
        </w:rPr>
        <w:t>　</w:t>
      </w:r>
      <w:r>
        <w:rPr>
          <w:rFonts w:hint="eastAsia" w:ascii="宋体" w:hAnsi="宋体" w:cs="宋体"/>
          <w:color w:val="auto"/>
          <w:sz w:val="30"/>
          <w:szCs w:val="30"/>
        </w:rPr>
        <w:t>　</w:t>
      </w:r>
      <w:r>
        <w:rPr>
          <w:rFonts w:ascii="宋体" w:hAnsi="宋体" w:cs="宋体"/>
          <w:color w:val="auto"/>
          <w:sz w:val="30"/>
          <w:szCs w:val="30"/>
        </w:rPr>
        <w:t xml:space="preserve">                                       </w:t>
      </w:r>
      <w:r>
        <w:rPr>
          <w:rFonts w:ascii="宋体" w:hAnsi="宋体" w:cs="宋体"/>
          <w:color w:val="auto"/>
          <w:sz w:val="30"/>
          <w:szCs w:val="30"/>
          <w:u w:val="single"/>
        </w:rPr>
        <w:t xml:space="preserve">   </w:t>
      </w:r>
      <w:r>
        <w:rPr>
          <w:rFonts w:hint="eastAsia" w:ascii="宋体" w:hAnsi="宋体" w:cs="宋体"/>
          <w:color w:val="auto"/>
          <w:sz w:val="24"/>
          <w:szCs w:val="24"/>
        </w:rPr>
        <w:t>本</w:t>
      </w:r>
    </w:p>
    <w:p>
      <w:pPr>
        <w:jc w:val="center"/>
        <w:rPr>
          <w:rFonts w:ascii="宋体"/>
          <w:color w:val="auto"/>
          <w:spacing w:val="40"/>
          <w:sz w:val="52"/>
          <w:szCs w:val="52"/>
        </w:rPr>
      </w:pPr>
      <w:r>
        <w:rPr>
          <w:rFonts w:hint="eastAsia" w:ascii="宋体" w:hAnsi="宋体" w:cs="宋体"/>
          <w:color w:val="auto"/>
          <w:spacing w:val="40"/>
          <w:sz w:val="52"/>
          <w:szCs w:val="52"/>
        </w:rPr>
        <w:t>项目名称</w:t>
      </w:r>
    </w:p>
    <w:p>
      <w:pPr>
        <w:jc w:val="center"/>
        <w:rPr>
          <w:rFonts w:ascii="宋体"/>
          <w:color w:val="auto"/>
          <w:sz w:val="36"/>
          <w:szCs w:val="36"/>
        </w:rPr>
      </w:pPr>
      <w:r>
        <w:rPr>
          <w:rFonts w:hint="eastAsia" w:ascii="宋体" w:hAnsi="宋体" w:cs="宋体"/>
          <w:color w:val="auto"/>
          <w:sz w:val="36"/>
          <w:szCs w:val="36"/>
        </w:rPr>
        <w:t>项目编号：（标段）</w:t>
      </w:r>
    </w:p>
    <w:p>
      <w:pPr>
        <w:jc w:val="center"/>
        <w:rPr>
          <w:rFonts w:ascii="宋体"/>
          <w:b/>
          <w:bCs/>
          <w:color w:val="auto"/>
          <w:spacing w:val="40"/>
          <w:sz w:val="84"/>
          <w:szCs w:val="84"/>
        </w:rPr>
      </w:pPr>
    </w:p>
    <w:p>
      <w:pPr>
        <w:jc w:val="center"/>
        <w:rPr>
          <w:rFonts w:ascii="宋体"/>
          <w:b/>
          <w:bCs/>
          <w:color w:val="auto"/>
          <w:spacing w:val="40"/>
          <w:sz w:val="84"/>
          <w:szCs w:val="84"/>
        </w:rPr>
      </w:pPr>
      <w:r>
        <w:rPr>
          <w:rFonts w:hint="eastAsia" w:ascii="宋体" w:hAnsi="宋体" w:cs="宋体"/>
          <w:b/>
          <w:bCs/>
          <w:color w:val="auto"/>
          <w:spacing w:val="40"/>
          <w:sz w:val="84"/>
          <w:szCs w:val="84"/>
        </w:rPr>
        <w:t>报</w:t>
      </w:r>
    </w:p>
    <w:p>
      <w:pPr>
        <w:jc w:val="center"/>
        <w:rPr>
          <w:rFonts w:ascii="宋体"/>
          <w:b/>
          <w:bCs/>
          <w:color w:val="auto"/>
          <w:spacing w:val="40"/>
          <w:sz w:val="84"/>
          <w:szCs w:val="84"/>
        </w:rPr>
      </w:pPr>
      <w:r>
        <w:rPr>
          <w:rFonts w:hint="eastAsia" w:ascii="宋体" w:hAnsi="宋体" w:cs="宋体"/>
          <w:b/>
          <w:bCs/>
          <w:color w:val="auto"/>
          <w:spacing w:val="40"/>
          <w:sz w:val="84"/>
          <w:szCs w:val="84"/>
        </w:rPr>
        <w:t>价</w:t>
      </w:r>
    </w:p>
    <w:p>
      <w:pPr>
        <w:jc w:val="center"/>
        <w:rPr>
          <w:rFonts w:ascii="宋体"/>
          <w:b/>
          <w:bCs/>
          <w:color w:val="auto"/>
          <w:spacing w:val="40"/>
          <w:sz w:val="84"/>
          <w:szCs w:val="84"/>
        </w:rPr>
      </w:pPr>
      <w:r>
        <w:rPr>
          <w:rFonts w:hint="eastAsia" w:ascii="宋体" w:hAnsi="宋体" w:cs="宋体"/>
          <w:b/>
          <w:bCs/>
          <w:color w:val="auto"/>
          <w:spacing w:val="40"/>
          <w:sz w:val="84"/>
          <w:szCs w:val="84"/>
        </w:rPr>
        <w:t>文</w:t>
      </w:r>
    </w:p>
    <w:p>
      <w:pPr>
        <w:jc w:val="center"/>
        <w:rPr>
          <w:rFonts w:ascii="宋体"/>
          <w:b/>
          <w:bCs/>
          <w:color w:val="auto"/>
          <w:spacing w:val="40"/>
          <w:sz w:val="84"/>
          <w:szCs w:val="84"/>
        </w:rPr>
      </w:pPr>
      <w:r>
        <w:rPr>
          <w:rFonts w:hint="eastAsia" w:ascii="宋体" w:hAnsi="宋体" w:cs="宋体"/>
          <w:b/>
          <w:bCs/>
          <w:color w:val="auto"/>
          <w:spacing w:val="40"/>
          <w:sz w:val="84"/>
          <w:szCs w:val="84"/>
        </w:rPr>
        <w:t>件</w:t>
      </w:r>
    </w:p>
    <w:p>
      <w:pPr>
        <w:jc w:val="center"/>
        <w:rPr>
          <w:rFonts w:ascii="宋体"/>
          <w:color w:val="auto"/>
          <w:sz w:val="36"/>
          <w:szCs w:val="36"/>
        </w:rPr>
      </w:pPr>
    </w:p>
    <w:p>
      <w:pPr>
        <w:jc w:val="center"/>
        <w:rPr>
          <w:rFonts w:ascii="宋体"/>
          <w:color w:val="auto"/>
          <w:sz w:val="36"/>
          <w:szCs w:val="36"/>
        </w:rPr>
      </w:pPr>
    </w:p>
    <w:p>
      <w:pPr>
        <w:spacing w:line="360" w:lineRule="auto"/>
        <w:ind w:right="532"/>
        <w:jc w:val="center"/>
        <w:rPr>
          <w:rFonts w:ascii="宋体"/>
          <w:color w:val="auto"/>
          <w:sz w:val="36"/>
          <w:szCs w:val="36"/>
        </w:rPr>
      </w:pPr>
    </w:p>
    <w:p>
      <w:pPr>
        <w:rPr>
          <w:rFonts w:ascii="宋体"/>
          <w:color w:val="auto"/>
          <w:sz w:val="36"/>
          <w:szCs w:val="36"/>
        </w:rPr>
      </w:pPr>
      <w:r>
        <w:rPr>
          <w:rFonts w:hint="eastAsia" w:ascii="宋体" w:hAnsi="宋体" w:cs="宋体"/>
          <w:color w:val="auto"/>
          <w:sz w:val="36"/>
          <w:szCs w:val="36"/>
        </w:rPr>
        <w:t>供应商全称（公章）：</w:t>
      </w:r>
    </w:p>
    <w:p>
      <w:pPr>
        <w:rPr>
          <w:rFonts w:ascii="宋体"/>
          <w:color w:val="auto"/>
          <w:sz w:val="36"/>
          <w:szCs w:val="36"/>
        </w:rPr>
      </w:pPr>
      <w:r>
        <w:rPr>
          <w:rFonts w:hint="eastAsia" w:ascii="宋体" w:hAnsi="宋体" w:cs="宋体"/>
          <w:color w:val="auto"/>
          <w:sz w:val="36"/>
          <w:szCs w:val="36"/>
        </w:rPr>
        <w:t>地址：</w:t>
      </w:r>
    </w:p>
    <w:p>
      <w:pPr>
        <w:rPr>
          <w:rFonts w:ascii="宋体"/>
          <w:color w:val="auto"/>
          <w:sz w:val="36"/>
          <w:szCs w:val="36"/>
        </w:rPr>
      </w:pPr>
      <w:r>
        <w:rPr>
          <w:rFonts w:hint="eastAsia" w:ascii="宋体" w:hAnsi="宋体" w:cs="宋体"/>
          <w:color w:val="auto"/>
          <w:sz w:val="36"/>
          <w:szCs w:val="36"/>
        </w:rPr>
        <w:t>时间：</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报价文件目录</w:t>
      </w:r>
    </w:p>
    <w:p>
      <w:pPr>
        <w:spacing w:line="360" w:lineRule="auto"/>
        <w:rPr>
          <w:rFonts w:ascii="宋体"/>
          <w:color w:val="auto"/>
          <w:sz w:val="24"/>
          <w:szCs w:val="24"/>
        </w:rPr>
      </w:pPr>
    </w:p>
    <w:p>
      <w:pPr>
        <w:spacing w:line="360" w:lineRule="auto"/>
        <w:jc w:val="left"/>
        <w:rPr>
          <w:rFonts w:ascii="宋体"/>
          <w:color w:val="auto"/>
          <w:sz w:val="28"/>
          <w:szCs w:val="28"/>
        </w:rPr>
      </w:pPr>
      <w:r>
        <w:rPr>
          <w:rFonts w:ascii="宋体" w:hAnsi="宋体" w:cs="宋体"/>
          <w:color w:val="auto"/>
          <w:sz w:val="28"/>
          <w:szCs w:val="28"/>
        </w:rPr>
        <w:t>1</w:t>
      </w:r>
      <w:r>
        <w:rPr>
          <w:rFonts w:hint="eastAsia" w:ascii="宋体" w:hAnsi="宋体" w:cs="宋体"/>
          <w:color w:val="auto"/>
          <w:sz w:val="28"/>
          <w:szCs w:val="28"/>
        </w:rPr>
        <w:t>、开标一览表（附件</w:t>
      </w:r>
      <w:r>
        <w:rPr>
          <w:rFonts w:ascii="宋体" w:hAnsi="宋体" w:cs="宋体"/>
          <w:color w:val="auto"/>
          <w:sz w:val="28"/>
          <w:szCs w:val="28"/>
        </w:rPr>
        <w:t>13</w:t>
      </w:r>
      <w:r>
        <w:rPr>
          <w:rFonts w:hint="eastAsia" w:ascii="宋体" w:hAnsi="宋体" w:cs="宋体"/>
          <w:color w:val="auto"/>
          <w:sz w:val="28"/>
          <w:szCs w:val="28"/>
        </w:rPr>
        <w:t>）；</w:t>
      </w:r>
    </w:p>
    <w:p>
      <w:pPr>
        <w:spacing w:line="360" w:lineRule="auto"/>
        <w:jc w:val="left"/>
        <w:rPr>
          <w:rFonts w:ascii="宋体"/>
          <w:color w:val="auto"/>
          <w:sz w:val="28"/>
          <w:szCs w:val="28"/>
        </w:rPr>
      </w:pPr>
      <w:r>
        <w:rPr>
          <w:rFonts w:ascii="宋体" w:hAnsi="宋体" w:cs="宋体"/>
          <w:color w:val="auto"/>
          <w:sz w:val="28"/>
          <w:szCs w:val="28"/>
        </w:rPr>
        <w:t>2</w:t>
      </w:r>
      <w:r>
        <w:rPr>
          <w:rFonts w:hint="eastAsia" w:ascii="宋体" w:hAnsi="宋体" w:cs="宋体"/>
          <w:color w:val="auto"/>
          <w:sz w:val="28"/>
          <w:szCs w:val="28"/>
        </w:rPr>
        <w:t>、报价明细表（附件</w:t>
      </w:r>
      <w:r>
        <w:rPr>
          <w:rFonts w:ascii="宋体" w:hAnsi="宋体" w:cs="宋体"/>
          <w:color w:val="auto"/>
          <w:sz w:val="28"/>
          <w:szCs w:val="28"/>
        </w:rPr>
        <w:t>14</w:t>
      </w:r>
      <w:r>
        <w:rPr>
          <w:rFonts w:hint="eastAsia" w:ascii="宋体" w:hAnsi="宋体" w:cs="宋体"/>
          <w:color w:val="auto"/>
          <w:sz w:val="28"/>
          <w:szCs w:val="28"/>
        </w:rPr>
        <w:t>）；</w:t>
      </w:r>
    </w:p>
    <w:p>
      <w:pPr>
        <w:spacing w:line="360" w:lineRule="auto"/>
        <w:jc w:val="left"/>
        <w:rPr>
          <w:rFonts w:ascii="宋体"/>
          <w:color w:val="auto"/>
          <w:sz w:val="28"/>
          <w:szCs w:val="28"/>
        </w:rPr>
      </w:pPr>
      <w:r>
        <w:rPr>
          <w:rFonts w:ascii="宋体" w:hAnsi="宋体" w:cs="宋体"/>
          <w:color w:val="auto"/>
          <w:sz w:val="28"/>
          <w:szCs w:val="28"/>
        </w:rPr>
        <w:t>3</w:t>
      </w:r>
      <w:r>
        <w:rPr>
          <w:rFonts w:hint="eastAsia" w:ascii="宋体" w:hAnsi="宋体" w:cs="宋体"/>
          <w:color w:val="auto"/>
          <w:sz w:val="28"/>
          <w:szCs w:val="28"/>
        </w:rPr>
        <w:t>、针对报价投标人认为其他需要说明的；</w:t>
      </w:r>
    </w:p>
    <w:p>
      <w:pPr>
        <w:spacing w:line="360" w:lineRule="auto"/>
        <w:jc w:val="left"/>
        <w:rPr>
          <w:rFonts w:ascii="宋体"/>
          <w:color w:val="auto"/>
          <w:sz w:val="28"/>
          <w:szCs w:val="28"/>
        </w:rPr>
      </w:pPr>
      <w:r>
        <w:rPr>
          <w:rFonts w:ascii="宋体" w:hAnsi="宋体" w:cs="宋体"/>
          <w:color w:val="auto"/>
          <w:sz w:val="28"/>
          <w:szCs w:val="28"/>
        </w:rPr>
        <w:t>4</w:t>
      </w:r>
      <w:r>
        <w:rPr>
          <w:rFonts w:hint="eastAsia" w:ascii="宋体" w:hAnsi="宋体" w:cs="宋体"/>
          <w:color w:val="auto"/>
          <w:sz w:val="28"/>
          <w:szCs w:val="28"/>
        </w:rPr>
        <w:t>、中小企业等声明函（附件</w:t>
      </w:r>
      <w:r>
        <w:rPr>
          <w:rFonts w:ascii="宋体" w:hAnsi="宋体" w:cs="宋体"/>
          <w:color w:val="auto"/>
          <w:sz w:val="28"/>
          <w:szCs w:val="28"/>
        </w:rPr>
        <w:t>15</w:t>
      </w:r>
      <w:r>
        <w:rPr>
          <w:rFonts w:hint="eastAsia" w:ascii="宋体" w:hAnsi="宋体" w:cs="宋体"/>
          <w:color w:val="auto"/>
          <w:sz w:val="28"/>
          <w:szCs w:val="28"/>
        </w:rPr>
        <w:t>）；</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pStyle w:val="47"/>
        <w:ind w:firstLine="31680"/>
        <w:rPr>
          <w:color w:val="auto"/>
        </w:rPr>
      </w:pPr>
    </w:p>
    <w:p>
      <w:pPr>
        <w:spacing w:line="360" w:lineRule="auto"/>
        <w:rPr>
          <w:rFonts w:ascii="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13</w:t>
      </w:r>
    </w:p>
    <w:p>
      <w:pPr>
        <w:spacing w:line="360" w:lineRule="auto"/>
        <w:ind w:left="-2" w:hanging="2"/>
        <w:jc w:val="center"/>
        <w:rPr>
          <w:rFonts w:ascii="宋体"/>
          <w:b/>
          <w:bCs/>
          <w:color w:val="auto"/>
          <w:sz w:val="32"/>
          <w:szCs w:val="32"/>
        </w:rPr>
      </w:pPr>
      <w:r>
        <w:rPr>
          <w:rFonts w:hint="eastAsia" w:ascii="宋体" w:hAnsi="宋体" w:cs="宋体"/>
          <w:b/>
          <w:bCs/>
          <w:color w:val="auto"/>
          <w:sz w:val="32"/>
          <w:szCs w:val="32"/>
        </w:rPr>
        <w:t>开标一览表</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项目名称：</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项目编号：</w:t>
      </w:r>
      <w:r>
        <w:rPr>
          <w:rFonts w:ascii="宋体" w:hAnsi="宋体" w:cs="宋体"/>
          <w:color w:val="auto"/>
          <w:sz w:val="24"/>
          <w:szCs w:val="24"/>
        </w:rPr>
        <w:t xml:space="preserve">                                       [</w:t>
      </w:r>
      <w:r>
        <w:rPr>
          <w:rFonts w:hint="eastAsia" w:ascii="宋体" w:hAnsi="宋体" w:cs="宋体"/>
          <w:color w:val="auto"/>
          <w:sz w:val="24"/>
          <w:szCs w:val="24"/>
        </w:rPr>
        <w:t>单位：元</w:t>
      </w:r>
      <w:r>
        <w:rPr>
          <w:rFonts w:ascii="宋体" w:hAnsi="宋体" w:cs="宋体"/>
          <w:color w:val="auto"/>
          <w:sz w:val="24"/>
          <w:szCs w:val="24"/>
        </w:rPr>
        <w:t>]</w:t>
      </w:r>
    </w:p>
    <w:p>
      <w:pPr>
        <w:tabs>
          <w:tab w:val="left" w:pos="5792"/>
        </w:tabs>
        <w:spacing w:line="460" w:lineRule="exact"/>
        <w:ind w:firstLine="480" w:firstLineChars="200"/>
        <w:jc w:val="left"/>
        <w:rPr>
          <w:rFonts w:ascii="宋体"/>
          <w:color w:val="auto"/>
          <w:kern w:val="0"/>
          <w:sz w:val="24"/>
          <w:szCs w:val="24"/>
        </w:rPr>
      </w:pPr>
    </w:p>
    <w:tbl>
      <w:tblPr>
        <w:tblStyle w:val="2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304"/>
        <w:gridCol w:w="1835"/>
        <w:gridCol w:w="1486"/>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34" w:type="dxa"/>
            <w:vAlign w:val="center"/>
          </w:tcPr>
          <w:p>
            <w:pPr>
              <w:spacing w:line="440" w:lineRule="exact"/>
              <w:jc w:val="center"/>
              <w:outlineLvl w:val="0"/>
              <w:rPr>
                <w:rFonts w:ascii="宋体"/>
                <w:color w:val="auto"/>
                <w:sz w:val="24"/>
                <w:szCs w:val="24"/>
              </w:rPr>
            </w:pPr>
            <w:r>
              <w:rPr>
                <w:rFonts w:hint="eastAsia" w:ascii="宋体" w:hAnsi="宋体" w:cs="宋体"/>
                <w:color w:val="auto"/>
                <w:sz w:val="24"/>
                <w:szCs w:val="24"/>
              </w:rPr>
              <w:t>序号</w:t>
            </w:r>
          </w:p>
        </w:tc>
        <w:tc>
          <w:tcPr>
            <w:tcW w:w="3304" w:type="dxa"/>
            <w:vAlign w:val="center"/>
          </w:tcPr>
          <w:p>
            <w:pPr>
              <w:spacing w:line="440" w:lineRule="exact"/>
              <w:jc w:val="center"/>
              <w:outlineLvl w:val="0"/>
              <w:rPr>
                <w:rFonts w:ascii="宋体"/>
                <w:color w:val="auto"/>
                <w:sz w:val="24"/>
                <w:szCs w:val="24"/>
              </w:rPr>
            </w:pPr>
            <w:r>
              <w:rPr>
                <w:rFonts w:hint="eastAsia" w:ascii="宋体" w:hAnsi="宋体" w:cs="宋体"/>
                <w:color w:val="auto"/>
                <w:sz w:val="24"/>
                <w:szCs w:val="24"/>
              </w:rPr>
              <w:t>项目内容</w:t>
            </w:r>
          </w:p>
        </w:tc>
        <w:tc>
          <w:tcPr>
            <w:tcW w:w="1835" w:type="dxa"/>
            <w:vAlign w:val="center"/>
          </w:tcPr>
          <w:p>
            <w:pPr>
              <w:spacing w:line="440" w:lineRule="exact"/>
              <w:jc w:val="center"/>
              <w:outlineLvl w:val="0"/>
              <w:rPr>
                <w:rFonts w:ascii="宋体"/>
                <w:color w:val="auto"/>
                <w:sz w:val="24"/>
                <w:szCs w:val="24"/>
              </w:rPr>
            </w:pPr>
            <w:r>
              <w:rPr>
                <w:rFonts w:hint="eastAsia" w:ascii="宋体" w:hAnsi="宋体" w:cs="宋体"/>
                <w:color w:val="auto"/>
                <w:sz w:val="24"/>
                <w:szCs w:val="24"/>
              </w:rPr>
              <w:t>数量</w:t>
            </w:r>
          </w:p>
        </w:tc>
        <w:tc>
          <w:tcPr>
            <w:tcW w:w="1486" w:type="dxa"/>
            <w:vAlign w:val="center"/>
          </w:tcPr>
          <w:p>
            <w:pPr>
              <w:spacing w:line="440" w:lineRule="exact"/>
              <w:jc w:val="center"/>
              <w:outlineLvl w:val="0"/>
              <w:rPr>
                <w:rFonts w:ascii="宋体"/>
                <w:color w:val="auto"/>
                <w:sz w:val="24"/>
                <w:szCs w:val="24"/>
              </w:rPr>
            </w:pPr>
            <w:r>
              <w:rPr>
                <w:rFonts w:hint="eastAsia" w:ascii="宋体" w:hAnsi="宋体" w:cs="宋体"/>
                <w:color w:val="auto"/>
                <w:sz w:val="24"/>
                <w:szCs w:val="24"/>
              </w:rPr>
              <w:t>单价</w:t>
            </w:r>
          </w:p>
        </w:tc>
        <w:tc>
          <w:tcPr>
            <w:tcW w:w="2021" w:type="dxa"/>
            <w:vAlign w:val="center"/>
          </w:tcPr>
          <w:p>
            <w:pPr>
              <w:spacing w:line="440" w:lineRule="exact"/>
              <w:jc w:val="center"/>
              <w:outlineLvl w:val="0"/>
              <w:rPr>
                <w:rFonts w:ascii="宋体"/>
                <w:color w:val="auto"/>
                <w:sz w:val="24"/>
                <w:szCs w:val="24"/>
              </w:rPr>
            </w:pPr>
            <w:r>
              <w:rPr>
                <w:rFonts w:hint="eastAsia" w:ascii="宋体" w:hAnsi="宋体" w:cs="宋体"/>
                <w:color w:val="auto"/>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34" w:type="dxa"/>
            <w:vAlign w:val="center"/>
          </w:tcPr>
          <w:p>
            <w:pPr>
              <w:spacing w:line="440" w:lineRule="exact"/>
              <w:jc w:val="center"/>
              <w:outlineLvl w:val="0"/>
              <w:rPr>
                <w:rFonts w:ascii="宋体"/>
                <w:color w:val="auto"/>
                <w:sz w:val="24"/>
                <w:szCs w:val="24"/>
              </w:rPr>
            </w:pPr>
            <w:r>
              <w:rPr>
                <w:rFonts w:ascii="宋体" w:hAnsi="宋体" w:cs="宋体"/>
                <w:color w:val="auto"/>
                <w:sz w:val="24"/>
                <w:szCs w:val="24"/>
              </w:rPr>
              <w:t>1</w:t>
            </w:r>
          </w:p>
        </w:tc>
        <w:tc>
          <w:tcPr>
            <w:tcW w:w="3304" w:type="dxa"/>
            <w:vAlign w:val="center"/>
          </w:tcPr>
          <w:p>
            <w:pPr>
              <w:spacing w:line="440" w:lineRule="exact"/>
              <w:jc w:val="center"/>
              <w:outlineLvl w:val="0"/>
              <w:rPr>
                <w:rFonts w:ascii="宋体"/>
                <w:color w:val="auto"/>
                <w:sz w:val="24"/>
                <w:szCs w:val="24"/>
              </w:rPr>
            </w:pPr>
            <w:r>
              <w:rPr>
                <w:rFonts w:hint="eastAsia" w:ascii="宋体" w:hAnsi="宋体" w:cs="宋体"/>
                <w:color w:val="auto"/>
                <w:sz w:val="24"/>
                <w:szCs w:val="24"/>
              </w:rPr>
              <w:t>台州市路桥区垃圾填埋场渗滤液处理运管服务项目</w:t>
            </w:r>
          </w:p>
        </w:tc>
        <w:tc>
          <w:tcPr>
            <w:tcW w:w="1835" w:type="dxa"/>
            <w:vAlign w:val="center"/>
          </w:tcPr>
          <w:p>
            <w:pPr>
              <w:spacing w:line="440" w:lineRule="exact"/>
              <w:jc w:val="center"/>
              <w:outlineLvl w:val="0"/>
              <w:rPr>
                <w:rFonts w:ascii="宋体"/>
                <w:color w:val="auto"/>
                <w:sz w:val="24"/>
                <w:szCs w:val="24"/>
              </w:rPr>
            </w:pPr>
          </w:p>
        </w:tc>
        <w:tc>
          <w:tcPr>
            <w:tcW w:w="1486" w:type="dxa"/>
            <w:vAlign w:val="center"/>
          </w:tcPr>
          <w:p>
            <w:pPr>
              <w:spacing w:line="440" w:lineRule="exact"/>
              <w:jc w:val="center"/>
              <w:outlineLvl w:val="0"/>
              <w:rPr>
                <w:rFonts w:ascii="宋体"/>
                <w:color w:val="auto"/>
                <w:sz w:val="24"/>
                <w:szCs w:val="24"/>
              </w:rPr>
            </w:pPr>
          </w:p>
        </w:tc>
        <w:tc>
          <w:tcPr>
            <w:tcW w:w="2021" w:type="dxa"/>
            <w:vAlign w:val="center"/>
          </w:tcPr>
          <w:p>
            <w:pPr>
              <w:spacing w:line="440" w:lineRule="exact"/>
              <w:jc w:val="center"/>
              <w:outlineLvl w:val="0"/>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80" w:type="dxa"/>
            <w:gridSpan w:val="5"/>
            <w:vAlign w:val="center"/>
          </w:tcPr>
          <w:p>
            <w:pPr>
              <w:spacing w:line="440" w:lineRule="exact"/>
              <w:jc w:val="center"/>
              <w:outlineLvl w:val="0"/>
              <w:rPr>
                <w:rFonts w:ascii="宋体"/>
                <w:color w:val="auto"/>
                <w:sz w:val="24"/>
                <w:szCs w:val="24"/>
              </w:rPr>
            </w:pPr>
          </w:p>
        </w:tc>
      </w:tr>
    </w:tbl>
    <w:p>
      <w:pPr>
        <w:pStyle w:val="10"/>
        <w:rPr>
          <w:rFonts w:ascii="宋体"/>
          <w:color w:val="auto"/>
        </w:rPr>
      </w:pPr>
    </w:p>
    <w:p>
      <w:pPr>
        <w:spacing w:line="360" w:lineRule="auto"/>
        <w:jc w:val="left"/>
        <w:rPr>
          <w:rFonts w:ascii="宋体"/>
          <w:b/>
          <w:bCs/>
          <w:color w:val="auto"/>
          <w:sz w:val="24"/>
          <w:szCs w:val="24"/>
        </w:rPr>
      </w:pPr>
      <w:r>
        <w:rPr>
          <w:rFonts w:hint="eastAsia" w:ascii="宋体" w:hAnsi="宋体" w:cs="宋体"/>
          <w:b/>
          <w:bCs/>
          <w:color w:val="auto"/>
          <w:sz w:val="24"/>
          <w:szCs w:val="24"/>
        </w:rPr>
        <w:t>填报要求：</w:t>
      </w:r>
    </w:p>
    <w:p>
      <w:pPr>
        <w:spacing w:line="360" w:lineRule="auto"/>
        <w:ind w:firstLine="480" w:firstLineChars="20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本项目投标报价为完成本项目的所有费用，投标人应考虑企业自身实力、经验及项目实施过程中的各种因素，在投标报价中应充分考虑所有可能发生的费用，</w:t>
      </w:r>
      <w:r>
        <w:rPr>
          <w:rFonts w:hint="eastAsia" w:ascii="宋体" w:hAnsi="宋体" w:cs="宋体"/>
          <w:b/>
          <w:bCs/>
          <w:color w:val="auto"/>
          <w:kern w:val="0"/>
        </w:rPr>
        <w:t>包括电费、自来水费、药剂费、人工费、污泥处理费、日常化验费、浓缩液处理费、膜更换费用、日常维护费、企业管理费、利润和税金。</w:t>
      </w:r>
      <w:r>
        <w:rPr>
          <w:rFonts w:hint="eastAsia" w:ascii="宋体" w:hAnsi="宋体" w:cs="宋体"/>
          <w:color w:val="auto"/>
          <w:sz w:val="24"/>
          <w:szCs w:val="24"/>
        </w:rPr>
        <w:t>否则采购人将视投标报价中已包括所有费用。</w:t>
      </w:r>
    </w:p>
    <w:p>
      <w:pPr>
        <w:spacing w:line="360" w:lineRule="auto"/>
        <w:ind w:firstLine="480" w:firstLineChars="20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报价一经涂改，应在涂改处加盖单位公章，或者由法定代表人或授权委托代理人签字或盖章，否则其投标作无效标处理。</w:t>
      </w:r>
    </w:p>
    <w:p>
      <w:pPr>
        <w:spacing w:line="360" w:lineRule="auto"/>
        <w:rPr>
          <w:rFonts w:ascii="宋体"/>
          <w:color w:val="auto"/>
          <w:sz w:val="24"/>
          <w:szCs w:val="24"/>
        </w:rPr>
      </w:pPr>
    </w:p>
    <w:p>
      <w:pPr>
        <w:spacing w:line="480" w:lineRule="auto"/>
        <w:rPr>
          <w:rFonts w:ascii="宋体"/>
          <w:color w:val="auto"/>
          <w:sz w:val="24"/>
          <w:szCs w:val="24"/>
        </w:rPr>
      </w:pPr>
      <w:r>
        <w:rPr>
          <w:rFonts w:hint="eastAsia" w:ascii="宋体" w:hAnsi="宋体" w:cs="宋体"/>
          <w:color w:val="auto"/>
          <w:sz w:val="24"/>
          <w:szCs w:val="24"/>
        </w:rPr>
        <w:t>投标人名称（盖章）：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授权委托代理人签字或盖章：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p>
    <w:p>
      <w:pPr>
        <w:spacing w:line="360" w:lineRule="auto"/>
        <w:jc w:val="left"/>
        <w:rPr>
          <w:rFonts w:ascii="宋体"/>
          <w:color w:val="auto"/>
          <w:sz w:val="24"/>
          <w:szCs w:val="24"/>
        </w:rPr>
      </w:pPr>
    </w:p>
    <w:p>
      <w:pPr>
        <w:spacing w:line="360" w:lineRule="auto"/>
        <w:ind w:firstLine="480" w:firstLineChars="200"/>
        <w:jc w:val="left"/>
        <w:rPr>
          <w:rFonts w:ascii="宋体"/>
          <w:color w:val="auto"/>
          <w:sz w:val="24"/>
          <w:szCs w:val="24"/>
        </w:rPr>
      </w:pPr>
    </w:p>
    <w:p>
      <w:pPr>
        <w:spacing w:line="360" w:lineRule="auto"/>
        <w:ind w:firstLine="480" w:firstLineChars="200"/>
        <w:jc w:val="left"/>
        <w:rPr>
          <w:rFonts w:ascii="宋体"/>
          <w:color w:val="auto"/>
          <w:sz w:val="24"/>
          <w:szCs w:val="24"/>
        </w:rPr>
      </w:pPr>
    </w:p>
    <w:p>
      <w:pPr>
        <w:spacing w:line="360" w:lineRule="auto"/>
        <w:ind w:firstLine="480" w:firstLineChars="200"/>
        <w:jc w:val="left"/>
        <w:rPr>
          <w:rFonts w:ascii="宋体"/>
          <w:color w:val="auto"/>
          <w:sz w:val="24"/>
          <w:szCs w:val="24"/>
        </w:rPr>
      </w:pPr>
    </w:p>
    <w:p>
      <w:pPr>
        <w:spacing w:line="360" w:lineRule="auto"/>
        <w:ind w:firstLine="480" w:firstLineChars="200"/>
        <w:jc w:val="left"/>
        <w:rPr>
          <w:rFonts w:ascii="宋体"/>
          <w:color w:val="auto"/>
          <w:sz w:val="24"/>
          <w:szCs w:val="24"/>
        </w:rPr>
      </w:pPr>
    </w:p>
    <w:p>
      <w:pPr>
        <w:spacing w:line="360" w:lineRule="auto"/>
        <w:rPr>
          <w:rFonts w:ascii="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14</w:t>
      </w:r>
    </w:p>
    <w:p>
      <w:pPr>
        <w:spacing w:line="360" w:lineRule="auto"/>
        <w:jc w:val="center"/>
        <w:rPr>
          <w:rFonts w:ascii="宋体"/>
          <w:color w:val="auto"/>
        </w:rPr>
      </w:pPr>
      <w:r>
        <w:rPr>
          <w:rFonts w:hint="eastAsia" w:ascii="宋体" w:hAnsi="宋体" w:cs="宋体"/>
          <w:b/>
          <w:bCs/>
          <w:color w:val="auto"/>
          <w:sz w:val="32"/>
          <w:szCs w:val="32"/>
        </w:rPr>
        <w:t>报价明细表</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项目名称：</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项目编号：</w:t>
      </w:r>
      <w:r>
        <w:rPr>
          <w:rFonts w:ascii="宋体" w:hAnsi="宋体" w:cs="宋体"/>
          <w:color w:val="auto"/>
          <w:sz w:val="24"/>
          <w:szCs w:val="24"/>
        </w:rPr>
        <w:t xml:space="preserve">                                       [</w:t>
      </w:r>
      <w:r>
        <w:rPr>
          <w:rFonts w:hint="eastAsia" w:ascii="宋体" w:hAnsi="宋体" w:cs="宋体"/>
          <w:color w:val="auto"/>
          <w:sz w:val="24"/>
          <w:szCs w:val="24"/>
        </w:rPr>
        <w:t>单位：人民币</w:t>
      </w:r>
      <w:r>
        <w:rPr>
          <w:rFonts w:ascii="宋体" w:hAnsi="宋体" w:cs="宋体"/>
          <w:color w:val="auto"/>
          <w:sz w:val="24"/>
          <w:szCs w:val="24"/>
        </w:rPr>
        <w:t>/</w:t>
      </w:r>
      <w:r>
        <w:rPr>
          <w:rFonts w:hint="eastAsia" w:ascii="宋体" w:hAnsi="宋体" w:cs="宋体"/>
          <w:color w:val="auto"/>
          <w:sz w:val="24"/>
          <w:szCs w:val="24"/>
        </w:rPr>
        <w:t>元</w:t>
      </w:r>
      <w:r>
        <w:rPr>
          <w:rFonts w:ascii="宋体" w:hAnsi="宋体" w:cs="宋体"/>
          <w:color w:val="auto"/>
          <w:sz w:val="24"/>
          <w:szCs w:val="24"/>
        </w:rPr>
        <w:t>]</w:t>
      </w:r>
    </w:p>
    <w:tbl>
      <w:tblPr>
        <w:tblStyle w:val="2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36"/>
        <w:gridCol w:w="1204"/>
        <w:gridCol w:w="1440"/>
        <w:gridCol w:w="1440"/>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00" w:type="dxa"/>
            <w:vAlign w:val="center"/>
          </w:tcPr>
          <w:p>
            <w:pPr>
              <w:jc w:val="center"/>
              <w:rPr>
                <w:rFonts w:ascii="宋体"/>
                <w:color w:val="auto"/>
                <w:sz w:val="24"/>
                <w:szCs w:val="24"/>
              </w:rPr>
            </w:pPr>
            <w:r>
              <w:rPr>
                <w:rFonts w:hint="eastAsia" w:ascii="宋体" w:hAnsi="宋体" w:cs="宋体"/>
                <w:color w:val="auto"/>
                <w:sz w:val="24"/>
                <w:szCs w:val="24"/>
              </w:rPr>
              <w:t>序号</w:t>
            </w:r>
          </w:p>
        </w:tc>
        <w:tc>
          <w:tcPr>
            <w:tcW w:w="1836" w:type="dxa"/>
            <w:vAlign w:val="center"/>
          </w:tcPr>
          <w:p>
            <w:pPr>
              <w:jc w:val="center"/>
              <w:rPr>
                <w:rFonts w:ascii="宋体"/>
                <w:color w:val="auto"/>
                <w:sz w:val="24"/>
                <w:szCs w:val="24"/>
              </w:rPr>
            </w:pPr>
            <w:r>
              <w:rPr>
                <w:rFonts w:hint="eastAsia" w:ascii="宋体" w:hAnsi="宋体" w:cs="宋体"/>
                <w:color w:val="auto"/>
                <w:sz w:val="24"/>
                <w:szCs w:val="24"/>
              </w:rPr>
              <w:t>名称</w:t>
            </w:r>
          </w:p>
        </w:tc>
        <w:tc>
          <w:tcPr>
            <w:tcW w:w="1204" w:type="dxa"/>
            <w:vAlign w:val="center"/>
          </w:tcPr>
          <w:p>
            <w:pPr>
              <w:jc w:val="center"/>
              <w:rPr>
                <w:rFonts w:ascii="宋体"/>
                <w:color w:val="auto"/>
                <w:sz w:val="24"/>
                <w:szCs w:val="24"/>
              </w:rPr>
            </w:pPr>
            <w:r>
              <w:rPr>
                <w:rFonts w:hint="eastAsia" w:ascii="宋体" w:hAnsi="宋体" w:cs="宋体"/>
                <w:color w:val="auto"/>
                <w:sz w:val="24"/>
                <w:szCs w:val="24"/>
              </w:rPr>
              <w:t>单位</w:t>
            </w:r>
          </w:p>
        </w:tc>
        <w:tc>
          <w:tcPr>
            <w:tcW w:w="1440" w:type="dxa"/>
            <w:vAlign w:val="center"/>
          </w:tcPr>
          <w:p>
            <w:pPr>
              <w:jc w:val="center"/>
              <w:rPr>
                <w:rFonts w:ascii="宋体"/>
                <w:color w:val="auto"/>
                <w:sz w:val="24"/>
                <w:szCs w:val="24"/>
              </w:rPr>
            </w:pPr>
            <w:r>
              <w:rPr>
                <w:rFonts w:hint="eastAsia" w:ascii="宋体" w:hAnsi="宋体" w:cs="宋体"/>
                <w:color w:val="auto"/>
                <w:sz w:val="24"/>
                <w:szCs w:val="24"/>
              </w:rPr>
              <w:t>数量</w:t>
            </w:r>
          </w:p>
        </w:tc>
        <w:tc>
          <w:tcPr>
            <w:tcW w:w="1440" w:type="dxa"/>
            <w:vAlign w:val="center"/>
          </w:tcPr>
          <w:p>
            <w:pPr>
              <w:jc w:val="center"/>
              <w:rPr>
                <w:rFonts w:ascii="宋体"/>
                <w:color w:val="auto"/>
                <w:sz w:val="24"/>
                <w:szCs w:val="24"/>
              </w:rPr>
            </w:pPr>
            <w:r>
              <w:rPr>
                <w:rFonts w:hint="eastAsia" w:ascii="宋体" w:hAnsi="宋体" w:cs="宋体"/>
                <w:color w:val="auto"/>
                <w:sz w:val="24"/>
                <w:szCs w:val="24"/>
              </w:rPr>
              <w:t>单</w:t>
            </w:r>
            <w:r>
              <w:rPr>
                <w:rFonts w:ascii="宋体" w:hAnsi="宋体" w:cs="宋体"/>
                <w:color w:val="auto"/>
                <w:sz w:val="24"/>
                <w:szCs w:val="24"/>
              </w:rPr>
              <w:t xml:space="preserve"> </w:t>
            </w:r>
            <w:r>
              <w:rPr>
                <w:rFonts w:hint="eastAsia" w:ascii="宋体" w:hAnsi="宋体" w:cs="宋体"/>
                <w:color w:val="auto"/>
                <w:sz w:val="24"/>
                <w:szCs w:val="24"/>
              </w:rPr>
              <w:t>价</w:t>
            </w:r>
          </w:p>
        </w:tc>
        <w:tc>
          <w:tcPr>
            <w:tcW w:w="2560" w:type="dxa"/>
            <w:vAlign w:val="center"/>
          </w:tcPr>
          <w:p>
            <w:pPr>
              <w:jc w:val="center"/>
              <w:rPr>
                <w:rFonts w:ascii="宋体"/>
                <w:color w:val="auto"/>
                <w:sz w:val="24"/>
                <w:szCs w:val="24"/>
              </w:rPr>
            </w:pPr>
            <w:r>
              <w:rPr>
                <w:rFonts w:hint="eastAsia" w:ascii="宋体" w:hAnsi="宋体" w:cs="宋体"/>
                <w:color w:val="auto"/>
                <w:sz w:val="24"/>
                <w:szCs w:val="24"/>
              </w:rPr>
              <w:t>总</w:t>
            </w:r>
            <w:r>
              <w:rPr>
                <w:rFonts w:ascii="宋体" w:hAnsi="宋体" w:cs="宋体"/>
                <w:color w:val="auto"/>
                <w:sz w:val="24"/>
                <w:szCs w:val="24"/>
              </w:rPr>
              <w:t xml:space="preserve"> </w:t>
            </w:r>
            <w:r>
              <w:rPr>
                <w:rFonts w:hint="eastAsia" w:ascii="宋体" w:hAnsi="宋体" w:cs="宋体"/>
                <w:color w:val="auto"/>
                <w:sz w:val="24"/>
                <w:szCs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ascii="宋体"/>
                <w:color w:val="auto"/>
                <w:sz w:val="24"/>
                <w:szCs w:val="24"/>
              </w:rPr>
            </w:pPr>
            <w:r>
              <w:rPr>
                <w:rFonts w:ascii="宋体" w:hAnsi="宋体" w:cs="宋体"/>
                <w:color w:val="auto"/>
                <w:sz w:val="24"/>
                <w:szCs w:val="24"/>
              </w:rPr>
              <w:t>1</w:t>
            </w:r>
          </w:p>
        </w:tc>
        <w:tc>
          <w:tcPr>
            <w:tcW w:w="1836" w:type="dxa"/>
            <w:vAlign w:val="center"/>
          </w:tcPr>
          <w:p>
            <w:pPr>
              <w:jc w:val="center"/>
              <w:rPr>
                <w:rFonts w:ascii="宋体"/>
                <w:color w:val="auto"/>
                <w:sz w:val="24"/>
                <w:szCs w:val="24"/>
              </w:rPr>
            </w:pPr>
          </w:p>
        </w:tc>
        <w:tc>
          <w:tcPr>
            <w:tcW w:w="1204" w:type="dxa"/>
            <w:vAlign w:val="center"/>
          </w:tcPr>
          <w:p>
            <w:pPr>
              <w:jc w:val="center"/>
              <w:rPr>
                <w:rFonts w:ascii="宋体"/>
                <w:color w:val="auto"/>
                <w:sz w:val="24"/>
                <w:szCs w:val="24"/>
              </w:rPr>
            </w:pPr>
          </w:p>
        </w:tc>
        <w:tc>
          <w:tcPr>
            <w:tcW w:w="1440" w:type="dxa"/>
            <w:vAlign w:val="center"/>
          </w:tcPr>
          <w:p>
            <w:pPr>
              <w:jc w:val="center"/>
              <w:rPr>
                <w:rFonts w:ascii="宋体"/>
                <w:color w:val="auto"/>
                <w:sz w:val="24"/>
                <w:szCs w:val="24"/>
              </w:rPr>
            </w:pPr>
          </w:p>
        </w:tc>
        <w:tc>
          <w:tcPr>
            <w:tcW w:w="1440" w:type="dxa"/>
            <w:vAlign w:val="center"/>
          </w:tcPr>
          <w:p>
            <w:pPr>
              <w:jc w:val="center"/>
              <w:rPr>
                <w:rFonts w:ascii="宋体"/>
                <w:color w:val="auto"/>
                <w:sz w:val="24"/>
                <w:szCs w:val="24"/>
              </w:rPr>
            </w:pPr>
          </w:p>
        </w:tc>
        <w:tc>
          <w:tcPr>
            <w:tcW w:w="2560"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ascii="宋体"/>
                <w:color w:val="auto"/>
                <w:sz w:val="24"/>
                <w:szCs w:val="24"/>
              </w:rPr>
            </w:pPr>
            <w:r>
              <w:rPr>
                <w:rFonts w:ascii="宋体" w:hAnsi="宋体" w:cs="宋体"/>
                <w:color w:val="auto"/>
                <w:sz w:val="24"/>
                <w:szCs w:val="24"/>
              </w:rPr>
              <w:t>2</w:t>
            </w:r>
          </w:p>
        </w:tc>
        <w:tc>
          <w:tcPr>
            <w:tcW w:w="1836" w:type="dxa"/>
            <w:vAlign w:val="center"/>
          </w:tcPr>
          <w:p>
            <w:pPr>
              <w:jc w:val="center"/>
              <w:rPr>
                <w:rFonts w:ascii="宋体"/>
                <w:color w:val="auto"/>
                <w:sz w:val="24"/>
                <w:szCs w:val="24"/>
              </w:rPr>
            </w:pPr>
          </w:p>
        </w:tc>
        <w:tc>
          <w:tcPr>
            <w:tcW w:w="1204" w:type="dxa"/>
            <w:vAlign w:val="center"/>
          </w:tcPr>
          <w:p>
            <w:pPr>
              <w:jc w:val="center"/>
              <w:rPr>
                <w:rFonts w:ascii="宋体"/>
                <w:color w:val="auto"/>
                <w:sz w:val="24"/>
                <w:szCs w:val="24"/>
              </w:rPr>
            </w:pPr>
          </w:p>
        </w:tc>
        <w:tc>
          <w:tcPr>
            <w:tcW w:w="1440" w:type="dxa"/>
            <w:vAlign w:val="center"/>
          </w:tcPr>
          <w:p>
            <w:pPr>
              <w:jc w:val="center"/>
              <w:rPr>
                <w:rFonts w:ascii="宋体"/>
                <w:color w:val="auto"/>
                <w:sz w:val="24"/>
                <w:szCs w:val="24"/>
              </w:rPr>
            </w:pPr>
          </w:p>
        </w:tc>
        <w:tc>
          <w:tcPr>
            <w:tcW w:w="1440" w:type="dxa"/>
            <w:vAlign w:val="center"/>
          </w:tcPr>
          <w:p>
            <w:pPr>
              <w:jc w:val="center"/>
              <w:rPr>
                <w:rFonts w:ascii="宋体"/>
                <w:color w:val="auto"/>
                <w:sz w:val="24"/>
                <w:szCs w:val="24"/>
              </w:rPr>
            </w:pPr>
          </w:p>
        </w:tc>
        <w:tc>
          <w:tcPr>
            <w:tcW w:w="2560"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ascii="宋体"/>
                <w:color w:val="auto"/>
                <w:sz w:val="24"/>
                <w:szCs w:val="24"/>
              </w:rPr>
            </w:pPr>
            <w:r>
              <w:rPr>
                <w:rFonts w:hint="eastAsia" w:ascii="宋体" w:hAnsi="宋体" w:cs="宋体"/>
                <w:color w:val="auto"/>
                <w:sz w:val="24"/>
                <w:szCs w:val="24"/>
              </w:rPr>
              <w:t>……</w:t>
            </w:r>
          </w:p>
        </w:tc>
        <w:tc>
          <w:tcPr>
            <w:tcW w:w="1836" w:type="dxa"/>
            <w:vAlign w:val="center"/>
          </w:tcPr>
          <w:p>
            <w:pPr>
              <w:jc w:val="center"/>
              <w:rPr>
                <w:rFonts w:ascii="宋体"/>
                <w:color w:val="auto"/>
                <w:sz w:val="24"/>
                <w:szCs w:val="24"/>
              </w:rPr>
            </w:pPr>
          </w:p>
        </w:tc>
        <w:tc>
          <w:tcPr>
            <w:tcW w:w="1204" w:type="dxa"/>
            <w:vAlign w:val="center"/>
          </w:tcPr>
          <w:p>
            <w:pPr>
              <w:jc w:val="center"/>
              <w:rPr>
                <w:rFonts w:ascii="宋体"/>
                <w:color w:val="auto"/>
                <w:sz w:val="24"/>
                <w:szCs w:val="24"/>
              </w:rPr>
            </w:pPr>
          </w:p>
        </w:tc>
        <w:tc>
          <w:tcPr>
            <w:tcW w:w="1440" w:type="dxa"/>
            <w:vAlign w:val="center"/>
          </w:tcPr>
          <w:p>
            <w:pPr>
              <w:jc w:val="center"/>
              <w:rPr>
                <w:rFonts w:ascii="宋体"/>
                <w:color w:val="auto"/>
                <w:sz w:val="24"/>
                <w:szCs w:val="24"/>
              </w:rPr>
            </w:pPr>
          </w:p>
        </w:tc>
        <w:tc>
          <w:tcPr>
            <w:tcW w:w="1440" w:type="dxa"/>
            <w:vAlign w:val="center"/>
          </w:tcPr>
          <w:p>
            <w:pPr>
              <w:jc w:val="center"/>
              <w:rPr>
                <w:rFonts w:ascii="宋体"/>
                <w:color w:val="auto"/>
                <w:sz w:val="24"/>
                <w:szCs w:val="24"/>
              </w:rPr>
            </w:pPr>
          </w:p>
        </w:tc>
        <w:tc>
          <w:tcPr>
            <w:tcW w:w="2560"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280" w:type="dxa"/>
            <w:gridSpan w:val="6"/>
            <w:vAlign w:val="center"/>
          </w:tcPr>
          <w:p>
            <w:pPr>
              <w:jc w:val="center"/>
              <w:rPr>
                <w:rFonts w:ascii="宋体"/>
                <w:color w:val="auto"/>
                <w:sz w:val="24"/>
                <w:szCs w:val="24"/>
              </w:rPr>
            </w:pPr>
            <w:r>
              <w:rPr>
                <w:rFonts w:hint="eastAsia" w:ascii="宋体" w:hAnsi="宋体" w:cs="宋体"/>
                <w:color w:val="auto"/>
                <w:sz w:val="24"/>
                <w:szCs w:val="24"/>
              </w:rPr>
              <w:t>总计：大写</w:t>
            </w:r>
            <w:r>
              <w:rPr>
                <w:rFonts w:ascii="宋体" w:hAnsi="宋体" w:cs="宋体"/>
                <w:color w:val="auto"/>
                <w:sz w:val="24"/>
                <w:szCs w:val="24"/>
              </w:rPr>
              <w:t xml:space="preserve">                          </w:t>
            </w:r>
            <w:r>
              <w:rPr>
                <w:rFonts w:hint="eastAsia" w:ascii="宋体" w:hAnsi="宋体" w:cs="宋体"/>
                <w:color w:val="auto"/>
                <w:sz w:val="24"/>
                <w:szCs w:val="24"/>
              </w:rPr>
              <w:t>小写</w:t>
            </w:r>
          </w:p>
        </w:tc>
      </w:tr>
    </w:tbl>
    <w:p>
      <w:pPr>
        <w:spacing w:line="360" w:lineRule="auto"/>
        <w:jc w:val="left"/>
        <w:rPr>
          <w:rFonts w:ascii="宋体"/>
          <w:b/>
          <w:bCs/>
          <w:color w:val="auto"/>
          <w:sz w:val="24"/>
          <w:szCs w:val="24"/>
        </w:rPr>
      </w:pPr>
    </w:p>
    <w:p>
      <w:pPr>
        <w:spacing w:line="360" w:lineRule="auto"/>
        <w:jc w:val="left"/>
        <w:rPr>
          <w:rFonts w:ascii="宋体"/>
          <w:b/>
          <w:bCs/>
          <w:color w:val="auto"/>
          <w:sz w:val="24"/>
          <w:szCs w:val="24"/>
        </w:rPr>
      </w:pPr>
      <w:r>
        <w:rPr>
          <w:rFonts w:hint="eastAsia" w:ascii="宋体" w:hAnsi="宋体" w:cs="宋体"/>
          <w:b/>
          <w:bCs/>
          <w:color w:val="auto"/>
          <w:sz w:val="24"/>
          <w:szCs w:val="24"/>
        </w:rPr>
        <w:t>要求：</w:t>
      </w:r>
    </w:p>
    <w:p>
      <w:pPr>
        <w:spacing w:line="360" w:lineRule="auto"/>
        <w:ind w:firstLine="480" w:firstLineChars="20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本表为《开标一览表》的报价明细表，如有缺项、漏项，视为投标报价中已包含相关费用，采购人无需另外支付任何费用。</w:t>
      </w:r>
    </w:p>
    <w:p>
      <w:pPr>
        <w:spacing w:line="360" w:lineRule="auto"/>
        <w:ind w:firstLine="480" w:firstLineChars="200"/>
        <w:jc w:val="left"/>
        <w:rPr>
          <w:rFonts w:ascii="宋体"/>
          <w:color w:val="auto"/>
          <w:sz w:val="24"/>
          <w:szCs w:val="24"/>
          <w:lang w:val="zh-CN"/>
        </w:rPr>
      </w:pPr>
      <w:r>
        <w:rPr>
          <w:rFonts w:ascii="宋体" w:hAnsi="宋体" w:cs="宋体"/>
          <w:color w:val="auto"/>
          <w:sz w:val="24"/>
          <w:szCs w:val="24"/>
        </w:rPr>
        <w:t>2.</w:t>
      </w:r>
      <w:r>
        <w:rPr>
          <w:rFonts w:hint="eastAsia" w:ascii="宋体" w:hAnsi="宋体" w:cs="宋体"/>
          <w:color w:val="auto"/>
          <w:sz w:val="24"/>
          <w:szCs w:val="24"/>
          <w:lang w:val="zh-CN"/>
        </w:rPr>
        <w:t>“报价明细表”中的报价合计应与“开标一览表”中的投标总报价相一致，不一致时，以开标一览表为准。</w:t>
      </w:r>
    </w:p>
    <w:p>
      <w:pPr>
        <w:spacing w:line="360" w:lineRule="auto"/>
        <w:ind w:firstLine="480" w:firstLineChars="200"/>
        <w:jc w:val="left"/>
        <w:rPr>
          <w:rFonts w:ascii="宋体"/>
          <w:color w:val="auto"/>
          <w:sz w:val="24"/>
          <w:szCs w:val="24"/>
          <w:lang w:val="zh-CN"/>
        </w:rPr>
      </w:pPr>
      <w:r>
        <w:rPr>
          <w:rFonts w:ascii="宋体" w:hAnsi="宋体" w:cs="宋体"/>
          <w:color w:val="auto"/>
          <w:sz w:val="24"/>
          <w:szCs w:val="24"/>
        </w:rPr>
        <w:t>3.</w:t>
      </w:r>
      <w:r>
        <w:rPr>
          <w:rFonts w:hint="eastAsia" w:ascii="宋体" w:hAnsi="宋体" w:cs="宋体"/>
          <w:color w:val="auto"/>
          <w:sz w:val="24"/>
          <w:szCs w:val="24"/>
          <w:lang w:val="zh-CN"/>
        </w:rPr>
        <w:t>投标报价明细表所填内容按招标文件采购要求为准。如有漏报的，视同已包含在投标总价内或已作优惠处理。有重大缺项的将作无效标处理。</w:t>
      </w:r>
    </w:p>
    <w:p>
      <w:pPr>
        <w:spacing w:line="360" w:lineRule="auto"/>
        <w:ind w:firstLine="480" w:firstLineChars="200"/>
        <w:jc w:val="left"/>
        <w:rPr>
          <w:rFonts w:ascii="宋体"/>
          <w:color w:val="auto"/>
          <w:sz w:val="24"/>
          <w:szCs w:val="24"/>
        </w:rPr>
      </w:pPr>
    </w:p>
    <w:p>
      <w:pPr>
        <w:spacing w:line="480" w:lineRule="auto"/>
        <w:rPr>
          <w:rFonts w:ascii="宋体"/>
          <w:color w:val="auto"/>
          <w:sz w:val="24"/>
          <w:szCs w:val="24"/>
        </w:rPr>
      </w:pPr>
      <w:r>
        <w:rPr>
          <w:rFonts w:hint="eastAsia" w:ascii="宋体" w:hAnsi="宋体" w:cs="宋体"/>
          <w:color w:val="auto"/>
          <w:sz w:val="24"/>
          <w:szCs w:val="24"/>
        </w:rPr>
        <w:t>投标人名称（盖章）：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授权委托代理人签字或盖章：</w:t>
      </w:r>
      <w:r>
        <w:rPr>
          <w:rFonts w:ascii="宋体" w:hAnsi="宋体" w:cs="宋体"/>
          <w:color w:val="auto"/>
          <w:sz w:val="24"/>
          <w:szCs w:val="24"/>
          <w:u w:val="single"/>
        </w:rPr>
        <w:t xml:space="preserve">                   </w:t>
      </w:r>
    </w:p>
    <w:p>
      <w:pPr>
        <w:spacing w:line="480" w:lineRule="auto"/>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p>
    <w:p>
      <w:pPr>
        <w:spacing w:line="360" w:lineRule="auto"/>
        <w:rPr>
          <w:rFonts w:ascii="宋体"/>
          <w:color w:val="auto"/>
          <w:sz w:val="24"/>
          <w:szCs w:val="24"/>
        </w:rPr>
      </w:pPr>
    </w:p>
    <w:p>
      <w:pPr>
        <w:pStyle w:val="10"/>
        <w:rPr>
          <w:rFonts w:ascii="宋体"/>
          <w:color w:val="auto"/>
        </w:rPr>
      </w:pPr>
    </w:p>
    <w:p>
      <w:pPr>
        <w:pStyle w:val="11"/>
        <w:rPr>
          <w:rFonts w:ascii="宋体"/>
          <w:color w:val="auto"/>
          <w:sz w:val="24"/>
          <w:szCs w:val="24"/>
        </w:rPr>
      </w:pPr>
    </w:p>
    <w:p>
      <w:pPr>
        <w:pStyle w:val="20"/>
        <w:rPr>
          <w:rFonts w:ascii="宋体"/>
          <w:color w:val="auto"/>
          <w:sz w:val="24"/>
          <w:szCs w:val="24"/>
        </w:rPr>
      </w:pPr>
    </w:p>
    <w:p>
      <w:pPr>
        <w:rPr>
          <w:color w:val="auto"/>
        </w:rPr>
      </w:pPr>
    </w:p>
    <w:p>
      <w:pPr>
        <w:spacing w:line="360" w:lineRule="auto"/>
        <w:rPr>
          <w:rFonts w:ascii="宋体"/>
          <w:color w:val="auto"/>
          <w:sz w:val="24"/>
          <w:szCs w:val="24"/>
        </w:rPr>
      </w:pPr>
    </w:p>
    <w:p>
      <w:pPr>
        <w:tabs>
          <w:tab w:val="left" w:pos="2460"/>
        </w:tabs>
        <w:spacing w:line="360" w:lineRule="auto"/>
        <w:rPr>
          <w:rFonts w:ascii="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15</w:t>
      </w:r>
    </w:p>
    <w:p>
      <w:pPr>
        <w:spacing w:line="360" w:lineRule="auto"/>
        <w:jc w:val="center"/>
        <w:rPr>
          <w:rFonts w:ascii="宋体"/>
          <w:b/>
          <w:bCs/>
          <w:color w:val="auto"/>
          <w:sz w:val="32"/>
          <w:szCs w:val="32"/>
        </w:rPr>
      </w:pPr>
      <w:r>
        <w:rPr>
          <w:rFonts w:hint="eastAsia" w:ascii="宋体" w:hAnsi="宋体" w:cs="宋体"/>
          <w:b/>
          <w:bCs/>
          <w:color w:val="auto"/>
          <w:sz w:val="32"/>
          <w:szCs w:val="32"/>
        </w:rPr>
        <w:t>中小企业声明函（货物）</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本公司郑重声明，根据《政府采购促进中小企业发展管理办法》（财库﹝</w:t>
      </w:r>
      <w:r>
        <w:rPr>
          <w:rFonts w:ascii="宋体" w:hAnsi="宋体" w:cs="宋体"/>
          <w:color w:val="auto"/>
          <w:sz w:val="24"/>
          <w:szCs w:val="24"/>
        </w:rPr>
        <w:t>2020</w:t>
      </w:r>
      <w:r>
        <w:rPr>
          <w:rFonts w:hint="eastAsia" w:ascii="宋体" w:hAnsi="宋体" w:cs="宋体"/>
          <w:color w:val="auto"/>
          <w:sz w:val="24"/>
          <w:szCs w:val="24"/>
        </w:rPr>
        <w:t>﹞</w:t>
      </w:r>
      <w:r>
        <w:rPr>
          <w:rFonts w:ascii="宋体" w:hAnsi="宋体" w:cs="宋体"/>
          <w:color w:val="auto"/>
          <w:sz w:val="24"/>
          <w:szCs w:val="24"/>
        </w:rPr>
        <w:t xml:space="preserve">46 </w:t>
      </w:r>
      <w:r>
        <w:rPr>
          <w:rFonts w:hint="eastAsia" w:ascii="宋体" w:hAnsi="宋体" w:cs="宋体"/>
          <w:color w:val="auto"/>
          <w:sz w:val="24"/>
          <w:szCs w:val="24"/>
        </w:rPr>
        <w:t>号）的规定，本公司参加</w:t>
      </w:r>
      <w:r>
        <w:rPr>
          <w:rFonts w:hint="eastAsia" w:ascii="宋体" w:hAnsi="宋体" w:cs="宋体"/>
          <w:color w:val="auto"/>
          <w:sz w:val="24"/>
          <w:szCs w:val="24"/>
          <w:u w:val="single"/>
        </w:rPr>
        <w:t>（单位名称）</w:t>
      </w:r>
      <w:r>
        <w:rPr>
          <w:rFonts w:hint="eastAsia" w:ascii="宋体" w:hAnsi="宋体" w:cs="宋体"/>
          <w:color w:val="auto"/>
          <w:sz w:val="24"/>
          <w:szCs w:val="24"/>
        </w:rPr>
        <w:t>的</w:t>
      </w:r>
      <w:r>
        <w:rPr>
          <w:rFonts w:hint="eastAsia" w:ascii="宋体" w:hAnsi="宋体" w:cs="宋体"/>
          <w:color w:val="auto"/>
          <w:sz w:val="24"/>
          <w:szCs w:val="24"/>
          <w:u w:val="single"/>
        </w:rPr>
        <w:t>（项目名称）</w:t>
      </w:r>
      <w:r>
        <w:rPr>
          <w:rFonts w:hint="eastAsia" w:ascii="宋体" w:hAnsi="宋体" w:cs="宋体"/>
          <w:color w:val="auto"/>
          <w:sz w:val="24"/>
          <w:szCs w:val="24"/>
        </w:rPr>
        <w:t>采购活动，提供的货物全部由符合政策要求的中小企业制造。相关企业的具体情况如下：</w:t>
      </w:r>
      <w:r>
        <w:rPr>
          <w:rFonts w:ascii="宋体" w:hAnsi="宋体" w:cs="宋体"/>
          <w:color w:val="auto"/>
          <w:sz w:val="24"/>
          <w:szCs w:val="24"/>
        </w:rPr>
        <w:t xml:space="preserve"> </w:t>
      </w:r>
    </w:p>
    <w:p>
      <w:pPr>
        <w:spacing w:line="360" w:lineRule="auto"/>
        <w:ind w:firstLine="480" w:firstLineChars="20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行业；制造商为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ascii="宋体" w:hAnsi="宋体" w:cs="宋体"/>
          <w:color w:val="auto"/>
          <w:sz w:val="24"/>
          <w:szCs w:val="24"/>
          <w:u w:val="single"/>
        </w:rPr>
        <w:t xml:space="preserve">     </w:t>
      </w:r>
      <w:r>
        <w:rPr>
          <w:rFonts w:hint="eastAsia" w:ascii="宋体" w:hAnsi="宋体" w:cs="宋体"/>
          <w:color w:val="auto"/>
          <w:sz w:val="24"/>
          <w:szCs w:val="24"/>
        </w:rPr>
        <w:t>人，营业收入为</w:t>
      </w:r>
      <w:r>
        <w:rPr>
          <w:rFonts w:ascii="宋体" w:hAnsi="宋体" w:cs="宋体"/>
          <w:color w:val="auto"/>
          <w:sz w:val="24"/>
          <w:szCs w:val="24"/>
          <w:u w:val="single"/>
        </w:rPr>
        <w:t xml:space="preserve">     </w:t>
      </w:r>
      <w:r>
        <w:rPr>
          <w:rFonts w:hint="eastAsia" w:ascii="宋体" w:hAnsi="宋体" w:cs="宋体"/>
          <w:color w:val="auto"/>
          <w:sz w:val="24"/>
          <w:szCs w:val="24"/>
        </w:rPr>
        <w:t>万元，资产总额为</w:t>
      </w:r>
      <w:r>
        <w:rPr>
          <w:rFonts w:ascii="宋体" w:hAnsi="宋体" w:cs="宋体"/>
          <w:color w:val="auto"/>
          <w:sz w:val="24"/>
          <w:szCs w:val="24"/>
          <w:u w:val="single"/>
        </w:rPr>
        <w:t xml:space="preserve">     </w:t>
      </w:r>
      <w:r>
        <w:rPr>
          <w:rFonts w:hint="eastAsia" w:ascii="宋体" w:hAnsi="宋体" w:cs="宋体"/>
          <w:color w:val="auto"/>
          <w:sz w:val="24"/>
          <w:szCs w:val="24"/>
        </w:rPr>
        <w:t>万元</w:t>
      </w:r>
      <w:r>
        <w:rPr>
          <w:rStyle w:val="29"/>
          <w:rFonts w:ascii="宋体"/>
          <w:color w:val="auto"/>
          <w:sz w:val="24"/>
          <w:szCs w:val="24"/>
        </w:rPr>
        <w:footnoteReference w:id="0"/>
      </w:r>
      <w:r>
        <w:rPr>
          <w:rFonts w:hint="eastAsia" w:ascii="宋体" w:hAnsi="宋体" w:cs="宋体"/>
          <w:color w:val="auto"/>
          <w:sz w:val="24"/>
          <w:szCs w:val="24"/>
        </w:rPr>
        <w:t>，属于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pPr>
        <w:spacing w:line="360" w:lineRule="auto"/>
        <w:ind w:firstLine="480" w:firstLineChars="20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行业；制造商为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ascii="宋体" w:hAnsi="宋体" w:cs="宋体"/>
          <w:color w:val="auto"/>
          <w:sz w:val="24"/>
          <w:szCs w:val="24"/>
          <w:u w:val="single"/>
        </w:rPr>
        <w:t xml:space="preserve">     </w:t>
      </w:r>
      <w:r>
        <w:rPr>
          <w:rFonts w:hint="eastAsia" w:ascii="宋体" w:hAnsi="宋体" w:cs="宋体"/>
          <w:color w:val="auto"/>
          <w:sz w:val="24"/>
          <w:szCs w:val="24"/>
        </w:rPr>
        <w:t>人，营业收入为</w:t>
      </w:r>
      <w:r>
        <w:rPr>
          <w:rFonts w:ascii="宋体" w:hAnsi="宋体" w:cs="宋体"/>
          <w:color w:val="auto"/>
          <w:sz w:val="24"/>
          <w:szCs w:val="24"/>
          <w:u w:val="single"/>
        </w:rPr>
        <w:t xml:space="preserve">     </w:t>
      </w:r>
      <w:r>
        <w:rPr>
          <w:rFonts w:hint="eastAsia" w:ascii="宋体" w:hAnsi="宋体" w:cs="宋体"/>
          <w:color w:val="auto"/>
          <w:sz w:val="24"/>
          <w:szCs w:val="24"/>
        </w:rPr>
        <w:t>万元，资产总额为</w:t>
      </w:r>
      <w:r>
        <w:rPr>
          <w:rFonts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本企业对上述声明内容的真实性负责。如有虚假，将依法承担相应责任。</w:t>
      </w:r>
      <w:r>
        <w:rPr>
          <w:rFonts w:ascii="宋体" w:hAnsi="宋体" w:cs="宋体"/>
          <w:color w:val="auto"/>
          <w:sz w:val="24"/>
          <w:szCs w:val="24"/>
        </w:rPr>
        <w:t xml:space="preserve"> </w:t>
      </w:r>
    </w:p>
    <w:p>
      <w:pPr>
        <w:spacing w:line="360" w:lineRule="auto"/>
        <w:jc w:val="left"/>
        <w:rPr>
          <w:rFonts w:ascii="宋体"/>
          <w:color w:val="auto"/>
          <w:sz w:val="24"/>
          <w:szCs w:val="24"/>
        </w:rPr>
      </w:pPr>
    </w:p>
    <w:p>
      <w:pPr>
        <w:spacing w:line="360" w:lineRule="auto"/>
        <w:ind w:firstLine="4800" w:firstLineChars="2000"/>
        <w:jc w:val="left"/>
        <w:rPr>
          <w:rFonts w:ascii="宋体"/>
          <w:color w:val="auto"/>
          <w:sz w:val="24"/>
          <w:szCs w:val="24"/>
        </w:rPr>
      </w:pPr>
      <w:r>
        <w:rPr>
          <w:rFonts w:hint="eastAsia" w:ascii="宋体" w:hAnsi="宋体" w:cs="宋体"/>
          <w:color w:val="auto"/>
          <w:sz w:val="24"/>
          <w:szCs w:val="24"/>
        </w:rPr>
        <w:t>企业名称（盖章）：</w:t>
      </w:r>
    </w:p>
    <w:p>
      <w:pPr>
        <w:spacing w:line="360" w:lineRule="auto"/>
        <w:ind w:firstLine="4800" w:firstLineChars="2000"/>
        <w:jc w:val="left"/>
        <w:rPr>
          <w:rFonts w:ascii="宋体"/>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spacing w:line="360" w:lineRule="auto"/>
        <w:jc w:val="left"/>
        <w:rPr>
          <w:rFonts w:ascii="宋体"/>
          <w:color w:val="auto"/>
          <w:sz w:val="24"/>
          <w:szCs w:val="24"/>
        </w:rPr>
      </w:pPr>
    </w:p>
    <w:p>
      <w:pPr>
        <w:spacing w:line="360" w:lineRule="auto"/>
        <w:jc w:val="left"/>
        <w:rPr>
          <w:rFonts w:ascii="宋体"/>
          <w:color w:val="auto"/>
          <w:sz w:val="24"/>
          <w:szCs w:val="24"/>
        </w:rPr>
      </w:pPr>
    </w:p>
    <w:p>
      <w:pPr>
        <w:spacing w:line="360" w:lineRule="auto"/>
        <w:jc w:val="left"/>
        <w:rPr>
          <w:rFonts w:ascii="宋体"/>
          <w:color w:val="auto"/>
          <w:sz w:val="24"/>
          <w:szCs w:val="24"/>
        </w:rPr>
      </w:pPr>
    </w:p>
    <w:p>
      <w:pPr>
        <w:spacing w:line="360" w:lineRule="auto"/>
        <w:jc w:val="left"/>
        <w:rPr>
          <w:rFonts w:ascii="宋体"/>
          <w:color w:val="auto"/>
          <w:sz w:val="24"/>
          <w:szCs w:val="24"/>
        </w:rPr>
      </w:pPr>
    </w:p>
    <w:p>
      <w:pPr>
        <w:spacing w:line="360" w:lineRule="auto"/>
        <w:jc w:val="left"/>
        <w:rPr>
          <w:rFonts w:ascii="宋体"/>
          <w:color w:val="auto"/>
          <w:sz w:val="24"/>
          <w:szCs w:val="24"/>
        </w:rPr>
      </w:pPr>
    </w:p>
    <w:p>
      <w:pPr>
        <w:spacing w:line="360" w:lineRule="auto"/>
        <w:jc w:val="left"/>
        <w:rPr>
          <w:rFonts w:ascii="宋体"/>
          <w:color w:val="auto"/>
          <w:sz w:val="24"/>
          <w:szCs w:val="24"/>
        </w:rPr>
      </w:pPr>
    </w:p>
    <w:p>
      <w:pPr>
        <w:spacing w:line="360" w:lineRule="auto"/>
        <w:jc w:val="left"/>
        <w:rPr>
          <w:rFonts w:ascii="宋体"/>
          <w:color w:val="auto"/>
          <w:sz w:val="24"/>
          <w:szCs w:val="24"/>
        </w:rPr>
      </w:pPr>
    </w:p>
    <w:p>
      <w:pPr>
        <w:spacing w:line="360" w:lineRule="auto"/>
        <w:jc w:val="left"/>
        <w:rPr>
          <w:rFonts w:ascii="宋体"/>
          <w:color w:val="auto"/>
          <w:sz w:val="24"/>
          <w:szCs w:val="24"/>
        </w:rPr>
      </w:pPr>
    </w:p>
    <w:p>
      <w:pPr>
        <w:spacing w:line="360" w:lineRule="auto"/>
        <w:jc w:val="left"/>
        <w:rPr>
          <w:rFonts w:ascii="宋体"/>
          <w:color w:val="auto"/>
          <w:sz w:val="24"/>
          <w:szCs w:val="24"/>
        </w:rPr>
      </w:pPr>
    </w:p>
    <w:p>
      <w:pPr>
        <w:spacing w:line="360" w:lineRule="auto"/>
        <w:jc w:val="center"/>
        <w:rPr>
          <w:rFonts w:ascii="宋体"/>
          <w:b/>
          <w:bCs/>
          <w:color w:val="auto"/>
          <w:sz w:val="32"/>
          <w:szCs w:val="32"/>
        </w:rPr>
      </w:pPr>
      <w:r>
        <w:rPr>
          <w:rFonts w:hint="eastAsia" w:ascii="宋体" w:hAnsi="宋体" w:cs="宋体"/>
          <w:b/>
          <w:bCs/>
          <w:color w:val="auto"/>
          <w:sz w:val="32"/>
          <w:szCs w:val="32"/>
        </w:rPr>
        <w:t>中小企业声明函（工程、服务）</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本公司郑重声明，根据《政府采购促进中小企业发展管理办法》（财库﹝</w:t>
      </w:r>
      <w:r>
        <w:rPr>
          <w:rFonts w:ascii="宋体" w:hAnsi="宋体" w:cs="宋体"/>
          <w:color w:val="auto"/>
          <w:sz w:val="24"/>
          <w:szCs w:val="24"/>
        </w:rPr>
        <w:t>2020</w:t>
      </w:r>
      <w:r>
        <w:rPr>
          <w:rFonts w:hint="eastAsia" w:ascii="宋体" w:hAnsi="宋体" w:cs="宋体"/>
          <w:color w:val="auto"/>
          <w:sz w:val="24"/>
          <w:szCs w:val="24"/>
        </w:rPr>
        <w:t>﹞</w:t>
      </w:r>
      <w:r>
        <w:rPr>
          <w:rFonts w:ascii="宋体" w:hAnsi="宋体" w:cs="宋体"/>
          <w:color w:val="auto"/>
          <w:sz w:val="24"/>
          <w:szCs w:val="24"/>
        </w:rPr>
        <w:t xml:space="preserve">46 </w:t>
      </w:r>
      <w:r>
        <w:rPr>
          <w:rFonts w:hint="eastAsia" w:ascii="宋体" w:hAnsi="宋体" w:cs="宋体"/>
          <w:color w:val="auto"/>
          <w:sz w:val="24"/>
          <w:szCs w:val="24"/>
        </w:rPr>
        <w:t>号）的规定，本公司参加</w:t>
      </w:r>
      <w:r>
        <w:rPr>
          <w:rFonts w:hint="eastAsia" w:ascii="宋体" w:hAnsi="宋体" w:cs="宋体"/>
          <w:color w:val="auto"/>
          <w:sz w:val="24"/>
          <w:szCs w:val="24"/>
          <w:u w:val="single"/>
        </w:rPr>
        <w:t>（单位名称）</w:t>
      </w:r>
      <w:r>
        <w:rPr>
          <w:rFonts w:hint="eastAsia" w:ascii="宋体" w:hAnsi="宋体" w:cs="宋体"/>
          <w:color w:val="auto"/>
          <w:sz w:val="24"/>
          <w:szCs w:val="24"/>
        </w:rPr>
        <w:t>的</w:t>
      </w:r>
      <w:r>
        <w:rPr>
          <w:rFonts w:hint="eastAsia" w:ascii="宋体" w:hAnsi="宋体" w:cs="宋体"/>
          <w:color w:val="auto"/>
          <w:sz w:val="24"/>
          <w:szCs w:val="24"/>
          <w:u w:val="single"/>
        </w:rPr>
        <w:t>（项目名称）</w:t>
      </w:r>
      <w:r>
        <w:rPr>
          <w:rFonts w:hint="eastAsia" w:ascii="宋体" w:hAnsi="宋体" w:cs="宋体"/>
          <w:color w:val="auto"/>
          <w:sz w:val="24"/>
          <w:szCs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；承建（承接）企业为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ascii="宋体" w:hAnsi="宋体" w:cs="宋体"/>
          <w:color w:val="auto"/>
          <w:sz w:val="24"/>
          <w:szCs w:val="24"/>
          <w:u w:val="single"/>
        </w:rPr>
        <w:t xml:space="preserve">     </w:t>
      </w:r>
      <w:r>
        <w:rPr>
          <w:rFonts w:hint="eastAsia" w:ascii="宋体" w:hAnsi="宋体" w:cs="宋体"/>
          <w:color w:val="auto"/>
          <w:sz w:val="24"/>
          <w:szCs w:val="24"/>
        </w:rPr>
        <w:t>人，营业收入为</w:t>
      </w:r>
      <w:r>
        <w:rPr>
          <w:rFonts w:ascii="宋体" w:hAnsi="宋体" w:cs="宋体"/>
          <w:color w:val="auto"/>
          <w:sz w:val="24"/>
          <w:szCs w:val="24"/>
          <w:u w:val="single"/>
        </w:rPr>
        <w:t xml:space="preserve">     </w:t>
      </w:r>
      <w:r>
        <w:rPr>
          <w:rFonts w:hint="eastAsia" w:ascii="宋体" w:hAnsi="宋体" w:cs="宋体"/>
          <w:color w:val="auto"/>
          <w:sz w:val="24"/>
          <w:szCs w:val="24"/>
        </w:rPr>
        <w:t>万元，资产总额为</w:t>
      </w:r>
      <w:r>
        <w:rPr>
          <w:rFonts w:ascii="宋体" w:hAnsi="宋体" w:cs="宋体"/>
          <w:color w:val="auto"/>
          <w:sz w:val="24"/>
          <w:szCs w:val="24"/>
          <w:u w:val="single"/>
        </w:rPr>
        <w:t xml:space="preserve">     </w:t>
      </w:r>
      <w:r>
        <w:rPr>
          <w:rFonts w:hint="eastAsia" w:ascii="宋体" w:hAnsi="宋体" w:cs="宋体"/>
          <w:color w:val="auto"/>
          <w:sz w:val="24"/>
          <w:szCs w:val="24"/>
        </w:rPr>
        <w:t>万元</w:t>
      </w:r>
      <w:r>
        <w:rPr>
          <w:rStyle w:val="29"/>
          <w:rFonts w:ascii="宋体"/>
          <w:color w:val="auto"/>
          <w:sz w:val="24"/>
          <w:szCs w:val="24"/>
        </w:rPr>
        <w:footnoteReference w:id="1"/>
      </w:r>
      <w:r>
        <w:rPr>
          <w:rFonts w:hint="eastAsia" w:ascii="宋体" w:hAnsi="宋体" w:cs="宋体"/>
          <w:color w:val="auto"/>
          <w:sz w:val="24"/>
          <w:szCs w:val="24"/>
        </w:rPr>
        <w:t>，属于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pPr>
        <w:spacing w:line="360" w:lineRule="auto"/>
        <w:ind w:firstLine="480" w:firstLineChars="20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；承建（承接）企业为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ascii="宋体" w:hAnsi="宋体" w:cs="宋体"/>
          <w:color w:val="auto"/>
          <w:sz w:val="24"/>
          <w:szCs w:val="24"/>
          <w:u w:val="single"/>
        </w:rPr>
        <w:t xml:space="preserve">     </w:t>
      </w:r>
      <w:r>
        <w:rPr>
          <w:rFonts w:hint="eastAsia" w:ascii="宋体" w:hAnsi="宋体" w:cs="宋体"/>
          <w:color w:val="auto"/>
          <w:sz w:val="24"/>
          <w:szCs w:val="24"/>
        </w:rPr>
        <w:t>人，营业收入为</w:t>
      </w:r>
      <w:r>
        <w:rPr>
          <w:rFonts w:ascii="宋体" w:hAnsi="宋体" w:cs="宋体"/>
          <w:color w:val="auto"/>
          <w:sz w:val="24"/>
          <w:szCs w:val="24"/>
          <w:u w:val="single"/>
        </w:rPr>
        <w:t xml:space="preserve">     </w:t>
      </w:r>
      <w:r>
        <w:rPr>
          <w:rFonts w:hint="eastAsia" w:ascii="宋体" w:hAnsi="宋体" w:cs="宋体"/>
          <w:color w:val="auto"/>
          <w:sz w:val="24"/>
          <w:szCs w:val="24"/>
        </w:rPr>
        <w:t>万元，资产总额为</w:t>
      </w:r>
      <w:r>
        <w:rPr>
          <w:rFonts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olor w:val="auto"/>
          <w:sz w:val="24"/>
          <w:szCs w:val="24"/>
        </w:rPr>
      </w:pPr>
      <w:r>
        <w:rPr>
          <w:rFonts w:hint="eastAsia" w:ascii="宋体" w:hAnsi="宋体" w:cs="宋体"/>
          <w:color w:val="auto"/>
          <w:sz w:val="24"/>
          <w:szCs w:val="24"/>
        </w:rPr>
        <w:t>本企业对上述声明内容的真实性负责。如有虚假，将依法承担相应责任。</w:t>
      </w:r>
      <w:r>
        <w:rPr>
          <w:rFonts w:ascii="宋体" w:hAnsi="宋体" w:cs="宋体"/>
          <w:color w:val="auto"/>
          <w:sz w:val="24"/>
          <w:szCs w:val="24"/>
        </w:rPr>
        <w:t xml:space="preserve"> </w:t>
      </w:r>
    </w:p>
    <w:p>
      <w:pPr>
        <w:spacing w:line="360" w:lineRule="auto"/>
        <w:jc w:val="left"/>
        <w:rPr>
          <w:rFonts w:ascii="宋体"/>
          <w:color w:val="auto"/>
          <w:sz w:val="24"/>
          <w:szCs w:val="24"/>
        </w:rPr>
      </w:pPr>
    </w:p>
    <w:p>
      <w:pPr>
        <w:spacing w:line="360" w:lineRule="auto"/>
        <w:ind w:firstLine="4800" w:firstLineChars="2000"/>
        <w:jc w:val="left"/>
        <w:rPr>
          <w:rFonts w:ascii="宋体"/>
          <w:color w:val="auto"/>
          <w:sz w:val="24"/>
          <w:szCs w:val="24"/>
        </w:rPr>
      </w:pPr>
      <w:r>
        <w:rPr>
          <w:rFonts w:hint="eastAsia" w:ascii="宋体" w:hAnsi="宋体" w:cs="宋体"/>
          <w:color w:val="auto"/>
          <w:sz w:val="24"/>
          <w:szCs w:val="24"/>
        </w:rPr>
        <w:t>企业名称（盖章）：</w:t>
      </w:r>
    </w:p>
    <w:p>
      <w:pPr>
        <w:spacing w:line="360" w:lineRule="auto"/>
        <w:ind w:firstLine="4800" w:firstLineChars="2000"/>
        <w:jc w:val="left"/>
        <w:rPr>
          <w:rFonts w:ascii="宋体"/>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spacing w:line="360" w:lineRule="auto"/>
        <w:jc w:val="left"/>
        <w:rPr>
          <w:rFonts w:ascii="宋体"/>
          <w:color w:val="auto"/>
          <w:sz w:val="24"/>
          <w:szCs w:val="24"/>
        </w:rPr>
      </w:pPr>
    </w:p>
    <w:p>
      <w:pPr>
        <w:pStyle w:val="14"/>
        <w:spacing w:line="360" w:lineRule="auto"/>
        <w:jc w:val="center"/>
        <w:outlineLvl w:val="1"/>
        <w:rPr>
          <w:rFonts w:hAnsi="宋体" w:cs="Times New Roman"/>
          <w:b/>
          <w:bCs/>
          <w:color w:val="auto"/>
          <w:sz w:val="32"/>
          <w:szCs w:val="32"/>
          <w:lang w:val="en-GB"/>
        </w:rPr>
      </w:pPr>
    </w:p>
    <w:p>
      <w:pPr>
        <w:pStyle w:val="14"/>
        <w:spacing w:line="360" w:lineRule="auto"/>
        <w:jc w:val="center"/>
        <w:outlineLvl w:val="1"/>
        <w:rPr>
          <w:rFonts w:hAnsi="宋体" w:cs="Times New Roman"/>
          <w:b/>
          <w:bCs/>
          <w:color w:val="auto"/>
          <w:sz w:val="32"/>
          <w:szCs w:val="32"/>
          <w:lang w:val="en-GB"/>
        </w:rPr>
      </w:pPr>
    </w:p>
    <w:p>
      <w:pPr>
        <w:pStyle w:val="14"/>
        <w:spacing w:line="360" w:lineRule="auto"/>
        <w:jc w:val="center"/>
        <w:outlineLvl w:val="1"/>
        <w:rPr>
          <w:rFonts w:hAnsi="宋体" w:cs="Times New Roman"/>
          <w:b/>
          <w:bCs/>
          <w:color w:val="auto"/>
          <w:sz w:val="32"/>
          <w:szCs w:val="32"/>
          <w:lang w:val="en-GB"/>
        </w:rPr>
      </w:pPr>
    </w:p>
    <w:p>
      <w:pPr>
        <w:pStyle w:val="14"/>
        <w:spacing w:line="360" w:lineRule="auto"/>
        <w:jc w:val="center"/>
        <w:outlineLvl w:val="1"/>
        <w:rPr>
          <w:rFonts w:hAnsi="宋体" w:cs="Times New Roman"/>
          <w:b/>
          <w:bCs/>
          <w:color w:val="auto"/>
          <w:sz w:val="32"/>
          <w:szCs w:val="32"/>
          <w:lang w:val="en-GB"/>
        </w:rPr>
      </w:pPr>
    </w:p>
    <w:p>
      <w:pPr>
        <w:pStyle w:val="14"/>
        <w:spacing w:line="360" w:lineRule="auto"/>
        <w:jc w:val="center"/>
        <w:outlineLvl w:val="1"/>
        <w:rPr>
          <w:rFonts w:hAnsi="宋体" w:cs="Times New Roman"/>
          <w:b/>
          <w:bCs/>
          <w:color w:val="auto"/>
          <w:sz w:val="32"/>
          <w:szCs w:val="32"/>
          <w:lang w:val="en-GB"/>
        </w:rPr>
      </w:pPr>
    </w:p>
    <w:p>
      <w:pPr>
        <w:pStyle w:val="65"/>
        <w:spacing w:line="360" w:lineRule="auto"/>
        <w:rPr>
          <w:rFonts w:ascii="宋体"/>
          <w:color w:val="auto"/>
          <w:sz w:val="24"/>
          <w:szCs w:val="24"/>
        </w:rPr>
      </w:pPr>
    </w:p>
    <w:p>
      <w:pPr>
        <w:spacing w:line="360" w:lineRule="auto"/>
        <w:ind w:left="-2" w:hanging="2"/>
        <w:jc w:val="center"/>
        <w:rPr>
          <w:rFonts w:ascii="宋体"/>
          <w:b/>
          <w:bCs/>
          <w:color w:val="auto"/>
          <w:sz w:val="32"/>
          <w:szCs w:val="32"/>
          <w:lang w:val="en-GB"/>
        </w:rPr>
      </w:pPr>
      <w:r>
        <w:rPr>
          <w:rFonts w:hint="eastAsia" w:ascii="宋体" w:hAnsi="宋体" w:cs="宋体"/>
          <w:b/>
          <w:bCs/>
          <w:color w:val="auto"/>
          <w:sz w:val="32"/>
          <w:szCs w:val="32"/>
          <w:lang w:val="en-GB"/>
        </w:rPr>
        <w:t>残疾人福利性单位声明函</w:t>
      </w:r>
    </w:p>
    <w:p>
      <w:pPr>
        <w:spacing w:line="360" w:lineRule="auto"/>
        <w:ind w:firstLine="480" w:firstLineChars="200"/>
        <w:rPr>
          <w:rFonts w:ascii="宋体"/>
          <w:color w:val="auto"/>
          <w:sz w:val="24"/>
          <w:szCs w:val="24"/>
        </w:rPr>
      </w:pPr>
      <w:r>
        <w:rPr>
          <w:rFonts w:hint="eastAsia" w:ascii="宋体" w:hAnsi="宋体" w:cs="宋体"/>
          <w:color w:val="auto"/>
          <w:sz w:val="24"/>
          <w:szCs w:val="24"/>
        </w:rPr>
        <w:t>本单位郑重声明，根据《财政部</w:t>
      </w:r>
      <w:r>
        <w:rPr>
          <w:rFonts w:ascii="宋体" w:hAnsi="宋体" w:cs="宋体"/>
          <w:color w:val="auto"/>
          <w:sz w:val="24"/>
          <w:szCs w:val="24"/>
        </w:rPr>
        <w:t xml:space="preserve"> </w:t>
      </w:r>
      <w:r>
        <w:rPr>
          <w:rFonts w:hint="eastAsia" w:ascii="宋体" w:hAnsi="宋体" w:cs="宋体"/>
          <w:color w:val="auto"/>
          <w:sz w:val="24"/>
          <w:szCs w:val="24"/>
        </w:rPr>
        <w:t>民政部</w:t>
      </w:r>
      <w:r>
        <w:rPr>
          <w:rFonts w:ascii="宋体" w:hAnsi="宋体" w:cs="宋体"/>
          <w:color w:val="auto"/>
          <w:sz w:val="24"/>
          <w:szCs w:val="24"/>
        </w:rPr>
        <w:t xml:space="preserve"> </w:t>
      </w:r>
      <w:r>
        <w:rPr>
          <w:rFonts w:hint="eastAsia" w:ascii="宋体" w:hAnsi="宋体" w:cs="宋体"/>
          <w:color w:val="auto"/>
          <w:sz w:val="24"/>
          <w:szCs w:val="24"/>
        </w:rPr>
        <w:t>中国残疾人联合会关于促进残疾人就业政府采购政策的通知》（财库〔</w:t>
      </w:r>
      <w:r>
        <w:rPr>
          <w:rFonts w:ascii="宋体" w:hAnsi="宋体" w:cs="宋体"/>
          <w:color w:val="auto"/>
          <w:sz w:val="24"/>
          <w:szCs w:val="24"/>
        </w:rPr>
        <w:t>2017</w:t>
      </w:r>
      <w:r>
        <w:rPr>
          <w:rFonts w:hint="eastAsia" w:ascii="宋体" w:hAnsi="宋体" w:cs="宋体"/>
          <w:color w:val="auto"/>
          <w:sz w:val="24"/>
          <w:szCs w:val="24"/>
        </w:rPr>
        <w:t>〕</w:t>
      </w:r>
      <w:r>
        <w:rPr>
          <w:rFonts w:ascii="宋体" w:hAnsi="宋体" w:cs="宋体"/>
          <w:color w:val="auto"/>
          <w:sz w:val="24"/>
          <w:szCs w:val="24"/>
        </w:rPr>
        <w:t>141</w:t>
      </w:r>
      <w:r>
        <w:rPr>
          <w:rFonts w:hint="eastAsia" w:ascii="宋体" w:hAnsi="宋体" w:cs="宋体"/>
          <w:color w:val="auto"/>
          <w:sz w:val="24"/>
          <w:szCs w:val="24"/>
        </w:rPr>
        <w:t>号）的规定，本单位为符合条件的残疾人福利性单位，且本单位参加单位的项目采购活动提供本单位制造的货物（由本单位承担工程</w:t>
      </w:r>
      <w:r>
        <w:rPr>
          <w:rFonts w:ascii="宋体" w:hAnsi="宋体" w:cs="宋体"/>
          <w:color w:val="auto"/>
          <w:sz w:val="24"/>
          <w:szCs w:val="24"/>
        </w:rPr>
        <w:t>/</w:t>
      </w:r>
      <w:r>
        <w:rPr>
          <w:rFonts w:hint="eastAsia" w:ascii="宋体" w:hAnsi="宋体" w:cs="宋体"/>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rPr>
      </w:pPr>
      <w:r>
        <w:rPr>
          <w:rFonts w:hint="eastAsia" w:ascii="宋体" w:hAnsi="宋体" w:cs="宋体"/>
          <w:color w:val="auto"/>
          <w:sz w:val="24"/>
          <w:szCs w:val="24"/>
        </w:rPr>
        <w:t>本单位对上述声明的真实性负责。如有虚假，将依法承担相应责任。</w:t>
      </w:r>
    </w:p>
    <w:p>
      <w:pPr>
        <w:spacing w:line="360" w:lineRule="auto"/>
        <w:ind w:firstLine="480" w:firstLineChars="200"/>
        <w:rPr>
          <w:rFonts w:ascii="宋体"/>
          <w:color w:val="auto"/>
          <w:sz w:val="24"/>
          <w:szCs w:val="24"/>
        </w:rPr>
      </w:pPr>
    </w:p>
    <w:p>
      <w:pPr>
        <w:spacing w:line="360" w:lineRule="auto"/>
        <w:ind w:firstLine="2880" w:firstLineChars="1200"/>
        <w:rPr>
          <w:color w:val="auto"/>
          <w:sz w:val="24"/>
          <w:szCs w:val="24"/>
        </w:rPr>
      </w:pPr>
      <w:r>
        <w:rPr>
          <w:rFonts w:hint="eastAsia" w:cs="宋体"/>
          <w:color w:val="auto"/>
          <w:sz w:val="24"/>
          <w:szCs w:val="24"/>
        </w:rPr>
        <w:t>单位名称（单位公章）：</w:t>
      </w:r>
    </w:p>
    <w:p>
      <w:pPr>
        <w:pStyle w:val="65"/>
        <w:spacing w:line="360" w:lineRule="auto"/>
        <w:ind w:left="4253" w:leftChars="2025" w:right="360"/>
        <w:jc w:val="right"/>
        <w:rPr>
          <w:rFonts w:ascii="宋体"/>
          <w:color w:val="auto"/>
          <w:sz w:val="24"/>
          <w:szCs w:val="24"/>
        </w:rPr>
      </w:pPr>
      <w:r>
        <w:rPr>
          <w:rFonts w:hint="eastAsia"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hint="eastAsia" w:ascii="宋体" w:hAnsi="宋体" w:cs="宋体"/>
          <w:color w:val="auto"/>
          <w:sz w:val="24"/>
          <w:szCs w:val="24"/>
        </w:rPr>
        <w:t>日</w:t>
      </w: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tabs>
          <w:tab w:val="left" w:pos="2460"/>
        </w:tabs>
        <w:spacing w:line="360" w:lineRule="auto"/>
        <w:rPr>
          <w:rFonts w:ascii="宋体"/>
          <w:b/>
          <w:bCs/>
          <w:color w:val="auto"/>
          <w:sz w:val="28"/>
          <w:szCs w:val="28"/>
        </w:rPr>
      </w:pPr>
    </w:p>
    <w:p>
      <w:pPr>
        <w:spacing w:line="360" w:lineRule="auto"/>
        <w:jc w:val="left"/>
        <w:rPr>
          <w:color w:val="auto"/>
        </w:rPr>
      </w:pPr>
    </w:p>
    <w:p>
      <w:pPr>
        <w:rPr>
          <w:color w:val="auto"/>
        </w:rPr>
      </w:pPr>
    </w:p>
    <w:bookmarkEnd w:id="330"/>
    <w:sectPr>
      <w:headerReference r:id="rId5"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7"/>
                </w:pPr>
                <w:r>
                  <w:rPr>
                    <w:rFonts w:hint="eastAsia" w:cs="宋体"/>
                  </w:rPr>
                  <w:t>第</w:t>
                </w:r>
                <w:r>
                  <w:t xml:space="preserve"> </w:t>
                </w:r>
                <w:r>
                  <w:fldChar w:fldCharType="begin"/>
                </w:r>
                <w:r>
                  <w:instrText xml:space="preserve"> PAGE  \* MERGEFORMAT </w:instrText>
                </w:r>
                <w:r>
                  <w:fldChar w:fldCharType="separate"/>
                </w:r>
                <w:r>
                  <w:t>81</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81</w:t>
                </w:r>
                <w:r>
                  <w:fldChar w:fldCharType="end"/>
                </w:r>
                <w:r>
                  <w:t xml:space="preserve"> </w:t>
                </w:r>
                <w:r>
                  <w:rPr>
                    <w:rFonts w:hint="eastAsia" w:cs="宋体"/>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9"/>
      </w:pPr>
      <w:r>
        <w:rPr>
          <w:rStyle w:val="29"/>
        </w:rPr>
        <w:footnoteRef/>
      </w:r>
      <w:r>
        <w:t xml:space="preserve"> </w:t>
      </w:r>
      <w:r>
        <w:rPr>
          <w:rFonts w:hint="eastAsia" w:ascii="宋体" w:hAnsi="宋体" w:cs="宋体"/>
          <w:sz w:val="24"/>
          <w:szCs w:val="24"/>
        </w:rPr>
        <w:t>从业人员、营业收入、资产总额填报上一年度数据，无上一年度数据的新成立企业可不填报。</w:t>
      </w:r>
    </w:p>
  </w:footnote>
  <w:footnote w:id="1">
    <w:p>
      <w:pPr>
        <w:pStyle w:val="19"/>
      </w:pPr>
      <w:r>
        <w:rPr>
          <w:rStyle w:val="29"/>
        </w:rPr>
        <w:footnoteRef/>
      </w:r>
      <w:r>
        <w:t xml:space="preserve"> </w:t>
      </w:r>
      <w:r>
        <w:rPr>
          <w:rFonts w:hint="eastAsia" w:ascii="宋体" w:hAnsi="宋体" w:cs="宋体"/>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81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81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F0F8675F"/>
    <w:multiLevelType w:val="singleLevel"/>
    <w:tmpl w:val="F0F8675F"/>
    <w:lvl w:ilvl="0" w:tentative="0">
      <w:start w:val="1"/>
      <w:numFmt w:val="decimal"/>
      <w:suff w:val="nothing"/>
      <w:lvlText w:val="（%1）"/>
      <w:lvlJc w:val="left"/>
    </w:lvl>
  </w:abstractNum>
  <w:abstractNum w:abstractNumId="2">
    <w:nsid w:val="0290047F"/>
    <w:multiLevelType w:val="multilevel"/>
    <w:tmpl w:val="0290047F"/>
    <w:lvl w:ilvl="0" w:tentative="0">
      <w:start w:val="1"/>
      <w:numFmt w:val="lowerLetter"/>
      <w:lvlText w:val="(%1)"/>
      <w:lvlJc w:val="left"/>
      <w:pPr>
        <w:tabs>
          <w:tab w:val="left" w:pos="1620"/>
        </w:tabs>
        <w:ind w:left="16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5221FC8"/>
    <w:multiLevelType w:val="multilevel"/>
    <w:tmpl w:val="05221FC8"/>
    <w:lvl w:ilvl="0" w:tentative="0">
      <w:start w:val="1"/>
      <w:numFmt w:val="lowerLetter"/>
      <w:lvlText w:val="(%1)"/>
      <w:lvlJc w:val="left"/>
      <w:pPr>
        <w:tabs>
          <w:tab w:val="left" w:pos="1620"/>
        </w:tabs>
        <w:ind w:left="16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308DB77"/>
    <w:multiLevelType w:val="singleLevel"/>
    <w:tmpl w:val="1308DB77"/>
    <w:lvl w:ilvl="0" w:tentative="0">
      <w:start w:val="5"/>
      <w:numFmt w:val="decimal"/>
      <w:suff w:val="nothing"/>
      <w:lvlText w:val="%1、"/>
      <w:lvlJc w:val="left"/>
      <w:pPr>
        <w:ind w:left="481" w:leftChars="0" w:firstLine="0" w:firstLineChars="0"/>
      </w:pPr>
    </w:lvl>
  </w:abstractNum>
  <w:abstractNum w:abstractNumId="5">
    <w:nsid w:val="17316882"/>
    <w:multiLevelType w:val="multilevel"/>
    <w:tmpl w:val="17316882"/>
    <w:lvl w:ilvl="0" w:tentative="0">
      <w:start w:val="1"/>
      <w:numFmt w:val="lowerLetter"/>
      <w:lvlText w:val="%1."/>
      <w:lvlJc w:val="left"/>
      <w:pPr>
        <w:tabs>
          <w:tab w:val="left" w:pos="840"/>
        </w:tabs>
        <w:ind w:left="84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7E5E95"/>
    <w:multiLevelType w:val="multilevel"/>
    <w:tmpl w:val="187E5E95"/>
    <w:lvl w:ilvl="0" w:tentative="0">
      <w:start w:val="1"/>
      <w:numFmt w:val="decimal"/>
      <w:lvlText w:val="（%1）"/>
      <w:lvlJc w:val="left"/>
      <w:pPr>
        <w:tabs>
          <w:tab w:val="left" w:pos="1558"/>
        </w:tabs>
        <w:ind w:left="1558" w:hanging="840"/>
      </w:pPr>
      <w:rPr>
        <w:rFonts w:hint="default"/>
      </w:rPr>
    </w:lvl>
    <w:lvl w:ilvl="1" w:tentative="0">
      <w:start w:val="1"/>
      <w:numFmt w:val="lowerLetter"/>
      <w:lvlText w:val="%2)"/>
      <w:lvlJc w:val="left"/>
      <w:pPr>
        <w:tabs>
          <w:tab w:val="left" w:pos="1558"/>
        </w:tabs>
        <w:ind w:left="1558" w:hanging="420"/>
      </w:pPr>
      <w:rPr>
        <w:rFonts w:hint="eastAsia"/>
      </w:rPr>
    </w:lvl>
    <w:lvl w:ilvl="2" w:tentative="0">
      <w:start w:val="1"/>
      <w:numFmt w:val="lowerRoman"/>
      <w:lvlText w:val="%3."/>
      <w:lvlJc w:val="right"/>
      <w:pPr>
        <w:tabs>
          <w:tab w:val="left" w:pos="1978"/>
        </w:tabs>
        <w:ind w:left="1978" w:hanging="420"/>
      </w:pPr>
      <w:rPr>
        <w:rFonts w:hint="eastAsia"/>
      </w:rPr>
    </w:lvl>
    <w:lvl w:ilvl="3" w:tentative="0">
      <w:start w:val="1"/>
      <w:numFmt w:val="decimal"/>
      <w:lvlText w:val="%4."/>
      <w:lvlJc w:val="left"/>
      <w:pPr>
        <w:tabs>
          <w:tab w:val="left" w:pos="2398"/>
        </w:tabs>
        <w:ind w:left="2398" w:hanging="420"/>
      </w:pPr>
      <w:rPr>
        <w:rFonts w:hint="eastAsia"/>
      </w:rPr>
    </w:lvl>
    <w:lvl w:ilvl="4" w:tentative="0">
      <w:start w:val="1"/>
      <w:numFmt w:val="lowerLetter"/>
      <w:lvlText w:val="%5)"/>
      <w:lvlJc w:val="left"/>
      <w:pPr>
        <w:tabs>
          <w:tab w:val="left" w:pos="2818"/>
        </w:tabs>
        <w:ind w:left="2818" w:hanging="420"/>
      </w:pPr>
      <w:rPr>
        <w:rFonts w:hint="eastAsia"/>
      </w:rPr>
    </w:lvl>
    <w:lvl w:ilvl="5" w:tentative="0">
      <w:start w:val="1"/>
      <w:numFmt w:val="lowerRoman"/>
      <w:lvlText w:val="%6."/>
      <w:lvlJc w:val="right"/>
      <w:pPr>
        <w:tabs>
          <w:tab w:val="left" w:pos="3238"/>
        </w:tabs>
        <w:ind w:left="3238" w:hanging="420"/>
      </w:pPr>
      <w:rPr>
        <w:rFonts w:hint="eastAsia"/>
      </w:rPr>
    </w:lvl>
    <w:lvl w:ilvl="6" w:tentative="0">
      <w:start w:val="1"/>
      <w:numFmt w:val="decimal"/>
      <w:lvlText w:val="%7."/>
      <w:lvlJc w:val="left"/>
      <w:pPr>
        <w:tabs>
          <w:tab w:val="left" w:pos="3658"/>
        </w:tabs>
        <w:ind w:left="3658" w:hanging="420"/>
      </w:pPr>
      <w:rPr>
        <w:rFonts w:hint="eastAsia"/>
      </w:rPr>
    </w:lvl>
    <w:lvl w:ilvl="7" w:tentative="0">
      <w:start w:val="1"/>
      <w:numFmt w:val="lowerLetter"/>
      <w:lvlText w:val="%8)"/>
      <w:lvlJc w:val="left"/>
      <w:pPr>
        <w:tabs>
          <w:tab w:val="left" w:pos="4078"/>
        </w:tabs>
        <w:ind w:left="4078" w:hanging="420"/>
      </w:pPr>
      <w:rPr>
        <w:rFonts w:hint="eastAsia"/>
      </w:rPr>
    </w:lvl>
    <w:lvl w:ilvl="8" w:tentative="0">
      <w:start w:val="1"/>
      <w:numFmt w:val="lowerRoman"/>
      <w:lvlText w:val="%9."/>
      <w:lvlJc w:val="right"/>
      <w:pPr>
        <w:tabs>
          <w:tab w:val="left" w:pos="4498"/>
        </w:tabs>
        <w:ind w:left="4498" w:hanging="420"/>
      </w:pPr>
      <w:rPr>
        <w:rFonts w:hint="eastAsia"/>
      </w:rPr>
    </w:lvl>
  </w:abstractNum>
  <w:abstractNum w:abstractNumId="7">
    <w:nsid w:val="20470D10"/>
    <w:multiLevelType w:val="multilevel"/>
    <w:tmpl w:val="20470D10"/>
    <w:lvl w:ilvl="0" w:tentative="0">
      <w:start w:val="1"/>
      <w:numFmt w:val="decimal"/>
      <w:lvlText w:val="（%1）"/>
      <w:lvlJc w:val="left"/>
      <w:pPr>
        <w:tabs>
          <w:tab w:val="left" w:pos="1558"/>
        </w:tabs>
        <w:ind w:left="1558"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C305DBE"/>
    <w:multiLevelType w:val="multilevel"/>
    <w:tmpl w:val="2C305DBE"/>
    <w:lvl w:ilvl="0" w:tentative="0">
      <w:start w:val="1"/>
      <w:numFmt w:val="decimal"/>
      <w:lvlText w:val="（%1）"/>
      <w:lvlJc w:val="left"/>
      <w:pPr>
        <w:tabs>
          <w:tab w:val="left" w:pos="1558"/>
        </w:tabs>
        <w:ind w:left="1558"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80255E"/>
    <w:multiLevelType w:val="multilevel"/>
    <w:tmpl w:val="2E80255E"/>
    <w:lvl w:ilvl="0" w:tentative="0">
      <w:start w:val="1"/>
      <w:numFmt w:val="lowerRoman"/>
      <w:lvlText w:val="(%1)"/>
      <w:lvlJc w:val="left"/>
      <w:pPr>
        <w:tabs>
          <w:tab w:val="left" w:pos="3600"/>
        </w:tabs>
        <w:ind w:left="3396" w:hanging="516"/>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615727B"/>
    <w:multiLevelType w:val="multilevel"/>
    <w:tmpl w:val="3615727B"/>
    <w:lvl w:ilvl="0" w:tentative="0">
      <w:start w:val="1"/>
      <w:numFmt w:val="lowerLetter"/>
      <w:lvlText w:val="(%1)"/>
      <w:lvlJc w:val="left"/>
      <w:pPr>
        <w:tabs>
          <w:tab w:val="left" w:pos="1320"/>
        </w:tabs>
        <w:ind w:left="1320" w:hanging="360"/>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DF17F8A"/>
    <w:multiLevelType w:val="multilevel"/>
    <w:tmpl w:val="3DF17F8A"/>
    <w:lvl w:ilvl="0" w:tentative="0">
      <w:start w:val="1"/>
      <w:numFmt w:val="decimal"/>
      <w:suff w:val="nothing"/>
      <w:lvlText w:val="（%1）"/>
      <w:lvlJc w:val="left"/>
      <w:pPr>
        <w:ind w:left="1521" w:hanging="420"/>
      </w:pPr>
      <w:rPr>
        <w:rFonts w:hint="eastAsia"/>
      </w:rPr>
    </w:lvl>
    <w:lvl w:ilvl="1" w:tentative="0">
      <w:start w:val="1"/>
      <w:numFmt w:val="lowerLetter"/>
      <w:lvlText w:val="%2)"/>
      <w:lvlJc w:val="left"/>
      <w:pPr>
        <w:ind w:left="1941" w:hanging="420"/>
      </w:pPr>
    </w:lvl>
    <w:lvl w:ilvl="2" w:tentative="0">
      <w:start w:val="1"/>
      <w:numFmt w:val="lowerRoman"/>
      <w:lvlText w:val="%3."/>
      <w:lvlJc w:val="right"/>
      <w:pPr>
        <w:ind w:left="2361" w:hanging="420"/>
      </w:pPr>
    </w:lvl>
    <w:lvl w:ilvl="3" w:tentative="0">
      <w:start w:val="1"/>
      <w:numFmt w:val="decimal"/>
      <w:lvlText w:val="%4."/>
      <w:lvlJc w:val="left"/>
      <w:pPr>
        <w:ind w:left="2781" w:hanging="420"/>
      </w:pPr>
    </w:lvl>
    <w:lvl w:ilvl="4" w:tentative="0">
      <w:start w:val="1"/>
      <w:numFmt w:val="lowerLetter"/>
      <w:lvlText w:val="%5)"/>
      <w:lvlJc w:val="left"/>
      <w:pPr>
        <w:ind w:left="3201" w:hanging="420"/>
      </w:pPr>
    </w:lvl>
    <w:lvl w:ilvl="5" w:tentative="0">
      <w:start w:val="1"/>
      <w:numFmt w:val="lowerRoman"/>
      <w:lvlText w:val="%6."/>
      <w:lvlJc w:val="right"/>
      <w:pPr>
        <w:ind w:left="3621" w:hanging="420"/>
      </w:pPr>
    </w:lvl>
    <w:lvl w:ilvl="6" w:tentative="0">
      <w:start w:val="1"/>
      <w:numFmt w:val="decimal"/>
      <w:lvlText w:val="%7."/>
      <w:lvlJc w:val="left"/>
      <w:pPr>
        <w:ind w:left="4041" w:hanging="420"/>
      </w:pPr>
    </w:lvl>
    <w:lvl w:ilvl="7" w:tentative="0">
      <w:start w:val="1"/>
      <w:numFmt w:val="lowerLetter"/>
      <w:lvlText w:val="%8)"/>
      <w:lvlJc w:val="left"/>
      <w:pPr>
        <w:ind w:left="4461" w:hanging="420"/>
      </w:pPr>
    </w:lvl>
    <w:lvl w:ilvl="8" w:tentative="0">
      <w:start w:val="1"/>
      <w:numFmt w:val="lowerRoman"/>
      <w:lvlText w:val="%9."/>
      <w:lvlJc w:val="right"/>
      <w:pPr>
        <w:ind w:left="4881" w:hanging="420"/>
      </w:pPr>
    </w:lvl>
  </w:abstractNum>
  <w:abstractNum w:abstractNumId="12">
    <w:nsid w:val="3F63DF7C"/>
    <w:multiLevelType w:val="singleLevel"/>
    <w:tmpl w:val="3F63DF7C"/>
    <w:lvl w:ilvl="0" w:tentative="0">
      <w:start w:val="6"/>
      <w:numFmt w:val="chineseCounting"/>
      <w:suff w:val="nothing"/>
      <w:lvlText w:val="%1、"/>
      <w:lvlJc w:val="left"/>
      <w:rPr>
        <w:rFonts w:hint="eastAsia"/>
      </w:rPr>
    </w:lvl>
  </w:abstractNum>
  <w:abstractNum w:abstractNumId="13">
    <w:nsid w:val="452F68AF"/>
    <w:multiLevelType w:val="multilevel"/>
    <w:tmpl w:val="452F68AF"/>
    <w:lvl w:ilvl="0" w:tentative="0">
      <w:start w:val="1"/>
      <w:numFmt w:val="decimal"/>
      <w:lvlText w:val="（%1）"/>
      <w:lvlJc w:val="left"/>
      <w:pPr>
        <w:tabs>
          <w:tab w:val="left" w:pos="1558"/>
        </w:tabs>
        <w:ind w:left="1558"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7246F2C"/>
    <w:multiLevelType w:val="multilevel"/>
    <w:tmpl w:val="47246F2C"/>
    <w:lvl w:ilvl="0" w:tentative="0">
      <w:start w:val="1"/>
      <w:numFmt w:val="lowerRoman"/>
      <w:lvlText w:val="（%1）"/>
      <w:lvlJc w:val="left"/>
      <w:pPr>
        <w:tabs>
          <w:tab w:val="left" w:pos="1021"/>
        </w:tabs>
        <w:ind w:left="964" w:hanging="79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A166546"/>
    <w:multiLevelType w:val="multilevel"/>
    <w:tmpl w:val="4A166546"/>
    <w:lvl w:ilvl="0" w:tentative="0">
      <w:start w:val="1"/>
      <w:numFmt w:val="lowerRoman"/>
      <w:lvlText w:val="(%1)"/>
      <w:lvlJc w:val="left"/>
      <w:pPr>
        <w:tabs>
          <w:tab w:val="left" w:pos="720"/>
        </w:tabs>
        <w:ind w:left="516" w:hanging="516"/>
      </w:pPr>
      <w:rPr>
        <w:rFonts w:hint="eastAsia"/>
      </w:rPr>
    </w:lvl>
    <w:lvl w:ilvl="1" w:tentative="0">
      <w:start w:val="1"/>
      <w:numFmt w:val="lowerLetter"/>
      <w:lvlText w:val="%2)"/>
      <w:lvlJc w:val="left"/>
      <w:pPr>
        <w:tabs>
          <w:tab w:val="left" w:pos="-2040"/>
        </w:tabs>
        <w:ind w:left="-204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780"/>
        </w:tabs>
        <w:ind w:left="-780" w:hanging="420"/>
      </w:pPr>
    </w:lvl>
    <w:lvl w:ilvl="5" w:tentative="0">
      <w:start w:val="1"/>
      <w:numFmt w:val="lowerRoman"/>
      <w:lvlText w:val="%6."/>
      <w:lvlJc w:val="right"/>
      <w:pPr>
        <w:tabs>
          <w:tab w:val="left" w:pos="-360"/>
        </w:tabs>
        <w:ind w:left="-360" w:hanging="420"/>
      </w:pPr>
    </w:lvl>
    <w:lvl w:ilvl="6" w:tentative="0">
      <w:start w:val="1"/>
      <w:numFmt w:val="decimal"/>
      <w:lvlText w:val="%7."/>
      <w:lvlJc w:val="left"/>
      <w:pPr>
        <w:tabs>
          <w:tab w:val="left" w:pos="60"/>
        </w:tabs>
        <w:ind w:left="60" w:hanging="420"/>
      </w:pPr>
    </w:lvl>
    <w:lvl w:ilvl="7" w:tentative="0">
      <w:start w:val="1"/>
      <w:numFmt w:val="lowerLetter"/>
      <w:lvlText w:val="%8)"/>
      <w:lvlJc w:val="left"/>
      <w:pPr>
        <w:tabs>
          <w:tab w:val="left" w:pos="480"/>
        </w:tabs>
        <w:ind w:left="480" w:hanging="420"/>
      </w:pPr>
    </w:lvl>
    <w:lvl w:ilvl="8" w:tentative="0">
      <w:start w:val="1"/>
      <w:numFmt w:val="lowerRoman"/>
      <w:lvlText w:val="%9."/>
      <w:lvlJc w:val="right"/>
      <w:pPr>
        <w:tabs>
          <w:tab w:val="left" w:pos="900"/>
        </w:tabs>
        <w:ind w:left="900" w:hanging="420"/>
      </w:pPr>
    </w:lvl>
  </w:abstractNum>
  <w:abstractNum w:abstractNumId="16">
    <w:nsid w:val="5A082C88"/>
    <w:multiLevelType w:val="multilevel"/>
    <w:tmpl w:val="5A082C88"/>
    <w:lvl w:ilvl="0" w:tentative="0">
      <w:start w:val="1"/>
      <w:numFmt w:val="lowerLetter"/>
      <w:lvlText w:val="(%1)"/>
      <w:lvlJc w:val="left"/>
      <w:pPr>
        <w:tabs>
          <w:tab w:val="left" w:pos="1620"/>
        </w:tabs>
        <w:ind w:left="162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0AF4058"/>
    <w:multiLevelType w:val="multilevel"/>
    <w:tmpl w:val="70AF4058"/>
    <w:lvl w:ilvl="0" w:tentative="0">
      <w:start w:val="1"/>
      <w:numFmt w:val="decimal"/>
      <w:lvlText w:val="（%1）"/>
      <w:lvlJc w:val="left"/>
      <w:pPr>
        <w:tabs>
          <w:tab w:val="left" w:pos="1720"/>
        </w:tabs>
        <w:ind w:left="1720" w:hanging="1140"/>
      </w:pPr>
      <w:rPr>
        <w:rFonts w:hint="eastAsia"/>
      </w:rPr>
    </w:lvl>
    <w:lvl w:ilvl="1" w:tentative="0">
      <w:start w:val="1"/>
      <w:numFmt w:val="lowerLetter"/>
      <w:lvlText w:val="%2)"/>
      <w:lvlJc w:val="left"/>
      <w:pPr>
        <w:tabs>
          <w:tab w:val="left" w:pos="1420"/>
        </w:tabs>
        <w:ind w:left="1420" w:hanging="420"/>
      </w:pPr>
    </w:lvl>
    <w:lvl w:ilvl="2" w:tentative="0">
      <w:start w:val="1"/>
      <w:numFmt w:val="lowerRoman"/>
      <w:lvlText w:val="%3."/>
      <w:lvlJc w:val="right"/>
      <w:pPr>
        <w:tabs>
          <w:tab w:val="left" w:pos="1840"/>
        </w:tabs>
        <w:ind w:left="1840" w:hanging="420"/>
      </w:pPr>
    </w:lvl>
    <w:lvl w:ilvl="3" w:tentative="0">
      <w:start w:val="1"/>
      <w:numFmt w:val="decimal"/>
      <w:lvlText w:val="%4."/>
      <w:lvlJc w:val="left"/>
      <w:pPr>
        <w:tabs>
          <w:tab w:val="left" w:pos="2260"/>
        </w:tabs>
        <w:ind w:left="2260" w:hanging="420"/>
      </w:pPr>
    </w:lvl>
    <w:lvl w:ilvl="4" w:tentative="0">
      <w:start w:val="1"/>
      <w:numFmt w:val="lowerLetter"/>
      <w:lvlText w:val="%5)"/>
      <w:lvlJc w:val="left"/>
      <w:pPr>
        <w:tabs>
          <w:tab w:val="left" w:pos="2680"/>
        </w:tabs>
        <w:ind w:left="2680" w:hanging="420"/>
      </w:pPr>
    </w:lvl>
    <w:lvl w:ilvl="5" w:tentative="0">
      <w:start w:val="1"/>
      <w:numFmt w:val="lowerRoman"/>
      <w:lvlText w:val="%6."/>
      <w:lvlJc w:val="right"/>
      <w:pPr>
        <w:tabs>
          <w:tab w:val="left" w:pos="3100"/>
        </w:tabs>
        <w:ind w:left="3100" w:hanging="420"/>
      </w:pPr>
    </w:lvl>
    <w:lvl w:ilvl="6" w:tentative="0">
      <w:start w:val="1"/>
      <w:numFmt w:val="decimal"/>
      <w:lvlText w:val="%7."/>
      <w:lvlJc w:val="left"/>
      <w:pPr>
        <w:tabs>
          <w:tab w:val="left" w:pos="3520"/>
        </w:tabs>
        <w:ind w:left="3520" w:hanging="420"/>
      </w:pPr>
    </w:lvl>
    <w:lvl w:ilvl="7" w:tentative="0">
      <w:start w:val="1"/>
      <w:numFmt w:val="lowerLetter"/>
      <w:lvlText w:val="%8)"/>
      <w:lvlJc w:val="left"/>
      <w:pPr>
        <w:tabs>
          <w:tab w:val="left" w:pos="3940"/>
        </w:tabs>
        <w:ind w:left="3940" w:hanging="420"/>
      </w:pPr>
    </w:lvl>
    <w:lvl w:ilvl="8" w:tentative="0">
      <w:start w:val="1"/>
      <w:numFmt w:val="lowerRoman"/>
      <w:lvlText w:val="%9."/>
      <w:lvlJc w:val="right"/>
      <w:pPr>
        <w:tabs>
          <w:tab w:val="left" w:pos="4360"/>
        </w:tabs>
        <w:ind w:left="4360" w:hanging="420"/>
      </w:pPr>
    </w:lvl>
  </w:abstractNum>
  <w:abstractNum w:abstractNumId="18">
    <w:nsid w:val="728D6D7B"/>
    <w:multiLevelType w:val="multilevel"/>
    <w:tmpl w:val="728D6D7B"/>
    <w:lvl w:ilvl="0" w:tentative="0">
      <w:start w:val="1"/>
      <w:numFmt w:val="lowerLetter"/>
      <w:lvlText w:val="(%1)"/>
      <w:lvlJc w:val="left"/>
      <w:pPr>
        <w:tabs>
          <w:tab w:val="left" w:pos="1620"/>
        </w:tabs>
        <w:ind w:left="1620" w:hanging="360"/>
      </w:pPr>
      <w:rPr>
        <w:rFonts w:hint="eastAsia"/>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19">
    <w:nsid w:val="7AAB47A8"/>
    <w:multiLevelType w:val="multilevel"/>
    <w:tmpl w:val="7AAB47A8"/>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B9312FF"/>
    <w:multiLevelType w:val="multilevel"/>
    <w:tmpl w:val="7B9312FF"/>
    <w:lvl w:ilvl="0" w:tentative="0">
      <w:start w:val="1"/>
      <w:numFmt w:val="lowerLetter"/>
      <w:lvlText w:val="(%1)"/>
      <w:lvlJc w:val="left"/>
      <w:pPr>
        <w:tabs>
          <w:tab w:val="left" w:pos="1620"/>
        </w:tabs>
        <w:ind w:left="16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2"/>
  </w:num>
  <w:num w:numId="3">
    <w:abstractNumId w:val="1"/>
  </w:num>
  <w:num w:numId="4">
    <w:abstractNumId w:val="4"/>
  </w:num>
  <w:num w:numId="5">
    <w:abstractNumId w:val="11"/>
  </w:num>
  <w:num w:numId="6">
    <w:abstractNumId w:val="5"/>
  </w:num>
  <w:num w:numId="7">
    <w:abstractNumId w:val="14"/>
  </w:num>
  <w:num w:numId="8">
    <w:abstractNumId w:val="18"/>
  </w:num>
  <w:num w:numId="9">
    <w:abstractNumId w:val="7"/>
  </w:num>
  <w:num w:numId="10">
    <w:abstractNumId w:val="13"/>
  </w:num>
  <w:num w:numId="11">
    <w:abstractNumId w:val="6"/>
  </w:num>
  <w:num w:numId="12">
    <w:abstractNumId w:val="8"/>
  </w:num>
  <w:num w:numId="13">
    <w:abstractNumId w:val="20"/>
  </w:num>
  <w:num w:numId="14">
    <w:abstractNumId w:val="10"/>
  </w:num>
  <w:num w:numId="15">
    <w:abstractNumId w:val="3"/>
  </w:num>
  <w:num w:numId="16">
    <w:abstractNumId w:val="19"/>
  </w:num>
  <w:num w:numId="17">
    <w:abstractNumId w:val="15"/>
  </w:num>
  <w:num w:numId="18">
    <w:abstractNumId w:val="17"/>
  </w:num>
  <w:num w:numId="19">
    <w:abstractNumId w:val="2"/>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9"/>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970358"/>
    <w:rsid w:val="00016260"/>
    <w:rsid w:val="0002035B"/>
    <w:rsid w:val="00024BAF"/>
    <w:rsid w:val="000403F7"/>
    <w:rsid w:val="000450AF"/>
    <w:rsid w:val="0006294D"/>
    <w:rsid w:val="00062AB3"/>
    <w:rsid w:val="000630DA"/>
    <w:rsid w:val="00107BF6"/>
    <w:rsid w:val="001334F2"/>
    <w:rsid w:val="001358F3"/>
    <w:rsid w:val="00165F2A"/>
    <w:rsid w:val="00180836"/>
    <w:rsid w:val="00201D2F"/>
    <w:rsid w:val="00201D62"/>
    <w:rsid w:val="00203C2F"/>
    <w:rsid w:val="0021318F"/>
    <w:rsid w:val="00241352"/>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501A00"/>
    <w:rsid w:val="00531666"/>
    <w:rsid w:val="00542F87"/>
    <w:rsid w:val="00616E31"/>
    <w:rsid w:val="00636172"/>
    <w:rsid w:val="00646CA0"/>
    <w:rsid w:val="006540F3"/>
    <w:rsid w:val="00655E3C"/>
    <w:rsid w:val="00674C42"/>
    <w:rsid w:val="006E5A80"/>
    <w:rsid w:val="006F4DFE"/>
    <w:rsid w:val="0075349E"/>
    <w:rsid w:val="00783370"/>
    <w:rsid w:val="00793743"/>
    <w:rsid w:val="00793C81"/>
    <w:rsid w:val="00795446"/>
    <w:rsid w:val="007A2629"/>
    <w:rsid w:val="007C1005"/>
    <w:rsid w:val="007F5FAF"/>
    <w:rsid w:val="00802325"/>
    <w:rsid w:val="008154BD"/>
    <w:rsid w:val="00823978"/>
    <w:rsid w:val="00830519"/>
    <w:rsid w:val="00847BE5"/>
    <w:rsid w:val="0088066B"/>
    <w:rsid w:val="008A4030"/>
    <w:rsid w:val="008E781F"/>
    <w:rsid w:val="00912983"/>
    <w:rsid w:val="00944004"/>
    <w:rsid w:val="009749F4"/>
    <w:rsid w:val="009B3E22"/>
    <w:rsid w:val="009F3459"/>
    <w:rsid w:val="009F36F6"/>
    <w:rsid w:val="00A12F71"/>
    <w:rsid w:val="00A17880"/>
    <w:rsid w:val="00A30B75"/>
    <w:rsid w:val="00A730CA"/>
    <w:rsid w:val="00AD6D9F"/>
    <w:rsid w:val="00AF276E"/>
    <w:rsid w:val="00B0420E"/>
    <w:rsid w:val="00BE0ADF"/>
    <w:rsid w:val="00C44AFB"/>
    <w:rsid w:val="00C52E14"/>
    <w:rsid w:val="00C767D4"/>
    <w:rsid w:val="00CB0437"/>
    <w:rsid w:val="00CC232E"/>
    <w:rsid w:val="00CD1804"/>
    <w:rsid w:val="00D13592"/>
    <w:rsid w:val="00D264AC"/>
    <w:rsid w:val="00D5269F"/>
    <w:rsid w:val="00DA25C4"/>
    <w:rsid w:val="00DB2B95"/>
    <w:rsid w:val="00DB6334"/>
    <w:rsid w:val="00E319E7"/>
    <w:rsid w:val="00E372BC"/>
    <w:rsid w:val="00EF2797"/>
    <w:rsid w:val="00F127FF"/>
    <w:rsid w:val="00F64E95"/>
    <w:rsid w:val="00F74D1E"/>
    <w:rsid w:val="00F835F4"/>
    <w:rsid w:val="00F94869"/>
    <w:rsid w:val="0162067B"/>
    <w:rsid w:val="01935887"/>
    <w:rsid w:val="022250C3"/>
    <w:rsid w:val="022F3D89"/>
    <w:rsid w:val="026B5F45"/>
    <w:rsid w:val="03887300"/>
    <w:rsid w:val="03E10D00"/>
    <w:rsid w:val="04CC341D"/>
    <w:rsid w:val="05137CD7"/>
    <w:rsid w:val="053347C4"/>
    <w:rsid w:val="060B26E0"/>
    <w:rsid w:val="070A353D"/>
    <w:rsid w:val="080A3FCF"/>
    <w:rsid w:val="08172929"/>
    <w:rsid w:val="09321FD7"/>
    <w:rsid w:val="0A2E040C"/>
    <w:rsid w:val="0ADB4F19"/>
    <w:rsid w:val="0AFD3C5F"/>
    <w:rsid w:val="0B46655E"/>
    <w:rsid w:val="0B56708B"/>
    <w:rsid w:val="0BBE709D"/>
    <w:rsid w:val="0C1E2BA0"/>
    <w:rsid w:val="0C393662"/>
    <w:rsid w:val="0C4F0ACF"/>
    <w:rsid w:val="0C765CB2"/>
    <w:rsid w:val="0D5D2E9F"/>
    <w:rsid w:val="0D6010AC"/>
    <w:rsid w:val="0DD0719D"/>
    <w:rsid w:val="0E970358"/>
    <w:rsid w:val="0F393EBC"/>
    <w:rsid w:val="10053DFB"/>
    <w:rsid w:val="102B338A"/>
    <w:rsid w:val="10392EAE"/>
    <w:rsid w:val="10706EC2"/>
    <w:rsid w:val="10DC2294"/>
    <w:rsid w:val="114D620F"/>
    <w:rsid w:val="1250027A"/>
    <w:rsid w:val="12807280"/>
    <w:rsid w:val="13763D70"/>
    <w:rsid w:val="13FC1BC3"/>
    <w:rsid w:val="14044B05"/>
    <w:rsid w:val="140C5848"/>
    <w:rsid w:val="147E21EF"/>
    <w:rsid w:val="148463E6"/>
    <w:rsid w:val="14D20D9B"/>
    <w:rsid w:val="14D76F55"/>
    <w:rsid w:val="155D40D6"/>
    <w:rsid w:val="15A72BED"/>
    <w:rsid w:val="15A83FB5"/>
    <w:rsid w:val="1621170E"/>
    <w:rsid w:val="16DA695D"/>
    <w:rsid w:val="174E0EAF"/>
    <w:rsid w:val="176B1CAA"/>
    <w:rsid w:val="1868614B"/>
    <w:rsid w:val="18820ED2"/>
    <w:rsid w:val="18B91D2B"/>
    <w:rsid w:val="18C40414"/>
    <w:rsid w:val="18E11A7C"/>
    <w:rsid w:val="1957287A"/>
    <w:rsid w:val="19BD0508"/>
    <w:rsid w:val="1A6A6D44"/>
    <w:rsid w:val="1A817123"/>
    <w:rsid w:val="1B674FFA"/>
    <w:rsid w:val="1C093ECB"/>
    <w:rsid w:val="1C2A1FDB"/>
    <w:rsid w:val="1CE4433A"/>
    <w:rsid w:val="1DC530BD"/>
    <w:rsid w:val="1E58234F"/>
    <w:rsid w:val="1E650F6B"/>
    <w:rsid w:val="1E9446CA"/>
    <w:rsid w:val="1EE84AA8"/>
    <w:rsid w:val="1F16314F"/>
    <w:rsid w:val="1F1D4189"/>
    <w:rsid w:val="1F410EFA"/>
    <w:rsid w:val="20D03EB0"/>
    <w:rsid w:val="210E35D7"/>
    <w:rsid w:val="228447E5"/>
    <w:rsid w:val="22C4112D"/>
    <w:rsid w:val="23424F53"/>
    <w:rsid w:val="236E14E2"/>
    <w:rsid w:val="242D567E"/>
    <w:rsid w:val="24EA31B9"/>
    <w:rsid w:val="24F459D4"/>
    <w:rsid w:val="25B368D6"/>
    <w:rsid w:val="25C11B38"/>
    <w:rsid w:val="26524F3F"/>
    <w:rsid w:val="2683792D"/>
    <w:rsid w:val="268A132E"/>
    <w:rsid w:val="28215C9F"/>
    <w:rsid w:val="297407FB"/>
    <w:rsid w:val="29D148D0"/>
    <w:rsid w:val="2AC803DC"/>
    <w:rsid w:val="2AF71430"/>
    <w:rsid w:val="2B520C88"/>
    <w:rsid w:val="2B6F2904"/>
    <w:rsid w:val="2BF40762"/>
    <w:rsid w:val="2D0B382A"/>
    <w:rsid w:val="2D44352B"/>
    <w:rsid w:val="2DF3491C"/>
    <w:rsid w:val="2F402F53"/>
    <w:rsid w:val="30143D85"/>
    <w:rsid w:val="30B02604"/>
    <w:rsid w:val="315C75A5"/>
    <w:rsid w:val="316241D0"/>
    <w:rsid w:val="31752B09"/>
    <w:rsid w:val="325932FC"/>
    <w:rsid w:val="32601D23"/>
    <w:rsid w:val="32987205"/>
    <w:rsid w:val="3328287A"/>
    <w:rsid w:val="341548E3"/>
    <w:rsid w:val="34666CB4"/>
    <w:rsid w:val="350D6E6D"/>
    <w:rsid w:val="359B739A"/>
    <w:rsid w:val="35E41320"/>
    <w:rsid w:val="36623E0E"/>
    <w:rsid w:val="370D56AF"/>
    <w:rsid w:val="374B3E8E"/>
    <w:rsid w:val="37712A39"/>
    <w:rsid w:val="382D26F0"/>
    <w:rsid w:val="397D4A89"/>
    <w:rsid w:val="39A7650D"/>
    <w:rsid w:val="3A5B338A"/>
    <w:rsid w:val="3AB85D9B"/>
    <w:rsid w:val="3ABB280C"/>
    <w:rsid w:val="3AE50133"/>
    <w:rsid w:val="3B345EA5"/>
    <w:rsid w:val="3BB12F10"/>
    <w:rsid w:val="3C9174DA"/>
    <w:rsid w:val="3CA47045"/>
    <w:rsid w:val="3D1275D3"/>
    <w:rsid w:val="3D315952"/>
    <w:rsid w:val="3DB531EC"/>
    <w:rsid w:val="3DBB71E5"/>
    <w:rsid w:val="3F001989"/>
    <w:rsid w:val="3F172B40"/>
    <w:rsid w:val="3F4C4BDD"/>
    <w:rsid w:val="3FA31629"/>
    <w:rsid w:val="402642D9"/>
    <w:rsid w:val="40A05BF6"/>
    <w:rsid w:val="40D83598"/>
    <w:rsid w:val="40ED25F3"/>
    <w:rsid w:val="43036342"/>
    <w:rsid w:val="43D911A2"/>
    <w:rsid w:val="43F84D62"/>
    <w:rsid w:val="44103D56"/>
    <w:rsid w:val="44546027"/>
    <w:rsid w:val="44E23928"/>
    <w:rsid w:val="4563730C"/>
    <w:rsid w:val="456B496E"/>
    <w:rsid w:val="48694FA0"/>
    <w:rsid w:val="488E768B"/>
    <w:rsid w:val="49F41D5E"/>
    <w:rsid w:val="4A4D2276"/>
    <w:rsid w:val="4A9B2FA0"/>
    <w:rsid w:val="4B030C7D"/>
    <w:rsid w:val="4B1E31F7"/>
    <w:rsid w:val="4BCB3573"/>
    <w:rsid w:val="4C845D06"/>
    <w:rsid w:val="4C9F1C3D"/>
    <w:rsid w:val="4CE75373"/>
    <w:rsid w:val="4D5934CA"/>
    <w:rsid w:val="4DBA747C"/>
    <w:rsid w:val="4E6658C5"/>
    <w:rsid w:val="4F1A7EE3"/>
    <w:rsid w:val="507E46DC"/>
    <w:rsid w:val="50DC4ED4"/>
    <w:rsid w:val="51324CC9"/>
    <w:rsid w:val="52F7486D"/>
    <w:rsid w:val="53FD748E"/>
    <w:rsid w:val="5406408D"/>
    <w:rsid w:val="54B163A7"/>
    <w:rsid w:val="55341720"/>
    <w:rsid w:val="5596143B"/>
    <w:rsid w:val="55BA4166"/>
    <w:rsid w:val="55D71206"/>
    <w:rsid w:val="566D4B95"/>
    <w:rsid w:val="56FF267C"/>
    <w:rsid w:val="572656D4"/>
    <w:rsid w:val="578671EF"/>
    <w:rsid w:val="58646FFF"/>
    <w:rsid w:val="589B5F9C"/>
    <w:rsid w:val="59234CED"/>
    <w:rsid w:val="59AD06A4"/>
    <w:rsid w:val="59EC322F"/>
    <w:rsid w:val="5A4D586D"/>
    <w:rsid w:val="5A6249B0"/>
    <w:rsid w:val="5A6E42C0"/>
    <w:rsid w:val="5BCF18DF"/>
    <w:rsid w:val="5CCD434B"/>
    <w:rsid w:val="5E517917"/>
    <w:rsid w:val="5EBE6B6B"/>
    <w:rsid w:val="5EE011C8"/>
    <w:rsid w:val="5EE84C68"/>
    <w:rsid w:val="5EF7666A"/>
    <w:rsid w:val="5FA703FC"/>
    <w:rsid w:val="601B421C"/>
    <w:rsid w:val="602463B0"/>
    <w:rsid w:val="6026592A"/>
    <w:rsid w:val="60E07B05"/>
    <w:rsid w:val="60F963C5"/>
    <w:rsid w:val="61730E22"/>
    <w:rsid w:val="61776E32"/>
    <w:rsid w:val="61D30D7B"/>
    <w:rsid w:val="621D5BA4"/>
    <w:rsid w:val="63197EAF"/>
    <w:rsid w:val="635B6748"/>
    <w:rsid w:val="638D4F08"/>
    <w:rsid w:val="63947A95"/>
    <w:rsid w:val="67B05ABC"/>
    <w:rsid w:val="67B167D1"/>
    <w:rsid w:val="67DB0789"/>
    <w:rsid w:val="67E17416"/>
    <w:rsid w:val="685F1C50"/>
    <w:rsid w:val="68D77475"/>
    <w:rsid w:val="68FA536A"/>
    <w:rsid w:val="68FE0E45"/>
    <w:rsid w:val="699022E9"/>
    <w:rsid w:val="69962B0E"/>
    <w:rsid w:val="69DD24A3"/>
    <w:rsid w:val="6A714498"/>
    <w:rsid w:val="6C604D35"/>
    <w:rsid w:val="6D3D26F7"/>
    <w:rsid w:val="6E952F75"/>
    <w:rsid w:val="6F4C3C3F"/>
    <w:rsid w:val="6FE536F4"/>
    <w:rsid w:val="70AD2DAC"/>
    <w:rsid w:val="71832216"/>
    <w:rsid w:val="71AC7116"/>
    <w:rsid w:val="72171F29"/>
    <w:rsid w:val="727151E7"/>
    <w:rsid w:val="72845A4A"/>
    <w:rsid w:val="73172FE0"/>
    <w:rsid w:val="737978E3"/>
    <w:rsid w:val="73C12C8D"/>
    <w:rsid w:val="73F31474"/>
    <w:rsid w:val="74234DAF"/>
    <w:rsid w:val="7444613E"/>
    <w:rsid w:val="745919C6"/>
    <w:rsid w:val="74702A9A"/>
    <w:rsid w:val="75745308"/>
    <w:rsid w:val="761C2BBB"/>
    <w:rsid w:val="7671701C"/>
    <w:rsid w:val="776A1DE8"/>
    <w:rsid w:val="776F6868"/>
    <w:rsid w:val="77AA6501"/>
    <w:rsid w:val="7824482D"/>
    <w:rsid w:val="784D3F19"/>
    <w:rsid w:val="785D00CA"/>
    <w:rsid w:val="785F778D"/>
    <w:rsid w:val="7A67179D"/>
    <w:rsid w:val="7B261B0F"/>
    <w:rsid w:val="7C4E4960"/>
    <w:rsid w:val="7CD44EB5"/>
    <w:rsid w:val="7D5E4355"/>
    <w:rsid w:val="7D6E784A"/>
    <w:rsid w:val="7DD40C7A"/>
    <w:rsid w:val="7DDD6CEA"/>
    <w:rsid w:val="7DED0920"/>
    <w:rsid w:val="7E636E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uiPriority="39" w:name="toc 4" w:locked="1"/>
    <w:lsdException w:uiPriority="39" w:name="toc 5" w:locked="1"/>
    <w:lsdException w:qFormat="1" w:unhideWhenUsed="0" w:uiPriority="9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32"/>
    <w:qFormat/>
    <w:uiPriority w:val="99"/>
    <w:pPr>
      <w:keepNext/>
      <w:keepLines/>
      <w:spacing w:before="260" w:after="260" w:line="416" w:lineRule="auto"/>
      <w:outlineLvl w:val="2"/>
    </w:pPr>
    <w:rPr>
      <w:b/>
      <w:bCs/>
      <w:sz w:val="32"/>
      <w:szCs w:val="32"/>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3"/>
    <w:qFormat/>
    <w:locked/>
    <w:uiPriority w:val="99"/>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6">
    <w:name w:val="List Number"/>
    <w:basedOn w:val="1"/>
    <w:uiPriority w:val="99"/>
    <w:pPr>
      <w:numPr>
        <w:ilvl w:val="0"/>
        <w:numId w:val="1"/>
      </w:numPr>
    </w:pPr>
  </w:style>
  <w:style w:type="paragraph" w:styleId="7">
    <w:name w:val="Normal Indent"/>
    <w:basedOn w:val="1"/>
    <w:next w:val="8"/>
    <w:qFormat/>
    <w:uiPriority w:val="99"/>
    <w:pPr>
      <w:ind w:firstLine="420"/>
    </w:pPr>
  </w:style>
  <w:style w:type="paragraph" w:styleId="8">
    <w:name w:val="toc 2"/>
    <w:basedOn w:val="1"/>
    <w:next w:val="1"/>
    <w:semiHidden/>
    <w:qFormat/>
    <w:uiPriority w:val="99"/>
    <w:pPr>
      <w:ind w:left="420" w:leftChars="200"/>
    </w:pPr>
  </w:style>
  <w:style w:type="paragraph" w:styleId="9">
    <w:name w:val="annotation text"/>
    <w:basedOn w:val="1"/>
    <w:link w:val="34"/>
    <w:semiHidden/>
    <w:qFormat/>
    <w:uiPriority w:val="99"/>
    <w:pPr>
      <w:jc w:val="left"/>
    </w:pPr>
  </w:style>
  <w:style w:type="paragraph" w:styleId="10">
    <w:name w:val="Body Text"/>
    <w:basedOn w:val="1"/>
    <w:next w:val="11"/>
    <w:link w:val="35"/>
    <w:qFormat/>
    <w:uiPriority w:val="99"/>
    <w:pPr>
      <w:spacing w:line="360" w:lineRule="exact"/>
    </w:pPr>
    <w:rPr>
      <w:sz w:val="24"/>
      <w:szCs w:val="24"/>
    </w:rPr>
  </w:style>
  <w:style w:type="paragraph" w:styleId="11">
    <w:name w:val="Body Text First Indent"/>
    <w:basedOn w:val="10"/>
    <w:next w:val="1"/>
    <w:link w:val="36"/>
    <w:qFormat/>
    <w:locked/>
    <w:uiPriority w:val="99"/>
    <w:pPr>
      <w:ind w:firstLine="420"/>
    </w:pPr>
    <w:rPr>
      <w:sz w:val="21"/>
      <w:szCs w:val="21"/>
    </w:rPr>
  </w:style>
  <w:style w:type="paragraph" w:styleId="12">
    <w:name w:val="Body Text Indent"/>
    <w:basedOn w:val="1"/>
    <w:next w:val="1"/>
    <w:link w:val="37"/>
    <w:qFormat/>
    <w:uiPriority w:val="99"/>
    <w:pPr>
      <w:spacing w:after="120"/>
      <w:ind w:left="420" w:leftChars="200"/>
    </w:pPr>
  </w:style>
  <w:style w:type="paragraph" w:styleId="13">
    <w:name w:val="Block Text"/>
    <w:basedOn w:val="1"/>
    <w:qFormat/>
    <w:locked/>
    <w:uiPriority w:val="99"/>
    <w:pPr>
      <w:adjustRightInd w:val="0"/>
      <w:spacing w:line="300" w:lineRule="auto"/>
      <w:ind w:left="958" w:right="-120" w:rightChars="-120"/>
      <w:jc w:val="left"/>
    </w:pPr>
    <w:rPr>
      <w:rFonts w:ascii="宋体" w:hAnsi="宋体" w:cs="宋体"/>
      <w:sz w:val="28"/>
      <w:szCs w:val="28"/>
    </w:rPr>
  </w:style>
  <w:style w:type="paragraph" w:styleId="14">
    <w:name w:val="Plain Text"/>
    <w:basedOn w:val="1"/>
    <w:next w:val="15"/>
    <w:link w:val="38"/>
    <w:qFormat/>
    <w:uiPriority w:val="99"/>
    <w:rPr>
      <w:rFonts w:ascii="宋体" w:hAnsi="Courier New" w:cs="宋体"/>
    </w:rPr>
  </w:style>
  <w:style w:type="paragraph" w:styleId="15">
    <w:name w:val="Date"/>
    <w:basedOn w:val="1"/>
    <w:next w:val="1"/>
    <w:link w:val="39"/>
    <w:qFormat/>
    <w:uiPriority w:val="99"/>
    <w:pPr>
      <w:ind w:left="2500" w:leftChars="2500"/>
    </w:pPr>
    <w:rPr>
      <w:rFonts w:ascii="Calibri" w:hAnsi="Calibri" w:eastAsia="楷体_GB2312" w:cs="Calibri"/>
      <w:sz w:val="32"/>
      <w:szCs w:val="32"/>
    </w:rPr>
  </w:style>
  <w:style w:type="paragraph" w:styleId="16">
    <w:name w:val="Balloon Text"/>
    <w:basedOn w:val="1"/>
    <w:link w:val="40"/>
    <w:semiHidden/>
    <w:qFormat/>
    <w:uiPriority w:val="99"/>
    <w:rPr>
      <w:sz w:val="18"/>
      <w:szCs w:val="18"/>
    </w:rPr>
  </w:style>
  <w:style w:type="paragraph" w:styleId="17">
    <w:name w:val="footer"/>
    <w:basedOn w:val="1"/>
    <w:link w:val="41"/>
    <w:qFormat/>
    <w:uiPriority w:val="99"/>
    <w:pPr>
      <w:tabs>
        <w:tab w:val="center" w:pos="4153"/>
        <w:tab w:val="right" w:pos="8306"/>
      </w:tabs>
      <w:snapToGrid w:val="0"/>
      <w:jc w:val="left"/>
    </w:pPr>
    <w:rPr>
      <w:sz w:val="18"/>
      <w:szCs w:val="18"/>
    </w:rPr>
  </w:style>
  <w:style w:type="paragraph" w:styleId="18">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9">
    <w:name w:val="footnote text"/>
    <w:basedOn w:val="1"/>
    <w:link w:val="43"/>
    <w:semiHidden/>
    <w:qFormat/>
    <w:locked/>
    <w:uiPriority w:val="99"/>
    <w:pPr>
      <w:snapToGrid w:val="0"/>
      <w:jc w:val="left"/>
    </w:pPr>
    <w:rPr>
      <w:sz w:val="18"/>
      <w:szCs w:val="18"/>
    </w:rPr>
  </w:style>
  <w:style w:type="paragraph" w:styleId="20">
    <w:name w:val="toc 6"/>
    <w:basedOn w:val="1"/>
    <w:next w:val="1"/>
    <w:semiHidden/>
    <w:qFormat/>
    <w:locked/>
    <w:uiPriority w:val="99"/>
    <w:pPr>
      <w:ind w:left="1050"/>
      <w:jc w:val="left"/>
    </w:pPr>
    <w:rPr>
      <w:sz w:val="18"/>
      <w:szCs w:val="18"/>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9"/>
    <w:next w:val="9"/>
    <w:link w:val="44"/>
    <w:semiHidden/>
    <w:qFormat/>
    <w:uiPriority w:val="99"/>
    <w:rPr>
      <w:b/>
      <w:bCs/>
    </w:rPr>
  </w:style>
  <w:style w:type="paragraph" w:styleId="23">
    <w:name w:val="Body Text First Indent 2"/>
    <w:basedOn w:val="12"/>
    <w:link w:val="45"/>
    <w:semiHidden/>
    <w:qFormat/>
    <w:locked/>
    <w:uiPriority w:val="99"/>
    <w:pPr>
      <w:ind w:firstLine="420"/>
    </w:pPr>
  </w:style>
  <w:style w:type="table" w:styleId="25">
    <w:name w:val="Table Grid"/>
    <w:basedOn w:val="24"/>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TML Typewriter"/>
    <w:basedOn w:val="26"/>
    <w:qFormat/>
    <w:locked/>
    <w:uiPriority w:val="99"/>
    <w:rPr>
      <w:rFonts w:ascii="黑体" w:hAnsi="Courier New" w:eastAsia="黑体" w:cs="黑体"/>
      <w:sz w:val="24"/>
      <w:szCs w:val="24"/>
    </w:rPr>
  </w:style>
  <w:style w:type="character" w:styleId="28">
    <w:name w:val="annotation reference"/>
    <w:basedOn w:val="26"/>
    <w:semiHidden/>
    <w:qFormat/>
    <w:uiPriority w:val="99"/>
    <w:rPr>
      <w:sz w:val="21"/>
      <w:szCs w:val="21"/>
    </w:rPr>
  </w:style>
  <w:style w:type="character" w:styleId="29">
    <w:name w:val="footnote reference"/>
    <w:basedOn w:val="26"/>
    <w:semiHidden/>
    <w:qFormat/>
    <w:locked/>
    <w:uiPriority w:val="99"/>
    <w:rPr>
      <w:vertAlign w:val="superscript"/>
    </w:rPr>
  </w:style>
  <w:style w:type="character" w:customStyle="1" w:styleId="30">
    <w:name w:val="Heading 1 Char"/>
    <w:basedOn w:val="26"/>
    <w:link w:val="3"/>
    <w:qFormat/>
    <w:locked/>
    <w:uiPriority w:val="99"/>
    <w:rPr>
      <w:rFonts w:ascii="Times New Roman" w:hAnsi="Times New Roman" w:cs="Times New Roman"/>
      <w:b/>
      <w:bCs/>
      <w:kern w:val="44"/>
      <w:sz w:val="44"/>
      <w:szCs w:val="44"/>
    </w:rPr>
  </w:style>
  <w:style w:type="character" w:customStyle="1" w:styleId="31">
    <w:name w:val="Heading 2 Char"/>
    <w:basedOn w:val="26"/>
    <w:link w:val="4"/>
    <w:semiHidden/>
    <w:qFormat/>
    <w:locked/>
    <w:uiPriority w:val="99"/>
    <w:rPr>
      <w:rFonts w:ascii="Cambria" w:hAnsi="Cambria" w:eastAsia="宋体" w:cs="Cambria"/>
      <w:b/>
      <w:bCs/>
      <w:sz w:val="32"/>
      <w:szCs w:val="32"/>
    </w:rPr>
  </w:style>
  <w:style w:type="character" w:customStyle="1" w:styleId="32">
    <w:name w:val="Heading 3 Char"/>
    <w:basedOn w:val="26"/>
    <w:link w:val="5"/>
    <w:semiHidden/>
    <w:qFormat/>
    <w:locked/>
    <w:uiPriority w:val="99"/>
    <w:rPr>
      <w:b/>
      <w:bCs/>
      <w:sz w:val="32"/>
      <w:szCs w:val="32"/>
    </w:rPr>
  </w:style>
  <w:style w:type="character" w:customStyle="1" w:styleId="33">
    <w:name w:val="Title Char"/>
    <w:basedOn w:val="26"/>
    <w:link w:val="2"/>
    <w:qFormat/>
    <w:uiPriority w:val="10"/>
    <w:rPr>
      <w:rFonts w:asciiTheme="majorHAnsi" w:hAnsiTheme="majorHAnsi" w:cstheme="majorBidi"/>
      <w:b/>
      <w:bCs/>
      <w:sz w:val="32"/>
      <w:szCs w:val="32"/>
    </w:rPr>
  </w:style>
  <w:style w:type="character" w:customStyle="1" w:styleId="34">
    <w:name w:val="Comment Text Char"/>
    <w:basedOn w:val="26"/>
    <w:link w:val="9"/>
    <w:qFormat/>
    <w:locked/>
    <w:uiPriority w:val="99"/>
    <w:rPr>
      <w:rFonts w:ascii="Times New Roman" w:hAnsi="Times New Roman" w:eastAsia="宋体" w:cs="Times New Roman"/>
      <w:kern w:val="2"/>
      <w:sz w:val="24"/>
      <w:szCs w:val="24"/>
    </w:rPr>
  </w:style>
  <w:style w:type="character" w:customStyle="1" w:styleId="35">
    <w:name w:val="Body Text Char"/>
    <w:basedOn w:val="26"/>
    <w:link w:val="10"/>
    <w:semiHidden/>
    <w:qFormat/>
    <w:locked/>
    <w:uiPriority w:val="99"/>
    <w:rPr>
      <w:sz w:val="24"/>
      <w:szCs w:val="24"/>
    </w:rPr>
  </w:style>
  <w:style w:type="character" w:customStyle="1" w:styleId="36">
    <w:name w:val="Body Text First Indent Char"/>
    <w:basedOn w:val="35"/>
    <w:link w:val="11"/>
    <w:semiHidden/>
    <w:qFormat/>
    <w:uiPriority w:val="99"/>
    <w:rPr>
      <w:szCs w:val="21"/>
    </w:rPr>
  </w:style>
  <w:style w:type="character" w:customStyle="1" w:styleId="37">
    <w:name w:val="Body Text Indent Char"/>
    <w:basedOn w:val="26"/>
    <w:link w:val="12"/>
    <w:qFormat/>
    <w:locked/>
    <w:uiPriority w:val="99"/>
    <w:rPr>
      <w:kern w:val="2"/>
      <w:sz w:val="24"/>
      <w:szCs w:val="24"/>
    </w:rPr>
  </w:style>
  <w:style w:type="character" w:customStyle="1" w:styleId="38">
    <w:name w:val="Plain Text Char"/>
    <w:basedOn w:val="26"/>
    <w:link w:val="14"/>
    <w:semiHidden/>
    <w:qFormat/>
    <w:locked/>
    <w:uiPriority w:val="99"/>
    <w:rPr>
      <w:rFonts w:ascii="宋体" w:hAnsi="Courier New" w:cs="宋体"/>
      <w:sz w:val="21"/>
      <w:szCs w:val="21"/>
    </w:rPr>
  </w:style>
  <w:style w:type="character" w:customStyle="1" w:styleId="39">
    <w:name w:val="Date Char"/>
    <w:basedOn w:val="26"/>
    <w:link w:val="15"/>
    <w:semiHidden/>
    <w:qFormat/>
    <w:locked/>
    <w:uiPriority w:val="99"/>
    <w:rPr>
      <w:sz w:val="24"/>
      <w:szCs w:val="24"/>
    </w:rPr>
  </w:style>
  <w:style w:type="character" w:customStyle="1" w:styleId="40">
    <w:name w:val="Balloon Text Char"/>
    <w:basedOn w:val="26"/>
    <w:link w:val="16"/>
    <w:qFormat/>
    <w:locked/>
    <w:uiPriority w:val="99"/>
    <w:rPr>
      <w:rFonts w:ascii="Times New Roman" w:hAnsi="Times New Roman" w:eastAsia="宋体" w:cs="Times New Roman"/>
      <w:kern w:val="2"/>
      <w:sz w:val="18"/>
      <w:szCs w:val="18"/>
    </w:rPr>
  </w:style>
  <w:style w:type="character" w:customStyle="1" w:styleId="41">
    <w:name w:val="Footer Char"/>
    <w:basedOn w:val="26"/>
    <w:link w:val="17"/>
    <w:semiHidden/>
    <w:qFormat/>
    <w:locked/>
    <w:uiPriority w:val="99"/>
    <w:rPr>
      <w:sz w:val="18"/>
      <w:szCs w:val="18"/>
    </w:rPr>
  </w:style>
  <w:style w:type="character" w:customStyle="1" w:styleId="42">
    <w:name w:val="Header Char"/>
    <w:basedOn w:val="26"/>
    <w:link w:val="18"/>
    <w:semiHidden/>
    <w:qFormat/>
    <w:locked/>
    <w:uiPriority w:val="99"/>
    <w:rPr>
      <w:sz w:val="18"/>
      <w:szCs w:val="18"/>
    </w:rPr>
  </w:style>
  <w:style w:type="character" w:customStyle="1" w:styleId="43">
    <w:name w:val="Footnote Text Char"/>
    <w:basedOn w:val="26"/>
    <w:link w:val="19"/>
    <w:semiHidden/>
    <w:qFormat/>
    <w:uiPriority w:val="99"/>
    <w:rPr>
      <w:sz w:val="18"/>
      <w:szCs w:val="18"/>
    </w:rPr>
  </w:style>
  <w:style w:type="character" w:customStyle="1" w:styleId="44">
    <w:name w:val="Comment Subject Char"/>
    <w:basedOn w:val="34"/>
    <w:link w:val="22"/>
    <w:qFormat/>
    <w:locked/>
    <w:uiPriority w:val="99"/>
    <w:rPr>
      <w:b/>
      <w:bCs/>
    </w:rPr>
  </w:style>
  <w:style w:type="character" w:customStyle="1" w:styleId="45">
    <w:name w:val="Body Text First Indent 2 Char"/>
    <w:basedOn w:val="37"/>
    <w:link w:val="23"/>
    <w:semiHidden/>
    <w:qFormat/>
    <w:uiPriority w:val="99"/>
    <w:rPr>
      <w:szCs w:val="21"/>
    </w:rPr>
  </w:style>
  <w:style w:type="paragraph" w:customStyle="1" w:styleId="46">
    <w:name w:val="表格文字"/>
    <w:basedOn w:val="1"/>
    <w:next w:val="10"/>
    <w:qFormat/>
    <w:uiPriority w:val="99"/>
    <w:pPr>
      <w:jc w:val="left"/>
    </w:pPr>
    <w:rPr>
      <w:kern w:val="21"/>
    </w:rPr>
  </w:style>
  <w:style w:type="paragraph" w:customStyle="1" w:styleId="47">
    <w:name w:val="正文（首行缩进2字符）"/>
    <w:basedOn w:val="1"/>
    <w:qFormat/>
    <w:uiPriority w:val="99"/>
    <w:pPr>
      <w:spacing w:line="360" w:lineRule="auto"/>
      <w:ind w:firstLine="420" w:firstLineChars="200"/>
    </w:pPr>
  </w:style>
  <w:style w:type="paragraph" w:customStyle="1" w:styleId="48">
    <w:name w:val="BodyText1I2"/>
    <w:basedOn w:val="49"/>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49">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0">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51">
    <w:name w:val="List Paragraph"/>
    <w:basedOn w:val="1"/>
    <w:qFormat/>
    <w:uiPriority w:val="99"/>
    <w:pPr>
      <w:ind w:firstLine="420" w:firstLineChars="200"/>
    </w:pPr>
    <w:rPr>
      <w:rFonts w:ascii="Calibri" w:hAnsi="Calibri" w:cs="Calibri"/>
    </w:rPr>
  </w:style>
  <w:style w:type="paragraph" w:customStyle="1" w:styleId="52">
    <w:name w:val="无间隔1"/>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53">
    <w:name w:val="列出段落1"/>
    <w:basedOn w:val="1"/>
    <w:qFormat/>
    <w:uiPriority w:val="99"/>
    <w:pPr>
      <w:ind w:firstLine="420" w:firstLineChars="200"/>
    </w:pPr>
    <w:rPr>
      <w:rFonts w:ascii="Calibri" w:hAnsi="Calibri" w:cs="Calibri"/>
      <w:kern w:val="0"/>
    </w:rPr>
  </w:style>
  <w:style w:type="paragraph" w:customStyle="1" w:styleId="54">
    <w:name w:val="无间隔11"/>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5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14"/>
    <w:qFormat/>
    <w:uiPriority w:val="99"/>
    <w:rPr>
      <w:rFonts w:ascii="Times New Roman" w:hAnsi="Times New Roman" w:eastAsia="宋体" w:cs="Times New Roman"/>
      <w:kern w:val="0"/>
      <w:sz w:val="21"/>
      <w:szCs w:val="21"/>
      <w:lang w:val="en-US" w:eastAsia="zh-CN" w:bidi="ar-SA"/>
    </w:rPr>
  </w:style>
  <w:style w:type="paragraph" w:customStyle="1" w:styleId="58">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纯文本_3"/>
    <w:basedOn w:val="60"/>
    <w:qFormat/>
    <w:uiPriority w:val="99"/>
    <w:pPr>
      <w:widowControl/>
      <w:jc w:val="left"/>
    </w:pPr>
    <w:rPr>
      <w:rFonts w:ascii="宋体" w:hAnsi="Courier New" w:cs="宋体"/>
    </w:rPr>
  </w:style>
  <w:style w:type="paragraph" w:customStyle="1" w:styleId="62">
    <w:name w:val="纯文本_0_1"/>
    <w:basedOn w:val="1"/>
    <w:qFormat/>
    <w:uiPriority w:val="99"/>
    <w:pPr>
      <w:widowControl/>
      <w:jc w:val="left"/>
    </w:pPr>
    <w:rPr>
      <w:rFonts w:ascii="宋体" w:hAnsi="Courier New" w:cs="宋体"/>
    </w:rPr>
  </w:style>
  <w:style w:type="paragraph" w:customStyle="1" w:styleId="63">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8">
    <w:name w:val="页眉与页脚"/>
    <w:qFormat/>
    <w:uiPriority w:val="99"/>
    <w:pPr>
      <w:tabs>
        <w:tab w:val="right" w:pos="9020"/>
      </w:tabs>
    </w:pPr>
    <w:rPr>
      <w:rFonts w:ascii="Helvetica" w:hAnsi="Helvetica" w:eastAsia="宋体" w:cs="Helvetica"/>
      <w:color w:val="000000"/>
      <w:kern w:val="0"/>
      <w:sz w:val="24"/>
      <w:szCs w:val="24"/>
      <w:lang w:val="en-US" w:eastAsia="zh-CN" w:bidi="ar-SA"/>
    </w:rPr>
  </w:style>
  <w:style w:type="character" w:customStyle="1" w:styleId="69">
    <w:name w:val="font11"/>
    <w:qFormat/>
    <w:uiPriority w:val="99"/>
    <w:rPr>
      <w:rFonts w:ascii="Times New Roman" w:hAnsi="Times New Roman" w:cs="Times New Roman"/>
      <w:color w:val="000000"/>
      <w:sz w:val="24"/>
      <w:szCs w:val="24"/>
      <w:u w:val="none"/>
    </w:rPr>
  </w:style>
  <w:style w:type="character" w:customStyle="1" w:styleId="70">
    <w:name w:val="font01"/>
    <w:qFormat/>
    <w:uiPriority w:val="99"/>
    <w:rPr>
      <w:rFonts w:ascii="宋体" w:hAnsi="宋体" w:eastAsia="宋体" w:cs="宋体"/>
      <w:color w:val="000000"/>
      <w:sz w:val="24"/>
      <w:szCs w:val="24"/>
      <w:u w:val="none"/>
    </w:rPr>
  </w:style>
  <w:style w:type="character" w:customStyle="1" w:styleId="71">
    <w:name w:val="font31"/>
    <w:qFormat/>
    <w:uiPriority w:val="99"/>
    <w:rPr>
      <w:rFonts w:ascii="宋体" w:hAnsi="宋体" w:eastAsia="宋体" w:cs="宋体"/>
      <w:color w:val="000000"/>
      <w:sz w:val="24"/>
      <w:szCs w:val="24"/>
      <w:u w:val="none"/>
    </w:rPr>
  </w:style>
  <w:style w:type="paragraph" w:customStyle="1" w:styleId="72">
    <w:name w:val="正文 New New New New"/>
    <w:qFormat/>
    <w:uiPriority w:val="99"/>
    <w:pPr>
      <w:widowControl w:val="0"/>
      <w:jc w:val="both"/>
    </w:pPr>
    <w:rPr>
      <w:rFonts w:ascii="Times New Roman" w:hAnsi="Times New Roman" w:eastAsia="宋体" w:cs="Times New Roman"/>
      <w:kern w:val="0"/>
      <w:sz w:val="21"/>
      <w:szCs w:val="21"/>
      <w:lang w:val="en-US" w:eastAsia="zh-CN" w:bidi="ar-SA"/>
    </w:rPr>
  </w:style>
  <w:style w:type="paragraph" w:customStyle="1" w:styleId="73">
    <w:name w:val="p0"/>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81</Pages>
  <Words>6402</Word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DELL</cp:lastModifiedBy>
  <dcterms:modified xsi:type="dcterms:W3CDTF">2021-08-27T08:50:56Z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FEE432C773724D718EC3695BBE56D31B</vt:lpwstr>
  </property>
</Properties>
</file>