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r>
        <w:rPr>
          <w:rFonts w:ascii="宋体" w:hAnsi="宋体" w:cs="宋体"/>
          <w:color w:val="auto"/>
          <w:sz w:val="28"/>
          <w:szCs w:val="28"/>
          <w:highlight w:val="none"/>
        </w:rPr>
        <w:drawing>
          <wp:anchor distT="0" distB="0" distL="114300" distR="11430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6">
                      <a:lum contrast="12000"/>
                    </a:blip>
                    <a:stretch>
                      <a:fillRect/>
                    </a:stretch>
                  </pic:blipFill>
                  <pic:spPr>
                    <a:xfrm>
                      <a:off x="0" y="0"/>
                      <a:ext cx="2971800" cy="2091690"/>
                    </a:xfrm>
                    <a:prstGeom prst="rect">
                      <a:avLst/>
                    </a:prstGeom>
                    <a:noFill/>
                    <a:ln>
                      <a:noFill/>
                    </a:ln>
                  </pic:spPr>
                </pic:pic>
              </a:graphicData>
            </a:graphic>
          </wp:anchor>
        </w:drawing>
      </w:r>
    </w:p>
    <w:p>
      <w:pPr>
        <w:spacing w:line="360" w:lineRule="auto"/>
        <w:rPr>
          <w:rFonts w:ascii="宋体" w:hAnsi="宋体" w:cs="宋体"/>
          <w:color w:val="auto"/>
          <w:sz w:val="28"/>
          <w:szCs w:val="28"/>
          <w:highlight w:val="none"/>
        </w:rPr>
      </w:pPr>
    </w:p>
    <w:p>
      <w:pPr>
        <w:jc w:val="center"/>
        <w:rPr>
          <w:rFonts w:ascii="宋体"/>
          <w:color w:val="auto"/>
          <w:sz w:val="72"/>
          <w:szCs w:val="72"/>
          <w:highlight w:val="none"/>
        </w:rPr>
      </w:pPr>
      <w:r>
        <w:rPr>
          <w:rFonts w:ascii="宋体" w:hAnsi="宋体" w:cs="宋体"/>
          <w:color w:val="auto"/>
          <w:sz w:val="72"/>
          <w:szCs w:val="72"/>
          <w:highlight w:val="none"/>
        </w:rPr>
        <w:t xml:space="preserve">         F-STONE</w:t>
      </w: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spacing w:line="360" w:lineRule="auto"/>
        <w:jc w:val="center"/>
        <w:textAlignment w:val="bottom"/>
        <w:rPr>
          <w:rFonts w:ascii="宋体"/>
          <w:b/>
          <w:bCs/>
          <w:color w:val="auto"/>
          <w:kern w:val="0"/>
          <w:sz w:val="52"/>
          <w:szCs w:val="52"/>
          <w:highlight w:val="none"/>
        </w:rPr>
      </w:pPr>
      <w:r>
        <w:rPr>
          <w:rFonts w:hint="eastAsia" w:ascii="宋体" w:hAnsi="宋体" w:cs="宋体"/>
          <w:b/>
          <w:bCs/>
          <w:color w:val="auto"/>
          <w:kern w:val="0"/>
          <w:sz w:val="52"/>
          <w:szCs w:val="52"/>
          <w:highlight w:val="none"/>
        </w:rPr>
        <w:t>政府采购电子招标文件</w:t>
      </w: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spacing w:line="360" w:lineRule="auto"/>
        <w:jc w:val="center"/>
        <w:textAlignment w:val="bottom"/>
        <w:rPr>
          <w:rFonts w:hint="eastAsia" w:ascii="宋体" w:eastAsia="宋体"/>
          <w:color w:val="auto"/>
          <w:sz w:val="28"/>
          <w:szCs w:val="28"/>
          <w:highlight w:val="none"/>
          <w:lang w:eastAsia="zh-CN"/>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lang w:eastAsia="zh-CN"/>
        </w:rPr>
        <w:t>ZJWS2021-LQ201</w:t>
      </w: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autoSpaceDE w:val="0"/>
        <w:autoSpaceDN w:val="0"/>
        <w:adjustRightInd w:val="0"/>
        <w:spacing w:line="360" w:lineRule="auto"/>
        <w:ind w:firstLine="840" w:firstLineChars="300"/>
        <w:rPr>
          <w:rFonts w:hint="eastAsia" w:ascii="宋体" w:eastAsia="宋体"/>
          <w:color w:val="auto"/>
          <w:kern w:val="0"/>
          <w:sz w:val="28"/>
          <w:szCs w:val="28"/>
          <w:highlight w:val="none"/>
          <w:lang w:eastAsia="zh-CN"/>
        </w:rPr>
      </w:pPr>
      <w:r>
        <w:rPr>
          <w:rFonts w:hint="eastAsia" w:ascii="宋体" w:hAnsi="宋体" w:cs="宋体"/>
          <w:color w:val="auto"/>
          <w:kern w:val="0"/>
          <w:sz w:val="28"/>
          <w:szCs w:val="28"/>
          <w:highlight w:val="none"/>
        </w:rPr>
        <w:t>采购项目：</w:t>
      </w:r>
      <w:r>
        <w:rPr>
          <w:rFonts w:hint="eastAsia" w:ascii="宋体" w:hAnsi="宋体" w:cs="宋体"/>
          <w:color w:val="auto"/>
          <w:kern w:val="0"/>
          <w:sz w:val="28"/>
          <w:szCs w:val="28"/>
          <w:highlight w:val="none"/>
          <w:lang w:eastAsia="zh-CN"/>
        </w:rPr>
        <w:t>16排CT采购项目</w:t>
      </w:r>
    </w:p>
    <w:p>
      <w:pPr>
        <w:autoSpaceDE w:val="0"/>
        <w:autoSpaceDN w:val="0"/>
        <w:adjustRightInd w:val="0"/>
        <w:spacing w:line="360" w:lineRule="auto"/>
        <w:ind w:firstLine="840" w:firstLineChars="300"/>
        <w:rPr>
          <w:rFonts w:ascii="宋体"/>
          <w:color w:val="auto"/>
          <w:kern w:val="0"/>
          <w:sz w:val="28"/>
          <w:szCs w:val="28"/>
          <w:highlight w:val="none"/>
        </w:rPr>
      </w:pPr>
      <w:r>
        <w:rPr>
          <w:rFonts w:hint="eastAsia" w:ascii="宋体" w:hAnsi="宋体" w:cs="宋体"/>
          <w:color w:val="auto"/>
          <w:kern w:val="0"/>
          <w:sz w:val="28"/>
          <w:szCs w:val="28"/>
          <w:highlight w:val="none"/>
        </w:rPr>
        <w:t>采购单位：台州市路桥区第二人民医院医疗服务共同体</w:t>
      </w: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8"/>
          <w:szCs w:val="28"/>
          <w:highlight w:val="none"/>
        </w:rPr>
      </w:pPr>
    </w:p>
    <w:p>
      <w:pPr>
        <w:autoSpaceDE w:val="0"/>
        <w:autoSpaceDN w:val="0"/>
        <w:adjustRightInd w:val="0"/>
        <w:spacing w:line="360" w:lineRule="auto"/>
        <w:jc w:val="center"/>
        <w:rPr>
          <w:rFonts w:ascii="宋体"/>
          <w:color w:val="auto"/>
          <w:kern w:val="0"/>
          <w:sz w:val="28"/>
          <w:szCs w:val="28"/>
          <w:highlight w:val="none"/>
        </w:rPr>
      </w:pPr>
      <w:r>
        <w:rPr>
          <w:rFonts w:hint="eastAsia" w:ascii="宋体" w:hAnsi="宋体" w:cs="宋体"/>
          <w:color w:val="auto"/>
          <w:kern w:val="0"/>
          <w:sz w:val="28"/>
          <w:szCs w:val="28"/>
          <w:highlight w:val="none"/>
        </w:rPr>
        <w:t>采购代理机构：浙江五石中正工程咨询有限公司</w:t>
      </w:r>
    </w:p>
    <w:p>
      <w:pPr>
        <w:autoSpaceDE w:val="0"/>
        <w:autoSpaceDN w:val="0"/>
        <w:adjustRightInd w:val="0"/>
        <w:spacing w:line="360" w:lineRule="auto"/>
        <w:jc w:val="center"/>
        <w:rPr>
          <w:rFonts w:ascii="宋体"/>
          <w:color w:val="auto"/>
          <w:kern w:val="0"/>
          <w:sz w:val="28"/>
          <w:szCs w:val="28"/>
          <w:highlight w:val="none"/>
        </w:rPr>
      </w:pPr>
      <w:r>
        <w:rPr>
          <w:rFonts w:hint="eastAsia" w:ascii="宋体" w:hAnsi="宋体" w:cs="宋体"/>
          <w:color w:val="auto"/>
          <w:kern w:val="0"/>
          <w:sz w:val="28"/>
          <w:szCs w:val="28"/>
          <w:highlight w:val="none"/>
        </w:rPr>
        <w:t>2021年11月</w:t>
      </w:r>
    </w:p>
    <w:p>
      <w:pPr>
        <w:spacing w:line="360" w:lineRule="auto"/>
        <w:rPr>
          <w:rFonts w:ascii="宋体" w:hAnsi="宋体" w:cs="宋体"/>
          <w:color w:val="auto"/>
          <w:sz w:val="28"/>
          <w:szCs w:val="28"/>
          <w:highlight w:val="none"/>
        </w:rPr>
      </w:pPr>
    </w:p>
    <w:p>
      <w:pPr>
        <w:spacing w:line="360" w:lineRule="auto"/>
        <w:rPr>
          <w:rFonts w:ascii="宋体" w:hAnsi="宋体" w:cs="宋体"/>
          <w:color w:val="auto"/>
          <w:sz w:val="24"/>
          <w:szCs w:val="24"/>
          <w:highlight w:val="none"/>
        </w:rPr>
      </w:pPr>
    </w:p>
    <w:p>
      <w:pPr>
        <w:jc w:val="center"/>
        <w:rPr>
          <w:rFonts w:ascii="宋体"/>
          <w:b/>
          <w:bCs/>
          <w:color w:val="auto"/>
          <w:sz w:val="36"/>
          <w:szCs w:val="36"/>
          <w:highlight w:val="none"/>
        </w:rPr>
      </w:pPr>
      <w:r>
        <w:rPr>
          <w:rFonts w:hint="eastAsia" w:ascii="宋体" w:hAnsi="宋体" w:cs="宋体"/>
          <w:b/>
          <w:bCs/>
          <w:color w:val="auto"/>
          <w:sz w:val="36"/>
          <w:szCs w:val="36"/>
          <w:highlight w:val="none"/>
        </w:rPr>
        <w:t>目</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录</w:t>
      </w:r>
    </w:p>
    <w:p>
      <w:pPr>
        <w:spacing w:line="360" w:lineRule="auto"/>
        <w:rPr>
          <w:rFonts w:ascii="宋体" w:hAnsi="宋体" w:cs="宋体"/>
          <w:color w:val="auto"/>
          <w:sz w:val="24"/>
          <w:szCs w:val="24"/>
          <w:highlight w:val="none"/>
        </w:rPr>
      </w:pPr>
    </w:p>
    <w:p>
      <w:pP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第一章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公开招标采购公告</w:t>
      </w:r>
    </w:p>
    <w:p>
      <w:pP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第二章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投标人须知</w:t>
      </w:r>
    </w:p>
    <w:p>
      <w:pP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第三章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评标办法及评分标准</w:t>
      </w:r>
    </w:p>
    <w:p>
      <w:pP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第四章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公开招标需求</w:t>
      </w:r>
    </w:p>
    <w:p>
      <w:pP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第五章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政府采购合同主要条款指引</w:t>
      </w:r>
    </w:p>
    <w:p>
      <w:pPr>
        <w:spacing w:line="360" w:lineRule="auto"/>
        <w:rPr>
          <w:rFonts w:ascii="宋体"/>
          <w:b/>
          <w:bCs/>
          <w:color w:val="auto"/>
          <w:sz w:val="32"/>
          <w:szCs w:val="32"/>
          <w:highlight w:val="none"/>
        </w:rPr>
      </w:pPr>
      <w:r>
        <w:rPr>
          <w:rFonts w:hint="eastAsia" w:ascii="宋体" w:hAnsi="宋体" w:cs="宋体"/>
          <w:b/>
          <w:bCs/>
          <w:color w:val="auto"/>
          <w:sz w:val="32"/>
          <w:szCs w:val="32"/>
          <w:highlight w:val="none"/>
        </w:rPr>
        <w:t>第六章</w:t>
      </w:r>
      <w:r>
        <w:rPr>
          <w:rFonts w:ascii="宋体" w:hAnsi="宋体" w:cs="宋体"/>
          <w:b/>
          <w:bCs/>
          <w:color w:val="auto"/>
          <w:sz w:val="32"/>
          <w:szCs w:val="32"/>
          <w:highlight w:val="none"/>
        </w:rPr>
        <w:t xml:space="preserve"> </w:t>
      </w:r>
      <w:r>
        <w:rPr>
          <w:rFonts w:hint="eastAsia" w:ascii="宋体" w:hAnsi="宋体" w:cs="宋体"/>
          <w:b/>
          <w:bCs/>
          <w:color w:val="auto"/>
          <w:sz w:val="32"/>
          <w:szCs w:val="32"/>
          <w:highlight w:val="none"/>
        </w:rPr>
        <w:t>投标文件格式附件</w:t>
      </w: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pStyle w:val="7"/>
        <w:rPr>
          <w:rFonts w:ascii="宋体"/>
          <w:color w:val="auto"/>
          <w:sz w:val="24"/>
          <w:szCs w:val="24"/>
          <w:highlight w:val="none"/>
        </w:rPr>
      </w:pPr>
    </w:p>
    <w:p>
      <w:pPr>
        <w:pStyle w:val="8"/>
        <w:rPr>
          <w:color w:val="auto"/>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rPr>
          <w:rFonts w:ascii="宋体"/>
          <w:color w:val="auto"/>
          <w:sz w:val="24"/>
          <w:szCs w:val="24"/>
          <w:highlight w:val="none"/>
        </w:rPr>
      </w:pPr>
    </w:p>
    <w:p>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第一章</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公开招标采购公告</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根据《中华人民共和国政府采购法》、《中华人民共和国政府采购法实施条例》和财政部令第</w:t>
      </w:r>
      <w:r>
        <w:rPr>
          <w:rFonts w:ascii="宋体" w:hAnsi="宋体" w:cs="宋体"/>
          <w:color w:val="auto"/>
          <w:sz w:val="24"/>
          <w:szCs w:val="24"/>
          <w:highlight w:val="none"/>
        </w:rPr>
        <w:t>87</w:t>
      </w:r>
      <w:r>
        <w:rPr>
          <w:rFonts w:hint="eastAsia" w:ascii="宋体" w:hAnsi="宋体" w:cs="宋体"/>
          <w:color w:val="auto"/>
          <w:sz w:val="24"/>
          <w:szCs w:val="24"/>
          <w:highlight w:val="none"/>
        </w:rPr>
        <w:t>号《政府采购货物和服务招标投标管理办法》等有关规定</w:t>
      </w:r>
      <w:r>
        <w:rPr>
          <w:rFonts w:ascii="宋体" w:hAnsi="宋体" w:cs="宋体"/>
          <w:color w:val="auto"/>
          <w:sz w:val="24"/>
          <w:szCs w:val="24"/>
          <w:highlight w:val="none"/>
        </w:rPr>
        <w:t xml:space="preserve">, </w:t>
      </w:r>
      <w:r>
        <w:rPr>
          <w:rFonts w:hint="eastAsia" w:ascii="宋体" w:hAnsi="宋体" w:cs="宋体"/>
          <w:b/>
          <w:bCs/>
          <w:color w:val="auto"/>
          <w:sz w:val="24"/>
          <w:szCs w:val="24"/>
          <w:highlight w:val="none"/>
        </w:rPr>
        <w:t>浙江五石中正工程咨询有限公司</w:t>
      </w:r>
      <w:r>
        <w:rPr>
          <w:rFonts w:hint="eastAsia" w:ascii="宋体" w:hAnsi="宋体" w:cs="宋体"/>
          <w:color w:val="auto"/>
          <w:sz w:val="24"/>
          <w:szCs w:val="24"/>
          <w:highlight w:val="none"/>
        </w:rPr>
        <w:t>受</w:t>
      </w:r>
      <w:r>
        <w:rPr>
          <w:rFonts w:hint="eastAsia" w:ascii="宋体" w:hAnsi="宋体" w:cs="宋体"/>
          <w:b/>
          <w:bCs/>
          <w:color w:val="auto"/>
          <w:kern w:val="0"/>
          <w:sz w:val="24"/>
          <w:szCs w:val="24"/>
          <w:highlight w:val="none"/>
        </w:rPr>
        <w:t>台州市路桥区第二人民医院医疗服务共同体</w:t>
      </w:r>
      <w:r>
        <w:rPr>
          <w:rFonts w:hint="eastAsia" w:ascii="宋体" w:hAnsi="宋体" w:cs="宋体"/>
          <w:color w:val="auto"/>
          <w:sz w:val="24"/>
          <w:szCs w:val="24"/>
          <w:highlight w:val="none"/>
        </w:rPr>
        <w:t>委托，现就其</w:t>
      </w:r>
      <w:r>
        <w:rPr>
          <w:rFonts w:hint="eastAsia" w:ascii="宋体" w:hAnsi="宋体" w:cs="宋体"/>
          <w:b/>
          <w:bCs/>
          <w:color w:val="auto"/>
          <w:kern w:val="0"/>
          <w:sz w:val="24"/>
          <w:szCs w:val="24"/>
          <w:highlight w:val="none"/>
          <w:lang w:eastAsia="zh-CN"/>
        </w:rPr>
        <w:t>16排CT采购项目</w:t>
      </w:r>
      <w:r>
        <w:rPr>
          <w:rFonts w:hint="eastAsia" w:ascii="宋体" w:hAnsi="宋体" w:cs="宋体"/>
          <w:color w:val="auto"/>
          <w:sz w:val="24"/>
          <w:szCs w:val="24"/>
          <w:highlight w:val="none"/>
        </w:rPr>
        <w:t>进行公开招标采购，欢迎合格供应商前来投标。</w:t>
      </w:r>
    </w:p>
    <w:p>
      <w:pPr>
        <w:spacing w:line="360" w:lineRule="auto"/>
        <w:ind w:firstLine="482" w:firstLineChars="200"/>
        <w:rPr>
          <w:rFonts w:hint="eastAsia" w:ascii="宋体" w:eastAsia="宋体"/>
          <w:color w:val="auto"/>
          <w:sz w:val="24"/>
          <w:szCs w:val="24"/>
          <w:highlight w:val="none"/>
          <w:lang w:eastAsia="zh-CN"/>
        </w:rPr>
      </w:pPr>
      <w:r>
        <w:rPr>
          <w:rFonts w:hint="eastAsia" w:ascii="宋体" w:hAnsi="宋体" w:cs="宋体"/>
          <w:b/>
          <w:bCs/>
          <w:color w:val="auto"/>
          <w:sz w:val="24"/>
          <w:szCs w:val="24"/>
          <w:highlight w:val="none"/>
        </w:rPr>
        <w:t>一、项目编号：</w:t>
      </w:r>
      <w:r>
        <w:rPr>
          <w:rFonts w:hint="eastAsia" w:ascii="宋体" w:hAnsi="宋体" w:cs="宋体"/>
          <w:color w:val="auto"/>
          <w:sz w:val="24"/>
          <w:szCs w:val="24"/>
          <w:highlight w:val="none"/>
          <w:lang w:eastAsia="zh-CN"/>
        </w:rPr>
        <w:t>ZJWS2021-LQ201</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二、招标项目概况：</w:t>
      </w:r>
    </w:p>
    <w:tbl>
      <w:tblPr>
        <w:tblStyle w:val="26"/>
        <w:tblW w:w="8820"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399"/>
        <w:gridCol w:w="915"/>
        <w:gridCol w:w="1049"/>
        <w:gridCol w:w="2315"/>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right"/>
        </w:trPr>
        <w:tc>
          <w:tcPr>
            <w:tcW w:w="705" w:type="dxa"/>
            <w:vAlign w:val="center"/>
          </w:tcPr>
          <w:p>
            <w:pPr>
              <w:jc w:val="center"/>
              <w:rPr>
                <w:rFonts w:ascii="宋体"/>
                <w:b/>
                <w:color w:val="auto"/>
                <w:sz w:val="24"/>
                <w:highlight w:val="none"/>
              </w:rPr>
            </w:pPr>
            <w:bookmarkStart w:id="0" w:name="EBc3c9f0bc06b6413d849824fe98ba274c"/>
            <w:r>
              <w:rPr>
                <w:rFonts w:hint="eastAsia" w:ascii="宋体" w:hAnsi="宋体"/>
                <w:b/>
                <w:color w:val="auto"/>
                <w:sz w:val="24"/>
                <w:highlight w:val="none"/>
              </w:rPr>
              <w:t>标段</w:t>
            </w:r>
          </w:p>
        </w:tc>
        <w:tc>
          <w:tcPr>
            <w:tcW w:w="2399" w:type="dxa"/>
            <w:vAlign w:val="center"/>
          </w:tcPr>
          <w:p>
            <w:pPr>
              <w:jc w:val="center"/>
              <w:rPr>
                <w:rFonts w:ascii="宋体"/>
                <w:b/>
                <w:color w:val="auto"/>
                <w:sz w:val="24"/>
                <w:highlight w:val="none"/>
              </w:rPr>
            </w:pPr>
            <w:r>
              <w:rPr>
                <w:rFonts w:hint="eastAsia" w:ascii="宋体" w:hAnsi="宋体"/>
                <w:b/>
                <w:color w:val="auto"/>
                <w:sz w:val="24"/>
                <w:highlight w:val="none"/>
              </w:rPr>
              <w:t>项目名称</w:t>
            </w:r>
          </w:p>
        </w:tc>
        <w:tc>
          <w:tcPr>
            <w:tcW w:w="915" w:type="dxa"/>
            <w:vAlign w:val="center"/>
          </w:tcPr>
          <w:p>
            <w:pPr>
              <w:jc w:val="center"/>
              <w:rPr>
                <w:rFonts w:ascii="宋体"/>
                <w:b/>
                <w:color w:val="auto"/>
                <w:sz w:val="24"/>
                <w:highlight w:val="none"/>
              </w:rPr>
            </w:pPr>
            <w:r>
              <w:rPr>
                <w:rFonts w:hint="eastAsia" w:ascii="宋体" w:hAnsi="宋体"/>
                <w:b/>
                <w:color w:val="auto"/>
                <w:sz w:val="24"/>
                <w:highlight w:val="none"/>
              </w:rPr>
              <w:t>数量</w:t>
            </w:r>
          </w:p>
        </w:tc>
        <w:tc>
          <w:tcPr>
            <w:tcW w:w="1049" w:type="dxa"/>
            <w:vAlign w:val="center"/>
          </w:tcPr>
          <w:p>
            <w:pPr>
              <w:jc w:val="center"/>
              <w:rPr>
                <w:rFonts w:ascii="宋体"/>
                <w:b/>
                <w:color w:val="auto"/>
                <w:sz w:val="24"/>
                <w:highlight w:val="none"/>
              </w:rPr>
            </w:pPr>
            <w:r>
              <w:rPr>
                <w:rFonts w:hint="eastAsia" w:ascii="宋体" w:hAnsi="宋体"/>
                <w:b/>
                <w:color w:val="auto"/>
                <w:sz w:val="24"/>
                <w:highlight w:val="none"/>
              </w:rPr>
              <w:t>预算</w:t>
            </w:r>
          </w:p>
        </w:tc>
        <w:tc>
          <w:tcPr>
            <w:tcW w:w="2315" w:type="dxa"/>
            <w:vAlign w:val="center"/>
          </w:tcPr>
          <w:p>
            <w:pPr>
              <w:jc w:val="center"/>
              <w:rPr>
                <w:rFonts w:ascii="宋体"/>
                <w:b/>
                <w:color w:val="auto"/>
                <w:sz w:val="24"/>
                <w:highlight w:val="none"/>
              </w:rPr>
            </w:pPr>
            <w:r>
              <w:rPr>
                <w:rFonts w:hint="eastAsia" w:ascii="宋体" w:hAnsi="宋体"/>
                <w:b/>
                <w:bCs/>
                <w:color w:val="auto"/>
                <w:sz w:val="24"/>
                <w:highlight w:val="none"/>
              </w:rPr>
              <w:t>交货期</w:t>
            </w:r>
          </w:p>
        </w:tc>
        <w:tc>
          <w:tcPr>
            <w:tcW w:w="1437" w:type="dxa"/>
            <w:vAlign w:val="center"/>
          </w:tcPr>
          <w:p>
            <w:pPr>
              <w:jc w:val="center"/>
              <w:rPr>
                <w:rFonts w:ascii="宋体"/>
                <w:b/>
                <w:color w:val="auto"/>
                <w:sz w:val="24"/>
                <w:highlight w:val="none"/>
              </w:rPr>
            </w:pPr>
            <w:r>
              <w:rPr>
                <w:rFonts w:hint="eastAsia" w:ascii="宋体" w:hAnsi="宋体"/>
                <w:b/>
                <w:color w:val="auto"/>
                <w:sz w:val="24"/>
                <w:highlight w:val="none"/>
              </w:rPr>
              <w:t>简要技术要求、用途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right"/>
        </w:trPr>
        <w:tc>
          <w:tcPr>
            <w:tcW w:w="705" w:type="dxa"/>
            <w:vAlign w:val="center"/>
          </w:tcPr>
          <w:p>
            <w:pPr>
              <w:jc w:val="center"/>
              <w:rPr>
                <w:rFonts w:ascii="宋体"/>
                <w:color w:val="auto"/>
                <w:sz w:val="24"/>
                <w:highlight w:val="none"/>
              </w:rPr>
            </w:pPr>
            <w:r>
              <w:rPr>
                <w:rFonts w:ascii="宋体" w:hAnsi="宋体"/>
                <w:color w:val="auto"/>
                <w:sz w:val="24"/>
                <w:highlight w:val="none"/>
              </w:rPr>
              <w:t>1</w:t>
            </w:r>
          </w:p>
        </w:tc>
        <w:tc>
          <w:tcPr>
            <w:tcW w:w="2399" w:type="dxa"/>
            <w:vAlign w:val="center"/>
          </w:tcPr>
          <w:p>
            <w:pPr>
              <w:jc w:val="center"/>
              <w:rPr>
                <w:rFonts w:hint="eastAsia" w:ascii="宋体" w:eastAsia="宋体"/>
                <w:color w:val="auto"/>
                <w:sz w:val="24"/>
                <w:highlight w:val="none"/>
                <w:lang w:eastAsia="zh-CN"/>
              </w:rPr>
            </w:pPr>
            <w:r>
              <w:rPr>
                <w:rFonts w:hint="eastAsia" w:ascii="宋体"/>
                <w:color w:val="auto"/>
                <w:sz w:val="24"/>
                <w:highlight w:val="none"/>
                <w:lang w:eastAsia="zh-CN"/>
              </w:rPr>
              <w:t>16排CT采购项目</w:t>
            </w:r>
          </w:p>
        </w:tc>
        <w:tc>
          <w:tcPr>
            <w:tcW w:w="915" w:type="dxa"/>
            <w:vAlign w:val="center"/>
          </w:tcPr>
          <w:p>
            <w:pPr>
              <w:jc w:val="center"/>
              <w:rPr>
                <w:rFonts w:hint="default" w:ascii="宋体" w:eastAsia="宋体"/>
                <w:color w:val="auto"/>
                <w:sz w:val="24"/>
                <w:highlight w:val="none"/>
                <w:lang w:val="en-US" w:eastAsia="zh-CN"/>
              </w:rPr>
            </w:pPr>
            <w:r>
              <w:rPr>
                <w:rFonts w:hint="eastAsia" w:ascii="宋体"/>
                <w:color w:val="auto"/>
                <w:sz w:val="24"/>
                <w:highlight w:val="none"/>
                <w:lang w:val="en-US" w:eastAsia="zh-CN"/>
              </w:rPr>
              <w:t>2台</w:t>
            </w:r>
          </w:p>
        </w:tc>
        <w:tc>
          <w:tcPr>
            <w:tcW w:w="1049" w:type="dxa"/>
            <w:vAlign w:val="center"/>
          </w:tcPr>
          <w:p>
            <w:pPr>
              <w:jc w:val="center"/>
              <w:rPr>
                <w:rFonts w:ascii="宋体"/>
                <w:color w:val="auto"/>
                <w:sz w:val="24"/>
                <w:highlight w:val="none"/>
              </w:rPr>
            </w:pPr>
            <w:r>
              <w:rPr>
                <w:rFonts w:hint="eastAsia" w:ascii="宋体"/>
                <w:color w:val="auto"/>
                <w:sz w:val="24"/>
                <w:highlight w:val="none"/>
                <w:lang w:val="en-US" w:eastAsia="zh-CN"/>
              </w:rPr>
              <w:t>600</w:t>
            </w:r>
            <w:r>
              <w:rPr>
                <w:rFonts w:hint="eastAsia" w:ascii="宋体"/>
                <w:color w:val="auto"/>
                <w:sz w:val="24"/>
                <w:highlight w:val="none"/>
              </w:rPr>
              <w:t>万</w:t>
            </w:r>
          </w:p>
        </w:tc>
        <w:tc>
          <w:tcPr>
            <w:tcW w:w="2315" w:type="dxa"/>
            <w:vAlign w:val="center"/>
          </w:tcPr>
          <w:p>
            <w:pPr>
              <w:jc w:val="center"/>
              <w:rPr>
                <w:rFonts w:ascii="宋体"/>
                <w:color w:val="auto"/>
                <w:sz w:val="24"/>
                <w:highlight w:val="none"/>
              </w:rPr>
            </w:pPr>
            <w:r>
              <w:rPr>
                <w:rFonts w:hint="eastAsia" w:ascii="宋体"/>
                <w:color w:val="auto"/>
                <w:sz w:val="24"/>
                <w:highlight w:val="none"/>
              </w:rPr>
              <w:t>合同签订后1个月内，按院方需求送货到医院指定地点。</w:t>
            </w:r>
          </w:p>
        </w:tc>
        <w:tc>
          <w:tcPr>
            <w:tcW w:w="1437" w:type="dxa"/>
            <w:vAlign w:val="center"/>
          </w:tcPr>
          <w:p>
            <w:pPr>
              <w:jc w:val="center"/>
              <w:rPr>
                <w:rFonts w:ascii="宋体"/>
                <w:color w:val="auto"/>
                <w:sz w:val="24"/>
                <w:highlight w:val="none"/>
              </w:rPr>
            </w:pPr>
            <w:r>
              <w:rPr>
                <w:rFonts w:hint="eastAsia" w:ascii="宋体"/>
                <w:color w:val="auto"/>
                <w:sz w:val="24"/>
                <w:highlight w:val="none"/>
              </w:rPr>
              <w:t>具体详见招标需求</w:t>
            </w:r>
          </w:p>
        </w:tc>
      </w:tr>
      <w:bookmarkEnd w:id="0"/>
    </w:tbl>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本次采购产品</w:t>
      </w:r>
      <w:r>
        <w:rPr>
          <w:rFonts w:hint="eastAsia" w:ascii="宋体" w:hAnsi="宋体" w:cs="宋体"/>
          <w:color w:val="auto"/>
          <w:sz w:val="24"/>
          <w:szCs w:val="24"/>
          <w:highlight w:val="none"/>
          <w:lang w:val="en-US" w:eastAsia="zh-CN"/>
        </w:rPr>
        <w:t>不</w:t>
      </w:r>
      <w:r>
        <w:rPr>
          <w:rFonts w:hint="eastAsia" w:ascii="宋体" w:hAnsi="宋体" w:cs="宋体"/>
          <w:color w:val="auto"/>
          <w:sz w:val="24"/>
          <w:szCs w:val="24"/>
          <w:highlight w:val="none"/>
        </w:rPr>
        <w:t>允许进口产品。</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三、合格投标人的资格条件：</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（一）符合《中华人民共和国政府采购法》第二十二条规定的投标人资格条件。</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（二）本项目不接受联合体投标。</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四、招标文件获取的时间、方式：</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1、本项目招标文件实行“政府采购云平台”在线获取，不提供招标文件纸质版。供应商获取招标文件前应先完成“政府采购云平台”的账号注册。</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2、获取时间：自本公告发布之日起至响应文件递交截止时间止（以供应商完成获取采购文件申请后下载采购文件的时间为准）。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3、地点：</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（1）政采云平台（</w:t>
      </w:r>
      <w:r>
        <w:rPr>
          <w:rFonts w:hint="eastAsia"/>
          <w:color w:val="auto"/>
          <w:highlight w:val="none"/>
        </w:rPr>
        <w:fldChar w:fldCharType="begin"/>
      </w:r>
      <w:r>
        <w:rPr>
          <w:color w:val="auto"/>
          <w:highlight w:val="none"/>
        </w:rPr>
        <w:instrText xml:space="preserve"> HYPERLINK "http://zfcg.czt.zj.gov.cn/" </w:instrText>
      </w:r>
      <w:r>
        <w:rPr>
          <w:rFonts w:hint="eastAsia"/>
          <w:color w:val="auto"/>
          <w:highlight w:val="none"/>
        </w:rPr>
        <w:fldChar w:fldCharType="separate"/>
      </w:r>
      <w:r>
        <w:rPr>
          <w:rFonts w:hint="eastAsia" w:ascii="宋体" w:hAnsi="宋体" w:cs="宋体"/>
          <w:color w:val="auto"/>
          <w:sz w:val="24"/>
          <w:szCs w:val="32"/>
          <w:highlight w:val="none"/>
        </w:rPr>
        <w:t>http：//zfcg.czt.zj.gov.cn</w:t>
      </w:r>
      <w:r>
        <w:rPr>
          <w:rFonts w:hint="eastAsia" w:ascii="宋体" w:hAnsi="宋体" w:cs="宋体"/>
          <w:color w:val="auto"/>
          <w:sz w:val="24"/>
          <w:szCs w:val="32"/>
          <w:highlight w:val="none"/>
        </w:rPr>
        <w:fldChar w:fldCharType="end"/>
      </w:r>
      <w:r>
        <w:rPr>
          <w:rFonts w:hint="eastAsia" w:ascii="宋体" w:hAnsi="宋体" w:cs="宋体"/>
          <w:color w:val="auto"/>
          <w:sz w:val="24"/>
          <w:szCs w:val="32"/>
          <w:highlight w:val="none"/>
        </w:rPr>
        <w:t>）；</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（2）供应商网上报名操作指南：“浙江政府采购网-办事指南-省采中心-网上报名”（http：//zfcg.czt.zj.gov.cn/bs_other/2018-03-30/12002.html）。</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4、方式：潜在供应商登陆政采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6、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pPr>
        <w:spacing w:line="360" w:lineRule="auto"/>
        <w:ind w:firstLine="482" w:firstLineChars="200"/>
        <w:rPr>
          <w:rFonts w:ascii="宋体" w:hAnsi="宋体" w:cs="宋体"/>
          <w:b/>
          <w:bCs/>
          <w:color w:val="auto"/>
          <w:sz w:val="24"/>
          <w:szCs w:val="32"/>
          <w:highlight w:val="none"/>
        </w:rPr>
      </w:pPr>
      <w:r>
        <w:rPr>
          <w:rFonts w:hint="eastAsia" w:ascii="宋体" w:hAnsi="宋体" w:cs="宋体"/>
          <w:b/>
          <w:bCs/>
          <w:color w:val="auto"/>
          <w:sz w:val="24"/>
          <w:szCs w:val="32"/>
          <w:highlight w:val="none"/>
        </w:rPr>
        <w:t>五、投标说明：</w:t>
      </w:r>
    </w:p>
    <w:p>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1.本项目实行电子投标，投标人应按照本项目招标文件和政采云平台的要求编制、加密并递交投标文件。投标人在使用系统进行投标的过程中遇到涉及平台使用的任何问题，可致电政采云平台技术支持热线咨询，联系方式：400-881-7190。</w:t>
      </w:r>
    </w:p>
    <w:p>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2.投标人通过政采云平台电子投标工具制作投标文件，电子投标工具请供应商自行前往浙江政府采购网下载并安装（下载网址：http：//www.zjzfcg.gov.cn/bidClientTemplate/2019-05-27/12946.html）。</w:t>
      </w:r>
    </w:p>
    <w:p>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3.投标人应在开标前完成CA数字证书办理。（办理流程详见</w:t>
      </w:r>
      <w:r>
        <w:rPr>
          <w:color w:val="auto"/>
          <w:highlight w:val="none"/>
        </w:rPr>
        <w:fldChar w:fldCharType="begin"/>
      </w:r>
      <w:r>
        <w:rPr>
          <w:color w:val="auto"/>
          <w:highlight w:val="none"/>
        </w:rPr>
        <w:instrText xml:space="preserve"> HYPERLINK "http://www.zjzfcg.gov.cn/bidClientTemplate/2019-05-27/12945.html" </w:instrText>
      </w:r>
      <w:r>
        <w:rPr>
          <w:color w:val="auto"/>
          <w:highlight w:val="none"/>
        </w:rPr>
        <w:fldChar w:fldCharType="separate"/>
      </w:r>
      <w:r>
        <w:rPr>
          <w:rFonts w:hint="eastAsia" w:ascii="宋体" w:hAnsi="宋体" w:cs="宋体"/>
          <w:color w:val="auto"/>
          <w:kern w:val="0"/>
          <w:sz w:val="24"/>
          <w:highlight w:val="none"/>
          <w:u w:val="single"/>
        </w:rPr>
        <w:t>http：//www.zjzfcg.gov.cn/bidClientTemplate/2019-05-27/12945.html</w:t>
      </w:r>
      <w:r>
        <w:rPr>
          <w:rFonts w:hint="eastAsia" w:ascii="宋体" w:hAnsi="宋体" w:cs="宋体"/>
          <w:color w:val="auto"/>
          <w:kern w:val="0"/>
          <w:sz w:val="24"/>
          <w:highlight w:val="none"/>
          <w:u w:val="single"/>
        </w:rPr>
        <w:fldChar w:fldCharType="end"/>
      </w:r>
      <w:r>
        <w:rPr>
          <w:rFonts w:hint="eastAsia" w:ascii="宋体" w:hAnsi="宋体" w:cs="宋体"/>
          <w:color w:val="auto"/>
          <w:kern w:val="0"/>
          <w:sz w:val="24"/>
          <w:highlight w:val="none"/>
          <w:u w:val="single"/>
        </w:rPr>
        <w:t>，完成CA数字证书办理预计一周左右，请各投标人自行把握时间）</w:t>
      </w:r>
    </w:p>
    <w:p>
      <w:pPr>
        <w:spacing w:line="360" w:lineRule="auto"/>
        <w:ind w:firstLine="480" w:firstLineChars="200"/>
        <w:rPr>
          <w:rFonts w:ascii="宋体" w:hAnsi="宋体" w:cs="宋体"/>
          <w:color w:val="auto"/>
          <w:kern w:val="0"/>
          <w:sz w:val="24"/>
          <w:highlight w:val="none"/>
          <w:u w:val="single"/>
        </w:rPr>
      </w:pPr>
      <w:r>
        <w:rPr>
          <w:rFonts w:hint="eastAsia" w:ascii="宋体" w:hAnsi="宋体" w:cs="宋体"/>
          <w:color w:val="auto"/>
          <w:kern w:val="0"/>
          <w:sz w:val="24"/>
          <w:highlight w:val="none"/>
          <w:u w:val="single"/>
        </w:rPr>
        <w:t>4.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将被拒收。</w:t>
      </w:r>
      <w:r>
        <w:rPr>
          <w:rFonts w:hint="eastAsia" w:ascii="宋体" w:hAnsi="宋体" w:cs="宋体"/>
          <w:color w:val="auto"/>
          <w:kern w:val="0"/>
          <w:sz w:val="24"/>
          <w:highlight w:val="none"/>
          <w:u w:val="single"/>
          <w:lang w:val="en-GB"/>
        </w:rPr>
        <w:t>在开标后规定的投标有效期内，投标人不能撤销投标文件。</w:t>
      </w:r>
    </w:p>
    <w:p>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5.投标文件的组成、份数、密封、效力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本项目实行电子投标，供应商应准备电子投标文件、以介质（U盘）存储的数据电文形式、纸质备份投标文件三类：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5.1电子投标文件，按政采云平台项目采购--电子招投标操作指南及本招标文件要求编制。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w:t>
      </w:r>
      <w:bookmarkStart w:id="1" w:name="_Hlk34638143"/>
      <w:r>
        <w:rPr>
          <w:rFonts w:hint="eastAsia" w:ascii="宋体" w:hAnsi="宋体" w:cs="宋体"/>
          <w:color w:val="auto"/>
          <w:sz w:val="24"/>
          <w:highlight w:val="none"/>
        </w:rPr>
        <w:t>纸质</w:t>
      </w:r>
      <w:bookmarkEnd w:id="1"/>
      <w:r>
        <w:rPr>
          <w:rFonts w:hint="eastAsia" w:ascii="宋体" w:hAnsi="宋体" w:cs="宋体"/>
          <w:color w:val="auto"/>
          <w:sz w:val="24"/>
          <w:highlight w:val="none"/>
        </w:rPr>
        <w:t>备份投标文件以纸质文件的形式编制，按资格证明文件、商务技术文件、报价文件三部分分别编制并单独装订成册，</w:t>
      </w:r>
      <w:r>
        <w:rPr>
          <w:rFonts w:hint="eastAsia" w:ascii="宋体" w:hAnsi="宋体" w:cs="宋体"/>
          <w:b/>
          <w:bCs/>
          <w:color w:val="auto"/>
          <w:sz w:val="24"/>
          <w:highlight w:val="none"/>
        </w:rPr>
        <w:t>数量均为2份（一正一副）</w:t>
      </w:r>
      <w:r>
        <w:rPr>
          <w:rFonts w:hint="eastAsia" w:ascii="宋体" w:hAnsi="宋体" w:cs="宋体"/>
          <w:color w:val="auto"/>
          <w:sz w:val="24"/>
          <w:highlight w:val="none"/>
        </w:rPr>
        <w:t>。资格证明文件、商务技术文件、报价文件三部分须分别密封封装，</w:t>
      </w:r>
      <w:r>
        <w:rPr>
          <w:rFonts w:hint="eastAsia" w:ascii="宋体" w:hAnsi="宋体" w:cs="宋体"/>
          <w:color w:val="auto"/>
          <w:sz w:val="24"/>
          <w:highlight w:val="none"/>
          <w:u w:val="single"/>
        </w:rPr>
        <w:t>资格证明文件、商务技术文件、报价文件三部分未分别密封的投标文件将为无效。</w:t>
      </w:r>
    </w:p>
    <w:p>
      <w:pPr>
        <w:spacing w:line="360" w:lineRule="auto"/>
        <w:ind w:firstLine="480" w:firstLineChars="200"/>
        <w:rPr>
          <w:rFonts w:ascii="宋体" w:hAnsi="宋体" w:cs="宋体"/>
          <w:color w:val="auto"/>
          <w:sz w:val="24"/>
          <w:highlight w:val="none"/>
          <w:u w:val="single"/>
        </w:rPr>
      </w:pPr>
      <w:bookmarkStart w:id="2" w:name="_Hlk34639647"/>
      <w:r>
        <w:rPr>
          <w:rFonts w:hint="eastAsia" w:ascii="宋体" w:hAnsi="宋体" w:cs="宋体"/>
          <w:color w:val="auto"/>
          <w:sz w:val="24"/>
          <w:highlight w:val="none"/>
        </w:rPr>
        <w:t>5.3</w:t>
      </w:r>
      <w:r>
        <w:rPr>
          <w:rFonts w:hint="eastAsia" w:ascii="宋体" w:hAnsi="宋体" w:cs="宋体"/>
          <w:color w:val="auto"/>
          <w:sz w:val="24"/>
          <w:highlight w:val="none"/>
          <w:u w:val="single"/>
        </w:rPr>
        <w:t>投标供应商在“政府采购云平台”完成“电子加密投标文件”的上传递交后，还可以在投标截止时间前递交以介质（U盘）存储的数据电文形式和纸质形式的“备份投标文件”，“备份投标文件”应当密封包装并在包装上标注投标项目名称、投标单位名称并加盖公章。以介质（U盘）存储的数据电文形式和纸质形式的“备份投标文件”需分别密封，可采用以下两种方式其中一种送达（逾期送达或未密封将被拒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①在投标截止时间前送交到开标地点；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采用邮寄方式，邮寄公司统一采用顺丰（包裹外包装上请注明单位、项目名称、联系电话等信息，以便代理机构作接收登记工作），邮寄接收截止时间为投标截止时间前一个工作日下午16：00整（邮寄地址：浙江五石中正工程咨询有限公司（浙江省台州市椒江区东环大道576号二楼，联系人：金老师，电话：0576-88781913。））。</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5.4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bookmarkEnd w:id="2"/>
    <w:p>
      <w:pPr>
        <w:spacing w:line="360" w:lineRule="auto"/>
        <w:ind w:firstLine="480" w:firstLineChars="200"/>
        <w:rPr>
          <w:rFonts w:ascii="宋体" w:hAnsi="宋体" w:cs="宋体"/>
          <w:color w:val="auto"/>
          <w:sz w:val="24"/>
          <w:highlight w:val="none"/>
          <w:u w:val="single"/>
        </w:rPr>
      </w:pPr>
      <w:bookmarkStart w:id="3" w:name="_Hlk34638256"/>
      <w:r>
        <w:rPr>
          <w:rFonts w:hint="eastAsia" w:ascii="宋体" w:hAnsi="宋体" w:cs="宋体"/>
          <w:color w:val="auto"/>
          <w:sz w:val="24"/>
          <w:highlight w:val="none"/>
          <w:u w:val="single"/>
        </w:rPr>
        <w:t>5.5投标文件启用顺序和效力：投标文件的启用，按先后顺位分别为</w:t>
      </w:r>
      <w:bookmarkStart w:id="4" w:name="_Hlk34637932"/>
      <w:r>
        <w:rPr>
          <w:rFonts w:hint="eastAsia" w:ascii="宋体" w:hAnsi="宋体" w:cs="宋体"/>
          <w:color w:val="auto"/>
          <w:sz w:val="24"/>
          <w:highlight w:val="none"/>
          <w:u w:val="single"/>
        </w:rPr>
        <w:t>电子投标文件</w:t>
      </w:r>
      <w:bookmarkEnd w:id="4"/>
      <w:r>
        <w:rPr>
          <w:rFonts w:hint="eastAsia" w:ascii="宋体" w:hAnsi="宋体" w:cs="宋体"/>
          <w:color w:val="auto"/>
          <w:sz w:val="24"/>
          <w:highlight w:val="none"/>
          <w:u w:val="single"/>
        </w:rPr>
        <w:t>、以介质（U盘）存储的数据电文形式的备份投标文件和纸质备份投标文件。</w:t>
      </w:r>
      <w:bookmarkStart w:id="5" w:name="_Hlk34637983"/>
      <w:r>
        <w:rPr>
          <w:rFonts w:hint="eastAsia" w:ascii="宋体" w:hAnsi="宋体" w:cs="宋体"/>
          <w:color w:val="auto"/>
          <w:sz w:val="24"/>
          <w:highlight w:val="none"/>
          <w:u w:val="single"/>
        </w:rPr>
        <w:t>全部投标人的</w:t>
      </w:r>
      <w:bookmarkStart w:id="6" w:name="_Hlk34638083"/>
      <w:r>
        <w:rPr>
          <w:rFonts w:hint="eastAsia" w:ascii="宋体" w:hAnsi="宋体" w:cs="宋体"/>
          <w:color w:val="auto"/>
          <w:sz w:val="24"/>
          <w:highlight w:val="none"/>
          <w:u w:val="single"/>
        </w:rPr>
        <w:t>电子投标文件均已按时解密的，</w:t>
      </w:r>
      <w:bookmarkEnd w:id="6"/>
      <w:r>
        <w:rPr>
          <w:rFonts w:hint="eastAsia" w:ascii="宋体" w:hAnsi="宋体" w:cs="宋体"/>
          <w:color w:val="auto"/>
          <w:sz w:val="24"/>
          <w:highlight w:val="none"/>
          <w:u w:val="single"/>
        </w:rPr>
        <w:t>备份投标文件自动失效，全部投标人的电子投标文件均无法按时解密的，</w:t>
      </w:r>
      <w:bookmarkStart w:id="7" w:name="_Hlk34638161"/>
      <w:r>
        <w:rPr>
          <w:rFonts w:hint="eastAsia" w:ascii="宋体" w:hAnsi="宋体" w:cs="宋体"/>
          <w:color w:val="auto"/>
          <w:sz w:val="24"/>
          <w:highlight w:val="none"/>
          <w:u w:val="single"/>
        </w:rPr>
        <w:t>启用纸质备份投标文件进行线下开评标。</w:t>
      </w:r>
      <w:bookmarkEnd w:id="7"/>
      <w:r>
        <w:rPr>
          <w:rFonts w:hint="eastAsia" w:ascii="宋体" w:hAnsi="宋体" w:cs="宋体"/>
          <w:color w:val="auto"/>
          <w:sz w:val="24"/>
          <w:highlight w:val="none"/>
          <w:u w:val="single"/>
        </w:rPr>
        <w:t>如果某位投标人的电子</w:t>
      </w:r>
      <w:bookmarkStart w:id="8" w:name="_Hlk34638115"/>
      <w:r>
        <w:rPr>
          <w:rFonts w:hint="eastAsia" w:ascii="宋体" w:hAnsi="宋体" w:cs="宋体"/>
          <w:color w:val="auto"/>
          <w:sz w:val="24"/>
          <w:highlight w:val="none"/>
          <w:u w:val="single"/>
        </w:rPr>
        <w:t>投标文件</w:t>
      </w:r>
      <w:bookmarkEnd w:id="8"/>
      <w:r>
        <w:rPr>
          <w:rFonts w:hint="eastAsia" w:ascii="宋体" w:hAnsi="宋体" w:cs="宋体"/>
          <w:color w:val="auto"/>
          <w:sz w:val="24"/>
          <w:highlight w:val="none"/>
          <w:u w:val="single"/>
        </w:rPr>
        <w:t>无法按时解密的，其投标文件为无效标，不启用纸质备份投标文件。</w:t>
      </w:r>
      <w:bookmarkEnd w:id="3"/>
      <w:bookmarkEnd w:id="5"/>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5.6▲未传输递交电子投标文件的，投标无效。未按规定提供相应的备份投标文件，造成项目开评标活动无法进行下去的，投标无效。</w:t>
      </w:r>
    </w:p>
    <w:p>
      <w:pPr>
        <w:spacing w:line="360" w:lineRule="auto"/>
        <w:ind w:firstLine="482" w:firstLineChars="200"/>
        <w:rPr>
          <w:rFonts w:ascii="宋体"/>
          <w:color w:val="auto"/>
          <w:sz w:val="24"/>
          <w:szCs w:val="24"/>
          <w:highlight w:val="none"/>
        </w:rPr>
      </w:pPr>
      <w:r>
        <w:rPr>
          <w:rFonts w:hint="eastAsia" w:ascii="宋体" w:hAnsi="宋体" w:cs="宋体"/>
          <w:b/>
          <w:bCs/>
          <w:color w:val="auto"/>
          <w:sz w:val="24"/>
          <w:szCs w:val="24"/>
          <w:highlight w:val="none"/>
        </w:rPr>
        <w:t>六、投标截止时间及开标时间：</w:t>
      </w:r>
      <w:r>
        <w:rPr>
          <w:rFonts w:hint="eastAsia" w:ascii="宋体" w:hAnsi="宋体" w:cs="宋体"/>
          <w:color w:val="auto"/>
          <w:sz w:val="24"/>
          <w:szCs w:val="24"/>
          <w:highlight w:val="none"/>
        </w:rPr>
        <w:t>北京时间</w:t>
      </w:r>
      <w:r>
        <w:rPr>
          <w:rFonts w:hint="eastAsia" w:ascii="宋体" w:hAnsi="宋体" w:cs="宋体"/>
          <w:color w:val="auto"/>
          <w:sz w:val="24"/>
          <w:szCs w:val="24"/>
          <w:highlight w:val="none"/>
          <w:lang w:eastAsia="zh-CN"/>
        </w:rPr>
        <w:t>2021年12月10日上午09:30</w:t>
      </w:r>
      <w:r>
        <w:rPr>
          <w:rFonts w:hint="eastAsia" w:ascii="宋体" w:hAnsi="宋体" w:cs="宋体"/>
          <w:color w:val="auto"/>
          <w:sz w:val="24"/>
          <w:szCs w:val="24"/>
          <w:highlight w:val="none"/>
        </w:rPr>
        <w:t>整</w:t>
      </w:r>
    </w:p>
    <w:p>
      <w:pPr>
        <w:spacing w:line="360" w:lineRule="auto"/>
        <w:ind w:firstLine="482" w:firstLineChars="200"/>
        <w:rPr>
          <w:rFonts w:ascii="宋体"/>
          <w:color w:val="auto"/>
          <w:sz w:val="24"/>
          <w:szCs w:val="24"/>
          <w:highlight w:val="none"/>
        </w:rPr>
      </w:pPr>
      <w:r>
        <w:rPr>
          <w:rFonts w:hint="eastAsia" w:ascii="宋体" w:hAnsi="宋体" w:cs="宋体"/>
          <w:b/>
          <w:bCs/>
          <w:color w:val="auto"/>
          <w:sz w:val="24"/>
          <w:szCs w:val="24"/>
          <w:highlight w:val="none"/>
        </w:rPr>
        <w:t>七、投标及开标地址：</w:t>
      </w:r>
      <w:r>
        <w:rPr>
          <w:rFonts w:hint="eastAsia" w:ascii="宋体" w:hAnsi="宋体" w:cs="宋体"/>
          <w:color w:val="auto"/>
          <w:sz w:val="24"/>
          <w:szCs w:val="24"/>
          <w:highlight w:val="none"/>
        </w:rPr>
        <w:t>台州市路桥区财富大道999号区政府商城办公区（商城国际）五楼政府采购中心开标室（一）。</w:t>
      </w:r>
    </w:p>
    <w:p>
      <w:pPr>
        <w:spacing w:line="360" w:lineRule="auto"/>
        <w:ind w:firstLine="482" w:firstLineChars="200"/>
        <w:outlineLvl w:val="0"/>
        <w:rPr>
          <w:rFonts w:ascii="宋体"/>
          <w:b/>
          <w:bCs/>
          <w:color w:val="auto"/>
          <w:sz w:val="24"/>
          <w:szCs w:val="24"/>
          <w:highlight w:val="none"/>
        </w:rPr>
      </w:pPr>
      <w:r>
        <w:rPr>
          <w:rFonts w:hint="eastAsia" w:ascii="宋体" w:hAnsi="宋体" w:cs="宋体"/>
          <w:b/>
          <w:bCs/>
          <w:color w:val="auto"/>
          <w:sz w:val="24"/>
          <w:szCs w:val="24"/>
          <w:highlight w:val="none"/>
        </w:rPr>
        <w:t>八、相关注意事项：</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供应商如对采购文件有异议应按规定的时间提出，且应当在采购响应截止时间之前，逾期提出的，采购组织机构不予受理、答复。</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供应商认为采购文件使自己的权益受到损害的，可以自获取采购文件之日或者采购文件公告期限届满之日（公告期限届满后获取采购文件的，以公告期限届满之日为准）起</w:t>
      </w:r>
      <w:r>
        <w:rPr>
          <w:rFonts w:ascii="宋体" w:hAnsi="宋体" w:cs="宋体"/>
          <w:color w:val="auto"/>
          <w:sz w:val="24"/>
          <w:szCs w:val="24"/>
          <w:highlight w:val="none"/>
        </w:rPr>
        <w:t>7</w:t>
      </w:r>
      <w:r>
        <w:rPr>
          <w:rFonts w:hint="eastAsia" w:ascii="宋体" w:hAnsi="宋体" w:cs="宋体"/>
          <w:color w:val="auto"/>
          <w:sz w:val="24"/>
          <w:szCs w:val="24"/>
          <w:highlight w:val="none"/>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根据财库</w:t>
      </w:r>
      <w:r>
        <w:rPr>
          <w:rFonts w:ascii="宋体" w:hAnsi="宋体" w:cs="宋体"/>
          <w:color w:val="auto"/>
          <w:sz w:val="24"/>
          <w:szCs w:val="24"/>
          <w:highlight w:val="none"/>
        </w:rPr>
        <w:t>[2016]125</w:t>
      </w:r>
      <w:r>
        <w:rPr>
          <w:rFonts w:hint="eastAsia" w:ascii="宋体" w:hAnsi="宋体" w:cs="宋体"/>
          <w:color w:val="auto"/>
          <w:sz w:val="24"/>
          <w:szCs w:val="24"/>
          <w:highlight w:val="none"/>
        </w:rPr>
        <w:t>号《关于在政府采购活动中查询及使用信用记录有关问题的通知》要求，采购代理机构会对供应商信用记录进行查询并甄别。</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）信用信息查询的截止时点：开标后评标前；</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）查询渠道：“信用中国”（</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ascii="宋体" w:hAnsi="宋体" w:cs="宋体"/>
          <w:color w:val="auto"/>
          <w:sz w:val="24"/>
          <w:szCs w:val="24"/>
          <w:highlight w:val="none"/>
        </w:rPr>
        <w:t>www.creditchina.gov.cn</w:t>
      </w:r>
      <w:r>
        <w:rPr>
          <w:rFonts w:ascii="宋体" w:hAnsi="宋体" w:cs="宋体"/>
          <w:color w:val="auto"/>
          <w:sz w:val="24"/>
          <w:szCs w:val="24"/>
          <w:highlight w:val="none"/>
        </w:rPr>
        <w:fldChar w:fldCharType="end"/>
      </w:r>
      <w:r>
        <w:rPr>
          <w:rFonts w:hint="eastAsia" w:ascii="宋体" w:hAnsi="宋体" w:cs="宋体"/>
          <w:color w:val="auto"/>
          <w:sz w:val="24"/>
          <w:szCs w:val="24"/>
          <w:highlight w:val="none"/>
        </w:rPr>
        <w:t>）、“中国政府采购网”（</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ascii="宋体" w:hAnsi="宋体" w:cs="宋体"/>
          <w:color w:val="auto"/>
          <w:sz w:val="24"/>
          <w:szCs w:val="24"/>
          <w:highlight w:val="none"/>
        </w:rPr>
        <w:t>www.ccgp.gov.cn</w:t>
      </w:r>
      <w:r>
        <w:rPr>
          <w:rFonts w:ascii="宋体" w:hAnsi="宋体" w:cs="宋体"/>
          <w:color w:val="auto"/>
          <w:sz w:val="24"/>
          <w:szCs w:val="24"/>
          <w:highlight w:val="none"/>
        </w:rPr>
        <w:fldChar w:fldCharType="end"/>
      </w:r>
      <w:r>
        <w:rPr>
          <w:rFonts w:hint="eastAsia" w:ascii="宋体" w:hAnsi="宋体" w:cs="宋体"/>
          <w:color w:val="auto"/>
          <w:sz w:val="24"/>
          <w:szCs w:val="24"/>
          <w:highlight w:val="none"/>
        </w:rPr>
        <w:t>）、“浙江政府采购网（</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Fonts w:ascii="宋体" w:hAnsi="宋体" w:cs="宋体"/>
          <w:color w:val="auto"/>
          <w:sz w:val="24"/>
          <w:szCs w:val="24"/>
          <w:highlight w:val="none"/>
        </w:rPr>
        <w:t>www.zjzfcg.gov.cn</w:t>
      </w:r>
      <w:r>
        <w:rPr>
          <w:rFonts w:ascii="宋体" w:hAnsi="宋体" w:cs="宋体"/>
          <w:color w:val="auto"/>
          <w:sz w:val="24"/>
          <w:szCs w:val="24"/>
          <w:highlight w:val="none"/>
        </w:rPr>
        <w:fldChar w:fldCharType="end"/>
      </w:r>
      <w:r>
        <w:rPr>
          <w:rFonts w:hint="eastAsia" w:ascii="宋体" w:hAnsi="宋体" w:cs="宋体"/>
          <w:color w:val="auto"/>
          <w:sz w:val="24"/>
          <w:szCs w:val="24"/>
          <w:highlight w:val="none"/>
        </w:rPr>
        <w:t>）；</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）信用信息查询记录和证据留存具体方式：采购代理机构经办人将查询网页打印与其他项目相关文件一并保存；</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）信用信息的使用规则：供应商存在不良信用记录的，其投标将被作为无效投标被拒绝。</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不良信用记录指：被列入失信被执行人、重大税收违法案件当事人名单、政府采购严重违法失信行为记录名单或浙江政府采购网曝光台中尚在行政处罚期内的。</w:t>
      </w:r>
    </w:p>
    <w:p>
      <w:pP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开标时间后</w:t>
      </w:r>
      <w:r>
        <w:rPr>
          <w:rFonts w:ascii="宋体" w:hAnsi="宋体" w:cs="宋体"/>
          <w:b/>
          <w:bCs/>
          <w:color w:val="auto"/>
          <w:sz w:val="24"/>
          <w:szCs w:val="24"/>
          <w:highlight w:val="none"/>
        </w:rPr>
        <w:t>30</w:t>
      </w:r>
      <w:r>
        <w:rPr>
          <w:rFonts w:hint="eastAsia" w:ascii="宋体" w:hAnsi="宋体" w:cs="宋体"/>
          <w:b/>
          <w:bCs/>
          <w:color w:val="auto"/>
          <w:sz w:val="24"/>
          <w:szCs w:val="24"/>
          <w:highlight w:val="none"/>
        </w:rPr>
        <w:t>分钟内，供应商须登录“政采云”平台，用“项目采购</w:t>
      </w:r>
      <w:r>
        <w:rPr>
          <w:rFonts w:ascii="宋体" w:cs="宋体"/>
          <w:b/>
          <w:bCs/>
          <w:color w:val="auto"/>
          <w:sz w:val="24"/>
          <w:szCs w:val="24"/>
          <w:highlight w:val="none"/>
        </w:rPr>
        <w:t>-</w:t>
      </w:r>
      <w:r>
        <w:rPr>
          <w:rFonts w:hint="eastAsia" w:ascii="宋体" w:hAnsi="宋体" w:cs="宋体"/>
          <w:b/>
          <w:bCs/>
          <w:color w:val="auto"/>
          <w:sz w:val="24"/>
          <w:szCs w:val="24"/>
          <w:highlight w:val="none"/>
        </w:rPr>
        <w:t>开标评标”功能解密响应文件，供应商未按时解密或解密失败的，其上传的电子响应文件自动失效。电脑及</w:t>
      </w:r>
      <w:r>
        <w:rPr>
          <w:rFonts w:ascii="宋体" w:hAnsi="宋体" w:cs="宋体"/>
          <w:b/>
          <w:bCs/>
          <w:color w:val="auto"/>
          <w:sz w:val="24"/>
          <w:szCs w:val="24"/>
          <w:highlight w:val="none"/>
        </w:rPr>
        <w:t>CA</w:t>
      </w:r>
      <w:r>
        <w:rPr>
          <w:rFonts w:hint="eastAsia" w:ascii="宋体" w:hAnsi="宋体" w:cs="宋体"/>
          <w:b/>
          <w:bCs/>
          <w:color w:val="auto"/>
          <w:sz w:val="24"/>
          <w:szCs w:val="24"/>
          <w:highlight w:val="none"/>
        </w:rPr>
        <w:t>解密设备自备。</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九、联系方式：</w:t>
      </w:r>
    </w:p>
    <w:p>
      <w:pPr>
        <w:spacing w:line="360" w:lineRule="auto"/>
        <w:ind w:firstLine="482" w:firstLineChars="200"/>
        <w:rPr>
          <w:rFonts w:ascii="宋体"/>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、采购代理机构名称：</w:t>
      </w:r>
      <w:r>
        <w:rPr>
          <w:rFonts w:hint="eastAsia" w:ascii="宋体" w:hAnsi="宋体" w:cs="宋体"/>
          <w:color w:val="auto"/>
          <w:sz w:val="24"/>
          <w:szCs w:val="24"/>
          <w:highlight w:val="none"/>
        </w:rPr>
        <w:t>浙江五石中正工程咨询有限公司；</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项目负责人：徐先生；联系电话：</w:t>
      </w:r>
      <w:r>
        <w:rPr>
          <w:rFonts w:ascii="宋体" w:hAnsi="宋体" w:cs="宋体"/>
          <w:color w:val="auto"/>
          <w:sz w:val="24"/>
          <w:szCs w:val="24"/>
          <w:highlight w:val="none"/>
        </w:rPr>
        <w:t>0576-88781913</w:t>
      </w:r>
      <w:r>
        <w:rPr>
          <w:rFonts w:hint="eastAsia" w:ascii="宋体" w:hAnsi="宋体" w:cs="宋体"/>
          <w:color w:val="auto"/>
          <w:sz w:val="24"/>
          <w:szCs w:val="24"/>
          <w:highlight w:val="none"/>
        </w:rPr>
        <w:t>；</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质疑接受人：</w:t>
      </w:r>
      <w:r>
        <w:rPr>
          <w:rFonts w:hint="eastAsia" w:ascii="宋体" w:hAnsi="宋体" w:cs="宋体"/>
          <w:color w:val="auto"/>
          <w:sz w:val="24"/>
          <w:szCs w:val="24"/>
          <w:highlight w:val="none"/>
          <w:lang w:eastAsia="zh-CN"/>
        </w:rPr>
        <w:t>刘婕</w:t>
      </w:r>
      <w:r>
        <w:rPr>
          <w:rFonts w:hint="eastAsia" w:ascii="宋体" w:hAnsi="宋体" w:cs="宋体"/>
          <w:color w:val="auto"/>
          <w:sz w:val="24"/>
          <w:szCs w:val="24"/>
          <w:highlight w:val="none"/>
        </w:rPr>
        <w:t>；联系电话：</w:t>
      </w:r>
      <w:r>
        <w:rPr>
          <w:rFonts w:ascii="宋体" w:hAnsi="宋体" w:cs="宋体"/>
          <w:color w:val="auto"/>
          <w:sz w:val="24"/>
          <w:szCs w:val="24"/>
          <w:highlight w:val="none"/>
        </w:rPr>
        <w:t>0571-85340710</w:t>
      </w:r>
      <w:r>
        <w:rPr>
          <w:rFonts w:hint="eastAsia" w:ascii="宋体" w:hAnsi="宋体" w:cs="宋体"/>
          <w:color w:val="auto"/>
          <w:sz w:val="24"/>
          <w:szCs w:val="24"/>
          <w:highlight w:val="none"/>
        </w:rPr>
        <w:t>；</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报名联系人：高女士；联系电话：</w:t>
      </w:r>
      <w:r>
        <w:rPr>
          <w:rFonts w:ascii="宋体" w:hAnsi="宋体" w:cs="宋体"/>
          <w:color w:val="auto"/>
          <w:sz w:val="24"/>
          <w:szCs w:val="24"/>
          <w:highlight w:val="none"/>
        </w:rPr>
        <w:t>0571-85334203</w:t>
      </w:r>
      <w:r>
        <w:rPr>
          <w:rFonts w:hint="eastAsia" w:ascii="宋体" w:hAnsi="宋体" w:cs="宋体"/>
          <w:color w:val="auto"/>
          <w:sz w:val="24"/>
          <w:szCs w:val="24"/>
          <w:highlight w:val="none"/>
        </w:rPr>
        <w:t>；传真：</w:t>
      </w:r>
      <w:r>
        <w:rPr>
          <w:rFonts w:ascii="宋体" w:hAnsi="宋体" w:cs="宋体"/>
          <w:color w:val="auto"/>
          <w:sz w:val="24"/>
          <w:szCs w:val="24"/>
          <w:highlight w:val="none"/>
        </w:rPr>
        <w:t>0571-85342190</w:t>
      </w:r>
      <w:r>
        <w:rPr>
          <w:rFonts w:hint="eastAsia" w:ascii="宋体" w:hAnsi="宋体" w:cs="宋体"/>
          <w:color w:val="auto"/>
          <w:sz w:val="24"/>
          <w:szCs w:val="24"/>
          <w:highlight w:val="none"/>
        </w:rPr>
        <w:t>；</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地点：杭州市拱墅区白石路</w:t>
      </w:r>
      <w:r>
        <w:rPr>
          <w:rFonts w:ascii="宋体" w:hAnsi="宋体" w:cs="宋体"/>
          <w:color w:val="auto"/>
          <w:sz w:val="24"/>
          <w:szCs w:val="24"/>
          <w:highlight w:val="none"/>
        </w:rPr>
        <w:t>318</w:t>
      </w:r>
      <w:r>
        <w:rPr>
          <w:rFonts w:hint="eastAsia" w:ascii="宋体" w:hAnsi="宋体" w:cs="宋体"/>
          <w:color w:val="auto"/>
          <w:sz w:val="24"/>
          <w:szCs w:val="24"/>
          <w:highlight w:val="none"/>
        </w:rPr>
        <w:t>号中国（杭州）人力资源服务产业园北楼</w:t>
      </w:r>
      <w:r>
        <w:rPr>
          <w:rFonts w:ascii="宋体" w:hAnsi="宋体" w:cs="宋体"/>
          <w:color w:val="auto"/>
          <w:sz w:val="24"/>
          <w:szCs w:val="24"/>
          <w:highlight w:val="none"/>
        </w:rPr>
        <w:t>512</w:t>
      </w:r>
      <w:r>
        <w:rPr>
          <w:rFonts w:hint="eastAsia" w:ascii="宋体" w:hAnsi="宋体" w:cs="宋体"/>
          <w:color w:val="auto"/>
          <w:sz w:val="24"/>
          <w:szCs w:val="24"/>
          <w:highlight w:val="none"/>
        </w:rPr>
        <w:t>室；</w:t>
      </w:r>
    </w:p>
    <w:p>
      <w:pPr>
        <w:spacing w:line="360" w:lineRule="auto"/>
        <w:ind w:firstLine="482" w:firstLineChars="200"/>
        <w:rPr>
          <w:rFonts w:ascii="宋体"/>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、采购人：</w:t>
      </w:r>
      <w:r>
        <w:rPr>
          <w:rFonts w:hint="eastAsia" w:ascii="宋体" w:hAnsi="宋体" w:cs="宋体"/>
          <w:color w:val="auto"/>
          <w:kern w:val="0"/>
          <w:sz w:val="24"/>
          <w:szCs w:val="24"/>
          <w:highlight w:val="none"/>
        </w:rPr>
        <w:t>台州市路桥区第二人民医院医疗服务共同体；</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联系人：黄先生；联系电话：0576-89220117；</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质疑接收联系人：杨女士；联系电话：0576-89220100；</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地址：台州市路桥区金清镇工业路500号；</w:t>
      </w:r>
    </w:p>
    <w:p>
      <w:pPr>
        <w:spacing w:line="360" w:lineRule="auto"/>
        <w:ind w:firstLine="482" w:firstLineChars="200"/>
        <w:rPr>
          <w:rFonts w:ascii="宋体"/>
          <w:color w:val="auto"/>
          <w:sz w:val="24"/>
          <w:szCs w:val="24"/>
          <w:highlight w:val="none"/>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rPr>
        <w:t>、同级政府采购监管管理部门：</w:t>
      </w:r>
      <w:r>
        <w:rPr>
          <w:rFonts w:hint="eastAsia" w:ascii="宋体" w:hAnsi="宋体" w:cs="宋体"/>
          <w:color w:val="auto"/>
          <w:sz w:val="24"/>
          <w:szCs w:val="24"/>
          <w:highlight w:val="none"/>
        </w:rPr>
        <w:t>台州市路桥区财政局监督绩效管理与采购监管科；</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联系人：吴女士；监督投诉电话：</w:t>
      </w:r>
      <w:r>
        <w:rPr>
          <w:rFonts w:ascii="宋体" w:hAnsi="宋体" w:cs="宋体"/>
          <w:color w:val="auto"/>
          <w:sz w:val="24"/>
          <w:szCs w:val="24"/>
          <w:highlight w:val="none"/>
        </w:rPr>
        <w:t>0576-82517851</w:t>
      </w:r>
      <w:r>
        <w:rPr>
          <w:rFonts w:hint="eastAsia" w:ascii="宋体" w:hAnsi="宋体" w:cs="宋体"/>
          <w:color w:val="auto"/>
          <w:sz w:val="24"/>
          <w:szCs w:val="24"/>
          <w:highlight w:val="none"/>
        </w:rPr>
        <w:t>；</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地址：台州市路桥区西路桥大道</w:t>
      </w:r>
      <w:r>
        <w:rPr>
          <w:rFonts w:ascii="宋体" w:hAnsi="宋体" w:cs="宋体"/>
          <w:color w:val="auto"/>
          <w:sz w:val="24"/>
          <w:szCs w:val="24"/>
          <w:highlight w:val="none"/>
        </w:rPr>
        <w:t>58</w:t>
      </w:r>
      <w:r>
        <w:rPr>
          <w:rFonts w:hint="eastAsia" w:ascii="宋体" w:hAnsi="宋体" w:cs="宋体"/>
          <w:color w:val="auto"/>
          <w:sz w:val="24"/>
          <w:szCs w:val="24"/>
          <w:highlight w:val="none"/>
        </w:rPr>
        <w:t>号。</w:t>
      </w:r>
    </w:p>
    <w:p>
      <w:pP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、银行（中标项目贷款咨询）</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中标供应商可根据项目情况及自身需求向以下银行申请企业贷款，利率从优。</w:t>
      </w:r>
    </w:p>
    <w:tbl>
      <w:tblPr>
        <w:tblStyle w:val="26"/>
        <w:tblW w:w="9974" w:type="dxa"/>
        <w:jc w:val="center"/>
        <w:tblLayout w:type="fixed"/>
        <w:tblCellMar>
          <w:top w:w="0" w:type="dxa"/>
          <w:left w:w="0" w:type="dxa"/>
          <w:bottom w:w="0" w:type="dxa"/>
          <w:right w:w="0" w:type="dxa"/>
        </w:tblCellMar>
      </w:tblPr>
      <w:tblGrid>
        <w:gridCol w:w="644"/>
        <w:gridCol w:w="5352"/>
        <w:gridCol w:w="1530"/>
        <w:gridCol w:w="960"/>
        <w:gridCol w:w="1488"/>
      </w:tblGrid>
      <w:tr>
        <w:tblPrEx>
          <w:tblCellMar>
            <w:top w:w="0" w:type="dxa"/>
            <w:left w:w="0" w:type="dxa"/>
            <w:bottom w:w="0" w:type="dxa"/>
            <w:right w:w="0" w:type="dxa"/>
          </w:tblCellMar>
        </w:tblPrEx>
        <w:trPr>
          <w:trHeight w:val="93"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hint="eastAsia" w:ascii="宋体" w:hAnsi="宋体" w:cs="宋体"/>
                <w:color w:val="auto"/>
                <w:kern w:val="0"/>
                <w:sz w:val="24"/>
                <w:szCs w:val="24"/>
                <w:highlight w:val="none"/>
              </w:rPr>
              <w:t>序号</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hint="eastAsia" w:ascii="宋体" w:hAnsi="宋体" w:cs="宋体"/>
                <w:color w:val="auto"/>
                <w:kern w:val="0"/>
                <w:sz w:val="24"/>
                <w:szCs w:val="24"/>
                <w:highlight w:val="none"/>
              </w:rPr>
              <w:t>银</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行</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名</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称</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hint="eastAsia" w:ascii="宋体" w:hAnsi="宋体" w:cs="宋体"/>
                <w:color w:val="auto"/>
                <w:kern w:val="0"/>
                <w:sz w:val="24"/>
                <w:szCs w:val="24"/>
                <w:highlight w:val="none"/>
              </w:rPr>
              <w:t>政采贷年利率</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hint="eastAsia" w:ascii="宋体" w:hAnsi="宋体" w:cs="宋体"/>
                <w:color w:val="auto"/>
                <w:kern w:val="0"/>
                <w:sz w:val="24"/>
                <w:szCs w:val="24"/>
                <w:highlight w:val="none"/>
              </w:rPr>
              <w:t>联系人</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hint="eastAsia" w:ascii="宋体" w:hAnsi="宋体" w:cs="宋体"/>
                <w:color w:val="auto"/>
                <w:kern w:val="0"/>
                <w:sz w:val="24"/>
                <w:szCs w:val="24"/>
                <w:highlight w:val="none"/>
              </w:rPr>
              <w:t>联系电话</w:t>
            </w:r>
          </w:p>
        </w:tc>
      </w:tr>
      <w:tr>
        <w:tblPrEx>
          <w:tblCellMar>
            <w:top w:w="0" w:type="dxa"/>
            <w:left w:w="0" w:type="dxa"/>
            <w:bottom w:w="0" w:type="dxa"/>
            <w:right w:w="0" w:type="dxa"/>
          </w:tblCellMar>
        </w:tblPrEx>
        <w:trPr>
          <w:trHeight w:val="90"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ascii="宋体" w:hAnsi="宋体" w:cs="宋体"/>
                <w:color w:val="auto"/>
                <w:kern w:val="0"/>
                <w:sz w:val="24"/>
                <w:szCs w:val="24"/>
                <w:highlight w:val="none"/>
              </w:rPr>
              <w:t>1</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hint="eastAsia" w:ascii="宋体" w:hAnsi="宋体" w:cs="宋体"/>
                <w:color w:val="auto"/>
                <w:kern w:val="0"/>
                <w:sz w:val="24"/>
                <w:szCs w:val="24"/>
                <w:highlight w:val="none"/>
              </w:rPr>
              <w:t>中国建设银行股份有限公司台州路桥支行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ascii="宋体" w:hAnsi="宋体" w:cs="宋体"/>
                <w:color w:val="auto"/>
                <w:kern w:val="0"/>
                <w:sz w:val="24"/>
                <w:szCs w:val="24"/>
                <w:highlight w:val="none"/>
              </w:rPr>
              <w:t>5.50%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hint="eastAsia" w:ascii="宋体" w:hAnsi="宋体" w:cs="宋体"/>
                <w:color w:val="auto"/>
                <w:kern w:val="0"/>
                <w:sz w:val="24"/>
                <w:szCs w:val="24"/>
                <w:highlight w:val="none"/>
              </w:rPr>
              <w:t>徐剑鸿</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ascii="宋体" w:hAnsi="宋体" w:cs="宋体"/>
                <w:color w:val="auto"/>
                <w:kern w:val="0"/>
                <w:sz w:val="24"/>
                <w:szCs w:val="24"/>
                <w:highlight w:val="none"/>
              </w:rPr>
              <w:t>15167671223</w:t>
            </w:r>
          </w:p>
        </w:tc>
      </w:tr>
      <w:tr>
        <w:tblPrEx>
          <w:tblCellMar>
            <w:top w:w="0" w:type="dxa"/>
            <w:left w:w="0" w:type="dxa"/>
            <w:bottom w:w="0" w:type="dxa"/>
            <w:right w:w="0" w:type="dxa"/>
          </w:tblCellMar>
        </w:tblPrEx>
        <w:trPr>
          <w:trHeight w:val="90"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ascii="宋体" w:hAnsi="宋体" w:cs="宋体"/>
                <w:color w:val="auto"/>
                <w:kern w:val="0"/>
                <w:sz w:val="24"/>
                <w:szCs w:val="24"/>
                <w:highlight w:val="none"/>
              </w:rPr>
              <w:t>2</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hint="eastAsia" w:ascii="宋体" w:hAnsi="宋体" w:cs="宋体"/>
                <w:color w:val="auto"/>
                <w:kern w:val="0"/>
                <w:sz w:val="24"/>
                <w:szCs w:val="24"/>
                <w:highlight w:val="none"/>
              </w:rPr>
              <w:t>中国工商银行股份有限公司台州路桥支行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ascii="宋体" w:hAnsi="宋体" w:cs="宋体"/>
                <w:color w:val="auto"/>
                <w:kern w:val="0"/>
                <w:sz w:val="24"/>
                <w:szCs w:val="24"/>
                <w:highlight w:val="none"/>
              </w:rPr>
              <w:t>3.8%</w:t>
            </w:r>
            <w:r>
              <w:rPr>
                <w:rFonts w:hint="eastAsia" w:ascii="宋体" w:hAnsi="宋体" w:cs="宋体"/>
                <w:color w:val="auto"/>
                <w:kern w:val="0"/>
                <w:sz w:val="24"/>
                <w:szCs w:val="24"/>
                <w:highlight w:val="none"/>
              </w:rPr>
              <w:t>起</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hint="eastAsia" w:ascii="宋体" w:hAnsi="宋体" w:cs="宋体"/>
                <w:color w:val="auto"/>
                <w:kern w:val="0"/>
                <w:sz w:val="24"/>
                <w:szCs w:val="24"/>
                <w:highlight w:val="none"/>
              </w:rPr>
              <w:t>朱力杰</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ascii="宋体" w:hAnsi="宋体" w:cs="宋体"/>
                <w:color w:val="auto"/>
                <w:kern w:val="0"/>
                <w:sz w:val="24"/>
                <w:szCs w:val="24"/>
                <w:highlight w:val="none"/>
              </w:rPr>
              <w:t>18267601003</w:t>
            </w:r>
          </w:p>
        </w:tc>
      </w:tr>
      <w:tr>
        <w:tblPrEx>
          <w:tblCellMar>
            <w:top w:w="0" w:type="dxa"/>
            <w:left w:w="0" w:type="dxa"/>
            <w:bottom w:w="0" w:type="dxa"/>
            <w:right w:w="0" w:type="dxa"/>
          </w:tblCellMar>
        </w:tblPrEx>
        <w:trPr>
          <w:trHeight w:val="90"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ascii="宋体" w:hAnsi="宋体" w:cs="宋体"/>
                <w:color w:val="auto"/>
                <w:kern w:val="0"/>
                <w:sz w:val="24"/>
                <w:szCs w:val="24"/>
                <w:highlight w:val="none"/>
              </w:rPr>
              <w:t>3</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hint="eastAsia" w:ascii="宋体" w:hAnsi="宋体" w:cs="宋体"/>
                <w:color w:val="auto"/>
                <w:kern w:val="0"/>
                <w:sz w:val="24"/>
                <w:szCs w:val="24"/>
                <w:highlight w:val="none"/>
              </w:rPr>
              <w:t>中国农业银行股份有限公司台州路桥支行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ascii="宋体" w:hAnsi="宋体" w:cs="宋体"/>
                <w:color w:val="auto"/>
                <w:kern w:val="0"/>
                <w:sz w:val="24"/>
                <w:szCs w:val="24"/>
                <w:highlight w:val="none"/>
              </w:rPr>
              <w:t>4.6%-4.8%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hint="eastAsia" w:ascii="宋体" w:hAnsi="宋体" w:cs="宋体"/>
                <w:color w:val="auto"/>
                <w:kern w:val="0"/>
                <w:sz w:val="24"/>
                <w:szCs w:val="24"/>
                <w:highlight w:val="none"/>
              </w:rPr>
              <w:t>许小波</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ascii="宋体" w:hAnsi="宋体" w:cs="宋体"/>
                <w:color w:val="auto"/>
                <w:kern w:val="0"/>
                <w:sz w:val="24"/>
                <w:szCs w:val="24"/>
                <w:highlight w:val="none"/>
              </w:rPr>
              <w:t>13626657520</w:t>
            </w:r>
          </w:p>
        </w:tc>
      </w:tr>
      <w:tr>
        <w:tblPrEx>
          <w:tblCellMar>
            <w:top w:w="0" w:type="dxa"/>
            <w:left w:w="0" w:type="dxa"/>
            <w:bottom w:w="0" w:type="dxa"/>
            <w:right w:w="0" w:type="dxa"/>
          </w:tblCellMar>
        </w:tblPrEx>
        <w:trPr>
          <w:trHeight w:val="90"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ascii="宋体" w:hAnsi="宋体" w:cs="宋体"/>
                <w:color w:val="auto"/>
                <w:kern w:val="0"/>
                <w:sz w:val="24"/>
                <w:szCs w:val="24"/>
                <w:highlight w:val="none"/>
              </w:rPr>
              <w:t>4</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hint="eastAsia" w:ascii="宋体" w:hAnsi="宋体" w:cs="宋体"/>
                <w:color w:val="auto"/>
                <w:kern w:val="0"/>
                <w:sz w:val="24"/>
                <w:szCs w:val="24"/>
                <w:highlight w:val="none"/>
              </w:rPr>
              <w:t>中国银行股份有限公司台州市路桥区支行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ascii="宋体" w:hAnsi="宋体" w:cs="宋体"/>
                <w:color w:val="auto"/>
                <w:kern w:val="0"/>
                <w:sz w:val="24"/>
                <w:szCs w:val="24"/>
                <w:highlight w:val="none"/>
              </w:rPr>
              <w:t>4%</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hint="eastAsia" w:ascii="宋体" w:hAnsi="宋体" w:cs="宋体"/>
                <w:color w:val="auto"/>
                <w:kern w:val="0"/>
                <w:sz w:val="24"/>
                <w:szCs w:val="24"/>
                <w:highlight w:val="none"/>
              </w:rPr>
              <w:t>潘优优</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ascii="宋体" w:hAnsi="宋体" w:cs="宋体"/>
                <w:color w:val="auto"/>
                <w:kern w:val="0"/>
                <w:sz w:val="24"/>
                <w:szCs w:val="24"/>
                <w:highlight w:val="none"/>
              </w:rPr>
              <w:t>15168693699</w:t>
            </w:r>
          </w:p>
        </w:tc>
      </w:tr>
      <w:tr>
        <w:tblPrEx>
          <w:tblCellMar>
            <w:top w:w="0" w:type="dxa"/>
            <w:left w:w="0" w:type="dxa"/>
            <w:bottom w:w="0" w:type="dxa"/>
            <w:right w:w="0" w:type="dxa"/>
          </w:tblCellMar>
        </w:tblPrEx>
        <w:trPr>
          <w:trHeight w:val="90"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ascii="宋体" w:hAnsi="宋体" w:cs="宋体"/>
                <w:color w:val="auto"/>
                <w:kern w:val="0"/>
                <w:sz w:val="24"/>
                <w:szCs w:val="24"/>
                <w:highlight w:val="none"/>
              </w:rPr>
              <w:t>5</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hint="eastAsia" w:ascii="宋体" w:hAnsi="宋体" w:cs="宋体"/>
                <w:color w:val="auto"/>
                <w:kern w:val="0"/>
                <w:sz w:val="24"/>
                <w:szCs w:val="24"/>
                <w:highlight w:val="none"/>
              </w:rPr>
              <w:t>台州银行股份有限公司</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ascii="宋体" w:hAnsi="宋体" w:cs="宋体"/>
                <w:color w:val="auto"/>
                <w:kern w:val="0"/>
                <w:sz w:val="24"/>
                <w:szCs w:val="24"/>
                <w:highlight w:val="none"/>
              </w:rPr>
              <w:t>7.08%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hint="eastAsia" w:ascii="宋体" w:hAnsi="宋体" w:cs="宋体"/>
                <w:color w:val="auto"/>
                <w:kern w:val="0"/>
                <w:sz w:val="24"/>
                <w:szCs w:val="24"/>
                <w:highlight w:val="none"/>
              </w:rPr>
              <w:t>黄红芹</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ascii="宋体" w:hAnsi="宋体" w:cs="宋体"/>
                <w:color w:val="auto"/>
                <w:kern w:val="0"/>
                <w:sz w:val="24"/>
                <w:szCs w:val="24"/>
                <w:highlight w:val="none"/>
              </w:rPr>
              <w:t>13968689000</w:t>
            </w:r>
          </w:p>
        </w:tc>
      </w:tr>
      <w:tr>
        <w:tblPrEx>
          <w:tblCellMar>
            <w:top w:w="0" w:type="dxa"/>
            <w:left w:w="0" w:type="dxa"/>
            <w:bottom w:w="0" w:type="dxa"/>
            <w:right w:w="0" w:type="dxa"/>
          </w:tblCellMar>
        </w:tblPrEx>
        <w:trPr>
          <w:trHeight w:val="90"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ascii="宋体" w:hAnsi="宋体" w:cs="宋体"/>
                <w:color w:val="auto"/>
                <w:kern w:val="0"/>
                <w:sz w:val="24"/>
                <w:szCs w:val="24"/>
                <w:highlight w:val="none"/>
              </w:rPr>
              <w:t>6</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hint="eastAsia" w:ascii="宋体" w:hAnsi="宋体" w:cs="宋体"/>
                <w:color w:val="auto"/>
                <w:kern w:val="0"/>
                <w:sz w:val="24"/>
                <w:szCs w:val="24"/>
                <w:highlight w:val="none"/>
              </w:rPr>
              <w:t>浙江泰隆商业银行股份有限公司</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ascii="宋体" w:hAnsi="宋体" w:cs="宋体"/>
                <w:color w:val="auto"/>
                <w:kern w:val="0"/>
                <w:sz w:val="24"/>
                <w:szCs w:val="24"/>
                <w:highlight w:val="none"/>
              </w:rPr>
              <w:t>7.08%</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hint="eastAsia" w:ascii="宋体" w:hAnsi="宋体" w:cs="宋体"/>
                <w:color w:val="auto"/>
                <w:kern w:val="0"/>
                <w:sz w:val="24"/>
                <w:szCs w:val="24"/>
                <w:highlight w:val="none"/>
              </w:rPr>
              <w:t>冯观凤</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ascii="宋体" w:hAnsi="宋体" w:cs="宋体"/>
                <w:color w:val="auto"/>
                <w:kern w:val="0"/>
                <w:sz w:val="24"/>
                <w:szCs w:val="24"/>
                <w:highlight w:val="none"/>
              </w:rPr>
              <w:t>17858683988</w:t>
            </w:r>
          </w:p>
        </w:tc>
      </w:tr>
      <w:tr>
        <w:tblPrEx>
          <w:tblCellMar>
            <w:top w:w="0" w:type="dxa"/>
            <w:left w:w="0" w:type="dxa"/>
            <w:bottom w:w="0" w:type="dxa"/>
            <w:right w:w="0" w:type="dxa"/>
          </w:tblCellMar>
        </w:tblPrEx>
        <w:trPr>
          <w:trHeight w:val="90"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ascii="宋体" w:hAnsi="宋体" w:cs="宋体"/>
                <w:color w:val="auto"/>
                <w:kern w:val="0"/>
                <w:sz w:val="24"/>
                <w:szCs w:val="24"/>
                <w:highlight w:val="none"/>
              </w:rPr>
              <w:t>7</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hint="eastAsia" w:ascii="宋体" w:hAnsi="宋体" w:cs="宋体"/>
                <w:color w:val="auto"/>
                <w:kern w:val="0"/>
                <w:sz w:val="24"/>
                <w:szCs w:val="24"/>
                <w:highlight w:val="none"/>
              </w:rPr>
              <w:t>中国邮政储蓄银行股份有限公司台州市路桥区支行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ascii="宋体" w:hAnsi="宋体" w:cs="宋体"/>
                <w:color w:val="auto"/>
                <w:kern w:val="0"/>
                <w:sz w:val="24"/>
                <w:szCs w:val="24"/>
                <w:highlight w:val="none"/>
              </w:rPr>
              <w:t>4.35%</w:t>
            </w:r>
            <w:r>
              <w:rPr>
                <w:rFonts w:hint="eastAsia" w:ascii="宋体" w:hAnsi="宋体" w:cs="宋体"/>
                <w:color w:val="auto"/>
                <w:kern w:val="0"/>
                <w:sz w:val="24"/>
                <w:szCs w:val="24"/>
                <w:highlight w:val="none"/>
              </w:rPr>
              <w:t>起</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hint="eastAsia" w:ascii="宋体" w:hAnsi="宋体" w:cs="宋体"/>
                <w:color w:val="auto"/>
                <w:kern w:val="0"/>
                <w:sz w:val="24"/>
                <w:szCs w:val="24"/>
                <w:highlight w:val="none"/>
              </w:rPr>
              <w:t>沈丹华</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ascii="宋体" w:hAnsi="宋体" w:cs="宋体"/>
                <w:color w:val="auto"/>
                <w:kern w:val="0"/>
                <w:sz w:val="24"/>
                <w:szCs w:val="24"/>
                <w:highlight w:val="none"/>
              </w:rPr>
              <w:t>13306566969</w:t>
            </w:r>
          </w:p>
        </w:tc>
      </w:tr>
      <w:tr>
        <w:tblPrEx>
          <w:tblCellMar>
            <w:top w:w="0" w:type="dxa"/>
            <w:left w:w="0" w:type="dxa"/>
            <w:bottom w:w="0" w:type="dxa"/>
            <w:right w:w="0" w:type="dxa"/>
          </w:tblCellMar>
        </w:tblPrEx>
        <w:trPr>
          <w:trHeight w:val="90"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ascii="宋体" w:hAnsi="宋体" w:cs="宋体"/>
                <w:color w:val="auto"/>
                <w:kern w:val="0"/>
                <w:sz w:val="24"/>
                <w:szCs w:val="24"/>
                <w:highlight w:val="none"/>
              </w:rPr>
              <w:t>8</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hint="eastAsia" w:ascii="宋体" w:hAnsi="宋体" w:cs="宋体"/>
                <w:color w:val="auto"/>
                <w:kern w:val="0"/>
                <w:sz w:val="24"/>
                <w:szCs w:val="24"/>
                <w:highlight w:val="none"/>
              </w:rPr>
              <w:t>交通银行股份有限公司台州路桥支行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ascii="宋体" w:hAnsi="宋体" w:cs="宋体"/>
                <w:color w:val="auto"/>
                <w:kern w:val="0"/>
                <w:sz w:val="24"/>
                <w:szCs w:val="24"/>
                <w:highlight w:val="none"/>
              </w:rPr>
              <w:t>4.05%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hint="eastAsia" w:ascii="宋体" w:hAnsi="宋体" w:cs="宋体"/>
                <w:color w:val="auto"/>
                <w:kern w:val="0"/>
                <w:sz w:val="24"/>
                <w:szCs w:val="24"/>
                <w:highlight w:val="none"/>
              </w:rPr>
              <w:t>张颖聪</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ascii="宋体" w:hAnsi="宋体" w:cs="宋体"/>
                <w:color w:val="auto"/>
                <w:kern w:val="0"/>
                <w:sz w:val="24"/>
                <w:szCs w:val="24"/>
                <w:highlight w:val="none"/>
              </w:rPr>
              <w:t>15726976805</w:t>
            </w:r>
          </w:p>
        </w:tc>
      </w:tr>
      <w:tr>
        <w:tblPrEx>
          <w:tblCellMar>
            <w:top w:w="0" w:type="dxa"/>
            <w:left w:w="0" w:type="dxa"/>
            <w:bottom w:w="0" w:type="dxa"/>
            <w:right w:w="0" w:type="dxa"/>
          </w:tblCellMar>
        </w:tblPrEx>
        <w:trPr>
          <w:trHeight w:val="90"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ascii="宋体" w:hAnsi="宋体" w:cs="宋体"/>
                <w:color w:val="auto"/>
                <w:kern w:val="0"/>
                <w:sz w:val="24"/>
                <w:szCs w:val="24"/>
                <w:highlight w:val="none"/>
              </w:rPr>
              <w:t>9</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hint="eastAsia" w:ascii="宋体" w:hAnsi="宋体" w:cs="宋体"/>
                <w:color w:val="auto"/>
                <w:kern w:val="0"/>
                <w:sz w:val="24"/>
                <w:szCs w:val="24"/>
                <w:highlight w:val="none"/>
              </w:rPr>
              <w:t>兴业银行股份有限公司台州路桥支行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ascii="宋体" w:hAnsi="宋体" w:cs="宋体"/>
                <w:color w:val="auto"/>
                <w:kern w:val="0"/>
                <w:sz w:val="24"/>
                <w:szCs w:val="24"/>
                <w:highlight w:val="none"/>
              </w:rPr>
              <w:t>5%-6%</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hint="eastAsia" w:ascii="宋体" w:hAnsi="宋体" w:cs="宋体"/>
                <w:color w:val="auto"/>
                <w:kern w:val="0"/>
                <w:sz w:val="24"/>
                <w:szCs w:val="24"/>
                <w:highlight w:val="none"/>
              </w:rPr>
              <w:t>陆罗亚</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ascii="宋体" w:hAnsi="宋体" w:cs="宋体"/>
                <w:color w:val="auto"/>
                <w:kern w:val="0"/>
                <w:sz w:val="24"/>
                <w:szCs w:val="24"/>
                <w:highlight w:val="none"/>
              </w:rPr>
              <w:t>15858609932</w:t>
            </w:r>
          </w:p>
        </w:tc>
      </w:tr>
      <w:tr>
        <w:tblPrEx>
          <w:tblCellMar>
            <w:top w:w="0" w:type="dxa"/>
            <w:left w:w="0" w:type="dxa"/>
            <w:bottom w:w="0" w:type="dxa"/>
            <w:right w:w="0" w:type="dxa"/>
          </w:tblCellMar>
        </w:tblPrEx>
        <w:trPr>
          <w:trHeight w:val="90"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ascii="宋体" w:hAnsi="宋体" w:cs="宋体"/>
                <w:color w:val="auto"/>
                <w:kern w:val="0"/>
                <w:sz w:val="24"/>
                <w:szCs w:val="24"/>
                <w:highlight w:val="none"/>
              </w:rPr>
              <w:t>10</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hint="eastAsia" w:ascii="宋体" w:hAnsi="宋体" w:cs="宋体"/>
                <w:color w:val="auto"/>
                <w:kern w:val="0"/>
                <w:sz w:val="24"/>
                <w:szCs w:val="24"/>
                <w:highlight w:val="none"/>
              </w:rPr>
              <w:t>中信银行股份有限公司台州路桥支行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ascii="宋体" w:hAnsi="宋体" w:cs="宋体"/>
                <w:color w:val="auto"/>
                <w:kern w:val="0"/>
                <w:sz w:val="24"/>
                <w:szCs w:val="24"/>
                <w:highlight w:val="none"/>
              </w:rPr>
              <w:t>4.15%</w:t>
            </w:r>
            <w:r>
              <w:rPr>
                <w:rFonts w:hint="eastAsia" w:ascii="宋体" w:hAnsi="宋体" w:cs="宋体"/>
                <w:color w:val="auto"/>
                <w:kern w:val="0"/>
                <w:sz w:val="24"/>
                <w:szCs w:val="24"/>
                <w:highlight w:val="none"/>
              </w:rPr>
              <w:t>起</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hint="eastAsia" w:ascii="宋体" w:hAnsi="宋体" w:cs="宋体"/>
                <w:color w:val="auto"/>
                <w:kern w:val="0"/>
                <w:sz w:val="24"/>
                <w:szCs w:val="24"/>
                <w:highlight w:val="none"/>
              </w:rPr>
              <w:t>陈奕汝</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ascii="宋体" w:hAnsi="宋体" w:cs="宋体"/>
                <w:color w:val="auto"/>
                <w:kern w:val="0"/>
                <w:sz w:val="24"/>
                <w:szCs w:val="24"/>
                <w:highlight w:val="none"/>
              </w:rPr>
              <w:t>13732310221</w:t>
            </w:r>
          </w:p>
        </w:tc>
      </w:tr>
      <w:tr>
        <w:tblPrEx>
          <w:tblCellMar>
            <w:top w:w="0" w:type="dxa"/>
            <w:left w:w="0" w:type="dxa"/>
            <w:bottom w:w="0" w:type="dxa"/>
            <w:right w:w="0" w:type="dxa"/>
          </w:tblCellMar>
        </w:tblPrEx>
        <w:trPr>
          <w:trHeight w:val="90"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ascii="宋体" w:hAnsi="宋体" w:cs="宋体"/>
                <w:color w:val="auto"/>
                <w:kern w:val="0"/>
                <w:sz w:val="24"/>
                <w:szCs w:val="24"/>
                <w:highlight w:val="none"/>
              </w:rPr>
              <w:t>11</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hint="eastAsia" w:ascii="宋体" w:hAnsi="宋体" w:cs="宋体"/>
                <w:color w:val="auto"/>
                <w:kern w:val="0"/>
                <w:sz w:val="24"/>
                <w:szCs w:val="24"/>
                <w:highlight w:val="none"/>
              </w:rPr>
              <w:t>浙商银行股份有限公司台州路桥小微企业专营支行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ascii="宋体" w:hAnsi="宋体" w:cs="宋体"/>
                <w:color w:val="auto"/>
                <w:kern w:val="0"/>
                <w:sz w:val="24"/>
                <w:szCs w:val="24"/>
                <w:highlight w:val="none"/>
              </w:rPr>
              <w:t>6.75%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hint="eastAsia" w:ascii="宋体" w:hAnsi="宋体" w:cs="宋体"/>
                <w:color w:val="auto"/>
                <w:kern w:val="0"/>
                <w:sz w:val="24"/>
                <w:szCs w:val="24"/>
                <w:highlight w:val="none"/>
              </w:rPr>
              <w:t>庄道勇</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ascii="宋体" w:hAnsi="宋体" w:cs="宋体"/>
                <w:color w:val="auto"/>
                <w:kern w:val="0"/>
                <w:sz w:val="24"/>
                <w:szCs w:val="24"/>
                <w:highlight w:val="none"/>
              </w:rPr>
              <w:t>13867611023</w:t>
            </w:r>
          </w:p>
        </w:tc>
      </w:tr>
      <w:tr>
        <w:tblPrEx>
          <w:tblCellMar>
            <w:top w:w="0" w:type="dxa"/>
            <w:left w:w="0" w:type="dxa"/>
            <w:bottom w:w="0" w:type="dxa"/>
            <w:right w:w="0" w:type="dxa"/>
          </w:tblCellMar>
        </w:tblPrEx>
        <w:trPr>
          <w:trHeight w:val="90"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ascii="宋体" w:hAnsi="宋体" w:cs="宋体"/>
                <w:color w:val="auto"/>
                <w:kern w:val="0"/>
                <w:sz w:val="24"/>
                <w:szCs w:val="24"/>
                <w:highlight w:val="none"/>
              </w:rPr>
              <w:t>12</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hint="eastAsia" w:ascii="宋体" w:hAnsi="宋体" w:cs="宋体"/>
                <w:color w:val="auto"/>
                <w:kern w:val="0"/>
                <w:sz w:val="24"/>
                <w:szCs w:val="24"/>
                <w:highlight w:val="none"/>
              </w:rPr>
              <w:t>广发银行股份有限公司台州路桥小微企业专营支行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ascii="宋体" w:hAnsi="宋体" w:cs="宋体"/>
                <w:color w:val="auto"/>
                <w:kern w:val="0"/>
                <w:sz w:val="24"/>
                <w:szCs w:val="24"/>
                <w:highlight w:val="none"/>
              </w:rPr>
              <w:t>5.65%</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hint="eastAsia" w:ascii="宋体" w:hAnsi="宋体" w:cs="宋体"/>
                <w:color w:val="auto"/>
                <w:kern w:val="0"/>
                <w:sz w:val="24"/>
                <w:szCs w:val="24"/>
                <w:highlight w:val="none"/>
              </w:rPr>
              <w:t>林春</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ascii="宋体" w:hAnsi="宋体" w:cs="宋体"/>
                <w:color w:val="auto"/>
                <w:kern w:val="0"/>
                <w:sz w:val="24"/>
                <w:szCs w:val="24"/>
                <w:highlight w:val="none"/>
              </w:rPr>
              <w:t>13858687790</w:t>
            </w:r>
          </w:p>
        </w:tc>
      </w:tr>
      <w:tr>
        <w:tblPrEx>
          <w:tblCellMar>
            <w:top w:w="0" w:type="dxa"/>
            <w:left w:w="0" w:type="dxa"/>
            <w:bottom w:w="0" w:type="dxa"/>
            <w:right w:w="0" w:type="dxa"/>
          </w:tblCellMar>
        </w:tblPrEx>
        <w:trPr>
          <w:trHeight w:val="90"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ascii="宋体" w:hAnsi="宋体" w:cs="宋体"/>
                <w:color w:val="auto"/>
                <w:kern w:val="0"/>
                <w:sz w:val="24"/>
                <w:szCs w:val="24"/>
                <w:highlight w:val="none"/>
              </w:rPr>
              <w:t>13</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hint="eastAsia" w:ascii="宋体" w:hAnsi="宋体" w:cs="宋体"/>
                <w:color w:val="auto"/>
                <w:kern w:val="0"/>
                <w:sz w:val="24"/>
                <w:szCs w:val="24"/>
                <w:highlight w:val="none"/>
              </w:rPr>
              <w:t>平安银行股份有限公司台州路桥小微企业专营支行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ascii="宋体" w:hAnsi="宋体" w:cs="宋体"/>
                <w:color w:val="auto"/>
                <w:kern w:val="0"/>
                <w:sz w:val="24"/>
                <w:szCs w:val="24"/>
                <w:highlight w:val="none"/>
              </w:rPr>
              <w:t>7%</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hint="eastAsia" w:ascii="宋体" w:hAnsi="宋体" w:cs="宋体"/>
                <w:color w:val="auto"/>
                <w:kern w:val="0"/>
                <w:sz w:val="24"/>
                <w:szCs w:val="24"/>
                <w:highlight w:val="none"/>
              </w:rPr>
              <w:t>李俊丽</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ascii="宋体" w:hAnsi="宋体" w:cs="宋体"/>
                <w:color w:val="auto"/>
                <w:kern w:val="0"/>
                <w:sz w:val="24"/>
                <w:szCs w:val="24"/>
                <w:highlight w:val="none"/>
              </w:rPr>
              <w:t>15906861025</w:t>
            </w:r>
          </w:p>
        </w:tc>
      </w:tr>
      <w:tr>
        <w:tblPrEx>
          <w:tblCellMar>
            <w:top w:w="0" w:type="dxa"/>
            <w:left w:w="0" w:type="dxa"/>
            <w:bottom w:w="0" w:type="dxa"/>
            <w:right w:w="0" w:type="dxa"/>
          </w:tblCellMar>
        </w:tblPrEx>
        <w:trPr>
          <w:trHeight w:val="90"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ascii="宋体" w:hAnsi="宋体" w:cs="宋体"/>
                <w:color w:val="auto"/>
                <w:kern w:val="0"/>
                <w:sz w:val="24"/>
                <w:szCs w:val="24"/>
                <w:highlight w:val="none"/>
              </w:rPr>
              <w:t>14</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hint="eastAsia" w:ascii="宋体" w:hAnsi="宋体" w:cs="宋体"/>
                <w:color w:val="auto"/>
                <w:kern w:val="0"/>
                <w:sz w:val="24"/>
                <w:szCs w:val="24"/>
                <w:highlight w:val="none"/>
              </w:rPr>
              <w:t>宁波银行股份有限公司台州路桥小微企业专营支行</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ascii="宋体" w:hAnsi="宋体" w:cs="宋体"/>
                <w:color w:val="auto"/>
                <w:kern w:val="0"/>
                <w:sz w:val="24"/>
                <w:szCs w:val="24"/>
                <w:highlight w:val="none"/>
              </w:rPr>
              <w:t>5%-6%</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hint="eastAsia" w:ascii="宋体" w:hAnsi="宋体" w:cs="宋体"/>
                <w:color w:val="auto"/>
                <w:kern w:val="0"/>
                <w:sz w:val="24"/>
                <w:szCs w:val="24"/>
                <w:highlight w:val="none"/>
              </w:rPr>
              <w:t>李诚杰</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ascii="宋体" w:hAnsi="宋体" w:cs="宋体"/>
                <w:color w:val="auto"/>
                <w:kern w:val="0"/>
                <w:sz w:val="24"/>
                <w:szCs w:val="24"/>
                <w:highlight w:val="none"/>
              </w:rPr>
              <w:t>13395745558</w:t>
            </w:r>
          </w:p>
        </w:tc>
      </w:tr>
      <w:tr>
        <w:tblPrEx>
          <w:tblCellMar>
            <w:top w:w="0" w:type="dxa"/>
            <w:left w:w="0" w:type="dxa"/>
            <w:bottom w:w="0" w:type="dxa"/>
            <w:right w:w="0" w:type="dxa"/>
          </w:tblCellMar>
        </w:tblPrEx>
        <w:trPr>
          <w:trHeight w:val="90" w:hRule="atLeast"/>
          <w:jc w:val="center"/>
        </w:trPr>
        <w:tc>
          <w:tcPr>
            <w:tcW w:w="6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ascii="宋体" w:hAnsi="宋体" w:cs="宋体"/>
                <w:color w:val="auto"/>
                <w:kern w:val="0"/>
                <w:sz w:val="24"/>
                <w:szCs w:val="24"/>
                <w:highlight w:val="none"/>
              </w:rPr>
              <w:t>15</w:t>
            </w:r>
          </w:p>
        </w:tc>
        <w:tc>
          <w:tcPr>
            <w:tcW w:w="53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hint="eastAsia" w:ascii="宋体" w:hAnsi="宋体" w:cs="宋体"/>
                <w:color w:val="auto"/>
                <w:kern w:val="0"/>
                <w:sz w:val="24"/>
                <w:szCs w:val="24"/>
                <w:highlight w:val="none"/>
              </w:rPr>
              <w:t>浙江台州路桥富民村镇银行股份有限公司</w:t>
            </w:r>
          </w:p>
        </w:tc>
        <w:tc>
          <w:tcPr>
            <w:tcW w:w="15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ascii="宋体" w:hAnsi="宋体" w:cs="宋体"/>
                <w:color w:val="auto"/>
                <w:kern w:val="0"/>
                <w:sz w:val="24"/>
                <w:szCs w:val="24"/>
                <w:highlight w:val="none"/>
              </w:rPr>
              <w:t>7.80%</w:t>
            </w:r>
          </w:p>
        </w:tc>
        <w:tc>
          <w:tcPr>
            <w:tcW w:w="9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hint="eastAsia" w:ascii="宋体" w:hAnsi="宋体" w:cs="宋体"/>
                <w:color w:val="auto"/>
                <w:kern w:val="0"/>
                <w:sz w:val="24"/>
                <w:szCs w:val="24"/>
                <w:highlight w:val="none"/>
              </w:rPr>
              <w:t>陈威</w:t>
            </w:r>
          </w:p>
        </w:tc>
        <w:tc>
          <w:tcPr>
            <w:tcW w:w="14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olor w:val="auto"/>
                <w:sz w:val="24"/>
                <w:szCs w:val="24"/>
                <w:highlight w:val="none"/>
              </w:rPr>
            </w:pPr>
            <w:r>
              <w:rPr>
                <w:rFonts w:ascii="宋体" w:hAnsi="宋体" w:cs="宋体"/>
                <w:color w:val="auto"/>
                <w:kern w:val="0"/>
                <w:sz w:val="24"/>
                <w:szCs w:val="24"/>
                <w:highlight w:val="none"/>
              </w:rPr>
              <w:t>13626660510</w:t>
            </w:r>
          </w:p>
        </w:tc>
      </w:tr>
    </w:tbl>
    <w:p>
      <w:pPr>
        <w:spacing w:line="360" w:lineRule="auto"/>
        <w:jc w:val="right"/>
        <w:rPr>
          <w:rFonts w:ascii="宋体"/>
          <w:color w:val="auto"/>
          <w:sz w:val="24"/>
          <w:szCs w:val="24"/>
          <w:highlight w:val="none"/>
        </w:rPr>
      </w:pPr>
      <w:r>
        <w:rPr>
          <w:rFonts w:hint="eastAsia" w:ascii="宋体" w:hAnsi="宋体" w:cs="宋体"/>
          <w:color w:val="auto"/>
          <w:sz w:val="24"/>
          <w:szCs w:val="24"/>
          <w:highlight w:val="none"/>
        </w:rPr>
        <w:t>浙江五石中正工程咨询有限公司</w:t>
      </w:r>
    </w:p>
    <w:p>
      <w:pPr>
        <w:spacing w:line="360" w:lineRule="auto"/>
        <w:ind w:firstLine="6240" w:firstLineChars="2600"/>
        <w:rPr>
          <w:color w:val="auto"/>
          <w:highlight w:val="none"/>
        </w:rPr>
      </w:pPr>
      <w:r>
        <w:rPr>
          <w:rFonts w:hint="eastAsia" w:ascii="宋体" w:hAnsi="宋体" w:cs="宋体"/>
          <w:color w:val="auto"/>
          <w:sz w:val="24"/>
          <w:szCs w:val="24"/>
          <w:highlight w:val="none"/>
        </w:rPr>
        <w:t>2021年</w:t>
      </w: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月</w:t>
      </w:r>
    </w:p>
    <w:p>
      <w:pPr>
        <w:spacing w:line="360" w:lineRule="auto"/>
        <w:jc w:val="center"/>
        <w:rPr>
          <w:rFonts w:hint="eastAsia" w:ascii="宋体" w:hAnsi="宋体" w:cs="宋体"/>
          <w:b/>
          <w:bCs/>
          <w:color w:val="auto"/>
          <w:sz w:val="36"/>
          <w:szCs w:val="36"/>
          <w:highlight w:val="none"/>
        </w:rPr>
      </w:pPr>
    </w:p>
    <w:p>
      <w:pPr>
        <w:spacing w:line="360" w:lineRule="auto"/>
        <w:jc w:val="center"/>
        <w:rPr>
          <w:rFonts w:hint="eastAsia" w:ascii="宋体" w:hAnsi="宋体" w:cs="宋体"/>
          <w:b/>
          <w:bCs/>
          <w:color w:val="auto"/>
          <w:sz w:val="36"/>
          <w:szCs w:val="36"/>
          <w:highlight w:val="none"/>
        </w:rPr>
      </w:pPr>
    </w:p>
    <w:p>
      <w:pPr>
        <w:pStyle w:val="7"/>
        <w:rPr>
          <w:rFonts w:hint="eastAsia" w:ascii="宋体" w:hAnsi="宋体" w:cs="宋体"/>
          <w:b/>
          <w:bCs/>
          <w:color w:val="auto"/>
          <w:sz w:val="36"/>
          <w:szCs w:val="36"/>
          <w:highlight w:val="none"/>
        </w:rPr>
      </w:pPr>
    </w:p>
    <w:p>
      <w:pPr>
        <w:pStyle w:val="8"/>
        <w:rPr>
          <w:rFonts w:hint="eastAsia"/>
          <w:color w:val="auto"/>
          <w:highlight w:val="none"/>
        </w:rPr>
      </w:pPr>
    </w:p>
    <w:p>
      <w:pPr>
        <w:rPr>
          <w:rFonts w:hint="eastAsia"/>
          <w:color w:val="auto"/>
          <w:highlight w:val="none"/>
        </w:rPr>
      </w:pPr>
    </w:p>
    <w:p>
      <w:pPr>
        <w:pStyle w:val="7"/>
        <w:rPr>
          <w:rFonts w:hint="eastAsia"/>
          <w:color w:val="auto"/>
          <w:highlight w:val="none"/>
        </w:rPr>
      </w:pPr>
    </w:p>
    <w:p>
      <w:pPr>
        <w:pStyle w:val="8"/>
        <w:rPr>
          <w:rFonts w:hint="eastAsia"/>
          <w:color w:val="auto"/>
          <w:highlight w:val="none"/>
        </w:rPr>
      </w:pPr>
    </w:p>
    <w:p>
      <w:pPr>
        <w:rPr>
          <w:rFonts w:hint="eastAsia"/>
          <w:color w:val="auto"/>
          <w:highlight w:val="none"/>
        </w:rPr>
      </w:pPr>
    </w:p>
    <w:p>
      <w:pPr>
        <w:pStyle w:val="7"/>
        <w:rPr>
          <w:rFonts w:hint="eastAsia"/>
          <w:color w:val="auto"/>
          <w:highlight w:val="none"/>
        </w:rPr>
      </w:pPr>
    </w:p>
    <w:p>
      <w:pPr>
        <w:pStyle w:val="8"/>
        <w:rPr>
          <w:rFonts w:hint="eastAsia"/>
          <w:color w:val="auto"/>
          <w:highlight w:val="none"/>
        </w:rPr>
      </w:pPr>
    </w:p>
    <w:p>
      <w:pPr>
        <w:spacing w:line="360" w:lineRule="auto"/>
        <w:jc w:val="center"/>
        <w:rPr>
          <w:rFonts w:hint="eastAsia" w:ascii="宋体" w:hAnsi="宋体" w:cs="宋体"/>
          <w:b/>
          <w:bCs/>
          <w:color w:val="auto"/>
          <w:sz w:val="36"/>
          <w:szCs w:val="36"/>
          <w:highlight w:val="none"/>
        </w:rPr>
      </w:pPr>
    </w:p>
    <w:p>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第二章 投标人须知</w:t>
      </w:r>
    </w:p>
    <w:p>
      <w:pPr>
        <w:spacing w:line="360" w:lineRule="auto"/>
        <w:jc w:val="center"/>
        <w:rPr>
          <w:rFonts w:ascii="宋体"/>
          <w:b/>
          <w:bCs/>
          <w:color w:val="auto"/>
          <w:sz w:val="24"/>
          <w:szCs w:val="24"/>
          <w:highlight w:val="none"/>
        </w:rPr>
      </w:pPr>
      <w:r>
        <w:rPr>
          <w:rFonts w:hint="eastAsia" w:ascii="宋体" w:hAnsi="宋体" w:cs="宋体"/>
          <w:b/>
          <w:bCs/>
          <w:color w:val="auto"/>
          <w:sz w:val="24"/>
          <w:szCs w:val="24"/>
          <w:highlight w:val="none"/>
        </w:rPr>
        <w:t>前附表</w:t>
      </w:r>
    </w:p>
    <w:tbl>
      <w:tblPr>
        <w:tblStyle w:val="26"/>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532"/>
        <w:gridCol w:w="7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3" w:type="dxa"/>
            <w:vAlign w:val="center"/>
          </w:tcPr>
          <w:p>
            <w:pPr>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1532" w:type="dxa"/>
            <w:vAlign w:val="center"/>
          </w:tcPr>
          <w:p>
            <w:pPr>
              <w:jc w:val="center"/>
              <w:rPr>
                <w:rFonts w:ascii="宋体"/>
                <w:color w:val="auto"/>
                <w:sz w:val="24"/>
                <w:szCs w:val="24"/>
                <w:highlight w:val="none"/>
              </w:rPr>
            </w:pPr>
            <w:r>
              <w:rPr>
                <w:rFonts w:hint="eastAsia" w:ascii="宋体" w:hAnsi="宋体" w:cs="宋体"/>
                <w:color w:val="auto"/>
                <w:sz w:val="24"/>
                <w:szCs w:val="24"/>
                <w:highlight w:val="none"/>
              </w:rPr>
              <w:t>项目</w:t>
            </w:r>
          </w:p>
        </w:tc>
        <w:tc>
          <w:tcPr>
            <w:tcW w:w="7528" w:type="dxa"/>
            <w:vAlign w:val="center"/>
          </w:tcPr>
          <w:p>
            <w:pPr>
              <w:jc w:val="center"/>
              <w:rPr>
                <w:rFonts w:ascii="宋体"/>
                <w:color w:val="auto"/>
                <w:sz w:val="24"/>
                <w:szCs w:val="24"/>
                <w:highlight w:val="none"/>
              </w:rPr>
            </w:pPr>
            <w:r>
              <w:rPr>
                <w:rFonts w:hint="eastAsia" w:ascii="宋体" w:hAnsi="宋体" w:cs="宋体"/>
                <w:color w:val="auto"/>
                <w:sz w:val="24"/>
                <w:szCs w:val="24"/>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3" w:type="dxa"/>
            <w:vAlign w:val="center"/>
          </w:tcPr>
          <w:p>
            <w:pPr>
              <w:jc w:val="center"/>
              <w:rPr>
                <w:rFonts w:ascii="宋体"/>
                <w:color w:val="auto"/>
                <w:sz w:val="24"/>
                <w:szCs w:val="24"/>
                <w:highlight w:val="none"/>
              </w:rPr>
            </w:pPr>
            <w:r>
              <w:rPr>
                <w:rFonts w:ascii="宋体" w:hAnsi="宋体" w:cs="宋体"/>
                <w:color w:val="auto"/>
                <w:sz w:val="24"/>
                <w:szCs w:val="24"/>
                <w:highlight w:val="none"/>
              </w:rPr>
              <w:t>1</w:t>
            </w:r>
          </w:p>
        </w:tc>
        <w:tc>
          <w:tcPr>
            <w:tcW w:w="1532" w:type="dxa"/>
            <w:vAlign w:val="center"/>
          </w:tcPr>
          <w:p>
            <w:pPr>
              <w:jc w:val="center"/>
              <w:rPr>
                <w:rFonts w:ascii="宋体"/>
                <w:color w:val="auto"/>
                <w:sz w:val="24"/>
                <w:szCs w:val="24"/>
                <w:highlight w:val="none"/>
              </w:rPr>
            </w:pPr>
            <w:r>
              <w:rPr>
                <w:rFonts w:hint="eastAsia" w:ascii="宋体" w:hAnsi="宋体" w:cs="宋体"/>
                <w:color w:val="auto"/>
                <w:sz w:val="24"/>
                <w:szCs w:val="24"/>
                <w:highlight w:val="none"/>
              </w:rPr>
              <w:t>供应商特定资格要求</w:t>
            </w:r>
          </w:p>
        </w:tc>
        <w:tc>
          <w:tcPr>
            <w:tcW w:w="7528" w:type="dxa"/>
            <w:vAlign w:val="center"/>
          </w:tcPr>
          <w:p>
            <w:pPr>
              <w:rPr>
                <w:rFonts w:ascii="宋体"/>
                <w:color w:val="auto"/>
                <w:sz w:val="24"/>
                <w:szCs w:val="24"/>
                <w:highlight w:val="none"/>
              </w:rPr>
            </w:pPr>
            <w:r>
              <w:rPr>
                <w:rFonts w:hint="eastAsia" w:ascii="宋体" w:hAnsi="宋体" w:cs="宋体"/>
                <w:color w:val="auto"/>
                <w:sz w:val="24"/>
                <w:szCs w:val="24"/>
                <w:highlight w:val="none"/>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3" w:type="dxa"/>
            <w:vAlign w:val="center"/>
          </w:tcPr>
          <w:p>
            <w:pPr>
              <w:jc w:val="center"/>
              <w:rPr>
                <w:rFonts w:ascii="宋体"/>
                <w:color w:val="auto"/>
                <w:sz w:val="24"/>
                <w:szCs w:val="24"/>
                <w:highlight w:val="none"/>
              </w:rPr>
            </w:pPr>
            <w:r>
              <w:rPr>
                <w:rFonts w:ascii="宋体" w:hAnsi="宋体" w:cs="宋体"/>
                <w:color w:val="auto"/>
                <w:sz w:val="24"/>
                <w:szCs w:val="24"/>
                <w:highlight w:val="none"/>
              </w:rPr>
              <w:t>2</w:t>
            </w:r>
          </w:p>
        </w:tc>
        <w:tc>
          <w:tcPr>
            <w:tcW w:w="1532" w:type="dxa"/>
            <w:vAlign w:val="center"/>
          </w:tcPr>
          <w:p>
            <w:pPr>
              <w:jc w:val="center"/>
              <w:rPr>
                <w:rFonts w:ascii="宋体"/>
                <w:color w:val="auto"/>
                <w:sz w:val="24"/>
                <w:szCs w:val="24"/>
                <w:highlight w:val="none"/>
              </w:rPr>
            </w:pPr>
            <w:r>
              <w:rPr>
                <w:rFonts w:hint="eastAsia" w:ascii="宋体" w:hAnsi="宋体" w:cs="宋体"/>
                <w:color w:val="auto"/>
                <w:kern w:val="0"/>
                <w:sz w:val="24"/>
                <w:szCs w:val="24"/>
                <w:highlight w:val="none"/>
              </w:rPr>
              <w:t>答疑会或</w:t>
            </w:r>
            <w:r>
              <w:rPr>
                <w:rFonts w:hint="eastAsia" w:ascii="宋体" w:hAnsi="宋体" w:cs="宋体"/>
                <w:color w:val="auto"/>
                <w:sz w:val="24"/>
                <w:szCs w:val="24"/>
                <w:highlight w:val="none"/>
              </w:rPr>
              <w:t>现场踏勘</w:t>
            </w:r>
          </w:p>
        </w:tc>
        <w:tc>
          <w:tcPr>
            <w:tcW w:w="7528" w:type="dxa"/>
            <w:vAlign w:val="center"/>
          </w:tcPr>
          <w:p>
            <w:pPr>
              <w:rPr>
                <w:rFonts w:ascii="宋体"/>
                <w:color w:val="auto"/>
                <w:sz w:val="24"/>
                <w:szCs w:val="24"/>
                <w:highlight w:val="none"/>
              </w:rPr>
            </w:pPr>
            <w:r>
              <w:rPr>
                <w:rFonts w:hint="eastAsia" w:ascii="宋体" w:hAnsi="宋体" w:cs="宋体"/>
                <w:color w:val="auto"/>
                <w:sz w:val="24"/>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5" w:hRule="atLeast"/>
          <w:jc w:val="center"/>
        </w:trPr>
        <w:tc>
          <w:tcPr>
            <w:tcW w:w="573" w:type="dxa"/>
            <w:vAlign w:val="center"/>
          </w:tcPr>
          <w:p>
            <w:pPr>
              <w:jc w:val="center"/>
              <w:rPr>
                <w:rFonts w:ascii="宋体"/>
                <w:color w:val="auto"/>
                <w:sz w:val="24"/>
                <w:szCs w:val="24"/>
                <w:highlight w:val="none"/>
              </w:rPr>
            </w:pPr>
            <w:r>
              <w:rPr>
                <w:rFonts w:ascii="宋体" w:hAnsi="宋体" w:cs="宋体"/>
                <w:color w:val="auto"/>
                <w:sz w:val="24"/>
                <w:szCs w:val="24"/>
                <w:highlight w:val="none"/>
              </w:rPr>
              <w:t>3</w:t>
            </w:r>
          </w:p>
        </w:tc>
        <w:tc>
          <w:tcPr>
            <w:tcW w:w="1532" w:type="dxa"/>
            <w:vAlign w:val="center"/>
          </w:tcPr>
          <w:p>
            <w:pPr>
              <w:spacing w:line="360" w:lineRule="auto"/>
              <w:jc w:val="center"/>
              <w:rPr>
                <w:rFonts w:ascii="宋体"/>
                <w:color w:val="auto"/>
                <w:sz w:val="24"/>
                <w:szCs w:val="24"/>
                <w:highlight w:val="none"/>
              </w:rPr>
            </w:pPr>
            <w:r>
              <w:rPr>
                <w:rFonts w:hint="eastAsia" w:ascii="宋体" w:hAnsi="宋体" w:cs="宋体"/>
                <w:color w:val="auto"/>
                <w:sz w:val="24"/>
                <w:szCs w:val="24"/>
                <w:highlight w:val="none"/>
              </w:rPr>
              <w:t>投标文件递交要求</w:t>
            </w:r>
          </w:p>
        </w:tc>
        <w:tc>
          <w:tcPr>
            <w:tcW w:w="7528" w:type="dxa"/>
            <w:vAlign w:val="center"/>
          </w:tcPr>
          <w:p>
            <w:pPr>
              <w:rPr>
                <w:rFonts w:ascii="宋体"/>
                <w:color w:val="auto"/>
                <w:sz w:val="24"/>
                <w:szCs w:val="24"/>
                <w:highlight w:val="none"/>
              </w:rPr>
            </w:pPr>
            <w:r>
              <w:rPr>
                <w:rFonts w:hint="eastAsia" w:ascii="宋体" w:hAnsi="宋体" w:cs="宋体"/>
                <w:color w:val="auto"/>
                <w:sz w:val="24"/>
                <w:szCs w:val="24"/>
                <w:highlight w:val="none"/>
              </w:rPr>
              <w:t>本项目实行</w:t>
            </w:r>
            <w:r>
              <w:rPr>
                <w:rFonts w:hint="eastAsia" w:ascii="宋体" w:hAnsi="宋体" w:cs="宋体"/>
                <w:b/>
                <w:bCs/>
                <w:color w:val="auto"/>
                <w:sz w:val="24"/>
                <w:szCs w:val="24"/>
                <w:highlight w:val="none"/>
              </w:rPr>
              <w:t>电子投标</w:t>
            </w:r>
            <w:r>
              <w:rPr>
                <w:rFonts w:hint="eastAsia" w:ascii="宋体" w:hAnsi="宋体" w:cs="宋体"/>
                <w:color w:val="auto"/>
                <w:sz w:val="24"/>
                <w:szCs w:val="24"/>
                <w:highlight w:val="none"/>
              </w:rPr>
              <w:t>，供应商应准备电子投标文件、以介质存储的数据电文形式的备份投标文件、纸质备份投标文件三类：</w:t>
            </w:r>
          </w:p>
          <w:p>
            <w:pPr>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电子投标文件，按政采云平台项目采购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电子招投标操作指南及本招标文件要求编制、递交。</w:t>
            </w:r>
          </w:p>
          <w:p>
            <w:pPr>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以介质存储的数据电文形式的备份投标文件，按政采云平台项目采购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电子招投标操作指南中上传的电子投标文件格式，以</w:t>
            </w:r>
            <w:r>
              <w:rPr>
                <w:rFonts w:ascii="宋体" w:hAnsi="宋体" w:cs="宋体"/>
                <w:color w:val="auto"/>
                <w:sz w:val="24"/>
                <w:szCs w:val="24"/>
                <w:highlight w:val="none"/>
              </w:rPr>
              <w:t>U</w:t>
            </w:r>
            <w:r>
              <w:rPr>
                <w:rFonts w:hint="eastAsia" w:ascii="宋体" w:hAnsi="宋体" w:cs="宋体"/>
                <w:color w:val="auto"/>
                <w:sz w:val="24"/>
                <w:szCs w:val="24"/>
                <w:highlight w:val="none"/>
              </w:rPr>
              <w:t>盘形式提供。</w:t>
            </w:r>
          </w:p>
          <w:p>
            <w:pPr>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纸质备份投标文件以纸质文件的形式编制，按资格证明文件、商务技术文件、报价文件分别编制并单独装订成册，</w:t>
            </w:r>
            <w:r>
              <w:rPr>
                <w:rStyle w:val="29"/>
                <w:rFonts w:hint="eastAsia" w:ascii="宋体" w:hAnsi="宋体" w:cs="宋体"/>
                <w:color w:val="auto"/>
                <w:sz w:val="24"/>
                <w:szCs w:val="24"/>
                <w:highlight w:val="none"/>
              </w:rPr>
              <w:t>数量均为</w:t>
            </w:r>
            <w:r>
              <w:rPr>
                <w:rStyle w:val="29"/>
                <w:rFonts w:ascii="宋体" w:hAnsi="宋体" w:cs="宋体"/>
                <w:color w:val="auto"/>
                <w:sz w:val="24"/>
                <w:szCs w:val="24"/>
                <w:highlight w:val="none"/>
              </w:rPr>
              <w:t>2</w:t>
            </w:r>
            <w:r>
              <w:rPr>
                <w:rStyle w:val="29"/>
                <w:rFonts w:hint="eastAsia" w:ascii="宋体" w:hAnsi="宋体" w:cs="宋体"/>
                <w:color w:val="auto"/>
                <w:sz w:val="24"/>
                <w:szCs w:val="24"/>
                <w:highlight w:val="none"/>
              </w:rPr>
              <w:t>份（一正一副）</w:t>
            </w:r>
            <w:r>
              <w:rPr>
                <w:rFonts w:hint="eastAsia" w:ascii="宋体" w:hAnsi="宋体" w:cs="宋体"/>
                <w:color w:val="auto"/>
                <w:sz w:val="24"/>
                <w:szCs w:val="24"/>
                <w:highlight w:val="none"/>
              </w:rPr>
              <w:t>。资格证明文件、商务技术文件、报价文件须分别密封封装，资格证明文件、商务技术文件、报价文件未分别密封的投标文件将为无效。</w:t>
            </w:r>
          </w:p>
          <w:p>
            <w:pPr>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投标文件启用顺序和效力：投标文件的启用，按先后顺位分别为电子投标文件、以介质存储的数据电文形式的备份投标文件、纸质备份投标文件。顺位在先的投标文件已按时解密的，备份投标文件自动失效。在下一顺位的投标文件启用时，前一顺位的投标文件自动失效。</w:t>
            </w:r>
          </w:p>
          <w:p>
            <w:pPr>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▲未传输递交电子投标文件的，投标无效。未按规定提供相应的备份投标文件，造成项目开评标活动无法进行下去的，投标无效。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3" w:type="dxa"/>
            <w:vAlign w:val="center"/>
          </w:tcPr>
          <w:p>
            <w:pPr>
              <w:jc w:val="center"/>
              <w:rPr>
                <w:rFonts w:ascii="宋体"/>
                <w:color w:val="auto"/>
                <w:sz w:val="24"/>
                <w:szCs w:val="24"/>
                <w:highlight w:val="none"/>
              </w:rPr>
            </w:pPr>
            <w:r>
              <w:rPr>
                <w:rFonts w:ascii="宋体" w:hAnsi="宋体" w:cs="宋体"/>
                <w:color w:val="auto"/>
                <w:sz w:val="24"/>
                <w:szCs w:val="24"/>
                <w:highlight w:val="none"/>
              </w:rPr>
              <w:t>4</w:t>
            </w:r>
          </w:p>
        </w:tc>
        <w:tc>
          <w:tcPr>
            <w:tcW w:w="1532" w:type="dxa"/>
            <w:vAlign w:val="center"/>
          </w:tcPr>
          <w:p>
            <w:pPr>
              <w:jc w:val="center"/>
              <w:rPr>
                <w:rFonts w:ascii="宋体"/>
                <w:color w:val="auto"/>
                <w:sz w:val="24"/>
                <w:szCs w:val="24"/>
                <w:highlight w:val="none"/>
              </w:rPr>
            </w:pPr>
            <w:r>
              <w:rPr>
                <w:rFonts w:hint="eastAsia" w:ascii="宋体" w:hAnsi="宋体" w:cs="宋体"/>
                <w:color w:val="auto"/>
                <w:sz w:val="24"/>
                <w:szCs w:val="24"/>
                <w:highlight w:val="none"/>
              </w:rPr>
              <w:t>投标有效期</w:t>
            </w:r>
          </w:p>
        </w:tc>
        <w:tc>
          <w:tcPr>
            <w:tcW w:w="7528" w:type="dxa"/>
            <w:vAlign w:val="center"/>
          </w:tcPr>
          <w:p>
            <w:pPr>
              <w:rPr>
                <w:rFonts w:ascii="宋体"/>
                <w:color w:val="auto"/>
                <w:sz w:val="24"/>
                <w:szCs w:val="24"/>
                <w:highlight w:val="none"/>
              </w:rPr>
            </w:pPr>
            <w:r>
              <w:rPr>
                <w:rFonts w:hint="eastAsia" w:ascii="宋体" w:hAnsi="宋体" w:cs="宋体"/>
                <w:color w:val="auto"/>
                <w:sz w:val="24"/>
                <w:szCs w:val="24"/>
                <w:highlight w:val="none"/>
              </w:rPr>
              <w:t>投标有效期为开标后</w:t>
            </w:r>
            <w:r>
              <w:rPr>
                <w:rFonts w:ascii="宋体" w:hAnsi="宋体" w:cs="宋体"/>
                <w:color w:val="auto"/>
                <w:sz w:val="24"/>
                <w:szCs w:val="24"/>
                <w:highlight w:val="none"/>
              </w:rPr>
              <w:t>90</w:t>
            </w:r>
            <w:r>
              <w:rPr>
                <w:rFonts w:hint="eastAsia" w:ascii="宋体" w:hAnsi="宋体" w:cs="宋体"/>
                <w:color w:val="auto"/>
                <w:sz w:val="24"/>
                <w:szCs w:val="24"/>
                <w:highlight w:val="none"/>
              </w:rPr>
              <w:t>天，</w:t>
            </w:r>
            <w:r>
              <w:rPr>
                <w:rFonts w:hint="eastAsia" w:ascii="宋体" w:hAnsi="宋体" w:cs="宋体"/>
                <w:color w:val="auto"/>
                <w:kern w:val="0"/>
                <w:sz w:val="24"/>
                <w:szCs w:val="24"/>
                <w:highlight w:val="none"/>
              </w:rPr>
              <w:t>投标有效期从提交投标文件的截止之日起算。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3" w:type="dxa"/>
            <w:vAlign w:val="center"/>
          </w:tcPr>
          <w:p>
            <w:pPr>
              <w:jc w:val="center"/>
              <w:rPr>
                <w:rFonts w:ascii="宋体"/>
                <w:color w:val="auto"/>
                <w:sz w:val="24"/>
                <w:szCs w:val="24"/>
                <w:highlight w:val="none"/>
              </w:rPr>
            </w:pPr>
            <w:r>
              <w:rPr>
                <w:rFonts w:ascii="宋体" w:hAnsi="宋体" w:cs="宋体"/>
                <w:color w:val="auto"/>
                <w:sz w:val="24"/>
                <w:szCs w:val="24"/>
                <w:highlight w:val="none"/>
              </w:rPr>
              <w:t>5</w:t>
            </w:r>
          </w:p>
        </w:tc>
        <w:tc>
          <w:tcPr>
            <w:tcW w:w="1532" w:type="dxa"/>
            <w:vAlign w:val="center"/>
          </w:tcPr>
          <w:p>
            <w:pPr>
              <w:jc w:val="center"/>
              <w:rPr>
                <w:rFonts w:ascii="宋体"/>
                <w:color w:val="auto"/>
                <w:sz w:val="24"/>
                <w:szCs w:val="24"/>
                <w:highlight w:val="none"/>
              </w:rPr>
            </w:pPr>
            <w:r>
              <w:rPr>
                <w:rFonts w:hint="eastAsia" w:ascii="宋体" w:hAnsi="宋体" w:cs="宋体"/>
                <w:color w:val="auto"/>
                <w:sz w:val="24"/>
                <w:szCs w:val="24"/>
                <w:highlight w:val="none"/>
              </w:rPr>
              <w:t>投标文件递交</w:t>
            </w:r>
          </w:p>
        </w:tc>
        <w:tc>
          <w:tcPr>
            <w:tcW w:w="7528" w:type="dxa"/>
            <w:vAlign w:val="center"/>
          </w:tcPr>
          <w:p>
            <w:pPr>
              <w:rPr>
                <w:rFonts w:ascii="宋体"/>
                <w:color w:val="auto"/>
                <w:sz w:val="24"/>
                <w:szCs w:val="24"/>
                <w:highlight w:val="none"/>
              </w:rPr>
            </w:pPr>
            <w:r>
              <w:rPr>
                <w:rFonts w:hint="eastAsia" w:ascii="宋体" w:hAnsi="宋体" w:cs="宋体"/>
                <w:color w:val="auto"/>
                <w:sz w:val="24"/>
                <w:szCs w:val="24"/>
                <w:highlight w:val="none"/>
              </w:rPr>
              <w:t>截止时间：北京时间</w:t>
            </w:r>
            <w:r>
              <w:rPr>
                <w:rFonts w:hint="eastAsia" w:ascii="宋体" w:hAnsi="宋体" w:cs="宋体"/>
                <w:color w:val="auto"/>
                <w:sz w:val="24"/>
                <w:szCs w:val="24"/>
                <w:highlight w:val="none"/>
                <w:lang w:eastAsia="zh-CN"/>
              </w:rPr>
              <w:t>2021年12月10日上午09:30</w:t>
            </w:r>
            <w:r>
              <w:rPr>
                <w:rFonts w:hint="eastAsia" w:ascii="宋体" w:hAnsi="宋体" w:cs="宋体"/>
                <w:color w:val="auto"/>
                <w:sz w:val="24"/>
                <w:szCs w:val="24"/>
                <w:highlight w:val="none"/>
              </w:rPr>
              <w:t>整</w:t>
            </w:r>
          </w:p>
          <w:p>
            <w:pPr>
              <w:rPr>
                <w:rFonts w:ascii="宋体"/>
                <w:color w:val="auto"/>
                <w:sz w:val="24"/>
                <w:szCs w:val="24"/>
                <w:highlight w:val="none"/>
              </w:rPr>
            </w:pPr>
            <w:r>
              <w:rPr>
                <w:rFonts w:hint="eastAsia" w:ascii="宋体" w:hAnsi="宋体" w:cs="宋体"/>
                <w:color w:val="auto"/>
                <w:sz w:val="24"/>
                <w:szCs w:val="24"/>
                <w:highlight w:val="none"/>
              </w:rPr>
              <w:t>投标供应商应当在投标截止时间前将生成的“电子加密投标文件”上传递交至“政府采购云平台”，并在开标当日投标截止时间前提交纸质备份投标文件。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3" w:type="dxa"/>
            <w:vAlign w:val="center"/>
          </w:tcPr>
          <w:p>
            <w:pPr>
              <w:jc w:val="center"/>
              <w:rPr>
                <w:rFonts w:ascii="宋体"/>
                <w:color w:val="auto"/>
                <w:sz w:val="24"/>
                <w:szCs w:val="24"/>
                <w:highlight w:val="none"/>
              </w:rPr>
            </w:pPr>
            <w:r>
              <w:rPr>
                <w:rFonts w:ascii="宋体" w:hAnsi="宋体" w:cs="宋体"/>
                <w:color w:val="auto"/>
                <w:sz w:val="24"/>
                <w:szCs w:val="24"/>
                <w:highlight w:val="none"/>
              </w:rPr>
              <w:t>6</w:t>
            </w:r>
          </w:p>
        </w:tc>
        <w:tc>
          <w:tcPr>
            <w:tcW w:w="1532" w:type="dxa"/>
            <w:vAlign w:val="center"/>
          </w:tcPr>
          <w:p>
            <w:pPr>
              <w:jc w:val="center"/>
              <w:rPr>
                <w:rFonts w:ascii="宋体"/>
                <w:color w:val="auto"/>
                <w:sz w:val="24"/>
                <w:szCs w:val="24"/>
                <w:highlight w:val="none"/>
              </w:rPr>
            </w:pPr>
            <w:r>
              <w:rPr>
                <w:rFonts w:hint="eastAsia" w:ascii="宋体" w:hAnsi="宋体" w:cs="宋体"/>
                <w:color w:val="auto"/>
                <w:sz w:val="24"/>
                <w:szCs w:val="24"/>
                <w:highlight w:val="none"/>
              </w:rPr>
              <w:t>开标时间及地点</w:t>
            </w:r>
          </w:p>
        </w:tc>
        <w:tc>
          <w:tcPr>
            <w:tcW w:w="7528" w:type="dxa"/>
            <w:vAlign w:val="center"/>
          </w:tcPr>
          <w:p>
            <w:pPr>
              <w:rPr>
                <w:rFonts w:ascii="宋体"/>
                <w:color w:val="auto"/>
                <w:sz w:val="24"/>
                <w:szCs w:val="24"/>
                <w:highlight w:val="none"/>
              </w:rPr>
            </w:pPr>
            <w:r>
              <w:rPr>
                <w:rFonts w:hint="eastAsia" w:ascii="宋体" w:hAnsi="宋体" w:cs="宋体"/>
                <w:color w:val="auto"/>
                <w:sz w:val="24"/>
                <w:szCs w:val="24"/>
                <w:highlight w:val="none"/>
              </w:rPr>
              <w:t>时间：北京时间</w:t>
            </w:r>
            <w:r>
              <w:rPr>
                <w:rFonts w:hint="eastAsia" w:ascii="宋体" w:hAnsi="宋体" w:cs="宋体"/>
                <w:color w:val="auto"/>
                <w:sz w:val="24"/>
                <w:szCs w:val="24"/>
                <w:highlight w:val="none"/>
                <w:lang w:eastAsia="zh-CN"/>
              </w:rPr>
              <w:t>2021年12月10日上午09:30</w:t>
            </w:r>
            <w:r>
              <w:rPr>
                <w:rFonts w:hint="eastAsia" w:ascii="宋体" w:hAnsi="宋体" w:cs="宋体"/>
                <w:color w:val="auto"/>
                <w:sz w:val="24"/>
                <w:szCs w:val="24"/>
                <w:highlight w:val="none"/>
              </w:rPr>
              <w:t>整</w:t>
            </w:r>
          </w:p>
          <w:p>
            <w:pPr>
              <w:rPr>
                <w:rFonts w:ascii="宋体"/>
                <w:color w:val="auto"/>
                <w:sz w:val="24"/>
                <w:szCs w:val="24"/>
                <w:highlight w:val="none"/>
              </w:rPr>
            </w:pPr>
            <w:r>
              <w:rPr>
                <w:rFonts w:hint="eastAsia" w:ascii="宋体" w:hAnsi="宋体" w:cs="宋体"/>
                <w:color w:val="auto"/>
                <w:sz w:val="24"/>
                <w:szCs w:val="24"/>
                <w:highlight w:val="none"/>
              </w:rPr>
              <w:t>地点：台州市路桥区财富大道999号区政府商城办公区（商城国际）五楼政府采购中心开标室（一）。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3" w:type="dxa"/>
            <w:vAlign w:val="center"/>
          </w:tcPr>
          <w:p>
            <w:pPr>
              <w:jc w:val="center"/>
              <w:rPr>
                <w:rFonts w:ascii="宋体"/>
                <w:color w:val="auto"/>
                <w:sz w:val="24"/>
                <w:szCs w:val="24"/>
                <w:highlight w:val="none"/>
              </w:rPr>
            </w:pPr>
            <w:r>
              <w:rPr>
                <w:rFonts w:ascii="宋体" w:hAnsi="宋体" w:cs="宋体"/>
                <w:color w:val="auto"/>
                <w:sz w:val="24"/>
                <w:szCs w:val="24"/>
                <w:highlight w:val="none"/>
              </w:rPr>
              <w:t>7</w:t>
            </w:r>
          </w:p>
        </w:tc>
        <w:tc>
          <w:tcPr>
            <w:tcW w:w="1532" w:type="dxa"/>
            <w:vAlign w:val="center"/>
          </w:tcPr>
          <w:p>
            <w:pPr>
              <w:jc w:val="center"/>
              <w:rPr>
                <w:rFonts w:ascii="宋体"/>
                <w:color w:val="auto"/>
                <w:sz w:val="24"/>
                <w:szCs w:val="24"/>
                <w:highlight w:val="none"/>
              </w:rPr>
            </w:pPr>
            <w:r>
              <w:rPr>
                <w:rFonts w:hint="eastAsia" w:ascii="宋体" w:hAnsi="宋体" w:cs="宋体"/>
                <w:color w:val="auto"/>
                <w:sz w:val="24"/>
                <w:szCs w:val="24"/>
                <w:highlight w:val="none"/>
              </w:rPr>
              <w:t>履约保证金</w:t>
            </w:r>
          </w:p>
        </w:tc>
        <w:tc>
          <w:tcPr>
            <w:tcW w:w="7528" w:type="dxa"/>
            <w:vAlign w:val="center"/>
          </w:tcPr>
          <w:p>
            <w:pPr>
              <w:rPr>
                <w:rFonts w:ascii="宋体"/>
                <w:color w:val="auto"/>
                <w:sz w:val="24"/>
                <w:szCs w:val="24"/>
                <w:highlight w:val="none"/>
              </w:rPr>
            </w:pPr>
            <w:r>
              <w:rPr>
                <w:rFonts w:hint="eastAsia" w:ascii="宋体" w:hAnsi="宋体" w:cs="宋体"/>
                <w:color w:val="auto"/>
                <w:sz w:val="24"/>
                <w:highlight w:val="none"/>
              </w:rPr>
              <w:t>乙方收到中标通知书后向甲方提交合同总金额的</w:t>
            </w:r>
            <w:r>
              <w:rPr>
                <w:rFonts w:hint="eastAsia" w:ascii="宋体" w:hAnsi="宋体" w:cs="宋体"/>
                <w:color w:val="auto"/>
                <w:sz w:val="24"/>
                <w:highlight w:val="none"/>
                <w:u w:val="single"/>
              </w:rPr>
              <w:t>5</w:t>
            </w:r>
            <w:r>
              <w:rPr>
                <w:rFonts w:hint="eastAsia" w:ascii="宋体" w:hAnsi="宋体" w:cs="宋体"/>
                <w:color w:val="auto"/>
                <w:sz w:val="24"/>
                <w:highlight w:val="none"/>
              </w:rPr>
              <w:t>%的履约保证金。项目通过验收后7个工作日内全额无息退还。（履约保证金可以采用保函、担保等形式）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3" w:type="dxa"/>
            <w:vAlign w:val="center"/>
          </w:tcPr>
          <w:p>
            <w:pPr>
              <w:jc w:val="center"/>
              <w:rPr>
                <w:rFonts w:ascii="宋体"/>
                <w:color w:val="auto"/>
                <w:sz w:val="24"/>
                <w:szCs w:val="24"/>
                <w:highlight w:val="none"/>
              </w:rPr>
            </w:pPr>
            <w:r>
              <w:rPr>
                <w:rFonts w:ascii="宋体" w:hAnsi="宋体" w:cs="宋体"/>
                <w:color w:val="auto"/>
                <w:sz w:val="24"/>
                <w:szCs w:val="24"/>
                <w:highlight w:val="none"/>
              </w:rPr>
              <w:t>8</w:t>
            </w:r>
          </w:p>
        </w:tc>
        <w:tc>
          <w:tcPr>
            <w:tcW w:w="1532" w:type="dxa"/>
            <w:vAlign w:val="center"/>
          </w:tcPr>
          <w:p>
            <w:pPr>
              <w:autoSpaceDE w:val="0"/>
              <w:autoSpaceDN w:val="0"/>
              <w:adjustRightInd w:val="0"/>
              <w:jc w:val="center"/>
              <w:rPr>
                <w:rFonts w:ascii="宋体"/>
                <w:color w:val="auto"/>
                <w:sz w:val="24"/>
                <w:szCs w:val="24"/>
                <w:highlight w:val="none"/>
              </w:rPr>
            </w:pPr>
            <w:r>
              <w:rPr>
                <w:rFonts w:hint="eastAsia" w:ascii="宋体" w:hAnsi="宋体" w:cs="宋体"/>
                <w:color w:val="auto"/>
                <w:sz w:val="24"/>
                <w:szCs w:val="24"/>
                <w:highlight w:val="none"/>
                <w:lang w:val="zh-CN"/>
              </w:rPr>
              <w:t>实质性条款</w:t>
            </w:r>
          </w:p>
        </w:tc>
        <w:tc>
          <w:tcPr>
            <w:tcW w:w="7528" w:type="dxa"/>
            <w:vAlign w:val="center"/>
          </w:tcPr>
          <w:p>
            <w:pPr>
              <w:rPr>
                <w:rFonts w:ascii="宋体"/>
                <w:color w:val="auto"/>
                <w:sz w:val="24"/>
                <w:szCs w:val="24"/>
                <w:highlight w:val="none"/>
              </w:rPr>
            </w:pPr>
            <w:r>
              <w:rPr>
                <w:rFonts w:hint="eastAsia" w:ascii="宋体" w:hAnsi="宋体" w:cs="宋体"/>
                <w:color w:val="auto"/>
                <w:sz w:val="24"/>
                <w:szCs w:val="24"/>
                <w:highlight w:val="none"/>
                <w:lang w:val="zh-CN"/>
              </w:rPr>
              <w:t>带“</w:t>
            </w:r>
            <w:r>
              <w:rPr>
                <w:rFonts w:hint="eastAsia" w:ascii="宋体" w:hAnsi="宋体" w:cs="宋体"/>
                <w:color w:val="auto"/>
                <w:sz w:val="24"/>
                <w:szCs w:val="24"/>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3" w:type="dxa"/>
            <w:vAlign w:val="center"/>
          </w:tcPr>
          <w:p>
            <w:pPr>
              <w:spacing w:line="400" w:lineRule="exact"/>
              <w:jc w:val="center"/>
              <w:rPr>
                <w:rFonts w:ascii="宋体"/>
                <w:color w:val="auto"/>
                <w:sz w:val="24"/>
                <w:szCs w:val="24"/>
                <w:highlight w:val="none"/>
              </w:rPr>
            </w:pPr>
            <w:r>
              <w:rPr>
                <w:rFonts w:ascii="宋体" w:hAnsi="宋体" w:cs="宋体"/>
                <w:color w:val="auto"/>
                <w:sz w:val="24"/>
                <w:szCs w:val="24"/>
                <w:highlight w:val="none"/>
              </w:rPr>
              <w:t>9</w:t>
            </w:r>
          </w:p>
        </w:tc>
        <w:tc>
          <w:tcPr>
            <w:tcW w:w="1532" w:type="dxa"/>
            <w:vAlign w:val="center"/>
          </w:tcPr>
          <w:p>
            <w:pPr>
              <w:spacing w:line="400" w:lineRule="exact"/>
              <w:jc w:val="center"/>
              <w:rPr>
                <w:rFonts w:ascii="宋体"/>
                <w:color w:val="auto"/>
                <w:sz w:val="24"/>
                <w:szCs w:val="24"/>
                <w:highlight w:val="none"/>
              </w:rPr>
            </w:pPr>
            <w:r>
              <w:rPr>
                <w:rFonts w:hint="eastAsia" w:ascii="宋体" w:hAnsi="宋体" w:cs="宋体"/>
                <w:color w:val="auto"/>
                <w:sz w:val="24"/>
                <w:szCs w:val="24"/>
                <w:highlight w:val="none"/>
              </w:rPr>
              <w:t>演示或现场踏勘</w:t>
            </w:r>
          </w:p>
        </w:tc>
        <w:tc>
          <w:tcPr>
            <w:tcW w:w="7528" w:type="dxa"/>
            <w:vAlign w:val="center"/>
          </w:tcPr>
          <w:p>
            <w:pPr>
              <w:spacing w:line="400" w:lineRule="exact"/>
              <w:jc w:val="left"/>
              <w:rPr>
                <w:rFonts w:ascii="宋体"/>
                <w:color w:val="auto"/>
                <w:sz w:val="24"/>
                <w:szCs w:val="24"/>
                <w:highlight w:val="none"/>
              </w:rPr>
            </w:pPr>
            <w:r>
              <w:rPr>
                <w:rFonts w:hint="eastAsia" w:ascii="宋体" w:hAnsi="宋体" w:cs="宋体"/>
                <w:color w:val="auto"/>
                <w:sz w:val="24"/>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73" w:type="dxa"/>
            <w:vAlign w:val="center"/>
          </w:tcPr>
          <w:p>
            <w:pPr>
              <w:spacing w:line="400" w:lineRule="exact"/>
              <w:jc w:val="center"/>
              <w:rPr>
                <w:rFonts w:ascii="宋体"/>
                <w:color w:val="auto"/>
                <w:sz w:val="24"/>
                <w:szCs w:val="24"/>
                <w:highlight w:val="none"/>
              </w:rPr>
            </w:pPr>
            <w:r>
              <w:rPr>
                <w:rFonts w:ascii="宋体" w:hAnsi="宋体" w:cs="宋体"/>
                <w:color w:val="auto"/>
                <w:sz w:val="24"/>
                <w:szCs w:val="24"/>
                <w:highlight w:val="none"/>
              </w:rPr>
              <w:t>10</w:t>
            </w:r>
          </w:p>
        </w:tc>
        <w:tc>
          <w:tcPr>
            <w:tcW w:w="1532" w:type="dxa"/>
            <w:vAlign w:val="center"/>
          </w:tcPr>
          <w:p>
            <w:pPr>
              <w:spacing w:line="400" w:lineRule="exact"/>
              <w:jc w:val="center"/>
              <w:rPr>
                <w:rFonts w:ascii="宋体"/>
                <w:color w:val="auto"/>
                <w:sz w:val="24"/>
                <w:szCs w:val="24"/>
                <w:highlight w:val="none"/>
              </w:rPr>
            </w:pPr>
            <w:r>
              <w:rPr>
                <w:rFonts w:hint="eastAsia" w:ascii="宋体" w:hAnsi="宋体" w:cs="宋体"/>
                <w:color w:val="auto"/>
                <w:sz w:val="24"/>
                <w:szCs w:val="24"/>
                <w:highlight w:val="none"/>
              </w:rPr>
              <w:t>节能环保</w:t>
            </w:r>
          </w:p>
        </w:tc>
        <w:tc>
          <w:tcPr>
            <w:tcW w:w="7528" w:type="dxa"/>
            <w:vAlign w:val="center"/>
          </w:tcPr>
          <w:p>
            <w:pPr>
              <w:rPr>
                <w:rFonts w:ascii="宋体"/>
                <w:color w:val="auto"/>
                <w:sz w:val="24"/>
                <w:szCs w:val="24"/>
                <w:highlight w:val="none"/>
              </w:rPr>
            </w:pPr>
            <w:r>
              <w:rPr>
                <w:rFonts w:hint="eastAsia" w:ascii="宋体" w:hAnsi="宋体" w:cs="宋体"/>
                <w:color w:val="auto"/>
                <w:sz w:val="24"/>
                <w:szCs w:val="24"/>
                <w:highlight w:val="none"/>
              </w:rPr>
              <w:t>符合国家相关法律规定。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3" w:type="dxa"/>
            <w:vAlign w:val="center"/>
          </w:tcPr>
          <w:p>
            <w:pPr>
              <w:spacing w:line="400" w:lineRule="exact"/>
              <w:jc w:val="center"/>
              <w:rPr>
                <w:rFonts w:ascii="宋体"/>
                <w:color w:val="auto"/>
                <w:sz w:val="24"/>
                <w:szCs w:val="24"/>
                <w:highlight w:val="none"/>
              </w:rPr>
            </w:pPr>
            <w:r>
              <w:rPr>
                <w:rFonts w:ascii="宋体" w:hAnsi="宋体" w:cs="宋体"/>
                <w:color w:val="auto"/>
                <w:sz w:val="24"/>
                <w:szCs w:val="24"/>
                <w:highlight w:val="none"/>
              </w:rPr>
              <w:t>11</w:t>
            </w:r>
          </w:p>
        </w:tc>
        <w:tc>
          <w:tcPr>
            <w:tcW w:w="1532" w:type="dxa"/>
            <w:vAlign w:val="center"/>
          </w:tcPr>
          <w:p>
            <w:pPr>
              <w:spacing w:line="400" w:lineRule="exact"/>
              <w:jc w:val="center"/>
              <w:rPr>
                <w:rFonts w:ascii="宋体"/>
                <w:color w:val="auto"/>
                <w:sz w:val="24"/>
                <w:szCs w:val="24"/>
                <w:highlight w:val="none"/>
              </w:rPr>
            </w:pPr>
            <w:r>
              <w:rPr>
                <w:rFonts w:hint="eastAsia" w:ascii="宋体"/>
                <w:color w:val="auto"/>
                <w:sz w:val="24"/>
                <w:szCs w:val="24"/>
                <w:highlight w:val="none"/>
              </w:rPr>
              <w:t>样品</w:t>
            </w:r>
          </w:p>
        </w:tc>
        <w:tc>
          <w:tcPr>
            <w:tcW w:w="7528" w:type="dxa"/>
            <w:vAlign w:val="center"/>
          </w:tcPr>
          <w:p>
            <w:pPr>
              <w:rPr>
                <w:rFonts w:ascii="宋体"/>
                <w:color w:val="auto"/>
                <w:sz w:val="24"/>
                <w:szCs w:val="24"/>
                <w:highlight w:val="none"/>
              </w:rPr>
            </w:pPr>
            <w:r>
              <w:rPr>
                <w:rFonts w:hint="eastAsia" w:ascii="宋体"/>
                <w:color w:val="auto"/>
                <w:sz w:val="24"/>
                <w:szCs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3" w:type="dxa"/>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12</w:t>
            </w:r>
          </w:p>
        </w:tc>
        <w:tc>
          <w:tcPr>
            <w:tcW w:w="1532" w:type="dxa"/>
            <w:vAlign w:val="center"/>
          </w:tcPr>
          <w:p>
            <w:pPr>
              <w:spacing w:line="4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解释权</w:t>
            </w:r>
          </w:p>
        </w:tc>
        <w:tc>
          <w:tcPr>
            <w:tcW w:w="7528" w:type="dxa"/>
            <w:vAlign w:val="center"/>
          </w:tcPr>
          <w:p>
            <w:pPr>
              <w:rPr>
                <w:rFonts w:ascii="宋体" w:hAnsi="宋体" w:cs="宋体"/>
                <w:color w:val="auto"/>
                <w:sz w:val="24"/>
                <w:szCs w:val="24"/>
                <w:highlight w:val="none"/>
              </w:rPr>
            </w:pPr>
            <w:r>
              <w:rPr>
                <w:rFonts w:hint="eastAsia" w:ascii="宋体" w:hAnsi="宋体" w:cs="宋体"/>
                <w:color w:val="auto"/>
                <w:sz w:val="24"/>
                <w:szCs w:val="24"/>
                <w:highlight w:val="none"/>
              </w:rPr>
              <w:t>本招标文件解释权属于采购人和浙江五石中正工程咨询有限公司。</w:t>
            </w:r>
          </w:p>
        </w:tc>
      </w:tr>
    </w:tbl>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一、总则</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（一）适用范围</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本招标文件适用于本次项目的招标、投标、评标、定标、验收、合同履约、付款等行为（法律、法规另有规定的，从其规定）。</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（二）定义</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“采购组织机构”指采购人委托组织招标的采购代理机构。</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、采购人：是指委托采购代理机构采购本次项目的国家机关、事业单位和团体组织。</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、投标人：是指向采购</w:t>
      </w:r>
      <w:r>
        <w:rPr>
          <w:rFonts w:hint="eastAsia" w:ascii="宋体" w:hAnsi="宋体" w:cs="宋体"/>
          <w:color w:val="auto"/>
          <w:sz w:val="24"/>
          <w:szCs w:val="24"/>
          <w:highlight w:val="none"/>
          <w:lang w:val="zh-CN"/>
        </w:rPr>
        <w:t>组织</w:t>
      </w:r>
      <w:r>
        <w:rPr>
          <w:rFonts w:hint="eastAsia" w:ascii="宋体" w:hAnsi="宋体" w:cs="宋体"/>
          <w:color w:val="auto"/>
          <w:sz w:val="24"/>
          <w:szCs w:val="24"/>
          <w:highlight w:val="none"/>
        </w:rPr>
        <w:t>机构提交投标文件的单位或个人。</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、货物：是指各种形态和种类的物品，包括原材料、燃料、设备、产品等。</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、服务：是指除货物和工程以外的政府采购对象，包括各类专业服务、信息网络开发服务、金融保险服务、运输服务，以及养护与维护服务等。</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、“书面形式”包括信函、传真等。</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、“▲”系指实质性要求条款。</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（三）投标费用</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不论投标结果如何，投标人均应自行承担所有与投标有关的全部费用（招标文件有相关规定除外）。</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（四）特别说明</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ascii="宋体"/>
          <w:color w:val="auto"/>
          <w:sz w:val="24"/>
          <w:szCs w:val="24"/>
          <w:highlight w:val="none"/>
        </w:rPr>
        <w:tab/>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、投标人在投标活动中提供任何虚假材料</w:t>
      </w:r>
      <w:r>
        <w:rPr>
          <w:rFonts w:ascii="宋体" w:cs="宋体"/>
          <w:color w:val="auto"/>
          <w:sz w:val="24"/>
          <w:szCs w:val="24"/>
          <w:highlight w:val="none"/>
        </w:rPr>
        <w:t>,</w:t>
      </w:r>
      <w:r>
        <w:rPr>
          <w:rFonts w:hint="eastAsia" w:ascii="宋体" w:hAnsi="宋体" w:cs="宋体"/>
          <w:color w:val="auto"/>
          <w:sz w:val="24"/>
          <w:szCs w:val="24"/>
          <w:highlight w:val="none"/>
        </w:rPr>
        <w:t>其投标无效，并报监管部门查处；中标后发现的</w:t>
      </w:r>
      <w:r>
        <w:rPr>
          <w:rFonts w:ascii="宋体" w:cs="宋体"/>
          <w:color w:val="auto"/>
          <w:sz w:val="24"/>
          <w:szCs w:val="24"/>
          <w:highlight w:val="none"/>
        </w:rPr>
        <w:t>,</w:t>
      </w:r>
      <w:r>
        <w:rPr>
          <w:rFonts w:hint="eastAsia" w:ascii="宋体" w:hAnsi="宋体" w:cs="宋体"/>
          <w:color w:val="auto"/>
          <w:sz w:val="24"/>
          <w:szCs w:val="24"/>
          <w:highlight w:val="none"/>
        </w:rPr>
        <w:t>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、投标人不得相互串通投标报价，不得妨碍其他投标人的公平竞争，不得损害采购人或其他投标人的合法权益，投标人不得以向采购人、评标委员会成员行贿或者采取其他不正当手段谋取中标。</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、为采购项目提供整体设计、规范编制或者项目管理、监理、检测等服务的供应商，不得再参加该采购项目的其他采购活动。</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、投标文件格式中的表格式样可以根据项目差别做适当调整</w:t>
      </w:r>
      <w:r>
        <w:rPr>
          <w:rFonts w:ascii="宋体" w:cs="宋体"/>
          <w:color w:val="auto"/>
          <w:sz w:val="24"/>
          <w:szCs w:val="24"/>
          <w:highlight w:val="none"/>
        </w:rPr>
        <w:t>,</w:t>
      </w:r>
      <w:r>
        <w:rPr>
          <w:rFonts w:hint="eastAsia" w:ascii="宋体" w:hAnsi="宋体" w:cs="宋体"/>
          <w:color w:val="auto"/>
          <w:sz w:val="24"/>
          <w:szCs w:val="24"/>
          <w:highlight w:val="none"/>
        </w:rPr>
        <w:t>但应当保持表格样式基本形态不变。</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、单位负责人为同一人或者存在直接控股、管理关系的不同供应商，不得参加同一合同项下的政府采购活动。</w:t>
      </w:r>
    </w:p>
    <w:p>
      <w:pPr>
        <w:spacing w:line="360" w:lineRule="auto"/>
        <w:ind w:firstLine="480" w:firstLineChars="200"/>
        <w:jc w:val="left"/>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、本项目不允许分包、转让。</w:t>
      </w: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二、招标文件</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（一）招标文件由招标文件总目录所列内容组成。</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（二）招标文件的澄清或修改</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、采购组织机构可视采购具体情况对已发出的招标文件进行必要的澄清或者修改。澄清或者修改的内容可能影响投标文件编制的，采购人或者采购组织机构应当在投标截止时间至少</w:t>
      </w:r>
      <w:r>
        <w:rPr>
          <w:rFonts w:ascii="宋体" w:hAnsi="宋体" w:cs="宋体"/>
          <w:color w:val="auto"/>
          <w:sz w:val="24"/>
          <w:szCs w:val="24"/>
          <w:highlight w:val="none"/>
        </w:rPr>
        <w:t>15</w:t>
      </w:r>
      <w:r>
        <w:rPr>
          <w:rFonts w:hint="eastAsia" w:ascii="宋体" w:hAnsi="宋体" w:cs="宋体"/>
          <w:color w:val="auto"/>
          <w:sz w:val="24"/>
          <w:szCs w:val="24"/>
          <w:highlight w:val="none"/>
        </w:rPr>
        <w:t>日前，在原公告发布媒体上发布澄清公告，澄清或者修改的内容为招标文件的组成部分；不足</w:t>
      </w:r>
      <w:r>
        <w:rPr>
          <w:rFonts w:ascii="宋体" w:hAnsi="宋体" w:cs="宋体"/>
          <w:color w:val="auto"/>
          <w:sz w:val="24"/>
          <w:szCs w:val="24"/>
          <w:highlight w:val="none"/>
        </w:rPr>
        <w:t>15</w:t>
      </w:r>
      <w:r>
        <w:rPr>
          <w:rFonts w:hint="eastAsia" w:ascii="宋体" w:hAnsi="宋体" w:cs="宋体"/>
          <w:color w:val="auto"/>
          <w:sz w:val="24"/>
          <w:szCs w:val="24"/>
          <w:highlight w:val="none"/>
        </w:rPr>
        <w:t>日的，采购人或者采购组织机构应当顺延提交投标文件的截止时间。</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、投标人在规定的时间内未对招标文件提出疑问、质疑或要求澄清的，将视其为无异议。对招标文件中描述有歧义或前后不一致的地方，评标委员会有权进行评判，但对同一条款的评判应适用于每个投标人。</w:t>
      </w: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三、投标文件</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lang w:val="zh-CN"/>
        </w:rPr>
        <w:t>（一）</w:t>
      </w:r>
      <w:r>
        <w:rPr>
          <w:rFonts w:hint="eastAsia" w:ascii="宋体" w:hAnsi="宋体" w:cs="宋体"/>
          <w:b/>
          <w:bCs/>
          <w:color w:val="auto"/>
          <w:sz w:val="24"/>
          <w:szCs w:val="24"/>
          <w:highlight w:val="none"/>
        </w:rPr>
        <w:t>投标文件的组成</w:t>
      </w:r>
    </w:p>
    <w:p>
      <w:pPr>
        <w:spacing w:line="360" w:lineRule="auto"/>
        <w:ind w:firstLine="480" w:firstLineChars="200"/>
        <w:rPr>
          <w:rFonts w:ascii="宋体"/>
          <w:color w:val="auto"/>
          <w:sz w:val="24"/>
          <w:szCs w:val="24"/>
          <w:highlight w:val="none"/>
          <w:lang w:val="zh-CN"/>
        </w:rPr>
      </w:pPr>
      <w:r>
        <w:rPr>
          <w:rFonts w:hint="eastAsia" w:ascii="宋体" w:hAnsi="宋体" w:cs="宋体"/>
          <w:color w:val="auto"/>
          <w:sz w:val="24"/>
          <w:szCs w:val="24"/>
          <w:highlight w:val="none"/>
        </w:rPr>
        <w:t>投标人接到招标文件后，按照采购组织机构的要求提供：资格证明文件、商务与技术文件和报价文件。</w:t>
      </w:r>
      <w:r>
        <w:rPr>
          <w:rFonts w:hint="eastAsia" w:ascii="宋体" w:hAnsi="宋体" w:cs="宋体"/>
          <w:color w:val="auto"/>
          <w:sz w:val="24"/>
          <w:szCs w:val="24"/>
          <w:highlight w:val="none"/>
          <w:lang w:val="zh-CN"/>
        </w:rPr>
        <w:t>【特别提示：如有要求提供资料原件的，相关原件需在投标文件递交截止时间前递交，逾期将不予接收（原件放置在档案袋中，可不用密封）。原件仅作为核查复印件真实性之用，如仅提供了原件，投标文件中未提供复印件，不予认定投标文件中具备该份资料。资料原件也可以用与原件相符的公证原件替代】</w:t>
      </w:r>
    </w:p>
    <w:p>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1、资格证明文件的组成：</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（1）投标声明书；</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（2）授权委托书（法定代表人亲自办理投标事宜的，则无需提交）；</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（3）法人或者其他组织的营业执照等证明文件，自然人的身份证明；</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（4）具有良好的商业信誉和健全的财务会计制度的承诺；</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（5）依法缴纳税收和社会保障资金的承诺；</w:t>
      </w:r>
    </w:p>
    <w:p>
      <w:pPr>
        <w:spacing w:line="360" w:lineRule="auto"/>
        <w:ind w:firstLine="480" w:firstLineChars="200"/>
        <w:rPr>
          <w:rFonts w:hint="eastAsia" w:ascii="宋体" w:hAnsi="宋体" w:cs="宋体"/>
          <w:color w:val="auto"/>
          <w:sz w:val="24"/>
          <w:szCs w:val="32"/>
          <w:highlight w:val="none"/>
          <w:lang w:eastAsia="zh-CN"/>
        </w:rPr>
      </w:pPr>
      <w:r>
        <w:rPr>
          <w:rFonts w:hint="eastAsia" w:ascii="宋体" w:hAnsi="宋体" w:eastAsia="宋体" w:cs="宋体"/>
          <w:color w:val="auto"/>
          <w:sz w:val="24"/>
          <w:szCs w:val="32"/>
          <w:highlight w:val="none"/>
        </w:rPr>
        <w:t>（6）参加政府采购活动前三年内，在经营活动中没有重大违法记录</w:t>
      </w:r>
      <w:r>
        <w:rPr>
          <w:rFonts w:hint="eastAsia" w:ascii="宋体" w:hAnsi="宋体" w:cs="宋体"/>
          <w:color w:val="auto"/>
          <w:sz w:val="24"/>
          <w:szCs w:val="32"/>
          <w:highlight w:val="none"/>
          <w:lang w:eastAsia="zh-CN"/>
        </w:rPr>
        <w:t>；</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（7）需要说明的其他资料。</w:t>
      </w:r>
    </w:p>
    <w:p>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2、商务与技术文件的组成：</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（1）投标人情况介绍。</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（2）投标方案描述：</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B.项目组织实施方案（包括项目工期、确保项目供货的措施或方案、项目实施进度安排、项目实施人员及项目负责人的资质、类似经验及社保证明等）。</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C.安装、调试及验收方案（包括项目验收标准和验收方法等）和措施。</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（3）投标产品描述及相关资料：</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A.设备配置清单</w:t>
      </w:r>
      <w:r>
        <w:rPr>
          <w:rFonts w:hint="eastAsia" w:ascii="宋体" w:hAnsi="宋体" w:eastAsia="宋体" w:cs="宋体"/>
          <w:b/>
          <w:bCs/>
          <w:color w:val="auto"/>
          <w:sz w:val="24"/>
          <w:szCs w:val="32"/>
          <w:highlight w:val="none"/>
        </w:rPr>
        <w:t>（均不含报价）</w:t>
      </w:r>
      <w:r>
        <w:rPr>
          <w:rFonts w:hint="eastAsia" w:ascii="宋体" w:hAnsi="宋体" w:eastAsia="宋体" w:cs="宋体"/>
          <w:color w:val="auto"/>
          <w:sz w:val="24"/>
          <w:szCs w:val="32"/>
          <w:highlight w:val="none"/>
        </w:rPr>
        <w:t>。</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B.产品品牌及型号、技术参数指标、性能特点、图片资料以及所遵循的技术规范、产品质保期、出厂标准、产品质量相关检测报告等内容。</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C.商务及技术响应表。</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【特别提示：节能和环境标志产品最新一期政府采购清单，可在“中国政府采购网”中查看】</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（4）投标人通过的质量管理和质量保证体系、环保体系、自主创新相关证书、软件著作权证等等与本项目相关的认证证书或文件；</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（5）近三年来类似项目的成功案例（投标人类似项目实施情况一览表、合同复印件及其相应的发票、用户验收报告等）；</w:t>
      </w:r>
    </w:p>
    <w:p>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rPr>
        <w:t>（6）投标人认为需要提供的其他资料（包括可能影响投标人商务与技术文件评分的各类证明材料）；</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（7）售后服务描述及承诺：</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A.距采购人最近的服务网点详细介绍（包括地理位置、资质资格、技术力量、工作业绩、服务内容及联系电话等）。</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B.针对本项目的售后服务措施及承诺（售后技术服务方案、人员配备、故障响应时间、技术培训方案等）。</w:t>
      </w:r>
    </w:p>
    <w:p>
      <w:pP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3、报价文件的组成</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（1）报价文件由开标一览表、报价明细表、中小企业等声明函（不符合中小企业要求的无需提供）以及投标人认为其他需要说明的内容组成。</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（2）此报价为投标人一次性报出唯一的最终价格，包含其它一切所要涉及到的费用，有选择的报价将被拒绝。</w:t>
      </w:r>
    </w:p>
    <w:p>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w:t>
      </w:r>
      <w:r>
        <w:rPr>
          <w:rFonts w:hint="eastAsia" w:ascii="宋体" w:hAnsi="宋体" w:eastAsia="宋体" w:cs="宋体"/>
          <w:color w:val="auto"/>
          <w:sz w:val="24"/>
          <w:szCs w:val="32"/>
          <w:highlight w:val="none"/>
        </w:rPr>
        <w:t>3</w:t>
      </w:r>
      <w:r>
        <w:rPr>
          <w:rFonts w:hint="eastAsia" w:ascii="宋体" w:hAnsi="宋体" w:eastAsia="宋体" w:cs="宋体"/>
          <w:color w:val="auto"/>
          <w:sz w:val="24"/>
          <w:szCs w:val="32"/>
          <w:highlight w:val="none"/>
          <w:lang w:val="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w:t>
      </w:r>
      <w:r>
        <w:rPr>
          <w:rFonts w:hint="eastAsia" w:ascii="宋体" w:hAnsi="宋体" w:eastAsia="宋体" w:cs="宋体"/>
          <w:color w:val="auto"/>
          <w:sz w:val="24"/>
          <w:szCs w:val="32"/>
          <w:highlight w:val="none"/>
        </w:rPr>
        <w:t>4</w:t>
      </w:r>
      <w:r>
        <w:rPr>
          <w:rFonts w:hint="eastAsia" w:ascii="宋体" w:hAnsi="宋体" w:eastAsia="宋体" w:cs="宋体"/>
          <w:color w:val="auto"/>
          <w:sz w:val="24"/>
          <w:szCs w:val="32"/>
          <w:highlight w:val="none"/>
          <w:lang w:val="zh-CN"/>
        </w:rPr>
        <w:t>）</w:t>
      </w:r>
      <w:r>
        <w:rPr>
          <w:rFonts w:hint="eastAsia" w:ascii="宋体" w:hAnsi="宋体" w:eastAsia="宋体" w:cs="宋体"/>
          <w:color w:val="auto"/>
          <w:sz w:val="24"/>
          <w:szCs w:val="32"/>
          <w:highlight w:val="none"/>
        </w:rPr>
        <w:t>政府采购优惠政策相关资料（如有）。</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（5）相关报价单需打印或用不退色的墨水填写， 投标报价单不得涂改和增删，如有错漏必须修改，修改处须由同一签署人签字或盖章。由于字迹模糊或表达不清引起的后果由投标人负责。</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（6）投标报价应按招标文件中相关附表格式填写。</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3、报价文件的组成</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）报价文件由开标一览表、报价明细表、中小企业等声明函（不符合中小企业要求的无需提供）以及投标人认为其他需要说明的内容组成。</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）此报价为投标人一次性报出唯一的最终价格，包含其它一切所要涉及到的费用，有选择的报价将被拒绝。</w:t>
      </w:r>
    </w:p>
    <w:p>
      <w:pPr>
        <w:spacing w:line="360" w:lineRule="auto"/>
        <w:ind w:firstLine="480" w:firstLineChars="200"/>
        <w:rPr>
          <w:rFonts w:asci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rPr>
        <w:t>3</w:t>
      </w:r>
      <w:r>
        <w:rPr>
          <w:rFonts w:hint="eastAsia" w:ascii="宋体" w:hAnsi="宋体" w:cs="宋体"/>
          <w:color w:val="auto"/>
          <w:sz w:val="24"/>
          <w:szCs w:val="24"/>
          <w:highlight w:val="none"/>
          <w:lang w:val="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报价中。</w:t>
      </w:r>
    </w:p>
    <w:p>
      <w:pPr>
        <w:spacing w:line="360" w:lineRule="auto"/>
        <w:ind w:firstLine="480" w:firstLineChars="200"/>
        <w:rPr>
          <w:rFonts w:ascii="宋体"/>
          <w:color w:val="auto"/>
          <w:sz w:val="24"/>
          <w:szCs w:val="24"/>
          <w:highlight w:val="none"/>
          <w:lang w:val="zh-CN"/>
        </w:rPr>
      </w:pPr>
      <w:r>
        <w:rPr>
          <w:rFonts w:hint="eastAsia" w:ascii="宋体" w:hAnsi="宋体" w:cs="宋体"/>
          <w:color w:val="auto"/>
          <w:sz w:val="24"/>
          <w:szCs w:val="24"/>
          <w:highlight w:val="none"/>
          <w:lang w:val="zh-CN"/>
        </w:rPr>
        <w:t>（</w:t>
      </w:r>
      <w:r>
        <w:rPr>
          <w:rFonts w:ascii="宋体" w:hAnsi="宋体" w:cs="宋体"/>
          <w:color w:val="auto"/>
          <w:sz w:val="24"/>
          <w:szCs w:val="24"/>
          <w:highlight w:val="none"/>
        </w:rPr>
        <w:t>4</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政府采购优惠政策相关资料（如有）。</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）相关报价单需打印或用不退色的墨水填写，投标报价单不得涂改和增删，如有错漏必须修改，修改处须由同一签署人签字或盖章。由于字迹模糊或表达不清引起的后果由投标人负责。</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）投标报价应按招标文件中相关附表格式填写。</w:t>
      </w:r>
    </w:p>
    <w:p>
      <w:pPr>
        <w:pStyle w:val="7"/>
        <w:ind w:firstLine="480" w:firstLineChars="200"/>
        <w:rPr>
          <w:color w:val="auto"/>
          <w:highlight w:val="none"/>
        </w:rPr>
      </w:pPr>
      <w:r>
        <w:rPr>
          <w:rFonts w:hint="eastAsia" w:ascii="宋体" w:hAnsi="宋体" w:cs="宋体"/>
          <w:color w:val="auto"/>
          <w:sz w:val="24"/>
          <w:szCs w:val="24"/>
          <w:highlight w:val="none"/>
        </w:rPr>
        <w:t>（7）</w:t>
      </w:r>
      <w:r>
        <w:rPr>
          <w:rFonts w:hint="eastAsia" w:ascii="宋体" w:hAnsi="宋体" w:cs="宋体"/>
          <w:color w:val="auto"/>
          <w:sz w:val="24"/>
          <w:szCs w:val="32"/>
          <w:highlight w:val="none"/>
        </w:rPr>
        <w:t>设备配置清单</w:t>
      </w:r>
      <w:r>
        <w:rPr>
          <w:rFonts w:hint="eastAsia" w:ascii="宋体" w:hAnsi="宋体" w:cs="宋体"/>
          <w:b/>
          <w:bCs/>
          <w:color w:val="auto"/>
          <w:sz w:val="24"/>
          <w:szCs w:val="32"/>
          <w:highlight w:val="none"/>
        </w:rPr>
        <w:t>（含报价）投标单位供货过程中配件价格不高于报价。</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（二）投标文件的制作及递交要求</w:t>
      </w:r>
    </w:p>
    <w:p>
      <w:pP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、投标文件的制作要求</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）投标人应按照投标文件组成内容及项目招标需求制作投标文件，不按招标文件要求制作投标文件的将视情处理（拒收、扣分等），由此产生的责任由投标人自行承担。</w:t>
      </w:r>
    </w:p>
    <w:p>
      <w:pPr>
        <w:spacing w:line="360" w:lineRule="auto"/>
        <w:ind w:firstLine="480" w:firstLineChars="200"/>
        <w:rPr>
          <w:rFonts w:ascii="宋体"/>
          <w:color w:val="auto"/>
          <w:sz w:val="24"/>
          <w:szCs w:val="24"/>
          <w:highlight w:val="none"/>
          <w:lang w:val="zh-CN"/>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）投标人应对所提供的全部资料的真实性承担法律责任，</w:t>
      </w:r>
      <w:r>
        <w:rPr>
          <w:rFonts w:hint="eastAsia" w:ascii="宋体" w:hAnsi="宋体" w:cs="宋体"/>
          <w:color w:val="auto"/>
          <w:sz w:val="24"/>
          <w:szCs w:val="24"/>
          <w:highlight w:val="none"/>
          <w:lang w:val="zh-CN"/>
        </w:rPr>
        <w:t>投标文件内容中有要求盖章或签字的地方，必须加盖投标人的公章以及法定代表人或授权委托代理人盖章或签字。</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val="zh-CN"/>
        </w:rPr>
        <w:t>（</w:t>
      </w:r>
      <w:r>
        <w:rPr>
          <w:rFonts w:ascii="宋体" w:hAnsi="宋体" w:cs="宋体"/>
          <w:color w:val="auto"/>
          <w:sz w:val="24"/>
          <w:szCs w:val="24"/>
          <w:highlight w:val="none"/>
        </w:rPr>
        <w:t>3</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投标文件以及投标人与采购组织机构就有关投标事宜的所有来往函电，均应以中文汉语书写。除签字、盖章、专用名称等特殊情形外，以中文汉语以外的文字表述的投标文件视同未提供。</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）投标计量单位，招标文件已有明确规定的，使用招标文件规定的计量单位；招标文件没有规定的，应采用中华人民共和国法定计量单位（货币单位：人民币元）。</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）若投标人不按招标文件的要求提供资格审查材料，其风险由投标人自行承担。</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）与本次投标无关的内容请不要制作在内，确保投标文件有针对性、简洁明了。</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①投标文件的编制</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本项目实行电子投标，供应商应准备电子投标文件、以介质（</w:t>
      </w:r>
      <w:r>
        <w:rPr>
          <w:rFonts w:ascii="宋体" w:hAnsi="宋体" w:cs="宋体"/>
          <w:color w:val="auto"/>
          <w:sz w:val="24"/>
          <w:szCs w:val="24"/>
          <w:highlight w:val="none"/>
        </w:rPr>
        <w:t>U</w:t>
      </w:r>
      <w:r>
        <w:rPr>
          <w:rFonts w:hint="eastAsia" w:ascii="宋体" w:hAnsi="宋体" w:cs="宋体"/>
          <w:color w:val="auto"/>
          <w:sz w:val="24"/>
          <w:szCs w:val="24"/>
          <w:highlight w:val="none"/>
        </w:rPr>
        <w:t>盘）存储的数据电文形式的备份投标文件、纸质备份投标文件三类：</w:t>
      </w:r>
    </w:p>
    <w:p>
      <w:pPr>
        <w:spacing w:line="360" w:lineRule="auto"/>
        <w:ind w:firstLine="480" w:firstLineChars="200"/>
        <w:rPr>
          <w:rFonts w:ascii="宋体"/>
          <w:color w:val="auto"/>
          <w:sz w:val="24"/>
          <w:szCs w:val="24"/>
          <w:highlight w:val="none"/>
          <w:lang w:val="en-GB"/>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）按政采云平台项目采购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电子招投标操作指南及本招标文件要求编制。</w:t>
      </w:r>
      <w:r>
        <w:rPr>
          <w:rFonts w:hint="eastAsia" w:ascii="宋体" w:hAnsi="宋体" w:cs="宋体"/>
          <w:color w:val="auto"/>
          <w:sz w:val="24"/>
          <w:szCs w:val="24"/>
          <w:highlight w:val="none"/>
          <w:lang w:val="en-GB"/>
        </w:rPr>
        <w:t>投标人应通过“政采云电子交易客户端”，并按照本招标文件和“政府采购云平台”的要求编制并加密投标文件。</w:t>
      </w:r>
    </w:p>
    <w:p>
      <w:pPr>
        <w:spacing w:line="360" w:lineRule="auto"/>
        <w:ind w:firstLine="480" w:firstLineChars="200"/>
        <w:rPr>
          <w:rFonts w:ascii="宋体"/>
          <w:color w:val="auto"/>
          <w:sz w:val="24"/>
          <w:szCs w:val="24"/>
          <w:highlight w:val="none"/>
          <w:lang w:val="en-GB"/>
        </w:rPr>
      </w:pPr>
      <w:r>
        <w:rPr>
          <w:rFonts w:ascii="宋体" w:hAnsi="宋体" w:cs="宋体"/>
          <w:color w:val="auto"/>
          <w:sz w:val="24"/>
          <w:szCs w:val="24"/>
          <w:highlight w:val="none"/>
          <w:lang w:val="en-GB"/>
        </w:rPr>
        <w:t>1.</w:t>
      </w:r>
      <w:r>
        <w:rPr>
          <w:rFonts w:ascii="宋体" w:hAnsi="宋体" w:cs="宋体"/>
          <w:color w:val="auto"/>
          <w:sz w:val="24"/>
          <w:szCs w:val="24"/>
          <w:highlight w:val="none"/>
        </w:rPr>
        <w:t>1</w:t>
      </w:r>
      <w:r>
        <w:rPr>
          <w:rFonts w:hint="eastAsia" w:ascii="宋体" w:hAnsi="宋体" w:cs="宋体"/>
          <w:color w:val="auto"/>
          <w:sz w:val="24"/>
          <w:szCs w:val="24"/>
          <w:highlight w:val="none"/>
          <w:lang w:val="en-GB"/>
        </w:rPr>
        <w:t>投标人应当按照本章节</w:t>
      </w:r>
      <w:r>
        <w:rPr>
          <w:rFonts w:ascii="宋体" w:hAnsi="宋体" w:cs="宋体"/>
          <w:color w:val="auto"/>
          <w:sz w:val="24"/>
          <w:szCs w:val="24"/>
          <w:highlight w:val="none"/>
          <w:lang w:val="en-GB"/>
        </w:rPr>
        <w:t xml:space="preserve"> </w:t>
      </w:r>
      <w:r>
        <w:rPr>
          <w:rFonts w:hint="eastAsia" w:ascii="宋体" w:hAnsi="宋体" w:cs="宋体"/>
          <w:color w:val="auto"/>
          <w:sz w:val="24"/>
          <w:szCs w:val="24"/>
          <w:highlight w:val="none"/>
          <w:lang w:val="en-GB"/>
        </w:rPr>
        <w:t>“投标文件组成”规定的内容及顺序在“政采云电子交易客户端”编制投标文件。其中《</w:t>
      </w:r>
      <w:r>
        <w:rPr>
          <w:rFonts w:hint="eastAsia" w:ascii="宋体" w:hAnsi="宋体" w:cs="宋体"/>
          <w:color w:val="auto"/>
          <w:sz w:val="24"/>
          <w:szCs w:val="24"/>
          <w:highlight w:val="none"/>
        </w:rPr>
        <w:t>资格证明文件</w:t>
      </w:r>
      <w:r>
        <w:rPr>
          <w:rFonts w:hint="eastAsia" w:ascii="宋体" w:hAnsi="宋体" w:cs="宋体"/>
          <w:color w:val="auto"/>
          <w:sz w:val="24"/>
          <w:szCs w:val="24"/>
          <w:highlight w:val="none"/>
          <w:lang w:val="en-GB"/>
        </w:rPr>
        <w:t>》和《</w:t>
      </w:r>
      <w:r>
        <w:rPr>
          <w:rFonts w:hint="eastAsia" w:ascii="宋体" w:hAnsi="宋体" w:cs="宋体"/>
          <w:color w:val="auto"/>
          <w:sz w:val="24"/>
          <w:szCs w:val="24"/>
          <w:highlight w:val="none"/>
        </w:rPr>
        <w:t>商务技术文件</w:t>
      </w:r>
      <w:r>
        <w:rPr>
          <w:rFonts w:hint="eastAsia" w:ascii="宋体" w:hAnsi="宋体" w:cs="宋体"/>
          <w:color w:val="auto"/>
          <w:sz w:val="24"/>
          <w:szCs w:val="24"/>
          <w:highlight w:val="none"/>
          <w:lang w:val="en-GB"/>
        </w:rPr>
        <w:t>》中不得出现本项目投标报价，如因投标人原因提前泄露投标报价，是投标人的责任。</w:t>
      </w:r>
    </w:p>
    <w:p>
      <w:pPr>
        <w:spacing w:line="360" w:lineRule="auto"/>
        <w:ind w:firstLine="480" w:firstLineChars="200"/>
        <w:rPr>
          <w:rFonts w:ascii="宋体"/>
          <w:color w:val="auto"/>
          <w:sz w:val="24"/>
          <w:szCs w:val="24"/>
          <w:highlight w:val="none"/>
          <w:lang w:val="en-GB"/>
        </w:rPr>
      </w:pPr>
      <w:r>
        <w:rPr>
          <w:rFonts w:ascii="宋体" w:hAnsi="宋体" w:cs="宋体"/>
          <w:color w:val="auto"/>
          <w:sz w:val="24"/>
          <w:szCs w:val="24"/>
          <w:highlight w:val="none"/>
          <w:lang w:val="zh-CN"/>
        </w:rPr>
        <w:t>1.</w:t>
      </w:r>
      <w:r>
        <w:rPr>
          <w:rFonts w:ascii="宋体" w:hAnsi="宋体" w:cs="宋体"/>
          <w:color w:val="auto"/>
          <w:sz w:val="24"/>
          <w:szCs w:val="24"/>
          <w:highlight w:val="none"/>
          <w:lang w:val="en-GB"/>
        </w:rPr>
        <w:t>2</w:t>
      </w:r>
      <w:r>
        <w:rPr>
          <w:rFonts w:hint="eastAsia" w:ascii="宋体" w:hAnsi="宋体" w:cs="宋体"/>
          <w:color w:val="auto"/>
          <w:sz w:val="24"/>
          <w:szCs w:val="24"/>
          <w:highlight w:val="none"/>
          <w:lang w:val="zh-CN"/>
        </w:rPr>
        <w:t>投标文件分为</w:t>
      </w:r>
      <w:r>
        <w:rPr>
          <w:rFonts w:hint="eastAsia" w:ascii="宋体" w:hAnsi="宋体" w:cs="宋体"/>
          <w:color w:val="auto"/>
          <w:sz w:val="24"/>
          <w:szCs w:val="24"/>
          <w:highlight w:val="none"/>
          <w:lang w:val="en-GB"/>
        </w:rPr>
        <w:t>资格证明文件、商务技术文件、报价文件三部分</w:t>
      </w:r>
      <w:r>
        <w:rPr>
          <w:rFonts w:hint="eastAsia" w:ascii="宋体" w:hAnsi="宋体" w:cs="宋体"/>
          <w:color w:val="auto"/>
          <w:sz w:val="24"/>
          <w:szCs w:val="24"/>
          <w:highlight w:val="none"/>
          <w:lang w:val="zh-CN"/>
        </w:rPr>
        <w:t>。各投标人在编制投标文件时请按照采购文件第六章规定的格式进行，</w:t>
      </w:r>
      <w:r>
        <w:rPr>
          <w:rFonts w:hint="eastAsia" w:ascii="宋体" w:hAnsi="宋体" w:cs="宋体"/>
          <w:color w:val="auto"/>
          <w:sz w:val="24"/>
          <w:szCs w:val="24"/>
          <w:highlight w:val="none"/>
          <w:lang w:val="en-GB"/>
        </w:rPr>
        <w:t>并按格式要求在指定位置根据要求进行签章，否则视为未提供，未提供格式的，请各投标人自行拟定格式，并加盖单位公章并由法定代表人或其授权代表签署（签字或盖章），否则视为未提供。</w:t>
      </w:r>
    </w:p>
    <w:p>
      <w:pPr>
        <w:spacing w:line="360" w:lineRule="auto"/>
        <w:ind w:firstLine="480" w:firstLineChars="200"/>
        <w:rPr>
          <w:rFonts w:ascii="宋体"/>
          <w:color w:val="auto"/>
          <w:sz w:val="24"/>
          <w:szCs w:val="24"/>
          <w:highlight w:val="none"/>
          <w:lang w:val="en-GB"/>
        </w:rPr>
      </w:pPr>
      <w:r>
        <w:rPr>
          <w:rFonts w:ascii="宋体" w:hAnsi="宋体" w:cs="宋体"/>
          <w:color w:val="auto"/>
          <w:sz w:val="24"/>
          <w:szCs w:val="24"/>
          <w:highlight w:val="none"/>
          <w:lang w:val="en-GB"/>
        </w:rPr>
        <w:t>1.3</w:t>
      </w:r>
      <w:r>
        <w:rPr>
          <w:rFonts w:hint="eastAsia" w:ascii="宋体" w:hAnsi="宋体" w:cs="宋体"/>
          <w:color w:val="auto"/>
          <w:sz w:val="24"/>
          <w:szCs w:val="24"/>
          <w:highlight w:val="none"/>
          <w:lang w:val="en-GB"/>
        </w:rPr>
        <w:t>《投标文件》内容不完整、</w:t>
      </w:r>
      <w:r>
        <w:rPr>
          <w:rFonts w:hint="eastAsia" w:ascii="宋体" w:hAnsi="宋体" w:cs="宋体"/>
          <w:color w:val="auto"/>
          <w:sz w:val="24"/>
          <w:szCs w:val="24"/>
          <w:highlight w:val="none"/>
          <w:lang w:val="zh-CN"/>
        </w:rPr>
        <w:t>混乱的编排导致投标文件被误读或评标委员会查找不到有效文件是投标人的责任。</w:t>
      </w:r>
      <w:r>
        <w:rPr>
          <w:rFonts w:hint="eastAsia" w:ascii="宋体" w:hAnsi="宋体" w:cs="宋体"/>
          <w:color w:val="auto"/>
          <w:sz w:val="24"/>
          <w:szCs w:val="24"/>
          <w:highlight w:val="none"/>
          <w:lang w:val="en-GB"/>
        </w:rPr>
        <w:t>《投标文件》因字迹潦草或表达不清所引起的后果由投标人负责，▲投标文件未按规定的格式编制的，投标无效。</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）以介质（</w:t>
      </w:r>
      <w:r>
        <w:rPr>
          <w:rFonts w:ascii="宋体" w:hAnsi="宋体" w:cs="宋体"/>
          <w:color w:val="auto"/>
          <w:sz w:val="24"/>
          <w:szCs w:val="24"/>
          <w:highlight w:val="none"/>
        </w:rPr>
        <w:t>U</w:t>
      </w:r>
      <w:r>
        <w:rPr>
          <w:rFonts w:hint="eastAsia" w:ascii="宋体" w:hAnsi="宋体" w:cs="宋体"/>
          <w:color w:val="auto"/>
          <w:sz w:val="24"/>
          <w:szCs w:val="24"/>
          <w:highlight w:val="none"/>
        </w:rPr>
        <w:t>盘）存储的数据电文形式的备份投标文件，按政采云平台项目采购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电子招投标操作指南中上传的电子投标文件格式，以</w:t>
      </w:r>
      <w:r>
        <w:rPr>
          <w:rFonts w:ascii="宋体" w:hAnsi="宋体" w:cs="宋体"/>
          <w:color w:val="auto"/>
          <w:sz w:val="24"/>
          <w:szCs w:val="24"/>
          <w:highlight w:val="none"/>
        </w:rPr>
        <w:t>U</w:t>
      </w:r>
      <w:r>
        <w:rPr>
          <w:rFonts w:hint="eastAsia" w:ascii="宋体" w:hAnsi="宋体" w:cs="宋体"/>
          <w:color w:val="auto"/>
          <w:sz w:val="24"/>
          <w:szCs w:val="24"/>
          <w:highlight w:val="none"/>
        </w:rPr>
        <w:t>盘形式提供。数量为</w:t>
      </w:r>
      <w:r>
        <w:rPr>
          <w:rFonts w:ascii="宋体" w:hAnsi="宋体" w:cs="宋体"/>
          <w:color w:val="auto"/>
          <w:sz w:val="24"/>
          <w:szCs w:val="24"/>
          <w:highlight w:val="none"/>
        </w:rPr>
        <w:t>1</w:t>
      </w:r>
      <w:r>
        <w:rPr>
          <w:rFonts w:hint="eastAsia" w:ascii="宋体" w:hAnsi="宋体" w:cs="宋体"/>
          <w:color w:val="auto"/>
          <w:sz w:val="24"/>
          <w:szCs w:val="24"/>
          <w:highlight w:val="none"/>
        </w:rPr>
        <w:t>份。</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）纸质备份投标文件以纸质文件的形式编制，按</w:t>
      </w:r>
      <w:r>
        <w:rPr>
          <w:rFonts w:hint="eastAsia" w:ascii="宋体" w:hAnsi="宋体" w:cs="宋体"/>
          <w:color w:val="auto"/>
          <w:sz w:val="24"/>
          <w:szCs w:val="24"/>
          <w:highlight w:val="none"/>
          <w:lang w:val="zh-CN"/>
        </w:rPr>
        <w:t>资格证明文件、商务技术文件、报价文件三部分</w:t>
      </w:r>
      <w:r>
        <w:rPr>
          <w:rFonts w:hint="eastAsia" w:ascii="宋体" w:hAnsi="宋体" w:cs="宋体"/>
          <w:color w:val="auto"/>
          <w:sz w:val="24"/>
          <w:szCs w:val="24"/>
          <w:highlight w:val="none"/>
        </w:rPr>
        <w:t>分别编制并单独装订成册，</w:t>
      </w:r>
      <w:r>
        <w:rPr>
          <w:rFonts w:hint="eastAsia" w:ascii="宋体" w:hAnsi="宋体" w:cs="宋体"/>
          <w:b/>
          <w:bCs/>
          <w:color w:val="auto"/>
          <w:sz w:val="24"/>
          <w:szCs w:val="24"/>
          <w:highlight w:val="none"/>
        </w:rPr>
        <w:t>数量均为</w:t>
      </w:r>
      <w:r>
        <w:rPr>
          <w:rFonts w:ascii="宋体" w:hAnsi="宋体" w:cs="宋体"/>
          <w:b/>
          <w:bCs/>
          <w:color w:val="auto"/>
          <w:sz w:val="24"/>
          <w:szCs w:val="24"/>
          <w:highlight w:val="none"/>
        </w:rPr>
        <w:t>2</w:t>
      </w:r>
      <w:r>
        <w:rPr>
          <w:rFonts w:hint="eastAsia" w:ascii="宋体" w:hAnsi="宋体" w:cs="宋体"/>
          <w:b/>
          <w:bCs/>
          <w:color w:val="auto"/>
          <w:sz w:val="24"/>
          <w:szCs w:val="24"/>
          <w:highlight w:val="none"/>
        </w:rPr>
        <w:t>份（一正一副）</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资格证明文件、商务技术文件、报价文件三部分</w:t>
      </w:r>
      <w:r>
        <w:rPr>
          <w:rFonts w:hint="eastAsia" w:ascii="宋体" w:hAnsi="宋体" w:cs="宋体"/>
          <w:color w:val="auto"/>
          <w:sz w:val="24"/>
          <w:szCs w:val="24"/>
          <w:highlight w:val="none"/>
        </w:rPr>
        <w:t>须分别密封封装，</w:t>
      </w:r>
      <w:r>
        <w:rPr>
          <w:rFonts w:hint="eastAsia" w:ascii="宋体" w:hAnsi="宋体" w:cs="宋体"/>
          <w:color w:val="auto"/>
          <w:sz w:val="24"/>
          <w:szCs w:val="24"/>
          <w:highlight w:val="none"/>
          <w:lang w:val="zh-CN"/>
        </w:rPr>
        <w:t>资格证明文件、商务技术文件、报价文件三部分</w:t>
      </w:r>
      <w:r>
        <w:rPr>
          <w:rFonts w:hint="eastAsia" w:ascii="宋体" w:hAnsi="宋体" w:cs="宋体"/>
          <w:color w:val="auto"/>
          <w:sz w:val="24"/>
          <w:szCs w:val="24"/>
          <w:highlight w:val="none"/>
        </w:rPr>
        <w:t>未分别密封的投标文件将为无效。除报价文件外其余一律不准出现数字报价。如有不同标段，请按标段号分别装订，密封要求同上。</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Ⅰ电子投标文件</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电子投标文件中须加盖公章、法人章部分均采用</w:t>
      </w:r>
      <w:r>
        <w:rPr>
          <w:rFonts w:ascii="宋体" w:hAnsi="宋体" w:cs="宋体"/>
          <w:color w:val="auto"/>
          <w:sz w:val="24"/>
          <w:szCs w:val="24"/>
          <w:highlight w:val="none"/>
        </w:rPr>
        <w:t>CA</w:t>
      </w:r>
      <w:r>
        <w:rPr>
          <w:rFonts w:hint="eastAsia" w:ascii="宋体" w:hAnsi="宋体" w:cs="宋体"/>
          <w:color w:val="auto"/>
          <w:sz w:val="24"/>
          <w:szCs w:val="24"/>
          <w:highlight w:val="none"/>
        </w:rPr>
        <w:t>签章，并根据“政采云供应商项目采购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电子投标文件如内容不完整、编排混乱导致投标文件被误读、漏读，或者在按采购文件规定的部位查找不到相关内容的，由投标人自行承担。</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温馨提醒：</w:t>
      </w:r>
      <w:r>
        <w:rPr>
          <w:rFonts w:ascii="宋体" w:hAnsi="宋体" w:cs="宋体"/>
          <w:color w:val="auto"/>
          <w:sz w:val="24"/>
          <w:szCs w:val="24"/>
          <w:highlight w:val="none"/>
        </w:rPr>
        <w:t>CA</w:t>
      </w:r>
      <w:r>
        <w:rPr>
          <w:rFonts w:hint="eastAsia" w:ascii="宋体" w:hAnsi="宋体" w:cs="宋体"/>
          <w:color w:val="auto"/>
          <w:sz w:val="24"/>
          <w:szCs w:val="24"/>
          <w:highlight w:val="none"/>
        </w:rPr>
        <w:t>签章上目前没有法人或授权代表签字信息，需要投标人联系</w:t>
      </w:r>
      <w:r>
        <w:rPr>
          <w:rFonts w:hint="eastAsia" w:ascii="宋体" w:hAnsi="宋体" w:cs="宋体"/>
          <w:b/>
          <w:bCs/>
          <w:color w:val="auto"/>
          <w:sz w:val="24"/>
          <w:szCs w:val="24"/>
          <w:highlight w:val="none"/>
        </w:rPr>
        <w:t>浙江杭州汇信科技有限公司（</w:t>
      </w:r>
      <w:r>
        <w:rPr>
          <w:rFonts w:ascii="宋体" w:hAnsi="宋体" w:cs="宋体"/>
          <w:b/>
          <w:bCs/>
          <w:color w:val="auto"/>
          <w:sz w:val="24"/>
          <w:szCs w:val="24"/>
          <w:highlight w:val="none"/>
        </w:rPr>
        <w:t>400-8884636</w:t>
      </w:r>
      <w:r>
        <w:rPr>
          <w:rFonts w:hint="eastAsia" w:ascii="宋体" w:hAnsi="宋体" w:cs="宋体"/>
          <w:b/>
          <w:bCs/>
          <w:color w:val="auto"/>
          <w:sz w:val="24"/>
          <w:szCs w:val="24"/>
          <w:highlight w:val="none"/>
        </w:rPr>
        <w:t>）</w:t>
      </w:r>
      <w:r>
        <w:rPr>
          <w:rFonts w:hint="eastAsia" w:ascii="宋体" w:hAnsi="宋体" w:cs="宋体"/>
          <w:color w:val="auto"/>
          <w:sz w:val="24"/>
          <w:szCs w:val="24"/>
          <w:highlight w:val="none"/>
        </w:rPr>
        <w:t>等相应公司进行办理，或在投标文件中涉及到签字的位置线下签好字然后扫描或者拍照做成</w:t>
      </w:r>
      <w:r>
        <w:rPr>
          <w:rFonts w:ascii="宋体" w:hAnsi="宋体" w:cs="宋体"/>
          <w:color w:val="auto"/>
          <w:sz w:val="24"/>
          <w:szCs w:val="24"/>
          <w:highlight w:val="none"/>
        </w:rPr>
        <w:t>PDF</w:t>
      </w:r>
      <w:r>
        <w:rPr>
          <w:rFonts w:hint="eastAsia" w:ascii="宋体" w:hAnsi="宋体" w:cs="宋体"/>
          <w:color w:val="auto"/>
          <w:sz w:val="24"/>
          <w:szCs w:val="24"/>
          <w:highlight w:val="none"/>
        </w:rPr>
        <w:t>的格式亦可。</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b/>
          <w:bCs/>
          <w:color w:val="auto"/>
          <w:sz w:val="24"/>
          <w:szCs w:val="24"/>
          <w:highlight w:val="none"/>
        </w:rPr>
        <w:t>以介质（</w:t>
      </w:r>
      <w:r>
        <w:rPr>
          <w:rFonts w:ascii="宋体" w:hAnsi="宋体" w:cs="宋体"/>
          <w:b/>
          <w:bCs/>
          <w:color w:val="auto"/>
          <w:sz w:val="24"/>
          <w:szCs w:val="24"/>
          <w:highlight w:val="none"/>
        </w:rPr>
        <w:t>U</w:t>
      </w:r>
      <w:r>
        <w:rPr>
          <w:rFonts w:hint="eastAsia" w:ascii="宋体" w:hAnsi="宋体" w:cs="宋体"/>
          <w:b/>
          <w:bCs/>
          <w:color w:val="auto"/>
          <w:sz w:val="24"/>
          <w:szCs w:val="24"/>
          <w:highlight w:val="none"/>
        </w:rPr>
        <w:t>盘）存储的数据电文形式的备份投标文件</w:t>
      </w:r>
      <w:r>
        <w:rPr>
          <w:rFonts w:hint="eastAsia" w:ascii="宋体" w:hAnsi="宋体" w:cs="宋体"/>
          <w:color w:val="auto"/>
          <w:sz w:val="24"/>
          <w:szCs w:val="24"/>
          <w:highlight w:val="none"/>
        </w:rPr>
        <w:t>，按政采云平台项目采购</w:t>
      </w:r>
      <w:r>
        <w:rPr>
          <w:rFonts w:ascii="宋体" w:cs="宋体"/>
          <w:color w:val="auto"/>
          <w:sz w:val="24"/>
          <w:szCs w:val="24"/>
          <w:highlight w:val="none"/>
        </w:rPr>
        <w:t>-</w:t>
      </w:r>
      <w:r>
        <w:rPr>
          <w:rFonts w:hint="eastAsia" w:ascii="宋体" w:hAnsi="宋体" w:cs="宋体"/>
          <w:color w:val="auto"/>
          <w:sz w:val="24"/>
          <w:szCs w:val="24"/>
          <w:highlight w:val="none"/>
        </w:rPr>
        <w:t>电子招投标操作指南中上传的电子投标文件格式，以</w:t>
      </w:r>
      <w:r>
        <w:rPr>
          <w:rFonts w:ascii="宋体" w:hAnsi="宋体" w:cs="宋体"/>
          <w:color w:val="auto"/>
          <w:sz w:val="24"/>
          <w:szCs w:val="24"/>
          <w:highlight w:val="none"/>
        </w:rPr>
        <w:t>U</w:t>
      </w:r>
      <w:r>
        <w:rPr>
          <w:rFonts w:hint="eastAsia" w:ascii="宋体" w:hAnsi="宋体" w:cs="宋体"/>
          <w:color w:val="auto"/>
          <w:sz w:val="24"/>
          <w:szCs w:val="24"/>
          <w:highlight w:val="none"/>
        </w:rPr>
        <w:t>盘形式提供。数量为</w:t>
      </w:r>
      <w:r>
        <w:rPr>
          <w:rFonts w:ascii="宋体" w:hAnsi="宋体" w:cs="宋体"/>
          <w:color w:val="auto"/>
          <w:sz w:val="24"/>
          <w:szCs w:val="24"/>
          <w:highlight w:val="none"/>
        </w:rPr>
        <w:t>1</w:t>
      </w:r>
      <w:r>
        <w:rPr>
          <w:rFonts w:hint="eastAsia" w:ascii="宋体" w:hAnsi="宋体" w:cs="宋体"/>
          <w:color w:val="auto"/>
          <w:sz w:val="24"/>
          <w:szCs w:val="24"/>
          <w:highlight w:val="none"/>
        </w:rPr>
        <w:t>份。</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Ⅱ纸质备份投标文件</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所有纸质投标资料应按投标文件的组成所列内容及顺序装订成册，</w:t>
      </w:r>
      <w:r>
        <w:rPr>
          <w:rFonts w:hint="eastAsia" w:ascii="宋体" w:hAnsi="宋体" w:cs="宋体"/>
          <w:color w:val="auto"/>
          <w:sz w:val="24"/>
          <w:szCs w:val="24"/>
          <w:highlight w:val="none"/>
          <w:lang w:val="zh-CN"/>
        </w:rPr>
        <w:t>并逐页连续标注页码。因投标文件内容不完整、编排混乱导致投标文件被误读、漏读或者查找不到相关内容的责任由投标人自行承担。</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投标人应按</w:t>
      </w:r>
      <w:r>
        <w:rPr>
          <w:rFonts w:hint="eastAsia" w:ascii="宋体" w:hAnsi="宋体" w:cs="宋体"/>
          <w:color w:val="auto"/>
          <w:sz w:val="24"/>
          <w:szCs w:val="24"/>
          <w:highlight w:val="none"/>
          <w:lang w:val="zh-CN"/>
        </w:rPr>
        <w:t>资格证明文件、商务技术文件、报价文件三部分</w:t>
      </w:r>
      <w:r>
        <w:rPr>
          <w:rFonts w:hint="eastAsia" w:ascii="宋体" w:hAnsi="宋体" w:cs="宋体"/>
          <w:color w:val="auto"/>
          <w:sz w:val="24"/>
          <w:szCs w:val="24"/>
          <w:highlight w:val="none"/>
        </w:rPr>
        <w:t>分别编制并单独装订成册，活页装订的投标文件将被拒绝。投标文件需打印或用不褪色的墨水填写。</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投标人应按</w:t>
      </w:r>
      <w:r>
        <w:rPr>
          <w:rFonts w:hint="eastAsia" w:ascii="宋体" w:hAnsi="宋体" w:cs="宋体"/>
          <w:color w:val="auto"/>
          <w:sz w:val="24"/>
          <w:szCs w:val="24"/>
          <w:highlight w:val="none"/>
          <w:lang w:val="zh-CN"/>
        </w:rPr>
        <w:t>资格证明文件、商务技术文件、报价文件三部分</w:t>
      </w:r>
      <w:r>
        <w:rPr>
          <w:rFonts w:hint="eastAsia" w:ascii="宋体" w:hAnsi="宋体" w:cs="宋体"/>
          <w:color w:val="auto"/>
          <w:sz w:val="24"/>
          <w:szCs w:val="24"/>
          <w:highlight w:val="none"/>
        </w:rPr>
        <w:t>分别密封封装纸质备份投标文件。</w:t>
      </w:r>
      <w:r>
        <w:rPr>
          <w:rFonts w:hint="eastAsia" w:ascii="宋体" w:hAnsi="宋体" w:cs="宋体"/>
          <w:color w:val="auto"/>
          <w:sz w:val="24"/>
          <w:szCs w:val="24"/>
          <w:highlight w:val="none"/>
          <w:lang w:val="zh-CN"/>
        </w:rPr>
        <w:t>资格证明文件、商务技术文件、报价文件三部分</w:t>
      </w:r>
      <w:r>
        <w:rPr>
          <w:rFonts w:hint="eastAsia" w:ascii="宋体" w:hAnsi="宋体" w:cs="宋体"/>
          <w:color w:val="auto"/>
          <w:sz w:val="24"/>
          <w:szCs w:val="24"/>
          <w:highlight w:val="none"/>
        </w:rPr>
        <w:t>未分别密封的投标文件将为无效。请在密封袋的封口处应有投标单位公章或投标授权委托代理人签字。封皮上写明项目编号、标段、招标项目名称、投标人名称，并注明“投标文件名称（</w:t>
      </w:r>
      <w:r>
        <w:rPr>
          <w:rFonts w:hint="eastAsia" w:ascii="宋体" w:hAnsi="宋体" w:cs="宋体"/>
          <w:color w:val="auto"/>
          <w:sz w:val="24"/>
          <w:szCs w:val="24"/>
          <w:highlight w:val="none"/>
          <w:lang w:val="zh-CN"/>
        </w:rPr>
        <w:t>资格证明文件、商务技术文件、报价文件</w:t>
      </w:r>
      <w:r>
        <w:rPr>
          <w:rFonts w:hint="eastAsia" w:ascii="宋体" w:hAnsi="宋体" w:cs="宋体"/>
          <w:color w:val="auto"/>
          <w:sz w:val="24"/>
          <w:szCs w:val="24"/>
          <w:highlight w:val="none"/>
        </w:rPr>
        <w:t>）”、“开标时启封”字样，未按上述要求密封及加写标记，采购组织机构对投标文件的误投和提前启封不负责任。</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项目如分标段，各标段投标文件必须分开编制，并按上述份数要求单独密封包装。</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lang w:val="zh-CN"/>
        </w:rPr>
        <w:t>因密封不严、标记不明而造成失密、拒收、过早启封等情况，采购组织机构概不负责。</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相关原件在投标文件递交截止时间前递交，逾期将不予接收（原件放置在档案袋中，可不用密封）。原件仅作为核查复印件真实性之用，如仅提供了原件，投标文件中未提供复印件，不予认定投标文件中具备该份资料。</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投标人在投标截止时间之前，可以对已提交的纸质备份投标文件进行修改或撤回，但应以书面形式通知采购单位，书面形式应加盖投标人公章或由法定代表人（或</w:t>
      </w:r>
      <w:r>
        <w:rPr>
          <w:rFonts w:hint="eastAsia" w:ascii="宋体" w:hAnsi="宋体" w:cs="宋体"/>
          <w:color w:val="auto"/>
          <w:sz w:val="24"/>
          <w:szCs w:val="24"/>
          <w:highlight w:val="none"/>
          <w:lang w:eastAsia="zh-CN"/>
        </w:rPr>
        <w:t>授权委托代理人</w:t>
      </w:r>
      <w:r>
        <w:rPr>
          <w:rFonts w:hint="eastAsia" w:ascii="宋体" w:hAnsi="宋体" w:cs="宋体"/>
          <w:color w:val="auto"/>
          <w:sz w:val="24"/>
          <w:szCs w:val="24"/>
          <w:highlight w:val="none"/>
        </w:rPr>
        <w:t>）签署或盖章。投标截止时间后，投标人不得撤回、修改投标文件。修改后重新递交的投标文件应当按本招标文件的要求签署、盖章和密封。</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纸质备份投标文件须由投标人在规定位置盖章并由法定代表人签署或盖章，投标人应写全称。纸质备份投标文件未按照招标文件要求签署、盖章的，其投标无效。</w:t>
      </w:r>
    </w:p>
    <w:p>
      <w:pPr>
        <w:spacing w:line="360" w:lineRule="auto"/>
        <w:ind w:firstLine="480" w:firstLineChars="200"/>
        <w:rPr>
          <w:rFonts w:ascii="宋体"/>
          <w:b/>
          <w:bCs/>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纸质备份投标文件不得涂改，若有修改错漏处，须加盖单位公章或法定代表人或授权</w:t>
      </w:r>
      <w:r>
        <w:rPr>
          <w:rFonts w:hint="eastAsia" w:ascii="宋体" w:hAnsi="宋体" w:cs="宋体"/>
          <w:color w:val="auto"/>
          <w:sz w:val="24"/>
          <w:szCs w:val="24"/>
          <w:highlight w:val="none"/>
          <w:lang w:eastAsia="zh-CN"/>
        </w:rPr>
        <w:t>授权委托代理人</w:t>
      </w:r>
      <w:r>
        <w:rPr>
          <w:rFonts w:hint="eastAsia" w:ascii="宋体" w:hAnsi="宋体" w:cs="宋体"/>
          <w:color w:val="auto"/>
          <w:sz w:val="24"/>
          <w:szCs w:val="24"/>
          <w:highlight w:val="none"/>
        </w:rPr>
        <w:t>签字或盖章。投标文件因字迹潦草或表达不清所引起的后果由投标人负责。</w:t>
      </w:r>
    </w:p>
    <w:p>
      <w:pP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、投标文件的递交要求</w:t>
      </w:r>
    </w:p>
    <w:p>
      <w:pPr>
        <w:spacing w:line="360" w:lineRule="auto"/>
        <w:ind w:firstLine="480" w:firstLineChars="200"/>
        <w:rPr>
          <w:rFonts w:ascii="宋体"/>
          <w:color w:val="auto"/>
          <w:sz w:val="24"/>
          <w:szCs w:val="24"/>
          <w:highlight w:val="none"/>
          <w:lang w:val="en-GB"/>
        </w:rPr>
      </w:pPr>
      <w:r>
        <w:rPr>
          <w:rFonts w:hint="eastAsia" w:ascii="宋体" w:hAnsi="宋体" w:cs="宋体"/>
          <w:color w:val="auto"/>
          <w:sz w:val="24"/>
          <w:szCs w:val="24"/>
          <w:highlight w:val="none"/>
          <w:lang w:val="en-GB"/>
        </w:rPr>
        <w:t>（</w:t>
      </w:r>
      <w:r>
        <w:rPr>
          <w:rFonts w:ascii="宋体" w:hAnsi="宋体" w:cs="宋体"/>
          <w:color w:val="auto"/>
          <w:sz w:val="24"/>
          <w:szCs w:val="24"/>
          <w:highlight w:val="none"/>
        </w:rPr>
        <w:t>1</w:t>
      </w:r>
      <w:r>
        <w:rPr>
          <w:rFonts w:hint="eastAsia" w:ascii="宋体" w:hAnsi="宋体" w:cs="宋体"/>
          <w:color w:val="auto"/>
          <w:sz w:val="24"/>
          <w:szCs w:val="24"/>
          <w:highlight w:val="none"/>
          <w:lang w:val="en-GB"/>
        </w:rPr>
        <w:t>）“投标文件”的上传、递交：见《前附表》。▲未传输递交电子投标文件的，投标无效。</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）以介质（</w:t>
      </w:r>
      <w:r>
        <w:rPr>
          <w:rFonts w:ascii="宋体" w:hAnsi="宋体" w:cs="宋体"/>
          <w:color w:val="auto"/>
          <w:sz w:val="24"/>
          <w:szCs w:val="24"/>
          <w:highlight w:val="none"/>
        </w:rPr>
        <w:t>U</w:t>
      </w:r>
      <w:r>
        <w:rPr>
          <w:rFonts w:hint="eastAsia" w:ascii="宋体" w:hAnsi="宋体" w:cs="宋体"/>
          <w:color w:val="auto"/>
          <w:sz w:val="24"/>
          <w:szCs w:val="24"/>
          <w:highlight w:val="none"/>
        </w:rPr>
        <w:t>盘）存储的数据电文形式的备份投标文件和纸质备份投标文件必须在规定时间前送达或邮寄至</w:t>
      </w:r>
      <w:r>
        <w:rPr>
          <w:rFonts w:hint="eastAsia" w:ascii="宋体" w:hAnsi="宋体" w:cs="宋体"/>
          <w:color w:val="auto"/>
          <w:sz w:val="24"/>
          <w:szCs w:val="24"/>
          <w:highlight w:val="none"/>
          <w:lang w:val="en-GB"/>
        </w:rPr>
        <w:t>公告规定的</w:t>
      </w:r>
      <w:r>
        <w:rPr>
          <w:rFonts w:hint="eastAsia" w:ascii="宋体" w:hAnsi="宋体" w:cs="宋体"/>
          <w:color w:val="auto"/>
          <w:sz w:val="24"/>
          <w:szCs w:val="24"/>
          <w:highlight w:val="none"/>
        </w:rPr>
        <w:t>地点。备份投标文件在截止时间后提交，采购组织机构将拒绝接收。</w:t>
      </w:r>
      <w:r>
        <w:rPr>
          <w:rFonts w:hint="eastAsia" w:ascii="宋体" w:hAnsi="宋体" w:cs="宋体"/>
          <w:color w:val="auto"/>
          <w:sz w:val="24"/>
          <w:szCs w:val="24"/>
          <w:highlight w:val="none"/>
          <w:lang w:val="en-GB"/>
        </w:rPr>
        <w:t>▲未按规定提供相应的备份投标文件，造成项目开评标活动无法进行下去的，投标无效。</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）如有特殊情况，采购组织机构延长截止时间和开标时间，采购组织机构和投标人的权利和义务将受到新的截止时间和开标时间的约束。</w:t>
      </w:r>
    </w:p>
    <w:p>
      <w:pPr>
        <w:spacing w:line="360" w:lineRule="auto"/>
        <w:ind w:firstLine="480" w:firstLineChars="200"/>
        <w:rPr>
          <w:rFonts w:ascii="宋体"/>
          <w:color w:val="auto"/>
          <w:sz w:val="24"/>
          <w:szCs w:val="24"/>
          <w:highlight w:val="none"/>
          <w:lang w:val="en-GB"/>
        </w:rPr>
      </w:pPr>
      <w:r>
        <w:rPr>
          <w:rFonts w:hint="eastAsia" w:ascii="宋体" w:hAnsi="宋体" w:cs="宋体"/>
          <w:color w:val="auto"/>
          <w:sz w:val="24"/>
          <w:szCs w:val="24"/>
          <w:highlight w:val="none"/>
          <w:lang w:val="en-GB"/>
        </w:rPr>
        <w:t>（</w:t>
      </w:r>
      <w:r>
        <w:rPr>
          <w:rFonts w:ascii="宋体" w:hAnsi="宋体" w:cs="宋体"/>
          <w:color w:val="auto"/>
          <w:sz w:val="24"/>
          <w:szCs w:val="24"/>
          <w:highlight w:val="none"/>
        </w:rPr>
        <w:t>4</w:t>
      </w:r>
      <w:r>
        <w:rPr>
          <w:rFonts w:hint="eastAsia" w:ascii="宋体" w:hAnsi="宋体" w:cs="宋体"/>
          <w:color w:val="auto"/>
          <w:sz w:val="24"/>
          <w:szCs w:val="24"/>
          <w:highlight w:val="none"/>
          <w:lang w:val="en-GB"/>
        </w:rPr>
        <w:t>）投标文件的备选方案</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lang w:val="en-GB"/>
        </w:rPr>
        <w:t>投标人不得递交任何的投标备选（替代）方案，否则其投标文件将作无效标处理。与“电子加密投标文件”同时生成的“备份投标文件”不是投标备选（替代）方案。</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（三）投标文件的有效期</w:t>
      </w:r>
    </w:p>
    <w:p>
      <w:pPr>
        <w:spacing w:line="360" w:lineRule="auto"/>
        <w:ind w:firstLine="480" w:firstLineChars="200"/>
        <w:rPr>
          <w:rFonts w:ascii="宋体"/>
          <w:color w:val="auto"/>
          <w:sz w:val="24"/>
          <w:szCs w:val="24"/>
          <w:highlight w:val="none"/>
          <w:lang w:val="en-GB"/>
        </w:rPr>
      </w:pPr>
      <w:r>
        <w:rPr>
          <w:rFonts w:ascii="宋体" w:hAnsi="宋体" w:cs="宋体"/>
          <w:color w:val="auto"/>
          <w:sz w:val="24"/>
          <w:szCs w:val="24"/>
          <w:highlight w:val="none"/>
        </w:rPr>
        <w:t>1.</w:t>
      </w:r>
      <w:r>
        <w:rPr>
          <w:rFonts w:hint="eastAsia" w:ascii="宋体" w:hAnsi="宋体" w:cs="宋体"/>
          <w:color w:val="auto"/>
          <w:sz w:val="24"/>
          <w:szCs w:val="24"/>
          <w:highlight w:val="none"/>
          <w:lang w:val="en-GB"/>
        </w:rPr>
        <w:t>自投标截止日起</w:t>
      </w:r>
      <w:r>
        <w:rPr>
          <w:rFonts w:ascii="宋体" w:hAnsi="宋体" w:cs="宋体"/>
          <w:color w:val="auto"/>
          <w:sz w:val="24"/>
          <w:szCs w:val="24"/>
          <w:highlight w:val="none"/>
          <w:lang w:val="en-GB"/>
        </w:rPr>
        <w:t>90</w:t>
      </w:r>
      <w:r>
        <w:rPr>
          <w:rFonts w:hint="eastAsia" w:ascii="宋体" w:hAnsi="宋体" w:cs="宋体"/>
          <w:color w:val="auto"/>
          <w:sz w:val="24"/>
          <w:szCs w:val="24"/>
          <w:highlight w:val="none"/>
          <w:lang w:val="en-GB"/>
        </w:rPr>
        <w:t>天投标文件应保持有效。有效期不足的投标文件将被拒绝。</w:t>
      </w:r>
    </w:p>
    <w:p>
      <w:pPr>
        <w:spacing w:line="360" w:lineRule="auto"/>
        <w:ind w:firstLine="480" w:firstLineChars="200"/>
        <w:rPr>
          <w:rFonts w:ascii="宋体"/>
          <w:color w:val="auto"/>
          <w:sz w:val="24"/>
          <w:szCs w:val="24"/>
          <w:highlight w:val="none"/>
          <w:lang w:val="en-GB"/>
        </w:rPr>
      </w:pPr>
      <w:r>
        <w:rPr>
          <w:rFonts w:ascii="宋体" w:hAnsi="宋体" w:cs="宋体"/>
          <w:color w:val="auto"/>
          <w:sz w:val="24"/>
          <w:szCs w:val="24"/>
          <w:highlight w:val="none"/>
        </w:rPr>
        <w:t>2.</w:t>
      </w:r>
      <w:r>
        <w:rPr>
          <w:rFonts w:hint="eastAsia" w:ascii="宋体" w:hAnsi="宋体" w:cs="宋体"/>
          <w:color w:val="auto"/>
          <w:sz w:val="24"/>
          <w:szCs w:val="24"/>
          <w:highlight w:val="none"/>
          <w:lang w:val="en-GB"/>
        </w:rPr>
        <w:t>在特殊情况下，采购人可与投标人协商延长投标文件的有效期，这种要求和答复均以书面形式进行。</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中标供应商的投标文件自开标之日起至合同履行完毕均应保持有效。</w:t>
      </w:r>
    </w:p>
    <w:p>
      <w:pPr>
        <w:spacing w:line="360" w:lineRule="auto"/>
        <w:rPr>
          <w:rFonts w:ascii="宋体"/>
          <w:color w:val="auto"/>
          <w:sz w:val="24"/>
          <w:szCs w:val="24"/>
          <w:highlight w:val="none"/>
        </w:rPr>
      </w:pPr>
      <w:r>
        <w:rPr>
          <w:rFonts w:hint="eastAsia" w:ascii="宋体" w:hAnsi="宋体" w:cs="宋体"/>
          <w:b/>
          <w:bCs/>
          <w:color w:val="auto"/>
          <w:kern w:val="0"/>
          <w:sz w:val="24"/>
          <w:szCs w:val="24"/>
          <w:highlight w:val="none"/>
        </w:rPr>
        <w:t>四、</w:t>
      </w:r>
      <w:r>
        <w:rPr>
          <w:rFonts w:hint="eastAsia" w:ascii="宋体" w:hAnsi="宋体" w:cs="宋体"/>
          <w:b/>
          <w:bCs/>
          <w:color w:val="auto"/>
          <w:sz w:val="24"/>
          <w:szCs w:val="24"/>
          <w:highlight w:val="none"/>
        </w:rPr>
        <w:t>开标</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（一）开标事项</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采购组织机构在“招标公告”规定的时间和地点公开开标，本次招标采用先评审商务资格和技术服务方案，后公开并评审报价的办法实施。</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采购过程中出现以下情形，导致电子交易平台无法正常运行，或者无法保证电子交易的公平、公正和安全时，采购组织机构可中止电子交易活动：</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）电子交易平台发生故障而无法登录访问的；</w:t>
      </w:r>
      <w:r>
        <w:rPr>
          <w:rFonts w:ascii="宋体" w:hAnsi="宋体" w:cs="宋体"/>
          <w:color w:val="auto"/>
          <w:sz w:val="24"/>
          <w:szCs w:val="24"/>
          <w:highlight w:val="none"/>
        </w:rPr>
        <w:t xml:space="preserve"> </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）电子交易平台应用或数据库出现错误，不能进行正常操作的；</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）电子交易平台发现严重安全漏洞，有潜在泄密危险的；</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）病毒导致不能进行正常操作的；</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）其他无法保证电子交易的公平、公正和安全的情况。</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开标程序：</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、开标会由招标项目负责人主持，主持人宣布开标会议开始；</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、主持人介绍参加开标会的人员名单；</w:t>
      </w:r>
      <w:r>
        <w:rPr>
          <w:rFonts w:ascii="宋体" w:hAnsi="宋体" w:cs="宋体"/>
          <w:color w:val="auto"/>
          <w:sz w:val="24"/>
          <w:szCs w:val="24"/>
          <w:highlight w:val="none"/>
        </w:rPr>
        <w:t xml:space="preserve"> </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、主持人宣布评标期间的有关事项，告知应当回避的情形，提请有关人员回避；对投标人进行签到验证。</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、向各投标人发出电子加密投标文件【开始解密】通知，由投标人按招标文件规定的时间内自行进行投标文件解密。投标文件的制作和解密应使用同一个数字证书，否则将可能解密失败。</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、采购组织机构点击【开启标书信息】，开启标书成功后进入开标流程。</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资格证明文件和商务技术文件</w:t>
      </w:r>
      <w:r>
        <w:rPr>
          <w:rFonts w:hint="eastAsia" w:ascii="宋体" w:hAnsi="宋体" w:cs="宋体"/>
          <w:color w:val="auto"/>
          <w:sz w:val="24"/>
          <w:szCs w:val="24"/>
          <w:highlight w:val="none"/>
        </w:rPr>
        <w:t>评审；</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、由主持人公布无效投标的投标人名单、投标无效的原因及其他有效投标的评分汇总分；</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、开启报价响应文件：采购代理机构成功开启报价响应文件后，方可查看各供应商报价情况。</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9</w:t>
      </w:r>
      <w:r>
        <w:rPr>
          <w:rFonts w:hint="eastAsia" w:ascii="宋体" w:hAnsi="宋体" w:cs="宋体"/>
          <w:color w:val="auto"/>
          <w:sz w:val="24"/>
          <w:szCs w:val="24"/>
          <w:highlight w:val="none"/>
        </w:rPr>
        <w:t>、报价文件评审；</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10</w:t>
      </w:r>
      <w:r>
        <w:rPr>
          <w:rFonts w:hint="eastAsia" w:ascii="宋体" w:hAnsi="宋体" w:cs="宋体"/>
          <w:color w:val="auto"/>
          <w:sz w:val="24"/>
          <w:szCs w:val="24"/>
          <w:highlight w:val="none"/>
        </w:rPr>
        <w:t>、由主持人公布无效投标的投标人名单、投标无效的原因及其他有效投标的报价文件得分；</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、宣布综合得分结果及中标候选人名单；</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rPr>
        <w:t>、开标会议结束。</w:t>
      </w: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五、评标</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项目采用不公开方式评标，评标的依据为招标文件和投标文件。本项目采用电子评审方法，若因政采云平台原因无法读取或电子开评标无法正常进行，采购代理机构将开启投标人递交的纸质备份投标文件，以完成开、评标，电子投标文件自动失效。</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（一）组建评标委员会</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评标委员会由采购人代表和评审专家组成，成员人数为</w:t>
      </w:r>
      <w:r>
        <w:rPr>
          <w:rFonts w:ascii="宋体" w:hAnsi="宋体" w:cs="宋体"/>
          <w:color w:val="auto"/>
          <w:sz w:val="24"/>
          <w:szCs w:val="24"/>
          <w:highlight w:val="none"/>
        </w:rPr>
        <w:t>5</w:t>
      </w:r>
      <w:r>
        <w:rPr>
          <w:rFonts w:hint="eastAsia" w:ascii="宋体" w:hAnsi="宋体" w:cs="宋体"/>
          <w:color w:val="auto"/>
          <w:sz w:val="24"/>
          <w:szCs w:val="24"/>
          <w:highlight w:val="none"/>
        </w:rPr>
        <w:t>人以上单数，其中评审专家不得少于成员总数的三分之二。</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（二）评标程序</w:t>
      </w:r>
    </w:p>
    <w:p>
      <w:pP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、资格审查</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公开招标采购项目开标结束后，采购人或者采购组织机构应当依法对投标人的资格进行审查，对审查发现无效的进行必要的询标，结束后公布无效投标的投标人名单、投标无效的原因。</w:t>
      </w:r>
    </w:p>
    <w:p>
      <w:pP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2</w:t>
      </w:r>
      <w:r>
        <w:rPr>
          <w:rFonts w:hint="eastAsia" w:ascii="宋体" w:hAnsi="宋体" w:cs="宋体"/>
          <w:b/>
          <w:bCs/>
          <w:color w:val="auto"/>
          <w:sz w:val="24"/>
          <w:szCs w:val="24"/>
          <w:highlight w:val="none"/>
        </w:rPr>
        <w:t>、符合性审查</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pP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3</w:t>
      </w:r>
      <w:r>
        <w:rPr>
          <w:rFonts w:hint="eastAsia" w:ascii="宋体" w:hAnsi="宋体" w:cs="宋体"/>
          <w:b/>
          <w:bCs/>
          <w:color w:val="auto"/>
          <w:sz w:val="24"/>
          <w:szCs w:val="24"/>
          <w:highlight w:val="none"/>
        </w:rPr>
        <w:t>、综合比较与评价</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）对于投标文件中含义不明确、同类问题表述不一致或者有明显文字和计算错误的内容，评标委员会应当以书面形式要求投标人作出必要的澄清、说明或者补正。</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）评标委员会应当按照招标文件中规定的评标方法和标准，对符合性审查合格的投标文件进行商务和技术评估，综合比较与评价。</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）评标时，评标委员会各成员应当独立对每个投标人的投标文件进行评价，并汇总每个投标人的得分。</w:t>
      </w:r>
    </w:p>
    <w:p>
      <w:pP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4</w:t>
      </w:r>
      <w:r>
        <w:rPr>
          <w:rFonts w:hint="eastAsia" w:ascii="宋体" w:hAnsi="宋体" w:cs="宋体"/>
          <w:b/>
          <w:bCs/>
          <w:color w:val="auto"/>
          <w:sz w:val="24"/>
          <w:szCs w:val="24"/>
          <w:highlight w:val="none"/>
        </w:rPr>
        <w:t>、得分确认及评审报告编写</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）评标委员会对报价文件进行复核，对于系统计算出的价格分及总得分进行确认；</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）评标委员会应当按照招标文件中规定的评标方法和标准，对符合性审查合格的投标文件进行商务和技术评估，综合比较与评价。</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）评标委员会按评标原则及得分情况编写评审报告。</w:t>
      </w:r>
    </w:p>
    <w:p>
      <w:pPr>
        <w:spacing w:line="360" w:lineRule="auto"/>
        <w:ind w:firstLine="482" w:firstLineChars="200"/>
        <w:rPr>
          <w:rFonts w:ascii="宋体"/>
          <w:b/>
          <w:bCs/>
          <w:color w:val="auto"/>
          <w:sz w:val="24"/>
          <w:szCs w:val="24"/>
          <w:highlight w:val="none"/>
        </w:rPr>
      </w:pPr>
      <w:r>
        <w:rPr>
          <w:rFonts w:ascii="宋体" w:hAnsi="宋体" w:cs="宋体"/>
          <w:b/>
          <w:bCs/>
          <w:color w:val="auto"/>
          <w:sz w:val="24"/>
          <w:szCs w:val="24"/>
          <w:highlight w:val="none"/>
        </w:rPr>
        <w:t>5</w:t>
      </w:r>
      <w:r>
        <w:rPr>
          <w:rFonts w:hint="eastAsia" w:ascii="宋体" w:hAnsi="宋体" w:cs="宋体"/>
          <w:b/>
          <w:bCs/>
          <w:color w:val="auto"/>
          <w:sz w:val="24"/>
          <w:szCs w:val="24"/>
          <w:highlight w:val="none"/>
        </w:rPr>
        <w:t>、评价</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采购组织机构对评标委员会评审专家进行评价。</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（三）澄清问题的形式</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投标人的澄清、说明或者补正应当采用书面形式，并加盖公章，或者由法定代理人或其授权委托代理人签字，并不得超出投标文件的范围或者改变投标文件的实质性内容。</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（四）错误修正</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投标文件报价出现前后不一致的，除招标文件另有规定外，按照下列规定修正：</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、投标文件中开标一览表（报价表）内容与投标文件中相应内容不一致的，以开标一览表（报价表）为准；</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、大写金额和小写金额不一致的，以大写金额为准；</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、单价金额小数点或者百分比有明显错位的，以开标一览表的总价为准，并修改单价；</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、总价金额与按单价汇总金额不一致的，以单价金额计算结果为准。</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同时出现两种以上不一致的，按照前款规定的顺序修正。修正应当采用书面形式，并加盖公章，或者由法定代表人或其授权委托代理人签字。修正后的报价经投标人确认后产生约束力，投标人不确认的，其投标无效。</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（五）投标人存在下列情况之一的，投标无效：</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、电子投标文件及纸质备份投标文件在指定页面无法定代表人盖章或签字、未在指定页面盖公章、在指定页面无被授权</w:t>
      </w:r>
      <w:r>
        <w:rPr>
          <w:rFonts w:hint="eastAsia" w:ascii="宋体" w:hAnsi="宋体" w:cs="宋体"/>
          <w:color w:val="auto"/>
          <w:sz w:val="24"/>
          <w:szCs w:val="24"/>
          <w:highlight w:val="none"/>
          <w:lang w:val="en-US" w:eastAsia="zh-CN"/>
        </w:rPr>
        <w:t>委托代理</w:t>
      </w:r>
      <w:r>
        <w:rPr>
          <w:rFonts w:hint="eastAsia" w:ascii="宋体" w:hAnsi="宋体" w:cs="宋体"/>
          <w:color w:val="auto"/>
          <w:sz w:val="24"/>
          <w:szCs w:val="24"/>
          <w:highlight w:val="none"/>
        </w:rPr>
        <w:t>人签字或未提供法定代表人授权委托书。</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rPr>
        <w:t>资格证明文件、商务技术文件</w:t>
      </w:r>
      <w:r>
        <w:rPr>
          <w:rFonts w:hint="eastAsia" w:ascii="宋体" w:hAnsi="宋体" w:cs="宋体"/>
          <w:color w:val="auto"/>
          <w:sz w:val="24"/>
          <w:szCs w:val="24"/>
          <w:highlight w:val="none"/>
        </w:rPr>
        <w:t>跟报价文件出现混装或在</w:t>
      </w:r>
      <w:r>
        <w:rPr>
          <w:rFonts w:hint="eastAsia" w:ascii="宋体" w:hAnsi="宋体" w:cs="宋体"/>
          <w:color w:val="auto"/>
          <w:sz w:val="24"/>
          <w:szCs w:val="24"/>
          <w:highlight w:val="none"/>
          <w:lang w:val="zh-CN"/>
        </w:rPr>
        <w:t>资格证明文件、商务技术文件</w:t>
      </w:r>
      <w:r>
        <w:rPr>
          <w:rFonts w:hint="eastAsia" w:ascii="宋体" w:hAnsi="宋体" w:cs="宋体"/>
          <w:color w:val="auto"/>
          <w:sz w:val="24"/>
          <w:szCs w:val="24"/>
          <w:highlight w:val="none"/>
        </w:rPr>
        <w:t>中出现投标报价的，或者报价文件中报价的货物跟</w:t>
      </w:r>
      <w:r>
        <w:rPr>
          <w:rFonts w:hint="eastAsia" w:ascii="宋体" w:hAnsi="宋体" w:cs="宋体"/>
          <w:color w:val="auto"/>
          <w:sz w:val="24"/>
          <w:szCs w:val="24"/>
          <w:highlight w:val="none"/>
          <w:lang w:val="zh-CN"/>
        </w:rPr>
        <w:t>资格证明文件、商务技术文件</w:t>
      </w:r>
      <w:r>
        <w:rPr>
          <w:rFonts w:hint="eastAsia" w:ascii="宋体" w:hAnsi="宋体" w:cs="宋体"/>
          <w:color w:val="auto"/>
          <w:sz w:val="24"/>
          <w:szCs w:val="24"/>
          <w:highlight w:val="none"/>
        </w:rPr>
        <w:t>中的投标货物出现重大偏差的。</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、不具备招标文件中规定的资格要求的。</w:t>
      </w:r>
      <w:r>
        <w:rPr>
          <w:rFonts w:ascii="宋体"/>
          <w:color w:val="auto"/>
          <w:sz w:val="24"/>
          <w:szCs w:val="24"/>
          <w:highlight w:val="none"/>
        </w:rPr>
        <w:tab/>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、投标文件含有采购人不能接受的附加条件的。</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、授权委托代理人未能出具身份证明或与法定代表人授权</w:t>
      </w:r>
      <w:r>
        <w:rPr>
          <w:rFonts w:hint="eastAsia" w:ascii="宋体" w:hAnsi="宋体" w:cs="宋体"/>
          <w:color w:val="auto"/>
          <w:sz w:val="24"/>
          <w:szCs w:val="24"/>
          <w:highlight w:val="none"/>
          <w:lang w:eastAsia="zh-CN"/>
        </w:rPr>
        <w:t>授权委托代理人</w:t>
      </w:r>
      <w:r>
        <w:rPr>
          <w:rFonts w:hint="eastAsia" w:ascii="宋体" w:hAnsi="宋体" w:cs="宋体"/>
          <w:color w:val="auto"/>
          <w:sz w:val="24"/>
          <w:szCs w:val="24"/>
          <w:highlight w:val="none"/>
        </w:rPr>
        <w:t>身份不符的。</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、报价超过招标文件中规定的预算金额</w:t>
      </w:r>
      <w:r>
        <w:rPr>
          <w:rFonts w:ascii="宋体" w:hAnsi="宋体" w:cs="宋体"/>
          <w:color w:val="auto"/>
          <w:sz w:val="24"/>
          <w:szCs w:val="24"/>
          <w:highlight w:val="none"/>
        </w:rPr>
        <w:t>/</w:t>
      </w:r>
      <w:r>
        <w:rPr>
          <w:rFonts w:hint="eastAsia" w:ascii="宋体" w:hAnsi="宋体" w:cs="宋体"/>
          <w:color w:val="auto"/>
          <w:sz w:val="24"/>
          <w:szCs w:val="24"/>
          <w:highlight w:val="none"/>
        </w:rPr>
        <w:t>最高限价。</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8</w:t>
      </w:r>
      <w:r>
        <w:rPr>
          <w:rFonts w:hint="eastAsia" w:ascii="宋体" w:hAnsi="宋体" w:cs="宋体"/>
          <w:color w:val="auto"/>
          <w:sz w:val="24"/>
          <w:szCs w:val="24"/>
          <w:highlight w:val="none"/>
        </w:rPr>
        <w:t>、投标参数未如实填写，完全复制粘贴招标参数的。</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9</w:t>
      </w:r>
      <w:r>
        <w:rPr>
          <w:rFonts w:hint="eastAsia" w:ascii="宋体" w:hAnsi="宋体" w:cs="宋体"/>
          <w:color w:val="auto"/>
          <w:sz w:val="24"/>
          <w:szCs w:val="24"/>
          <w:highlight w:val="none"/>
        </w:rPr>
        <w:t>、投标文件提供虚假材料的。</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10</w:t>
      </w:r>
      <w:r>
        <w:rPr>
          <w:rFonts w:hint="eastAsia" w:ascii="宋体" w:hAnsi="宋体" w:cs="宋体"/>
          <w:color w:val="auto"/>
          <w:sz w:val="24"/>
          <w:szCs w:val="24"/>
          <w:highlight w:val="none"/>
        </w:rPr>
        <w:t>、投标人的电子投标文件无法按时解密的。</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11</w:t>
      </w:r>
      <w:r>
        <w:rPr>
          <w:rFonts w:hint="eastAsia" w:ascii="宋体" w:hAnsi="宋体" w:cs="宋体"/>
          <w:color w:val="auto"/>
          <w:sz w:val="24"/>
          <w:szCs w:val="24"/>
          <w:highlight w:val="none"/>
        </w:rPr>
        <w:t>、不符合中华人民共和国财政部令第</w:t>
      </w:r>
      <w:r>
        <w:rPr>
          <w:rFonts w:ascii="宋体" w:hAnsi="宋体" w:cs="宋体"/>
          <w:color w:val="auto"/>
          <w:sz w:val="24"/>
          <w:szCs w:val="24"/>
          <w:highlight w:val="none"/>
        </w:rPr>
        <w:t>87</w:t>
      </w:r>
      <w:r>
        <w:rPr>
          <w:rFonts w:hint="eastAsia" w:ascii="宋体" w:hAnsi="宋体" w:cs="宋体"/>
          <w:color w:val="auto"/>
          <w:sz w:val="24"/>
          <w:szCs w:val="24"/>
          <w:highlight w:val="none"/>
        </w:rPr>
        <w:t>号《政府采购货物和服务招标投标管理办法》第三十七条情形之一的，视为投标人串通投标，其投标无效，并移送采购监管部门：</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）不同投标人的投标文件由同一单位或者个人编制；不同投标人的投标文件，由同一台电脑编制；</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）不同投标人委托同一单位或者个人办理投标事宜；</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）不同投标人的投标文件载明的项目管理成员或者联系人员为同一人；</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）不同投标人的投标文件异常一致或者投标报价呈规律性差异；</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）不同投标人的投标文件相互混装。</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12</w:t>
      </w:r>
      <w:r>
        <w:rPr>
          <w:rFonts w:hint="eastAsia" w:ascii="宋体" w:hAnsi="宋体" w:cs="宋体"/>
          <w:color w:val="auto"/>
          <w:sz w:val="24"/>
          <w:szCs w:val="24"/>
          <w:highlight w:val="none"/>
        </w:rPr>
        <w:t>、不符合法律、法规和招标文件中规定的其他实质性要求的（招标文件中打“▲”内容及被拒绝的条款）。</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13</w:t>
      </w:r>
      <w:r>
        <w:rPr>
          <w:rFonts w:hint="eastAsia" w:ascii="宋体" w:hAnsi="宋体" w:cs="宋体"/>
          <w:color w:val="auto"/>
          <w:sz w:val="24"/>
          <w:szCs w:val="24"/>
          <w:highlight w:val="none"/>
        </w:rPr>
        <w:t>、未传输递交电子投标文件的或者未按规定提供相应的备份投标文件，造成项目开评标活动无法进行下去的。</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（六）有下列情况之一的，本次招标作为废标处理：</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、出现影响采购公正的违法、违规行为的；</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、评标委员会发现招标文件存在歧义、重大缺陷导致评标工作无法进行，或者招标文件内容违反国家有关强制性规定的；</w:t>
      </w:r>
      <w:r>
        <w:rPr>
          <w:rFonts w:ascii="宋体" w:hAnsi="宋体" w:cs="宋体"/>
          <w:color w:val="auto"/>
          <w:sz w:val="24"/>
          <w:szCs w:val="24"/>
          <w:highlight w:val="none"/>
        </w:rPr>
        <w:t xml:space="preserve"> </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、因重大变故，采购任务取消的；</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、法律、法规和招标文件规定的其他导致评标结果无效的。</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（七）评标原则和评标办法</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、评标办法。具体评标内容及评分标准等详见《第三章</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评标方法及评分标准》。</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（八）评标过程的监控</w:t>
      </w:r>
    </w:p>
    <w:p>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rPr>
        <w:t>本项目评标过程实行全程录音、录像监控，政府采购监管部门视情进行现场监督，投标人在评标过程中所进行的试图影响评标结果的不公正活动，可能导致其投标被拒绝。</w:t>
      </w:r>
    </w:p>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六、定标</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、确定中标供应商。评标委员会根据采购单位的《授权意见确认书》，推荐中标候选人或确定中标供应商。其中推荐中标候选人的，采购组织机构在评审结束后</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个工作日内将评标报告送采购人，采购人自收到评审报告之日起</w:t>
      </w:r>
      <w:r>
        <w:rPr>
          <w:rFonts w:ascii="宋体" w:hAnsi="宋体" w:cs="宋体"/>
          <w:color w:val="auto"/>
          <w:sz w:val="24"/>
          <w:szCs w:val="24"/>
          <w:highlight w:val="none"/>
        </w:rPr>
        <w:t>5</w:t>
      </w:r>
      <w:r>
        <w:rPr>
          <w:rFonts w:hint="eastAsia" w:ascii="宋体" w:hAnsi="宋体" w:cs="宋体"/>
          <w:color w:val="auto"/>
          <w:sz w:val="24"/>
          <w:szCs w:val="24"/>
          <w:highlight w:val="none"/>
        </w:rPr>
        <w:t>个工作日内在评审报告推荐的中标候选人中按顺序确定中标供应商。</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、发布中标结果公告。采购组织机构应当自中标供应商确定之日起</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在省级以上财政部门指定的媒体及相关网站上公告中标结果，招标文件应当随中标结果同时公告。如发现中标供应商资格无效或其放弃中标资格，则按本次评标供应商得分排序结果依次替补或重新组织。</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、发出中标通知书。采购组织机构在发布中标结果的同时，向中标供应商发出中标通知书。</w:t>
      </w:r>
    </w:p>
    <w:p>
      <w:pPr>
        <w:spacing w:line="360" w:lineRule="auto"/>
        <w:ind w:firstLine="480" w:firstLineChars="200"/>
        <w:jc w:val="left"/>
        <w:rPr>
          <w:rFonts w:ascii="宋体"/>
          <w:color w:val="auto"/>
          <w:sz w:val="24"/>
          <w:szCs w:val="24"/>
          <w:highlight w:val="none"/>
          <w:lang w:val="zh-CN"/>
        </w:rPr>
      </w:pPr>
      <w:r>
        <w:rPr>
          <w:rFonts w:ascii="宋体" w:hAnsi="宋体" w:cs="宋体"/>
          <w:color w:val="auto"/>
          <w:sz w:val="24"/>
          <w:szCs w:val="24"/>
          <w:highlight w:val="none"/>
          <w:lang w:val="zh-CN"/>
        </w:rPr>
        <w:t>4</w:t>
      </w:r>
      <w:r>
        <w:rPr>
          <w:rFonts w:hint="eastAsia" w:ascii="宋体" w:hAnsi="宋体" w:cs="宋体"/>
          <w:color w:val="auto"/>
          <w:sz w:val="24"/>
          <w:szCs w:val="24"/>
          <w:highlight w:val="none"/>
          <w:lang w:val="zh-CN"/>
        </w:rPr>
        <w:t>、中标供应商在领取通知书之后，应向招标代理机构交纳招标代理服务费。若中标供应商未在约定时间内支付招标代理服务费，从逾期之日起按日利率千分之一承担违约金。若中标供应商未按上述规定办理，需承担招标代理机构为实现债权的所有费用（包括但不限于律师费、催讨车旅费、保全担保费等）。</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、招标代理费用：</w:t>
      </w:r>
      <w:r>
        <w:rPr>
          <w:rFonts w:hint="eastAsia" w:ascii="宋体" w:hAnsi="宋体" w:cs="宋体"/>
          <w:color w:val="auto"/>
          <w:sz w:val="24"/>
          <w:szCs w:val="24"/>
          <w:highlight w:val="none"/>
        </w:rPr>
        <w:t>招标代理费用按照</w:t>
      </w:r>
      <w:r>
        <w:rPr>
          <w:rFonts w:hint="eastAsia" w:ascii="宋体" w:hAnsi="宋体" w:cs="宋体"/>
          <w:color w:val="auto"/>
          <w:sz w:val="24"/>
          <w:szCs w:val="24"/>
          <w:highlight w:val="none"/>
          <w:lang w:val="zh-CN"/>
        </w:rPr>
        <w:t>《国家发展改革委关于进一步放开建设项目专业服务价格的通知》（发改价格</w:t>
      </w:r>
      <w:r>
        <w:rPr>
          <w:rFonts w:ascii="宋体" w:hAnsi="宋体" w:cs="宋体"/>
          <w:color w:val="auto"/>
          <w:sz w:val="24"/>
          <w:szCs w:val="24"/>
          <w:highlight w:val="none"/>
          <w:lang w:val="zh-CN"/>
        </w:rPr>
        <w:t>2015 299</w:t>
      </w:r>
      <w:r>
        <w:rPr>
          <w:rFonts w:hint="eastAsia" w:ascii="宋体" w:hAnsi="宋体" w:cs="宋体"/>
          <w:color w:val="auto"/>
          <w:sz w:val="24"/>
          <w:szCs w:val="24"/>
          <w:highlight w:val="none"/>
          <w:lang w:val="zh-CN"/>
        </w:rPr>
        <w:t>号）执行，</w:t>
      </w:r>
      <w:r>
        <w:rPr>
          <w:rFonts w:hint="eastAsia" w:ascii="宋体" w:hAnsi="宋体" w:cs="宋体"/>
          <w:color w:val="auto"/>
          <w:sz w:val="24"/>
          <w:szCs w:val="24"/>
          <w:highlight w:val="none"/>
        </w:rPr>
        <w:t>按照下列表格中类别标准向中标单位收取招标代理费。中标方须在中标通知书发出</w:t>
      </w:r>
      <w:r>
        <w:rPr>
          <w:rFonts w:ascii="宋体" w:hAnsi="宋体" w:cs="宋体"/>
          <w:color w:val="auto"/>
          <w:sz w:val="24"/>
          <w:szCs w:val="24"/>
          <w:highlight w:val="none"/>
        </w:rPr>
        <w:t>5</w:t>
      </w:r>
      <w:r>
        <w:rPr>
          <w:rFonts w:hint="eastAsia" w:ascii="宋体" w:hAnsi="宋体" w:cs="宋体"/>
          <w:color w:val="auto"/>
          <w:sz w:val="24"/>
          <w:szCs w:val="24"/>
          <w:highlight w:val="none"/>
        </w:rPr>
        <w:t>日内一次性付清。（户名：浙江五石</w:t>
      </w:r>
      <w:r>
        <w:rPr>
          <w:rFonts w:hint="eastAsia" w:ascii="宋体" w:hAnsi="宋体" w:cs="宋体"/>
          <w:color w:val="auto"/>
          <w:sz w:val="24"/>
          <w:szCs w:val="24"/>
          <w:highlight w:val="none"/>
          <w:lang w:val="en-US" w:eastAsia="zh-CN"/>
        </w:rPr>
        <w:t>中正</w:t>
      </w:r>
      <w:r>
        <w:rPr>
          <w:rFonts w:hint="eastAsia" w:ascii="宋体" w:hAnsi="宋体" w:cs="宋体"/>
          <w:color w:val="auto"/>
          <w:sz w:val="24"/>
          <w:szCs w:val="24"/>
          <w:highlight w:val="none"/>
        </w:rPr>
        <w:t>工程咨询有限公司；账号：</w:t>
      </w:r>
      <w:r>
        <w:rPr>
          <w:rFonts w:ascii="宋体" w:hAnsi="宋体" w:cs="宋体"/>
          <w:color w:val="auto"/>
          <w:sz w:val="24"/>
          <w:szCs w:val="24"/>
          <w:highlight w:val="none"/>
        </w:rPr>
        <w:t>1202003209900014176</w:t>
      </w:r>
      <w:r>
        <w:rPr>
          <w:rFonts w:hint="eastAsia" w:ascii="宋体" w:hAnsi="宋体" w:cs="宋体"/>
          <w:color w:val="auto"/>
          <w:sz w:val="24"/>
          <w:szCs w:val="24"/>
          <w:highlight w:val="none"/>
        </w:rPr>
        <w:t>；开户银行：中国工商银行杭州市潮王路支行）财务电话：</w:t>
      </w:r>
      <w:r>
        <w:rPr>
          <w:rFonts w:ascii="宋体" w:hAnsi="宋体" w:cs="宋体"/>
          <w:color w:val="auto"/>
          <w:sz w:val="24"/>
          <w:szCs w:val="24"/>
          <w:highlight w:val="none"/>
        </w:rPr>
        <w:t>0571-88271625</w:t>
      </w:r>
      <w:r>
        <w:rPr>
          <w:rFonts w:hint="eastAsia" w:ascii="宋体" w:hAnsi="宋体" w:cs="宋体"/>
          <w:color w:val="auto"/>
          <w:sz w:val="24"/>
          <w:szCs w:val="24"/>
          <w:highlight w:val="none"/>
        </w:rPr>
        <w:t>。</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5"/>
        <w:gridCol w:w="1777"/>
        <w:gridCol w:w="1640"/>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ascii="宋体"/>
                <w:color w:val="auto"/>
                <w:sz w:val="24"/>
                <w:szCs w:val="24"/>
                <w:highlight w:val="none"/>
              </w:rPr>
            </w:pPr>
            <w:r>
              <w:rPr>
                <w:rFonts w:hint="eastAsia" w:ascii="宋体" w:hAnsi="宋体" w:cs="宋体"/>
                <w:color w:val="auto"/>
                <w:sz w:val="24"/>
                <w:szCs w:val="24"/>
                <w:highlight w:val="none"/>
              </w:rPr>
              <w:t>服务类型、费率、中标金额（万元）</w:t>
            </w:r>
          </w:p>
        </w:tc>
        <w:tc>
          <w:tcPr>
            <w:tcW w:w="1777" w:type="dxa"/>
            <w:vAlign w:val="center"/>
          </w:tcPr>
          <w:p>
            <w:pPr>
              <w:jc w:val="center"/>
              <w:rPr>
                <w:rFonts w:ascii="宋体"/>
                <w:color w:val="auto"/>
                <w:sz w:val="24"/>
                <w:szCs w:val="24"/>
                <w:highlight w:val="none"/>
              </w:rPr>
            </w:pPr>
            <w:r>
              <w:rPr>
                <w:rFonts w:hint="eastAsia" w:ascii="宋体" w:hAnsi="宋体" w:cs="宋体"/>
                <w:color w:val="auto"/>
                <w:sz w:val="24"/>
                <w:szCs w:val="24"/>
                <w:highlight w:val="none"/>
              </w:rPr>
              <w:t>货物招标</w:t>
            </w:r>
          </w:p>
        </w:tc>
        <w:tc>
          <w:tcPr>
            <w:tcW w:w="1640" w:type="dxa"/>
            <w:vAlign w:val="center"/>
          </w:tcPr>
          <w:p>
            <w:pPr>
              <w:jc w:val="center"/>
              <w:rPr>
                <w:rFonts w:ascii="宋体"/>
                <w:color w:val="auto"/>
                <w:sz w:val="24"/>
                <w:szCs w:val="24"/>
                <w:highlight w:val="none"/>
              </w:rPr>
            </w:pPr>
            <w:r>
              <w:rPr>
                <w:rFonts w:hint="eastAsia" w:ascii="宋体" w:hAnsi="宋体" w:cs="宋体"/>
                <w:color w:val="auto"/>
                <w:sz w:val="24"/>
                <w:szCs w:val="24"/>
                <w:highlight w:val="none"/>
              </w:rPr>
              <w:t>服务招标</w:t>
            </w:r>
          </w:p>
        </w:tc>
        <w:tc>
          <w:tcPr>
            <w:tcW w:w="2119" w:type="dxa"/>
            <w:vAlign w:val="center"/>
          </w:tcPr>
          <w:p>
            <w:pPr>
              <w:jc w:val="center"/>
              <w:rPr>
                <w:rFonts w:ascii="宋体"/>
                <w:color w:val="auto"/>
                <w:sz w:val="24"/>
                <w:szCs w:val="24"/>
                <w:highlight w:val="none"/>
              </w:rPr>
            </w:pPr>
            <w:r>
              <w:rPr>
                <w:rFonts w:hint="eastAsia" w:ascii="宋体" w:hAnsi="宋体" w:cs="宋体"/>
                <w:color w:val="auto"/>
                <w:sz w:val="24"/>
                <w:szCs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ascii="宋体"/>
                <w:color w:val="auto"/>
                <w:sz w:val="24"/>
                <w:szCs w:val="24"/>
                <w:highlight w:val="none"/>
              </w:rPr>
            </w:pPr>
            <w:r>
              <w:rPr>
                <w:rFonts w:ascii="宋体" w:hAnsi="宋体" w:cs="宋体"/>
                <w:color w:val="auto"/>
                <w:sz w:val="24"/>
                <w:szCs w:val="24"/>
                <w:highlight w:val="none"/>
              </w:rPr>
              <w:t>100</w:t>
            </w:r>
            <w:r>
              <w:rPr>
                <w:rFonts w:hint="eastAsia" w:ascii="宋体" w:hAnsi="宋体" w:cs="宋体"/>
                <w:color w:val="auto"/>
                <w:sz w:val="24"/>
                <w:szCs w:val="24"/>
                <w:highlight w:val="none"/>
              </w:rPr>
              <w:t>以下</w:t>
            </w:r>
          </w:p>
        </w:tc>
        <w:tc>
          <w:tcPr>
            <w:tcW w:w="1777" w:type="dxa"/>
            <w:vAlign w:val="center"/>
          </w:tcPr>
          <w:p>
            <w:pPr>
              <w:jc w:val="center"/>
              <w:rPr>
                <w:rFonts w:ascii="宋体"/>
                <w:color w:val="auto"/>
                <w:sz w:val="24"/>
                <w:szCs w:val="24"/>
                <w:highlight w:val="none"/>
              </w:rPr>
            </w:pPr>
            <w:r>
              <w:rPr>
                <w:rFonts w:ascii="宋体" w:hAnsi="宋体" w:cs="宋体"/>
                <w:color w:val="auto"/>
                <w:sz w:val="24"/>
                <w:szCs w:val="24"/>
                <w:highlight w:val="none"/>
              </w:rPr>
              <w:t>1.50%</w:t>
            </w:r>
          </w:p>
        </w:tc>
        <w:tc>
          <w:tcPr>
            <w:tcW w:w="1640" w:type="dxa"/>
            <w:vAlign w:val="center"/>
          </w:tcPr>
          <w:p>
            <w:pPr>
              <w:jc w:val="center"/>
              <w:rPr>
                <w:rFonts w:ascii="宋体"/>
                <w:color w:val="auto"/>
                <w:sz w:val="24"/>
                <w:szCs w:val="24"/>
                <w:highlight w:val="none"/>
              </w:rPr>
            </w:pPr>
            <w:r>
              <w:rPr>
                <w:rFonts w:ascii="宋体" w:hAnsi="宋体" w:cs="宋体"/>
                <w:color w:val="auto"/>
                <w:sz w:val="24"/>
                <w:szCs w:val="24"/>
                <w:highlight w:val="none"/>
              </w:rPr>
              <w:t>1.50%</w:t>
            </w:r>
          </w:p>
        </w:tc>
        <w:tc>
          <w:tcPr>
            <w:tcW w:w="2119" w:type="dxa"/>
            <w:vAlign w:val="center"/>
          </w:tcPr>
          <w:p>
            <w:pPr>
              <w:jc w:val="center"/>
              <w:rPr>
                <w:rFonts w:ascii="宋体"/>
                <w:color w:val="auto"/>
                <w:sz w:val="24"/>
                <w:szCs w:val="24"/>
                <w:highlight w:val="none"/>
              </w:rPr>
            </w:pPr>
            <w:r>
              <w:rPr>
                <w:rFonts w:ascii="宋体" w:hAnsi="宋体" w:cs="宋体"/>
                <w:color w:val="auto"/>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ascii="宋体"/>
                <w:color w:val="auto"/>
                <w:sz w:val="24"/>
                <w:szCs w:val="24"/>
                <w:highlight w:val="none"/>
              </w:rPr>
            </w:pPr>
            <w:r>
              <w:rPr>
                <w:rFonts w:ascii="宋体" w:hAnsi="宋体" w:cs="宋体"/>
                <w:color w:val="auto"/>
                <w:sz w:val="24"/>
                <w:szCs w:val="24"/>
                <w:highlight w:val="none"/>
              </w:rPr>
              <w:t>100-500</w:t>
            </w:r>
          </w:p>
        </w:tc>
        <w:tc>
          <w:tcPr>
            <w:tcW w:w="1777" w:type="dxa"/>
            <w:vAlign w:val="center"/>
          </w:tcPr>
          <w:p>
            <w:pPr>
              <w:jc w:val="center"/>
              <w:rPr>
                <w:rFonts w:ascii="宋体"/>
                <w:color w:val="auto"/>
                <w:sz w:val="24"/>
                <w:szCs w:val="24"/>
                <w:highlight w:val="none"/>
              </w:rPr>
            </w:pPr>
            <w:r>
              <w:rPr>
                <w:rFonts w:ascii="宋体" w:hAnsi="宋体" w:cs="宋体"/>
                <w:color w:val="auto"/>
                <w:sz w:val="24"/>
                <w:szCs w:val="24"/>
                <w:highlight w:val="none"/>
              </w:rPr>
              <w:t>1.10%</w:t>
            </w:r>
          </w:p>
        </w:tc>
        <w:tc>
          <w:tcPr>
            <w:tcW w:w="1640" w:type="dxa"/>
            <w:vAlign w:val="center"/>
          </w:tcPr>
          <w:p>
            <w:pPr>
              <w:jc w:val="center"/>
              <w:rPr>
                <w:rFonts w:ascii="宋体"/>
                <w:color w:val="auto"/>
                <w:sz w:val="24"/>
                <w:szCs w:val="24"/>
                <w:highlight w:val="none"/>
              </w:rPr>
            </w:pPr>
            <w:r>
              <w:rPr>
                <w:rFonts w:ascii="宋体" w:hAnsi="宋体" w:cs="宋体"/>
                <w:color w:val="auto"/>
                <w:sz w:val="24"/>
                <w:szCs w:val="24"/>
                <w:highlight w:val="none"/>
              </w:rPr>
              <w:t>0.80%</w:t>
            </w:r>
          </w:p>
        </w:tc>
        <w:tc>
          <w:tcPr>
            <w:tcW w:w="2119" w:type="dxa"/>
            <w:vAlign w:val="center"/>
          </w:tcPr>
          <w:p>
            <w:pPr>
              <w:jc w:val="center"/>
              <w:rPr>
                <w:rFonts w:ascii="宋体"/>
                <w:color w:val="auto"/>
                <w:sz w:val="24"/>
                <w:szCs w:val="24"/>
                <w:highlight w:val="none"/>
              </w:rPr>
            </w:pPr>
            <w:r>
              <w:rPr>
                <w:rFonts w:ascii="宋体" w:hAnsi="宋体" w:cs="宋体"/>
                <w:color w:val="auto"/>
                <w:sz w:val="24"/>
                <w:szCs w:val="24"/>
                <w:highlight w:val="none"/>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vAlign w:val="center"/>
          </w:tcPr>
          <w:p>
            <w:pPr>
              <w:jc w:val="center"/>
              <w:rPr>
                <w:rFonts w:ascii="宋体"/>
                <w:color w:val="auto"/>
                <w:sz w:val="24"/>
                <w:szCs w:val="24"/>
                <w:highlight w:val="none"/>
              </w:rPr>
            </w:pPr>
            <w:r>
              <w:rPr>
                <w:rFonts w:ascii="宋体" w:hAnsi="宋体" w:cs="宋体"/>
                <w:color w:val="auto"/>
                <w:sz w:val="24"/>
                <w:szCs w:val="24"/>
                <w:highlight w:val="none"/>
              </w:rPr>
              <w:t>500-1000</w:t>
            </w:r>
          </w:p>
        </w:tc>
        <w:tc>
          <w:tcPr>
            <w:tcW w:w="1777" w:type="dxa"/>
            <w:vAlign w:val="center"/>
          </w:tcPr>
          <w:p>
            <w:pPr>
              <w:jc w:val="center"/>
              <w:rPr>
                <w:rFonts w:ascii="宋体"/>
                <w:color w:val="auto"/>
                <w:sz w:val="24"/>
                <w:szCs w:val="24"/>
                <w:highlight w:val="none"/>
              </w:rPr>
            </w:pPr>
            <w:r>
              <w:rPr>
                <w:rFonts w:ascii="宋体" w:hAnsi="宋体" w:cs="宋体"/>
                <w:color w:val="auto"/>
                <w:sz w:val="24"/>
                <w:szCs w:val="24"/>
                <w:highlight w:val="none"/>
              </w:rPr>
              <w:t>0.80%</w:t>
            </w:r>
          </w:p>
        </w:tc>
        <w:tc>
          <w:tcPr>
            <w:tcW w:w="1640" w:type="dxa"/>
            <w:vAlign w:val="center"/>
          </w:tcPr>
          <w:p>
            <w:pPr>
              <w:jc w:val="center"/>
              <w:rPr>
                <w:rFonts w:ascii="宋体"/>
                <w:color w:val="auto"/>
                <w:sz w:val="24"/>
                <w:szCs w:val="24"/>
                <w:highlight w:val="none"/>
              </w:rPr>
            </w:pPr>
            <w:r>
              <w:rPr>
                <w:rFonts w:ascii="宋体" w:hAnsi="宋体" w:cs="宋体"/>
                <w:color w:val="auto"/>
                <w:sz w:val="24"/>
                <w:szCs w:val="24"/>
                <w:highlight w:val="none"/>
              </w:rPr>
              <w:t>0.45%</w:t>
            </w:r>
          </w:p>
        </w:tc>
        <w:tc>
          <w:tcPr>
            <w:tcW w:w="2119" w:type="dxa"/>
            <w:vAlign w:val="center"/>
          </w:tcPr>
          <w:p>
            <w:pPr>
              <w:jc w:val="center"/>
              <w:rPr>
                <w:rFonts w:ascii="宋体"/>
                <w:color w:val="auto"/>
                <w:sz w:val="24"/>
                <w:szCs w:val="24"/>
                <w:highlight w:val="none"/>
              </w:rPr>
            </w:pPr>
            <w:r>
              <w:rPr>
                <w:rFonts w:ascii="宋体" w:hAnsi="宋体" w:cs="宋体"/>
                <w:color w:val="auto"/>
                <w:sz w:val="24"/>
                <w:szCs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ascii="宋体"/>
                <w:color w:val="auto"/>
                <w:sz w:val="24"/>
                <w:szCs w:val="24"/>
                <w:highlight w:val="none"/>
              </w:rPr>
            </w:pPr>
            <w:r>
              <w:rPr>
                <w:rFonts w:ascii="宋体" w:hAnsi="宋体" w:cs="宋体"/>
                <w:color w:val="auto"/>
                <w:sz w:val="24"/>
                <w:szCs w:val="24"/>
                <w:highlight w:val="none"/>
              </w:rPr>
              <w:t>1000-5000</w:t>
            </w:r>
          </w:p>
        </w:tc>
        <w:tc>
          <w:tcPr>
            <w:tcW w:w="1777" w:type="dxa"/>
            <w:vAlign w:val="center"/>
          </w:tcPr>
          <w:p>
            <w:pPr>
              <w:jc w:val="center"/>
              <w:rPr>
                <w:rFonts w:ascii="宋体"/>
                <w:color w:val="auto"/>
                <w:sz w:val="24"/>
                <w:szCs w:val="24"/>
                <w:highlight w:val="none"/>
              </w:rPr>
            </w:pPr>
            <w:r>
              <w:rPr>
                <w:rFonts w:ascii="宋体" w:hAnsi="宋体" w:cs="宋体"/>
                <w:color w:val="auto"/>
                <w:sz w:val="24"/>
                <w:szCs w:val="24"/>
                <w:highlight w:val="none"/>
              </w:rPr>
              <w:t>0.50%</w:t>
            </w:r>
          </w:p>
        </w:tc>
        <w:tc>
          <w:tcPr>
            <w:tcW w:w="1640" w:type="dxa"/>
            <w:vAlign w:val="center"/>
          </w:tcPr>
          <w:p>
            <w:pPr>
              <w:jc w:val="center"/>
              <w:rPr>
                <w:rFonts w:ascii="宋体"/>
                <w:color w:val="auto"/>
                <w:sz w:val="24"/>
                <w:szCs w:val="24"/>
                <w:highlight w:val="none"/>
              </w:rPr>
            </w:pPr>
            <w:r>
              <w:rPr>
                <w:rFonts w:ascii="宋体" w:hAnsi="宋体" w:cs="宋体"/>
                <w:color w:val="auto"/>
                <w:sz w:val="24"/>
                <w:szCs w:val="24"/>
                <w:highlight w:val="none"/>
              </w:rPr>
              <w:t>0.25%</w:t>
            </w:r>
          </w:p>
        </w:tc>
        <w:tc>
          <w:tcPr>
            <w:tcW w:w="2119" w:type="dxa"/>
            <w:vAlign w:val="center"/>
          </w:tcPr>
          <w:p>
            <w:pPr>
              <w:jc w:val="center"/>
              <w:rPr>
                <w:rFonts w:ascii="宋体"/>
                <w:color w:val="auto"/>
                <w:sz w:val="24"/>
                <w:szCs w:val="24"/>
                <w:highlight w:val="none"/>
              </w:rPr>
            </w:pPr>
            <w:r>
              <w:rPr>
                <w:rFonts w:ascii="宋体" w:hAnsi="宋体" w:cs="宋体"/>
                <w:color w:val="auto"/>
                <w:sz w:val="24"/>
                <w:szCs w:val="24"/>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ascii="宋体"/>
                <w:color w:val="auto"/>
                <w:sz w:val="24"/>
                <w:szCs w:val="24"/>
                <w:highlight w:val="none"/>
              </w:rPr>
            </w:pPr>
            <w:r>
              <w:rPr>
                <w:rFonts w:ascii="宋体" w:hAnsi="宋体" w:cs="宋体"/>
                <w:color w:val="auto"/>
                <w:sz w:val="24"/>
                <w:szCs w:val="24"/>
                <w:highlight w:val="none"/>
              </w:rPr>
              <w:t>5000-10000</w:t>
            </w:r>
          </w:p>
        </w:tc>
        <w:tc>
          <w:tcPr>
            <w:tcW w:w="1777" w:type="dxa"/>
            <w:vAlign w:val="center"/>
          </w:tcPr>
          <w:p>
            <w:pPr>
              <w:jc w:val="center"/>
              <w:rPr>
                <w:rFonts w:ascii="宋体"/>
                <w:color w:val="auto"/>
                <w:sz w:val="24"/>
                <w:szCs w:val="24"/>
                <w:highlight w:val="none"/>
              </w:rPr>
            </w:pPr>
            <w:r>
              <w:rPr>
                <w:rFonts w:ascii="宋体" w:hAnsi="宋体" w:cs="宋体"/>
                <w:color w:val="auto"/>
                <w:sz w:val="24"/>
                <w:szCs w:val="24"/>
                <w:highlight w:val="none"/>
              </w:rPr>
              <w:t>0.25%</w:t>
            </w:r>
          </w:p>
        </w:tc>
        <w:tc>
          <w:tcPr>
            <w:tcW w:w="1640" w:type="dxa"/>
            <w:vAlign w:val="center"/>
          </w:tcPr>
          <w:p>
            <w:pPr>
              <w:jc w:val="center"/>
              <w:rPr>
                <w:rFonts w:ascii="宋体"/>
                <w:color w:val="auto"/>
                <w:sz w:val="24"/>
                <w:szCs w:val="24"/>
                <w:highlight w:val="none"/>
              </w:rPr>
            </w:pPr>
            <w:r>
              <w:rPr>
                <w:rFonts w:ascii="宋体" w:hAnsi="宋体" w:cs="宋体"/>
                <w:color w:val="auto"/>
                <w:sz w:val="24"/>
                <w:szCs w:val="24"/>
                <w:highlight w:val="none"/>
              </w:rPr>
              <w:t>0.10%</w:t>
            </w:r>
          </w:p>
        </w:tc>
        <w:tc>
          <w:tcPr>
            <w:tcW w:w="2119" w:type="dxa"/>
            <w:vAlign w:val="center"/>
          </w:tcPr>
          <w:p>
            <w:pPr>
              <w:jc w:val="center"/>
              <w:rPr>
                <w:rFonts w:ascii="宋体"/>
                <w:color w:val="auto"/>
                <w:sz w:val="24"/>
                <w:szCs w:val="24"/>
                <w:highlight w:val="none"/>
              </w:rPr>
            </w:pPr>
            <w:r>
              <w:rPr>
                <w:rFonts w:ascii="宋体" w:hAnsi="宋体" w:cs="宋体"/>
                <w:color w:val="auto"/>
                <w:sz w:val="24"/>
                <w:szCs w:val="24"/>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jc w:val="center"/>
              <w:rPr>
                <w:rFonts w:ascii="宋体"/>
                <w:color w:val="auto"/>
                <w:sz w:val="24"/>
                <w:szCs w:val="24"/>
                <w:highlight w:val="none"/>
              </w:rPr>
            </w:pPr>
            <w:r>
              <w:rPr>
                <w:rFonts w:ascii="宋体" w:hAnsi="宋体" w:cs="宋体"/>
                <w:color w:val="auto"/>
                <w:sz w:val="24"/>
                <w:szCs w:val="24"/>
                <w:highlight w:val="none"/>
              </w:rPr>
              <w:t>10000-100000</w:t>
            </w:r>
          </w:p>
        </w:tc>
        <w:tc>
          <w:tcPr>
            <w:tcW w:w="1777" w:type="dxa"/>
            <w:vAlign w:val="center"/>
          </w:tcPr>
          <w:p>
            <w:pPr>
              <w:jc w:val="center"/>
              <w:rPr>
                <w:rFonts w:ascii="宋体"/>
                <w:color w:val="auto"/>
                <w:sz w:val="24"/>
                <w:szCs w:val="24"/>
                <w:highlight w:val="none"/>
              </w:rPr>
            </w:pPr>
            <w:r>
              <w:rPr>
                <w:rFonts w:ascii="宋体" w:hAnsi="宋体" w:cs="宋体"/>
                <w:color w:val="auto"/>
                <w:sz w:val="24"/>
                <w:szCs w:val="24"/>
                <w:highlight w:val="none"/>
              </w:rPr>
              <w:t>0.05%</w:t>
            </w:r>
          </w:p>
        </w:tc>
        <w:tc>
          <w:tcPr>
            <w:tcW w:w="1640" w:type="dxa"/>
            <w:vAlign w:val="center"/>
          </w:tcPr>
          <w:p>
            <w:pPr>
              <w:jc w:val="center"/>
              <w:rPr>
                <w:rFonts w:ascii="宋体"/>
                <w:color w:val="auto"/>
                <w:sz w:val="24"/>
                <w:szCs w:val="24"/>
                <w:highlight w:val="none"/>
              </w:rPr>
            </w:pPr>
            <w:r>
              <w:rPr>
                <w:rFonts w:ascii="宋体" w:hAnsi="宋体" w:cs="宋体"/>
                <w:color w:val="auto"/>
                <w:sz w:val="24"/>
                <w:szCs w:val="24"/>
                <w:highlight w:val="none"/>
              </w:rPr>
              <w:t>0.05%</w:t>
            </w:r>
          </w:p>
        </w:tc>
        <w:tc>
          <w:tcPr>
            <w:tcW w:w="2119" w:type="dxa"/>
            <w:vAlign w:val="center"/>
          </w:tcPr>
          <w:p>
            <w:pPr>
              <w:jc w:val="center"/>
              <w:rPr>
                <w:rFonts w:ascii="宋体"/>
                <w:color w:val="auto"/>
                <w:sz w:val="24"/>
                <w:szCs w:val="24"/>
                <w:highlight w:val="none"/>
              </w:rPr>
            </w:pPr>
            <w:r>
              <w:rPr>
                <w:rFonts w:ascii="宋体" w:hAnsi="宋体" w:cs="宋体"/>
                <w:color w:val="auto"/>
                <w:sz w:val="24"/>
                <w:szCs w:val="24"/>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vAlign w:val="center"/>
          </w:tcPr>
          <w:p>
            <w:pPr>
              <w:jc w:val="center"/>
              <w:rPr>
                <w:rFonts w:ascii="宋体"/>
                <w:color w:val="auto"/>
                <w:sz w:val="24"/>
                <w:szCs w:val="24"/>
                <w:highlight w:val="none"/>
              </w:rPr>
            </w:pPr>
            <w:r>
              <w:rPr>
                <w:rFonts w:ascii="宋体" w:hAnsi="宋体" w:cs="宋体"/>
                <w:color w:val="auto"/>
                <w:sz w:val="24"/>
                <w:szCs w:val="24"/>
                <w:highlight w:val="none"/>
              </w:rPr>
              <w:t>100000</w:t>
            </w:r>
            <w:r>
              <w:rPr>
                <w:rFonts w:hint="eastAsia" w:ascii="宋体" w:hAnsi="宋体" w:cs="宋体"/>
                <w:color w:val="auto"/>
                <w:sz w:val="24"/>
                <w:szCs w:val="24"/>
                <w:highlight w:val="none"/>
              </w:rPr>
              <w:t>以上</w:t>
            </w:r>
          </w:p>
        </w:tc>
        <w:tc>
          <w:tcPr>
            <w:tcW w:w="1777" w:type="dxa"/>
            <w:vAlign w:val="center"/>
          </w:tcPr>
          <w:p>
            <w:pPr>
              <w:jc w:val="center"/>
              <w:rPr>
                <w:rFonts w:ascii="宋体"/>
                <w:color w:val="auto"/>
                <w:sz w:val="24"/>
                <w:szCs w:val="24"/>
                <w:highlight w:val="none"/>
              </w:rPr>
            </w:pPr>
            <w:r>
              <w:rPr>
                <w:rFonts w:ascii="宋体" w:hAnsi="宋体" w:cs="宋体"/>
                <w:color w:val="auto"/>
                <w:sz w:val="24"/>
                <w:szCs w:val="24"/>
                <w:highlight w:val="none"/>
              </w:rPr>
              <w:t>0.01%</w:t>
            </w:r>
          </w:p>
        </w:tc>
        <w:tc>
          <w:tcPr>
            <w:tcW w:w="1640" w:type="dxa"/>
            <w:vAlign w:val="center"/>
          </w:tcPr>
          <w:p>
            <w:pPr>
              <w:jc w:val="center"/>
              <w:rPr>
                <w:rFonts w:ascii="宋体"/>
                <w:color w:val="auto"/>
                <w:sz w:val="24"/>
                <w:szCs w:val="24"/>
                <w:highlight w:val="none"/>
              </w:rPr>
            </w:pPr>
            <w:r>
              <w:rPr>
                <w:rFonts w:ascii="宋体" w:hAnsi="宋体" w:cs="宋体"/>
                <w:color w:val="auto"/>
                <w:sz w:val="24"/>
                <w:szCs w:val="24"/>
                <w:highlight w:val="none"/>
              </w:rPr>
              <w:t>0.01%</w:t>
            </w:r>
          </w:p>
        </w:tc>
        <w:tc>
          <w:tcPr>
            <w:tcW w:w="2119" w:type="dxa"/>
            <w:vAlign w:val="center"/>
          </w:tcPr>
          <w:p>
            <w:pPr>
              <w:jc w:val="center"/>
              <w:rPr>
                <w:rFonts w:ascii="宋体"/>
                <w:color w:val="auto"/>
                <w:sz w:val="24"/>
                <w:szCs w:val="24"/>
                <w:highlight w:val="none"/>
              </w:rPr>
            </w:pPr>
            <w:r>
              <w:rPr>
                <w:rFonts w:ascii="宋体" w:hAnsi="宋体" w:cs="宋体"/>
                <w:color w:val="auto"/>
                <w:sz w:val="24"/>
                <w:szCs w:val="24"/>
                <w:highlight w:val="none"/>
              </w:rPr>
              <w:t>0.01%</w:t>
            </w:r>
          </w:p>
        </w:tc>
      </w:tr>
    </w:tbl>
    <w:p>
      <w:pPr>
        <w:spacing w:line="360" w:lineRule="auto"/>
        <w:rPr>
          <w:rFonts w:ascii="宋体"/>
          <w:b/>
          <w:bCs/>
          <w:color w:val="auto"/>
          <w:sz w:val="24"/>
          <w:szCs w:val="24"/>
          <w:highlight w:val="none"/>
        </w:rPr>
      </w:pPr>
      <w:r>
        <w:rPr>
          <w:rFonts w:hint="eastAsia" w:ascii="宋体" w:hAnsi="宋体" w:cs="宋体"/>
          <w:b/>
          <w:bCs/>
          <w:color w:val="auto"/>
          <w:sz w:val="24"/>
          <w:szCs w:val="24"/>
          <w:highlight w:val="none"/>
        </w:rPr>
        <w:t>七、合同签订及公告</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（一）签订合同</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、采购人应当自中标通知书发出之日起30日内，按照招标文件和中标供应商投标文件的规定，与中标供应商签订书面合同。所签订的合同不得对招标文件确定的事项和中标供应商投标文件作实质性修改。</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、采购人不得向中标供应商提出任何不合理的要求作为签订合同的条件。</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、中标供应商无故拖延、拒签合同的，取消中标资格。</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、询问或者质疑事项可能影响中标结果的，采购人应当暂停签订合同，已经签订合同的，应当中止履行合同（中标结果的质疑期为中标结果公告期限届满之日起七个工作日）。</w:t>
      </w:r>
    </w:p>
    <w:p>
      <w:pPr>
        <w:spacing w:line="360" w:lineRule="auto"/>
        <w:ind w:firstLine="482" w:firstLineChars="200"/>
        <w:rPr>
          <w:rFonts w:ascii="宋体"/>
          <w:b/>
          <w:bCs/>
          <w:color w:val="auto"/>
          <w:sz w:val="24"/>
          <w:szCs w:val="24"/>
          <w:highlight w:val="none"/>
        </w:rPr>
      </w:pPr>
      <w:r>
        <w:rPr>
          <w:rFonts w:hint="eastAsia" w:ascii="宋体" w:hAnsi="宋体" w:cs="宋体"/>
          <w:b/>
          <w:bCs/>
          <w:color w:val="auto"/>
          <w:sz w:val="24"/>
          <w:szCs w:val="24"/>
          <w:highlight w:val="none"/>
        </w:rPr>
        <w:t>（二）合同公告及备案</w:t>
      </w:r>
    </w:p>
    <w:p>
      <w:pPr>
        <w:spacing w:line="360" w:lineRule="auto"/>
        <w:ind w:firstLine="480" w:firstLineChars="200"/>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、采购人应当自政府采购合同签订之日起</w:t>
      </w:r>
      <w:r>
        <w:rPr>
          <w:rFonts w:ascii="宋体" w:hAnsi="宋体" w:cs="宋体"/>
          <w:color w:val="auto"/>
          <w:sz w:val="24"/>
          <w:szCs w:val="24"/>
          <w:highlight w:val="none"/>
        </w:rPr>
        <w:t>2</w:t>
      </w:r>
      <w:r>
        <w:rPr>
          <w:rFonts w:hint="eastAsia" w:ascii="宋体" w:hAnsi="宋体" w:cs="宋体"/>
          <w:color w:val="auto"/>
          <w:sz w:val="24"/>
          <w:szCs w:val="24"/>
          <w:highlight w:val="none"/>
        </w:rPr>
        <w:t>个工作日内，在省级以上财政部门指定的政府采购信息发布媒体及相关网站上公告。</w:t>
      </w:r>
    </w:p>
    <w:p>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、采购人应当自政府采购合同签订之日起</w:t>
      </w:r>
      <w:r>
        <w:rPr>
          <w:rFonts w:ascii="宋体" w:hAnsi="宋体" w:cs="宋体"/>
          <w:color w:val="auto"/>
          <w:sz w:val="24"/>
          <w:szCs w:val="24"/>
          <w:highlight w:val="none"/>
        </w:rPr>
        <w:t>7</w:t>
      </w:r>
      <w:r>
        <w:rPr>
          <w:rFonts w:hint="eastAsia" w:ascii="宋体" w:hAnsi="宋体" w:cs="宋体"/>
          <w:color w:val="auto"/>
          <w:sz w:val="24"/>
          <w:szCs w:val="24"/>
          <w:highlight w:val="none"/>
        </w:rPr>
        <w:t>个工作日内，将政府采购合同副本报同级人民政府财政部门备案以及采购组织机构存档。</w:t>
      </w:r>
    </w:p>
    <w:p>
      <w:pPr>
        <w:spacing w:line="360" w:lineRule="auto"/>
        <w:jc w:val="center"/>
        <w:rPr>
          <w:rFonts w:hint="eastAsia" w:ascii="宋体" w:hAnsi="宋体" w:cs="宋体"/>
          <w:b/>
          <w:bCs/>
          <w:color w:val="auto"/>
          <w:sz w:val="36"/>
          <w:szCs w:val="36"/>
          <w:highlight w:val="none"/>
        </w:rPr>
      </w:pPr>
    </w:p>
    <w:p>
      <w:pPr>
        <w:spacing w:line="360" w:lineRule="auto"/>
        <w:jc w:val="center"/>
        <w:rPr>
          <w:rFonts w:hint="eastAsia" w:ascii="宋体" w:hAnsi="宋体" w:cs="宋体"/>
          <w:b/>
          <w:bCs/>
          <w:color w:val="auto"/>
          <w:sz w:val="36"/>
          <w:szCs w:val="36"/>
          <w:highlight w:val="none"/>
        </w:rPr>
      </w:pPr>
    </w:p>
    <w:p>
      <w:pPr>
        <w:spacing w:line="360" w:lineRule="auto"/>
        <w:jc w:val="center"/>
        <w:rPr>
          <w:rFonts w:hint="eastAsia" w:ascii="宋体" w:hAnsi="宋体" w:cs="宋体"/>
          <w:b/>
          <w:bCs/>
          <w:color w:val="auto"/>
          <w:sz w:val="36"/>
          <w:szCs w:val="36"/>
          <w:highlight w:val="none"/>
        </w:rPr>
      </w:pPr>
    </w:p>
    <w:p>
      <w:pPr>
        <w:spacing w:line="360" w:lineRule="auto"/>
        <w:jc w:val="center"/>
        <w:rPr>
          <w:rFonts w:hint="eastAsia" w:ascii="宋体" w:hAnsi="宋体" w:cs="宋体"/>
          <w:b/>
          <w:bCs/>
          <w:color w:val="auto"/>
          <w:sz w:val="36"/>
          <w:szCs w:val="36"/>
          <w:highlight w:val="none"/>
        </w:rPr>
      </w:pPr>
    </w:p>
    <w:p>
      <w:pPr>
        <w:spacing w:line="360" w:lineRule="auto"/>
        <w:jc w:val="center"/>
        <w:rPr>
          <w:rFonts w:hint="eastAsia" w:ascii="宋体" w:hAnsi="宋体" w:cs="宋体"/>
          <w:b/>
          <w:bCs/>
          <w:color w:val="auto"/>
          <w:sz w:val="36"/>
          <w:szCs w:val="36"/>
          <w:highlight w:val="none"/>
        </w:rPr>
      </w:pPr>
    </w:p>
    <w:p>
      <w:pPr>
        <w:spacing w:line="360" w:lineRule="auto"/>
        <w:jc w:val="center"/>
        <w:rPr>
          <w:rFonts w:hint="eastAsia" w:ascii="宋体" w:hAnsi="宋体" w:cs="宋体"/>
          <w:b/>
          <w:bCs/>
          <w:color w:val="auto"/>
          <w:sz w:val="36"/>
          <w:szCs w:val="36"/>
          <w:highlight w:val="none"/>
        </w:rPr>
      </w:pPr>
    </w:p>
    <w:p>
      <w:pPr>
        <w:spacing w:line="360" w:lineRule="auto"/>
        <w:jc w:val="center"/>
        <w:rPr>
          <w:rFonts w:hint="eastAsia" w:ascii="宋体" w:hAnsi="宋体" w:cs="宋体"/>
          <w:b/>
          <w:bCs/>
          <w:color w:val="auto"/>
          <w:sz w:val="36"/>
          <w:szCs w:val="36"/>
          <w:highlight w:val="none"/>
        </w:rPr>
      </w:pPr>
    </w:p>
    <w:p>
      <w:pPr>
        <w:spacing w:line="360" w:lineRule="auto"/>
        <w:jc w:val="center"/>
        <w:rPr>
          <w:rFonts w:hint="eastAsia" w:ascii="宋体" w:hAnsi="宋体" w:cs="宋体"/>
          <w:b/>
          <w:bCs/>
          <w:color w:val="auto"/>
          <w:sz w:val="36"/>
          <w:szCs w:val="36"/>
          <w:highlight w:val="none"/>
        </w:rPr>
      </w:pPr>
    </w:p>
    <w:p>
      <w:pPr>
        <w:spacing w:line="360" w:lineRule="auto"/>
        <w:jc w:val="center"/>
        <w:rPr>
          <w:rFonts w:hint="eastAsia" w:ascii="宋体" w:hAnsi="宋体" w:cs="宋体"/>
          <w:b/>
          <w:bCs/>
          <w:color w:val="auto"/>
          <w:sz w:val="36"/>
          <w:szCs w:val="36"/>
          <w:highlight w:val="none"/>
        </w:rPr>
      </w:pPr>
    </w:p>
    <w:p>
      <w:pPr>
        <w:spacing w:line="360" w:lineRule="auto"/>
        <w:jc w:val="center"/>
        <w:rPr>
          <w:rFonts w:hint="eastAsia" w:ascii="宋体" w:hAnsi="宋体" w:cs="宋体"/>
          <w:b/>
          <w:bCs/>
          <w:color w:val="auto"/>
          <w:sz w:val="36"/>
          <w:szCs w:val="36"/>
          <w:highlight w:val="none"/>
        </w:rPr>
      </w:pPr>
    </w:p>
    <w:p>
      <w:pPr>
        <w:spacing w:line="360" w:lineRule="auto"/>
        <w:jc w:val="center"/>
        <w:rPr>
          <w:rFonts w:hint="eastAsia" w:ascii="宋体" w:hAnsi="宋体" w:cs="宋体"/>
          <w:b/>
          <w:bCs/>
          <w:color w:val="auto"/>
          <w:sz w:val="36"/>
          <w:szCs w:val="36"/>
          <w:highlight w:val="none"/>
        </w:rPr>
      </w:pPr>
    </w:p>
    <w:p>
      <w:pPr>
        <w:spacing w:line="360" w:lineRule="auto"/>
        <w:jc w:val="center"/>
        <w:rPr>
          <w:rFonts w:hint="eastAsia" w:ascii="宋体" w:hAnsi="宋体" w:cs="宋体"/>
          <w:b/>
          <w:bCs/>
          <w:color w:val="auto"/>
          <w:sz w:val="36"/>
          <w:szCs w:val="36"/>
          <w:highlight w:val="none"/>
        </w:rPr>
      </w:pPr>
    </w:p>
    <w:p>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第三章</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评标办法及评分标准</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一、采购组织机构将组织评标委员会，对投标人提供的投标文件进行综合评审。</w:t>
      </w:r>
    </w:p>
    <w:p>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二、本次招标项目的评标方法为综合评分法，总计100分。</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（一）商务与技术文件中的客观分由评标委员会讨论后统一打分；其余在规定的分值内单独评定打分。</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（二）各投标人商务与技术文件得分按照评标委员会成员的独立评分结果汇总后的算术平均分计算，计算公式为：</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rPr>
        <w:t>商务与技术文件得分</w:t>
      </w:r>
      <w:r>
        <w:rPr>
          <w:rFonts w:hint="eastAsia" w:ascii="宋体" w:hAnsi="宋体" w:cs="宋体"/>
          <w:color w:val="auto"/>
          <w:sz w:val="24"/>
          <w:szCs w:val="32"/>
          <w:highlight w:val="none"/>
          <w:lang w:val="zh-CN"/>
        </w:rPr>
        <w:t>=评标委员会所有成员评分合计数/评标委员会组成人员数。</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（三）投标报价得分采用低价优先法计算，即满足招标文件要求且投标价格最低的投标报价为评标基准价，其报价得满分。其他投标人的投标报价得分按下列公式计算：</w:t>
      </w:r>
    </w:p>
    <w:p>
      <w:pPr>
        <w:spacing w:line="360" w:lineRule="auto"/>
        <w:ind w:firstLine="480" w:firstLineChars="200"/>
        <w:rPr>
          <w:rFonts w:ascii="宋体" w:hAnsi="宋体" w:cs="宋体"/>
          <w:color w:val="auto"/>
          <w:sz w:val="24"/>
          <w:szCs w:val="32"/>
          <w:highlight w:val="none"/>
          <w:u w:val="single"/>
        </w:rPr>
      </w:pPr>
      <w:r>
        <w:rPr>
          <w:rFonts w:hint="eastAsia" w:ascii="宋体" w:hAnsi="宋体" w:cs="宋体"/>
          <w:color w:val="auto"/>
          <w:sz w:val="24"/>
          <w:szCs w:val="32"/>
          <w:highlight w:val="none"/>
          <w:u w:val="single"/>
        </w:rPr>
        <w:t>投标报价得分=（评标基准价／投标报价）×30%×100 。</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（四）投标人综合得分＝资格证明文件、商务技术文件得分＋投标报价得分。</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（五）政府采购政策及优惠：</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①根据财政部、工业和信息化部发布的《政府采购促进中小企业发展管理办法》【财库（2020）46号】规定，对于经主管预算单位统筹后未预留份额专门面向中小企业采购的采购项目，以及预留份额项目中的非预留部分采购包，采购人、采购代理机构应当对符合本办法规定的小微企业报价给予 6%的扣除，用扣除后的价格参加评审。</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2%的扣除，用扣除后的价格参加评审。</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投标文件中须同时出具《政府采购促进中小企业发展管理办法》【财库（2020）46号】规定的《中小企业声明函》，否则不得享受价格扣除。</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本项目对符合规定的小微企业（含小型企业）报价给予6% 的扣除。</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对符合规定的联合体或者大中型企业的报价给予2%的扣除。（不接受联合体投标的，本条不适用）。</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②根据《关于政府采购支持监狱企业发展有关问题的通知》（财库[2014]68号）的规定，供应商如为监狱企业且所投产品为小型或微型企业生产的，其投标报价扣除6%后参与评审。</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投标文件中须同时提供：供应商的省级以上监狱管理局、戒毒管理局(含新疆生产建设兵团)出具的属于监狱企业的证明文件，未提供完整证明材料的，投标报价不予扣减。</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③残疾人福利性单位视同小型、微型企业，享受预留份额、评审中价格扣除等促进中小企业发展的政府采购政策。符合条件的残疾人福利性单位在参加政府采购活动时，应当提供本通知规定的《残疾人福利性单位声明函》（见附件），并对声明的真实性负责。</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享受政府采购支持政策的残疾人福利性单位应当同时满足以下条件：</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（一）安置的残疾人占本单位在职职工人数的比例不低于25%（含25%），并且安置的残疾人人数不少于10人（含10人）；</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（二）依法与安置的每位残疾人签订了一年以上（含一年）的劳动合同或服务协议；</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（三）为安置的每位残疾人按月足额缴纳了基本养老保险、基本医疗保险、失业保险、工伤保险和生育保险等社会保险费；</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（四）通过银行等金融机构向安置的每位残疾人，按月支付了不低于单位所在区县适用的经省级人民政府批准的月最低工资标准的工资；</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（五）提供本单位制造的货物、承担的工程或者服务（以下简称产品），或者提供其他残疾人福利性单位制造的货物（不包括使用非残疾人福利性单位注册商标的货物）。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注：得分以系统计算为准，保留2位小数。</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三、在最大限度地满足招标文件实质性要求前提下，评标委员会按照招标文件中规定的各项因素进行综合评审后，以评标总得分最高的投标人为中标候选人。</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四、如综合得分相同，投标报价低者为先；如综合得分且投标报价相同的，货物类采购项目以技术性能得分较高者为先，服务类采购项目以实力信誉及业绩得分较高者为先。</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五、提供相同品牌产品的不同投标人参加同一合同项下投标的，按一家供应商认定：</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（1）采用最低评标价法的采购项目，以其中通过资格审查、符合性审查且报价最低的参加评标；报价相同的，由评标委员会集体确定一个投标人参加评标，其他投标无效。</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（2）使用综合评分法的采购项目，评审后得分最高的同品牌投标人获得中标人推荐资格；评审得分相同的，由评标委员会集体推荐一个投标人作为中标候选人，其他同品牌投标人不作为中标候选人。</w:t>
      </w:r>
    </w:p>
    <w:p>
      <w:pPr>
        <w:spacing w:line="360" w:lineRule="auto"/>
        <w:ind w:firstLine="480" w:firstLineChars="200"/>
        <w:rPr>
          <w:rFonts w:ascii="宋体" w:hAnsi="宋体" w:cs="宋体"/>
          <w:color w:val="auto"/>
          <w:sz w:val="24"/>
          <w:szCs w:val="32"/>
          <w:highlight w:val="none"/>
          <w:lang w:val="zh-CN"/>
        </w:rPr>
      </w:pPr>
      <w:r>
        <w:rPr>
          <w:rFonts w:hint="eastAsia" w:ascii="宋体" w:hAnsi="宋体" w:cs="宋体"/>
          <w:color w:val="auto"/>
          <w:sz w:val="24"/>
          <w:szCs w:val="32"/>
          <w:highlight w:val="none"/>
          <w:lang w:val="zh-CN"/>
        </w:rPr>
        <w:t>六、本次评分具体分值细化条款如下表：</w:t>
      </w:r>
    </w:p>
    <w:tbl>
      <w:tblPr>
        <w:tblStyle w:val="26"/>
        <w:tblW w:w="9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8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5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ind w:left="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投标技术及文件的响应性（50分）</w:t>
            </w:r>
          </w:p>
        </w:tc>
        <w:tc>
          <w:tcPr>
            <w:tcW w:w="8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ind w:left="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响应情况：对应“二、招标技术要求”的符合度：只要不满足采购文件中带“▲”的任一条款要求的视为无效标；带“*”条款不能满足采购文件要求的扣4分/条，其余条款不能满足采购文件要求的扣2分/条，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58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ind w:left="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技术先进性（3分）</w:t>
            </w:r>
          </w:p>
        </w:tc>
        <w:tc>
          <w:tcPr>
            <w:tcW w:w="8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ind w:left="0"/>
              <w:jc w:val="left"/>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所投产品技术指标的先进性，由评审小组判定评分</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最高得3分。</w:t>
            </w:r>
          </w:p>
          <w:p>
            <w:pPr>
              <w:autoSpaceDE w:val="0"/>
              <w:autoSpaceDN w:val="0"/>
              <w:adjustRightInd w:val="0"/>
              <w:spacing w:line="0" w:lineRule="atLeast"/>
              <w:ind w:left="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备注:技术指标如有负偏离，则对应项分值为0分。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586" w:type="dxa"/>
            <w:tcBorders>
              <w:top w:val="single" w:color="auto" w:sz="4" w:space="0"/>
              <w:left w:val="single" w:color="auto" w:sz="4" w:space="0"/>
              <w:bottom w:val="single" w:color="auto" w:sz="4" w:space="0"/>
              <w:right w:val="single" w:color="auto" w:sz="4" w:space="0"/>
            </w:tcBorders>
            <w:vAlign w:val="center"/>
          </w:tcPr>
          <w:p>
            <w:pPr>
              <w:spacing w:line="0" w:lineRule="atLeast"/>
              <w:ind w:left="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安装调试方案（3分）</w:t>
            </w:r>
          </w:p>
        </w:tc>
        <w:tc>
          <w:tcPr>
            <w:tcW w:w="8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ind w:left="0"/>
              <w:jc w:val="left"/>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评标委员会根据投标人针对安装调试方案的合理性打</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val="en-US" w:eastAsia="zh-CN"/>
              </w:rPr>
              <w:t>有明确的安装调试方案，具体的时间节点，人员安排得2-3分，有安装调试方案，但未详细描述得0-1.9分。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1586" w:type="dxa"/>
            <w:tcBorders>
              <w:top w:val="single" w:color="auto" w:sz="4" w:space="0"/>
              <w:left w:val="single" w:color="auto" w:sz="4" w:space="0"/>
              <w:bottom w:val="single" w:color="auto" w:sz="4" w:space="0"/>
              <w:right w:val="single" w:color="auto" w:sz="4" w:space="0"/>
            </w:tcBorders>
            <w:vAlign w:val="center"/>
          </w:tcPr>
          <w:p>
            <w:pPr>
              <w:spacing w:line="0" w:lineRule="atLeast"/>
              <w:ind w:left="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培训方案（3分）</w:t>
            </w:r>
          </w:p>
        </w:tc>
        <w:tc>
          <w:tcPr>
            <w:tcW w:w="8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ind w:left="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评标委员会根据投标人针对临床应用培训方案的合理性打分，</w:t>
            </w:r>
            <w:r>
              <w:rPr>
                <w:rFonts w:hint="eastAsia" w:ascii="宋体" w:hAnsi="宋体" w:eastAsia="宋体" w:cs="宋体"/>
                <w:bCs/>
                <w:color w:val="auto"/>
                <w:sz w:val="24"/>
                <w:szCs w:val="24"/>
                <w:highlight w:val="none"/>
                <w:lang w:val="en-US" w:eastAsia="zh-CN"/>
              </w:rPr>
              <w:t>培训方案详细、结合医院实际使用人员展开，有具体的培训时间、培训内容得2-3分，培训方案内容简略，未详细展开得0-1.9分</w:t>
            </w:r>
            <w:r>
              <w:rPr>
                <w:rFonts w:hint="eastAsia" w:ascii="宋体" w:hAnsi="宋体" w:eastAsia="宋体" w:cs="宋体"/>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586" w:type="dxa"/>
            <w:tcBorders>
              <w:top w:val="single" w:color="auto" w:sz="4" w:space="0"/>
              <w:left w:val="single" w:color="auto" w:sz="4" w:space="0"/>
              <w:bottom w:val="single" w:color="auto" w:sz="4" w:space="0"/>
              <w:right w:val="single" w:color="auto" w:sz="4" w:space="0"/>
            </w:tcBorders>
            <w:vAlign w:val="center"/>
          </w:tcPr>
          <w:p>
            <w:pPr>
              <w:spacing w:line="0" w:lineRule="atLeast"/>
              <w:ind w:left="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售后服务方案（8分）</w:t>
            </w:r>
          </w:p>
        </w:tc>
        <w:tc>
          <w:tcPr>
            <w:tcW w:w="8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ind w:left="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评标委员会根据投标人针对售后服务方案的合理性打分，整机全保3年，符合得3分，不符合得0分，超过3年后，每增加1年整机全保加2分，不含球管维保每年加1分，最高限加8分。全保是指所有配件及易损件。（需提供原厂保修服务文件，不提供则售后服务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jc w:val="center"/>
        </w:trPr>
        <w:tc>
          <w:tcPr>
            <w:tcW w:w="1586" w:type="dxa"/>
            <w:tcBorders>
              <w:top w:val="single" w:color="auto" w:sz="4" w:space="0"/>
              <w:left w:val="single" w:color="auto" w:sz="4" w:space="0"/>
              <w:bottom w:val="single" w:color="auto" w:sz="4" w:space="0"/>
              <w:right w:val="single" w:color="auto" w:sz="4" w:space="0"/>
            </w:tcBorders>
            <w:vAlign w:val="center"/>
          </w:tcPr>
          <w:p>
            <w:pPr>
              <w:spacing w:line="0" w:lineRule="atLeast"/>
              <w:ind w:left="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业绩（3分）</w:t>
            </w:r>
          </w:p>
        </w:tc>
        <w:tc>
          <w:tcPr>
            <w:tcW w:w="818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0" w:lineRule="atLeast"/>
              <w:ind w:left="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提供投标机型2020年至今销售合同复印件12份得3分</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每少一个扣0.25分</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rPr>
              <w:t>(现场提供合同原件查验)</w:t>
            </w:r>
          </w:p>
        </w:tc>
      </w:tr>
    </w:tbl>
    <w:p>
      <w:pPr>
        <w:spacing w:line="360" w:lineRule="auto"/>
        <w:jc w:val="center"/>
        <w:rPr>
          <w:rFonts w:hint="eastAsia" w:ascii="宋体" w:hAnsi="宋体" w:cs="宋体"/>
          <w:b/>
          <w:bCs/>
          <w:color w:val="auto"/>
          <w:sz w:val="36"/>
          <w:szCs w:val="36"/>
          <w:highlight w:val="none"/>
        </w:rPr>
      </w:pPr>
    </w:p>
    <w:p>
      <w:pPr>
        <w:spacing w:line="360" w:lineRule="auto"/>
        <w:jc w:val="center"/>
        <w:rPr>
          <w:rFonts w:hint="eastAsia" w:ascii="宋体" w:hAnsi="宋体" w:cs="宋体"/>
          <w:b/>
          <w:bCs/>
          <w:color w:val="auto"/>
          <w:sz w:val="36"/>
          <w:szCs w:val="36"/>
          <w:highlight w:val="none"/>
        </w:rPr>
      </w:pPr>
    </w:p>
    <w:p>
      <w:pPr>
        <w:spacing w:line="360" w:lineRule="auto"/>
        <w:jc w:val="center"/>
        <w:rPr>
          <w:rFonts w:hint="eastAsia" w:ascii="宋体" w:hAnsi="宋体" w:cs="宋体"/>
          <w:b/>
          <w:bCs/>
          <w:color w:val="auto"/>
          <w:sz w:val="36"/>
          <w:szCs w:val="36"/>
          <w:highlight w:val="none"/>
        </w:rPr>
      </w:pPr>
    </w:p>
    <w:p>
      <w:pPr>
        <w:spacing w:line="360" w:lineRule="auto"/>
        <w:jc w:val="center"/>
        <w:rPr>
          <w:rFonts w:hint="eastAsia" w:ascii="宋体" w:hAnsi="宋体" w:cs="宋体"/>
          <w:b/>
          <w:bCs/>
          <w:color w:val="auto"/>
          <w:sz w:val="36"/>
          <w:szCs w:val="36"/>
          <w:highlight w:val="none"/>
        </w:rPr>
      </w:pPr>
    </w:p>
    <w:p>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第四章</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公开招标需求</w:t>
      </w:r>
    </w:p>
    <w:p>
      <w:pPr>
        <w:spacing w:line="360" w:lineRule="auto"/>
        <w:ind w:left="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一、基本要求</w:t>
      </w:r>
    </w:p>
    <w:tbl>
      <w:tblPr>
        <w:tblStyle w:val="26"/>
        <w:tblW w:w="8506" w:type="dxa"/>
        <w:tblInd w:w="-112" w:type="dxa"/>
        <w:tblLayout w:type="fixed"/>
        <w:tblCellMar>
          <w:top w:w="0" w:type="dxa"/>
          <w:left w:w="30" w:type="dxa"/>
          <w:bottom w:w="0" w:type="dxa"/>
          <w:right w:w="30" w:type="dxa"/>
        </w:tblCellMar>
      </w:tblPr>
      <w:tblGrid>
        <w:gridCol w:w="709"/>
        <w:gridCol w:w="2268"/>
        <w:gridCol w:w="709"/>
        <w:gridCol w:w="4820"/>
      </w:tblGrid>
      <w:tr>
        <w:tblPrEx>
          <w:tblCellMar>
            <w:top w:w="0" w:type="dxa"/>
            <w:left w:w="30" w:type="dxa"/>
            <w:bottom w:w="0" w:type="dxa"/>
            <w:right w:w="30" w:type="dxa"/>
          </w:tblCellMar>
        </w:tblPrEx>
        <w:trPr>
          <w:trHeight w:val="284" w:hRule="exact"/>
        </w:trPr>
        <w:tc>
          <w:tcPr>
            <w:tcW w:w="709" w:type="dxa"/>
            <w:tcBorders>
              <w:top w:val="single" w:color="000000" w:sz="6" w:space="0"/>
              <w:left w:val="single" w:color="000000" w:sz="6" w:space="0"/>
              <w:bottom w:val="single" w:color="000000" w:sz="6" w:space="0"/>
              <w:right w:val="single" w:color="000000" w:sz="6" w:space="0"/>
            </w:tcBorders>
          </w:tcPr>
          <w:p>
            <w:pPr>
              <w:ind w:lef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268" w:type="dxa"/>
            <w:tcBorders>
              <w:top w:val="single" w:color="000000" w:sz="6" w:space="0"/>
              <w:left w:val="single" w:color="000000" w:sz="6" w:space="0"/>
              <w:bottom w:val="single" w:color="000000" w:sz="6" w:space="0"/>
              <w:right w:val="single" w:color="000000" w:sz="6" w:space="0"/>
            </w:tcBorders>
            <w:vAlign w:val="center"/>
          </w:tcPr>
          <w:p>
            <w:pPr>
              <w:ind w:lef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 物 名 称</w:t>
            </w:r>
          </w:p>
        </w:tc>
        <w:tc>
          <w:tcPr>
            <w:tcW w:w="709" w:type="dxa"/>
            <w:tcBorders>
              <w:top w:val="single" w:color="000000" w:sz="6" w:space="0"/>
              <w:left w:val="single" w:color="000000" w:sz="6" w:space="0"/>
              <w:bottom w:val="single" w:color="000000" w:sz="6" w:space="0"/>
              <w:right w:val="single" w:color="000000" w:sz="6" w:space="0"/>
            </w:tcBorders>
          </w:tcPr>
          <w:p>
            <w:pPr>
              <w:ind w:lef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4820" w:type="dxa"/>
            <w:tcBorders>
              <w:top w:val="single" w:color="000000" w:sz="6" w:space="0"/>
              <w:left w:val="single" w:color="000000" w:sz="6" w:space="0"/>
              <w:bottom w:val="single" w:color="000000" w:sz="6" w:space="0"/>
              <w:right w:val="single" w:color="000000" w:sz="6" w:space="0"/>
            </w:tcBorders>
            <w:vAlign w:val="center"/>
          </w:tcPr>
          <w:p>
            <w:pPr>
              <w:ind w:lef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主要技术规格</w:t>
            </w:r>
          </w:p>
        </w:tc>
      </w:tr>
      <w:tr>
        <w:tblPrEx>
          <w:tblCellMar>
            <w:top w:w="0" w:type="dxa"/>
            <w:left w:w="30" w:type="dxa"/>
            <w:bottom w:w="0" w:type="dxa"/>
            <w:right w:w="30" w:type="dxa"/>
          </w:tblCellMar>
        </w:tblPrEx>
        <w:trPr>
          <w:trHeight w:val="655" w:hRule="exact"/>
        </w:trPr>
        <w:tc>
          <w:tcPr>
            <w:tcW w:w="709" w:type="dxa"/>
            <w:tcBorders>
              <w:top w:val="single" w:color="000000" w:sz="6" w:space="0"/>
              <w:left w:val="single" w:color="000000" w:sz="6" w:space="0"/>
              <w:bottom w:val="single" w:color="000000" w:sz="6" w:space="0"/>
              <w:right w:val="single" w:color="000000" w:sz="6" w:space="0"/>
            </w:tcBorders>
          </w:tcPr>
          <w:p>
            <w:pPr>
              <w:ind w:lef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268" w:type="dxa"/>
            <w:tcBorders>
              <w:top w:val="single" w:color="000000" w:sz="6" w:space="0"/>
              <w:left w:val="single" w:color="000000" w:sz="6" w:space="0"/>
              <w:bottom w:val="single" w:color="000000" w:sz="6" w:space="0"/>
              <w:right w:val="single" w:color="000000" w:sz="6" w:space="0"/>
            </w:tcBorders>
          </w:tcPr>
          <w:p>
            <w:pPr>
              <w:ind w:lef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≥24排16层螺旋CT＜64排</w:t>
            </w:r>
          </w:p>
        </w:tc>
        <w:tc>
          <w:tcPr>
            <w:tcW w:w="709" w:type="dxa"/>
            <w:tcBorders>
              <w:top w:val="single" w:color="000000" w:sz="6" w:space="0"/>
              <w:left w:val="single" w:color="000000" w:sz="6" w:space="0"/>
              <w:bottom w:val="single" w:color="000000" w:sz="6" w:space="0"/>
              <w:right w:val="single" w:color="000000" w:sz="6" w:space="0"/>
            </w:tcBorders>
          </w:tcPr>
          <w:p>
            <w:pPr>
              <w:ind w:lef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c>
          <w:tcPr>
            <w:tcW w:w="4820" w:type="dxa"/>
            <w:tcBorders>
              <w:top w:val="single" w:color="000000" w:sz="6" w:space="0"/>
              <w:left w:val="single" w:color="000000" w:sz="6" w:space="0"/>
              <w:bottom w:val="single" w:color="000000" w:sz="6" w:space="0"/>
              <w:right w:val="single" w:color="000000" w:sz="6" w:space="0"/>
            </w:tcBorders>
          </w:tcPr>
          <w:p>
            <w:pPr>
              <w:ind w:lef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必须提供低剂量迭代降噪重建硬件平台和软件技术。为保持产品先进性，各厂家必须提供最新型号的≥24排16层CT产品。</w:t>
            </w:r>
          </w:p>
        </w:tc>
      </w:tr>
      <w:tr>
        <w:tblPrEx>
          <w:tblCellMar>
            <w:top w:w="0" w:type="dxa"/>
            <w:left w:w="30" w:type="dxa"/>
            <w:bottom w:w="0" w:type="dxa"/>
            <w:right w:w="30" w:type="dxa"/>
          </w:tblCellMar>
        </w:tblPrEx>
        <w:trPr>
          <w:trHeight w:val="284" w:hRule="exact"/>
        </w:trPr>
        <w:tc>
          <w:tcPr>
            <w:tcW w:w="709" w:type="dxa"/>
            <w:tcBorders>
              <w:top w:val="single" w:color="000000" w:sz="6" w:space="0"/>
              <w:left w:val="single" w:color="000000" w:sz="6" w:space="0"/>
              <w:bottom w:val="single" w:color="000000" w:sz="6" w:space="0"/>
              <w:right w:val="single" w:color="000000" w:sz="6" w:space="0"/>
            </w:tcBorders>
          </w:tcPr>
          <w:p>
            <w:pPr>
              <w:ind w:lef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268" w:type="dxa"/>
            <w:tcBorders>
              <w:top w:val="single" w:color="000000" w:sz="6" w:space="0"/>
              <w:left w:val="single" w:color="000000" w:sz="6" w:space="0"/>
              <w:bottom w:val="single" w:color="000000" w:sz="6" w:space="0"/>
              <w:right w:val="single" w:color="000000" w:sz="6" w:space="0"/>
            </w:tcBorders>
          </w:tcPr>
          <w:p>
            <w:pPr>
              <w:ind w:lef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随机附件</w:t>
            </w:r>
          </w:p>
        </w:tc>
        <w:tc>
          <w:tcPr>
            <w:tcW w:w="709" w:type="dxa"/>
            <w:tcBorders>
              <w:top w:val="single" w:color="000000" w:sz="6" w:space="0"/>
              <w:left w:val="single" w:color="000000" w:sz="6" w:space="0"/>
              <w:bottom w:val="single" w:color="000000" w:sz="6" w:space="0"/>
              <w:right w:val="single" w:color="000000" w:sz="6" w:space="0"/>
            </w:tcBorders>
          </w:tcPr>
          <w:p>
            <w:pPr>
              <w:ind w:lef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c>
          <w:tcPr>
            <w:tcW w:w="4820" w:type="dxa"/>
            <w:tcBorders>
              <w:top w:val="single" w:color="000000" w:sz="6" w:space="0"/>
              <w:left w:val="single" w:color="000000" w:sz="6" w:space="0"/>
              <w:bottom w:val="single" w:color="000000" w:sz="6" w:space="0"/>
              <w:right w:val="single" w:color="000000" w:sz="6" w:space="0"/>
            </w:tcBorders>
          </w:tcPr>
          <w:p>
            <w:pPr>
              <w:ind w:lef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w:t>
            </w:r>
          </w:p>
        </w:tc>
      </w:tr>
      <w:tr>
        <w:tblPrEx>
          <w:tblCellMar>
            <w:top w:w="0" w:type="dxa"/>
            <w:left w:w="30" w:type="dxa"/>
            <w:bottom w:w="0" w:type="dxa"/>
            <w:right w:w="30" w:type="dxa"/>
          </w:tblCellMar>
        </w:tblPrEx>
        <w:trPr>
          <w:trHeight w:val="284" w:hRule="exact"/>
        </w:trPr>
        <w:tc>
          <w:tcPr>
            <w:tcW w:w="709" w:type="dxa"/>
            <w:tcBorders>
              <w:top w:val="single" w:color="000000" w:sz="6" w:space="0"/>
              <w:left w:val="single" w:color="000000" w:sz="6" w:space="0"/>
              <w:bottom w:val="single" w:color="000000" w:sz="6" w:space="0"/>
              <w:right w:val="single" w:color="000000" w:sz="6" w:space="0"/>
            </w:tcBorders>
          </w:tcPr>
          <w:p>
            <w:pPr>
              <w:ind w:lef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268" w:type="dxa"/>
            <w:tcBorders>
              <w:top w:val="single" w:color="000000" w:sz="6" w:space="0"/>
              <w:left w:val="single" w:color="000000" w:sz="6" w:space="0"/>
              <w:bottom w:val="single" w:color="000000" w:sz="6" w:space="0"/>
              <w:right w:val="single" w:color="000000" w:sz="6" w:space="0"/>
            </w:tcBorders>
          </w:tcPr>
          <w:p>
            <w:pPr>
              <w:ind w:lef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技术资料</w:t>
            </w:r>
          </w:p>
        </w:tc>
        <w:tc>
          <w:tcPr>
            <w:tcW w:w="709" w:type="dxa"/>
            <w:tcBorders>
              <w:top w:val="single" w:color="000000" w:sz="6" w:space="0"/>
              <w:left w:val="single" w:color="000000" w:sz="6" w:space="0"/>
              <w:bottom w:val="single" w:color="000000" w:sz="6" w:space="0"/>
              <w:right w:val="single" w:color="000000" w:sz="6" w:space="0"/>
            </w:tcBorders>
          </w:tcPr>
          <w:p>
            <w:pPr>
              <w:ind w:lef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1套</w:t>
            </w:r>
          </w:p>
        </w:tc>
        <w:tc>
          <w:tcPr>
            <w:tcW w:w="4820" w:type="dxa"/>
            <w:tcBorders>
              <w:top w:val="single" w:color="000000" w:sz="6" w:space="0"/>
              <w:left w:val="single" w:color="000000" w:sz="6" w:space="0"/>
              <w:bottom w:val="single" w:color="000000" w:sz="6" w:space="0"/>
              <w:right w:val="single" w:color="000000" w:sz="6" w:space="0"/>
            </w:tcBorders>
          </w:tcPr>
          <w:p>
            <w:pPr>
              <w:ind w:lef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w:t>
            </w:r>
          </w:p>
        </w:tc>
      </w:tr>
    </w:tbl>
    <w:p>
      <w:pPr>
        <w:ind w:left="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二、技术条款</w:t>
      </w:r>
    </w:p>
    <w:tbl>
      <w:tblPr>
        <w:tblStyle w:val="26"/>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5103"/>
        <w:gridCol w:w="14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p>
        </w:tc>
        <w:tc>
          <w:tcPr>
            <w:tcW w:w="7797" w:type="dxa"/>
            <w:gridSpan w:val="3"/>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主要技术规格及配置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tblHeader/>
        </w:trPr>
        <w:tc>
          <w:tcPr>
            <w:tcW w:w="709" w:type="dxa"/>
            <w:vAlign w:val="center"/>
          </w:tcPr>
          <w:p>
            <w:pPr>
              <w:ind w:left="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w:t>
            </w:r>
          </w:p>
        </w:tc>
        <w:tc>
          <w:tcPr>
            <w:tcW w:w="5103" w:type="dxa"/>
            <w:vAlign w:val="center"/>
          </w:tcPr>
          <w:p>
            <w:pPr>
              <w:ind w:left="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机架系统</w:t>
            </w:r>
          </w:p>
        </w:tc>
        <w:tc>
          <w:tcPr>
            <w:tcW w:w="2694" w:type="dxa"/>
            <w:gridSpan w:val="2"/>
            <w:vAlign w:val="center"/>
          </w:tcPr>
          <w:p>
            <w:pPr>
              <w:ind w:left="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5103"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滑环类型</w:t>
            </w:r>
          </w:p>
        </w:tc>
        <w:tc>
          <w:tcPr>
            <w:tcW w:w="2694"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低压滑环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r>
              <w:rPr>
                <w:rFonts w:hint="eastAsia" w:ascii="宋体" w:hAnsi="宋体" w:eastAsia="宋体" w:cs="宋体"/>
                <w:color w:val="auto"/>
                <w:kern w:val="0"/>
                <w:sz w:val="24"/>
                <w:szCs w:val="24"/>
                <w:highlight w:val="none"/>
              </w:rPr>
              <w:t>▲</w:t>
            </w:r>
          </w:p>
        </w:tc>
        <w:tc>
          <w:tcPr>
            <w:tcW w:w="5103"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扫描架孔径 </w:t>
            </w:r>
          </w:p>
        </w:tc>
        <w:tc>
          <w:tcPr>
            <w:tcW w:w="2694"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kern w:val="0"/>
                <w:sz w:val="24"/>
                <w:szCs w:val="24"/>
                <w:highlight w:val="none"/>
              </w:rPr>
              <w:t>▲</w:t>
            </w:r>
          </w:p>
        </w:tc>
        <w:tc>
          <w:tcPr>
            <w:tcW w:w="5103"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扫描架倾角（非数字倾角）</w:t>
            </w:r>
          </w:p>
        </w:tc>
        <w:tc>
          <w:tcPr>
            <w:tcW w:w="2694"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r>
              <w:rPr>
                <w:rFonts w:hint="eastAsia" w:ascii="宋体" w:hAnsi="宋体" w:eastAsia="宋体" w:cs="宋体"/>
                <w:color w:val="auto"/>
                <w:kern w:val="0"/>
                <w:sz w:val="24"/>
                <w:szCs w:val="24"/>
                <w:highlight w:val="none"/>
              </w:rPr>
              <w:t>▲</w:t>
            </w:r>
          </w:p>
        </w:tc>
        <w:tc>
          <w:tcPr>
            <w:tcW w:w="5103"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固态探测器类型</w:t>
            </w:r>
          </w:p>
        </w:tc>
        <w:tc>
          <w:tcPr>
            <w:tcW w:w="2694"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固体稀土陶瓷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5103"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机架系统可遥控</w:t>
            </w:r>
          </w:p>
        </w:tc>
        <w:tc>
          <w:tcPr>
            <w:tcW w:w="2694"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r>
              <w:rPr>
                <w:rFonts w:hint="eastAsia" w:ascii="宋体" w:hAnsi="宋体" w:eastAsia="宋体" w:cs="宋体"/>
                <w:color w:val="auto"/>
                <w:kern w:val="0"/>
                <w:sz w:val="24"/>
                <w:szCs w:val="24"/>
                <w:highlight w:val="none"/>
              </w:rPr>
              <w:t>▲</w:t>
            </w:r>
          </w:p>
        </w:tc>
        <w:tc>
          <w:tcPr>
            <w:tcW w:w="5103"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探测器排列数</w:t>
            </w:r>
          </w:p>
        </w:tc>
        <w:tc>
          <w:tcPr>
            <w:tcW w:w="2694"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5103"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探测器Z轴最小尺寸</w:t>
            </w:r>
          </w:p>
        </w:tc>
        <w:tc>
          <w:tcPr>
            <w:tcW w:w="2694"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≤0.625mm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5103"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探测器Z轴总宽度</w:t>
            </w:r>
          </w:p>
        </w:tc>
        <w:tc>
          <w:tcPr>
            <w:tcW w:w="2694"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5103"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亚毫米探测器覆盖范围</w:t>
            </w:r>
          </w:p>
        </w:tc>
        <w:tc>
          <w:tcPr>
            <w:tcW w:w="2694"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≥9.6mm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w:t>
            </w:r>
          </w:p>
        </w:tc>
        <w:tc>
          <w:tcPr>
            <w:tcW w:w="5103"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每排探测器单元数</w:t>
            </w:r>
          </w:p>
        </w:tc>
        <w:tc>
          <w:tcPr>
            <w:tcW w:w="2694"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w:t>
            </w:r>
          </w:p>
        </w:tc>
        <w:tc>
          <w:tcPr>
            <w:tcW w:w="5103"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探测器物理单元总数</w:t>
            </w:r>
          </w:p>
        </w:tc>
        <w:tc>
          <w:tcPr>
            <w:tcW w:w="2694"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≥19584个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w:t>
            </w:r>
          </w:p>
        </w:tc>
        <w:tc>
          <w:tcPr>
            <w:tcW w:w="5103"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探测器采样率</w:t>
            </w:r>
          </w:p>
        </w:tc>
        <w:tc>
          <w:tcPr>
            <w:tcW w:w="2694"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rPr>
              <w:t>4640</w:t>
            </w:r>
            <w:r>
              <w:rPr>
                <w:rFonts w:hint="eastAsia" w:ascii="宋体" w:hAnsi="宋体" w:eastAsia="宋体" w:cs="宋体"/>
                <w:color w:val="auto"/>
                <w:sz w:val="24"/>
                <w:szCs w:val="24"/>
                <w:highlight w:val="none"/>
              </w:rPr>
              <w:t>views/圈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p>
        </w:tc>
        <w:tc>
          <w:tcPr>
            <w:tcW w:w="5103" w:type="dxa"/>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三维激光定位系统</w:t>
            </w:r>
          </w:p>
        </w:tc>
        <w:tc>
          <w:tcPr>
            <w:tcW w:w="2694" w:type="dxa"/>
            <w:gridSpan w:val="2"/>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w:t>
            </w:r>
          </w:p>
        </w:tc>
        <w:tc>
          <w:tcPr>
            <w:tcW w:w="5103" w:type="dxa"/>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机架冷却方式</w:t>
            </w:r>
          </w:p>
        </w:tc>
        <w:tc>
          <w:tcPr>
            <w:tcW w:w="2694" w:type="dxa"/>
            <w:gridSpan w:val="2"/>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p>
        </w:tc>
        <w:tc>
          <w:tcPr>
            <w:tcW w:w="7797" w:type="dxa"/>
            <w:gridSpan w:val="3"/>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扫描参数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color w:val="auto"/>
                <w:kern w:val="0"/>
                <w:sz w:val="24"/>
                <w:szCs w:val="24"/>
                <w:highlight w:val="none"/>
              </w:rPr>
              <w:t>▲</w:t>
            </w:r>
          </w:p>
        </w:tc>
        <w:tc>
          <w:tcPr>
            <w:tcW w:w="5103" w:type="dxa"/>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最快扫描时间/360°</w:t>
            </w:r>
          </w:p>
        </w:tc>
        <w:tc>
          <w:tcPr>
            <w:tcW w:w="2694" w:type="dxa"/>
            <w:gridSpan w:val="2"/>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r>
              <w:rPr>
                <w:rFonts w:hint="eastAsia" w:ascii="宋体" w:hAnsi="宋体" w:eastAsia="宋体" w:cs="宋体"/>
                <w:color w:val="auto"/>
                <w:kern w:val="0"/>
                <w:sz w:val="24"/>
                <w:szCs w:val="24"/>
                <w:highlight w:val="none"/>
              </w:rPr>
              <w:t>▲</w:t>
            </w:r>
          </w:p>
        </w:tc>
        <w:tc>
          <w:tcPr>
            <w:tcW w:w="5103" w:type="dxa"/>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每圈扫描层数</w:t>
            </w:r>
          </w:p>
        </w:tc>
        <w:tc>
          <w:tcPr>
            <w:tcW w:w="2694" w:type="dxa"/>
            <w:gridSpan w:val="2"/>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5103" w:type="dxa"/>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扫描视野</w:t>
            </w:r>
          </w:p>
        </w:tc>
        <w:tc>
          <w:tcPr>
            <w:tcW w:w="2694" w:type="dxa"/>
            <w:gridSpan w:val="2"/>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5103" w:type="dxa"/>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最大重建矩阵</w:t>
            </w:r>
          </w:p>
        </w:tc>
        <w:tc>
          <w:tcPr>
            <w:tcW w:w="2694" w:type="dxa"/>
            <w:gridSpan w:val="2"/>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5103" w:type="dxa"/>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单次螺旋连续最长扫描时间</w:t>
            </w:r>
          </w:p>
        </w:tc>
        <w:tc>
          <w:tcPr>
            <w:tcW w:w="2694" w:type="dxa"/>
            <w:gridSpan w:val="2"/>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p>
        </w:tc>
        <w:tc>
          <w:tcPr>
            <w:tcW w:w="5103" w:type="dxa"/>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单次螺旋扫描最大范围</w:t>
            </w:r>
          </w:p>
        </w:tc>
        <w:tc>
          <w:tcPr>
            <w:tcW w:w="2694" w:type="dxa"/>
            <w:gridSpan w:val="2"/>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5103" w:type="dxa"/>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3D锥形束重建</w:t>
            </w:r>
          </w:p>
        </w:tc>
        <w:tc>
          <w:tcPr>
            <w:tcW w:w="2694" w:type="dxa"/>
            <w:gridSpan w:val="2"/>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w:t>
            </w:r>
          </w:p>
        </w:tc>
        <w:tc>
          <w:tcPr>
            <w:tcW w:w="5103" w:type="dxa"/>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定位像长度</w:t>
            </w:r>
          </w:p>
        </w:tc>
        <w:tc>
          <w:tcPr>
            <w:tcW w:w="2694" w:type="dxa"/>
            <w:gridSpan w:val="2"/>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w:t>
            </w:r>
          </w:p>
        </w:tc>
        <w:tc>
          <w:tcPr>
            <w:tcW w:w="5103" w:type="dxa"/>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最小螺距系数</w:t>
            </w:r>
          </w:p>
        </w:tc>
        <w:tc>
          <w:tcPr>
            <w:tcW w:w="2694" w:type="dxa"/>
            <w:gridSpan w:val="2"/>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2.10</w:t>
            </w:r>
          </w:p>
        </w:tc>
        <w:tc>
          <w:tcPr>
            <w:tcW w:w="5103" w:type="dxa"/>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最大螺距系数</w:t>
            </w:r>
          </w:p>
        </w:tc>
        <w:tc>
          <w:tcPr>
            <w:tcW w:w="2694" w:type="dxa"/>
            <w:gridSpan w:val="2"/>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w:t>
            </w:r>
          </w:p>
        </w:tc>
        <w:tc>
          <w:tcPr>
            <w:tcW w:w="5103" w:type="dxa"/>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螺距自由选择</w:t>
            </w:r>
          </w:p>
        </w:tc>
        <w:tc>
          <w:tcPr>
            <w:tcW w:w="2694" w:type="dxa"/>
            <w:gridSpan w:val="2"/>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w:t>
            </w:r>
          </w:p>
        </w:tc>
        <w:tc>
          <w:tcPr>
            <w:tcW w:w="5103" w:type="dxa"/>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扫描模式</w:t>
            </w:r>
          </w:p>
        </w:tc>
        <w:tc>
          <w:tcPr>
            <w:tcW w:w="2694" w:type="dxa"/>
            <w:gridSpan w:val="2"/>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轴扫、螺旋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w:t>
            </w:r>
          </w:p>
        </w:tc>
        <w:tc>
          <w:tcPr>
            <w:tcW w:w="5103" w:type="dxa"/>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自动螺旋</w:t>
            </w:r>
          </w:p>
        </w:tc>
        <w:tc>
          <w:tcPr>
            <w:tcW w:w="2694" w:type="dxa"/>
            <w:gridSpan w:val="2"/>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exact"/>
          <w:tblHeader/>
        </w:trPr>
        <w:tc>
          <w:tcPr>
            <w:tcW w:w="709" w:type="dxa"/>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w:t>
            </w:r>
          </w:p>
        </w:tc>
        <w:tc>
          <w:tcPr>
            <w:tcW w:w="5103" w:type="dxa"/>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10毫安低剂量扫描技术，满足临床诊断标准，提供实际临床图像</w:t>
            </w:r>
          </w:p>
        </w:tc>
        <w:tc>
          <w:tcPr>
            <w:tcW w:w="2694" w:type="dxa"/>
            <w:gridSpan w:val="2"/>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w:t>
            </w:r>
          </w:p>
        </w:tc>
        <w:tc>
          <w:tcPr>
            <w:tcW w:w="7797" w:type="dxa"/>
            <w:gridSpan w:val="3"/>
            <w:vAlign w:val="center"/>
          </w:tcPr>
          <w:p>
            <w:pPr>
              <w:ind w:left="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球管及高压系统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r>
              <w:rPr>
                <w:rFonts w:hint="eastAsia" w:ascii="宋体" w:hAnsi="宋体" w:eastAsia="宋体" w:cs="宋体"/>
                <w:color w:val="auto"/>
                <w:kern w:val="0"/>
                <w:sz w:val="24"/>
                <w:szCs w:val="24"/>
                <w:highlight w:val="none"/>
              </w:rPr>
              <w:t>▲</w:t>
            </w:r>
          </w:p>
        </w:tc>
        <w:tc>
          <w:tcPr>
            <w:tcW w:w="5103"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球管阳极实际热容量（不含等效概念）</w:t>
            </w:r>
          </w:p>
        </w:tc>
        <w:tc>
          <w:tcPr>
            <w:tcW w:w="2694"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≥5.3MHU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5103"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球管阳极实际冷却率</w:t>
            </w:r>
          </w:p>
        </w:tc>
        <w:tc>
          <w:tcPr>
            <w:tcW w:w="2694"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≥815KHU/min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p>
        </w:tc>
        <w:tc>
          <w:tcPr>
            <w:tcW w:w="5103"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最大球管电压</w:t>
            </w:r>
          </w:p>
        </w:tc>
        <w:tc>
          <w:tcPr>
            <w:tcW w:w="2694"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p>
        </w:tc>
        <w:tc>
          <w:tcPr>
            <w:tcW w:w="5103"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最小球管电压</w:t>
            </w:r>
          </w:p>
        </w:tc>
        <w:tc>
          <w:tcPr>
            <w:tcW w:w="2694"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p>
        </w:tc>
        <w:tc>
          <w:tcPr>
            <w:tcW w:w="5103"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最大输出管电流</w:t>
            </w:r>
          </w:p>
        </w:tc>
        <w:tc>
          <w:tcPr>
            <w:tcW w:w="2694"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p>
        </w:tc>
        <w:tc>
          <w:tcPr>
            <w:tcW w:w="5103"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最小可调管电流</w:t>
            </w:r>
          </w:p>
        </w:tc>
        <w:tc>
          <w:tcPr>
            <w:tcW w:w="2694"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p>
        </w:tc>
        <w:tc>
          <w:tcPr>
            <w:tcW w:w="5103"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最小毫安调节范围</w:t>
            </w:r>
          </w:p>
        </w:tc>
        <w:tc>
          <w:tcPr>
            <w:tcW w:w="2694"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w:t>
            </w:r>
          </w:p>
        </w:tc>
        <w:tc>
          <w:tcPr>
            <w:tcW w:w="5103" w:type="dxa"/>
            <w:vAlign w:val="center"/>
          </w:tcPr>
          <w:p>
            <w:pPr>
              <w:ind w:lef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球管小焦点（IEC 60336/2005）</w:t>
            </w:r>
          </w:p>
        </w:tc>
        <w:tc>
          <w:tcPr>
            <w:tcW w:w="2694"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≤0.5mm×1.3mm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w:t>
            </w:r>
          </w:p>
        </w:tc>
        <w:tc>
          <w:tcPr>
            <w:tcW w:w="5103" w:type="dxa"/>
            <w:vAlign w:val="center"/>
          </w:tcPr>
          <w:p>
            <w:pPr>
              <w:ind w:lef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球管大焦点（IEC 60336/2005）</w:t>
            </w:r>
          </w:p>
        </w:tc>
        <w:tc>
          <w:tcPr>
            <w:tcW w:w="2694"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≤1.0mm×1.3mm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3.10</w:t>
            </w:r>
            <w:r>
              <w:rPr>
                <w:rFonts w:hint="eastAsia" w:ascii="宋体" w:hAnsi="宋体" w:eastAsia="宋体" w:cs="宋体"/>
                <w:color w:val="auto"/>
                <w:kern w:val="0"/>
                <w:sz w:val="24"/>
                <w:szCs w:val="24"/>
                <w:highlight w:val="none"/>
              </w:rPr>
              <w:t>▲</w:t>
            </w:r>
          </w:p>
        </w:tc>
        <w:tc>
          <w:tcPr>
            <w:tcW w:w="5103"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高压发生器实际功率（不含等效概念）</w:t>
            </w:r>
          </w:p>
        </w:tc>
        <w:tc>
          <w:tcPr>
            <w:tcW w:w="2694"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四、</w:t>
            </w:r>
          </w:p>
        </w:tc>
        <w:tc>
          <w:tcPr>
            <w:tcW w:w="7797" w:type="dxa"/>
            <w:gridSpan w:val="3"/>
            <w:vAlign w:val="center"/>
          </w:tcPr>
          <w:p>
            <w:pPr>
              <w:ind w:left="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扫描床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4.1</w:t>
            </w:r>
          </w:p>
        </w:tc>
        <w:tc>
          <w:tcPr>
            <w:tcW w:w="5103" w:type="dxa"/>
            <w:vAlign w:val="center"/>
          </w:tcPr>
          <w:p>
            <w:pPr>
              <w:ind w:left="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最大移动范围</w:t>
            </w:r>
          </w:p>
        </w:tc>
        <w:tc>
          <w:tcPr>
            <w:tcW w:w="2694"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≥1770mm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w:t>
            </w:r>
          </w:p>
        </w:tc>
        <w:tc>
          <w:tcPr>
            <w:tcW w:w="5103"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可扫描范围</w:t>
            </w:r>
          </w:p>
        </w:tc>
        <w:tc>
          <w:tcPr>
            <w:tcW w:w="2694"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w:t>
            </w:r>
          </w:p>
        </w:tc>
        <w:tc>
          <w:tcPr>
            <w:tcW w:w="5103" w:type="dxa"/>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床升降最高高度</w:t>
            </w:r>
          </w:p>
        </w:tc>
        <w:tc>
          <w:tcPr>
            <w:tcW w:w="2694" w:type="dxa"/>
            <w:gridSpan w:val="2"/>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w:t>
            </w:r>
          </w:p>
        </w:tc>
        <w:tc>
          <w:tcPr>
            <w:tcW w:w="5103" w:type="dxa"/>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床升降最低高度</w:t>
            </w:r>
          </w:p>
        </w:tc>
        <w:tc>
          <w:tcPr>
            <w:tcW w:w="2694" w:type="dxa"/>
            <w:gridSpan w:val="2"/>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w:t>
            </w:r>
          </w:p>
        </w:tc>
        <w:tc>
          <w:tcPr>
            <w:tcW w:w="5103" w:type="dxa"/>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最大纵向进床速度</w:t>
            </w:r>
          </w:p>
        </w:tc>
        <w:tc>
          <w:tcPr>
            <w:tcW w:w="2694" w:type="dxa"/>
            <w:gridSpan w:val="2"/>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≥150mm/s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w:t>
            </w:r>
          </w:p>
        </w:tc>
        <w:tc>
          <w:tcPr>
            <w:tcW w:w="5103" w:type="dxa"/>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最小纵向进床速度</w:t>
            </w:r>
          </w:p>
        </w:tc>
        <w:tc>
          <w:tcPr>
            <w:tcW w:w="2694" w:type="dxa"/>
            <w:gridSpan w:val="2"/>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≤2mm/s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4.7</w:t>
            </w:r>
          </w:p>
        </w:tc>
        <w:tc>
          <w:tcPr>
            <w:tcW w:w="5103"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扫描床最大载重量</w:t>
            </w:r>
          </w:p>
        </w:tc>
        <w:tc>
          <w:tcPr>
            <w:tcW w:w="2694"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w:t>
            </w:r>
          </w:p>
        </w:tc>
        <w:tc>
          <w:tcPr>
            <w:tcW w:w="5103"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扫描床控制脚踏开关</w:t>
            </w:r>
          </w:p>
        </w:tc>
        <w:tc>
          <w:tcPr>
            <w:tcW w:w="2694"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w:t>
            </w:r>
          </w:p>
        </w:tc>
        <w:tc>
          <w:tcPr>
            <w:tcW w:w="7797" w:type="dxa"/>
            <w:gridSpan w:val="3"/>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图像质量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p>
        </w:tc>
        <w:tc>
          <w:tcPr>
            <w:tcW w:w="5103"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空间分辨率（X,Y轴) @0%MTF≥19 LP/CM</w:t>
            </w:r>
          </w:p>
        </w:tc>
        <w:tc>
          <w:tcPr>
            <w:tcW w:w="2694"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LP/CM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w:t>
            </w:r>
          </w:p>
        </w:tc>
        <w:tc>
          <w:tcPr>
            <w:tcW w:w="5103" w:type="dxa"/>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Z轴空间分辨率@0%MTF</w:t>
            </w:r>
          </w:p>
        </w:tc>
        <w:tc>
          <w:tcPr>
            <w:tcW w:w="2694" w:type="dxa"/>
            <w:gridSpan w:val="2"/>
            <w:tcBorders>
              <w:bottom w:val="single" w:color="auto" w:sz="4" w:space="0"/>
            </w:tcBorders>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LP/CM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w:t>
            </w:r>
          </w:p>
        </w:tc>
        <w:tc>
          <w:tcPr>
            <w:tcW w:w="5103"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密度分辨率</w:t>
            </w:r>
          </w:p>
        </w:tc>
        <w:tc>
          <w:tcPr>
            <w:tcW w:w="2694"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4mm@0.3%条件下剂量≤20mGy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w:t>
            </w:r>
            <w:r>
              <w:rPr>
                <w:rFonts w:hint="eastAsia" w:ascii="宋体" w:hAnsi="宋体" w:eastAsia="宋体" w:cs="宋体"/>
                <w:color w:val="auto"/>
                <w:kern w:val="0"/>
                <w:sz w:val="24"/>
                <w:szCs w:val="24"/>
                <w:highlight w:val="none"/>
              </w:rPr>
              <w:t>▲</w:t>
            </w:r>
          </w:p>
        </w:tc>
        <w:tc>
          <w:tcPr>
            <w:tcW w:w="5103"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低剂量迭代降噪技术（必须具备第四代全模型双域迭代技术）</w:t>
            </w:r>
          </w:p>
        </w:tc>
        <w:tc>
          <w:tcPr>
            <w:tcW w:w="2694"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w:t>
            </w:r>
          </w:p>
        </w:tc>
        <w:tc>
          <w:tcPr>
            <w:tcW w:w="7797" w:type="dxa"/>
            <w:gridSpan w:val="3"/>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主控制台计算机系统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w:t>
            </w:r>
          </w:p>
        </w:tc>
        <w:tc>
          <w:tcPr>
            <w:tcW w:w="5245"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内存</w:t>
            </w:r>
          </w:p>
        </w:tc>
        <w:tc>
          <w:tcPr>
            <w:tcW w:w="2552"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w:t>
            </w:r>
          </w:p>
        </w:tc>
        <w:tc>
          <w:tcPr>
            <w:tcW w:w="5245"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硬盘</w:t>
            </w:r>
          </w:p>
        </w:tc>
        <w:tc>
          <w:tcPr>
            <w:tcW w:w="2552"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w:t>
            </w:r>
          </w:p>
        </w:tc>
        <w:tc>
          <w:tcPr>
            <w:tcW w:w="5245"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主频</w:t>
            </w:r>
          </w:p>
        </w:tc>
        <w:tc>
          <w:tcPr>
            <w:tcW w:w="2552"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w:t>
            </w:r>
          </w:p>
        </w:tc>
        <w:tc>
          <w:tcPr>
            <w:tcW w:w="5245"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主频CPU数目</w:t>
            </w:r>
          </w:p>
        </w:tc>
        <w:tc>
          <w:tcPr>
            <w:tcW w:w="2552"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w:t>
            </w:r>
          </w:p>
        </w:tc>
        <w:tc>
          <w:tcPr>
            <w:tcW w:w="5245"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24英寸高分辨率液晶平面显示器，显示矩阵</w:t>
            </w:r>
          </w:p>
        </w:tc>
        <w:tc>
          <w:tcPr>
            <w:tcW w:w="2552"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6.6</w:t>
            </w:r>
          </w:p>
        </w:tc>
        <w:tc>
          <w:tcPr>
            <w:tcW w:w="5245"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显示器逐行扫描</w:t>
            </w:r>
          </w:p>
        </w:tc>
        <w:tc>
          <w:tcPr>
            <w:tcW w:w="2552"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w:t>
            </w:r>
          </w:p>
        </w:tc>
        <w:tc>
          <w:tcPr>
            <w:tcW w:w="5245"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网络接口DICOM 3.0</w:t>
            </w:r>
          </w:p>
        </w:tc>
        <w:tc>
          <w:tcPr>
            <w:tcW w:w="2552"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6.8</w:t>
            </w:r>
          </w:p>
        </w:tc>
        <w:tc>
          <w:tcPr>
            <w:tcW w:w="5245"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永久贮存刻录方式</w:t>
            </w:r>
          </w:p>
        </w:tc>
        <w:tc>
          <w:tcPr>
            <w:tcW w:w="2552"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DVD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6.9</w:t>
            </w:r>
          </w:p>
        </w:tc>
        <w:tc>
          <w:tcPr>
            <w:tcW w:w="5245"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激光相机DICOM3.0接口</w:t>
            </w:r>
          </w:p>
        </w:tc>
        <w:tc>
          <w:tcPr>
            <w:tcW w:w="2552"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6.10</w:t>
            </w:r>
          </w:p>
        </w:tc>
        <w:tc>
          <w:tcPr>
            <w:tcW w:w="5245"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提供Dicom3.0,所有传出及传入接口功能</w:t>
            </w:r>
          </w:p>
        </w:tc>
        <w:tc>
          <w:tcPr>
            <w:tcW w:w="2552"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w:t>
            </w:r>
          </w:p>
        </w:tc>
        <w:tc>
          <w:tcPr>
            <w:tcW w:w="5245"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自动照相技术</w:t>
            </w:r>
          </w:p>
        </w:tc>
        <w:tc>
          <w:tcPr>
            <w:tcW w:w="2552"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w:t>
            </w:r>
          </w:p>
        </w:tc>
        <w:tc>
          <w:tcPr>
            <w:tcW w:w="5245"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自动语音系统及双向语音传输</w:t>
            </w:r>
          </w:p>
        </w:tc>
        <w:tc>
          <w:tcPr>
            <w:tcW w:w="2552"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6.13</w:t>
            </w:r>
          </w:p>
        </w:tc>
        <w:tc>
          <w:tcPr>
            <w:tcW w:w="5245"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同步并行图像处理功能</w:t>
            </w:r>
          </w:p>
        </w:tc>
        <w:tc>
          <w:tcPr>
            <w:tcW w:w="2552"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6.14</w:t>
            </w:r>
          </w:p>
        </w:tc>
        <w:tc>
          <w:tcPr>
            <w:tcW w:w="5245"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主控制台可以独立完成MPR,SSD,MIP,CTA，三维容积重建等三维后处理功能</w:t>
            </w:r>
          </w:p>
        </w:tc>
        <w:tc>
          <w:tcPr>
            <w:tcW w:w="2552"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w:t>
            </w:r>
          </w:p>
        </w:tc>
        <w:tc>
          <w:tcPr>
            <w:tcW w:w="7797" w:type="dxa"/>
            <w:gridSpan w:val="3"/>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原厂独立后处理工作站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w:t>
            </w:r>
          </w:p>
        </w:tc>
        <w:tc>
          <w:tcPr>
            <w:tcW w:w="5245"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内存</w:t>
            </w:r>
          </w:p>
        </w:tc>
        <w:tc>
          <w:tcPr>
            <w:tcW w:w="2552"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w:t>
            </w:r>
          </w:p>
        </w:tc>
        <w:tc>
          <w:tcPr>
            <w:tcW w:w="5245"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硬盘</w:t>
            </w:r>
          </w:p>
        </w:tc>
        <w:tc>
          <w:tcPr>
            <w:tcW w:w="2552"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w:t>
            </w:r>
          </w:p>
        </w:tc>
        <w:tc>
          <w:tcPr>
            <w:tcW w:w="5245"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主频</w:t>
            </w:r>
          </w:p>
        </w:tc>
        <w:tc>
          <w:tcPr>
            <w:tcW w:w="2552"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w:t>
            </w:r>
          </w:p>
        </w:tc>
        <w:tc>
          <w:tcPr>
            <w:tcW w:w="5245"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主频CPU数目</w:t>
            </w:r>
          </w:p>
        </w:tc>
        <w:tc>
          <w:tcPr>
            <w:tcW w:w="2552"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w:t>
            </w:r>
          </w:p>
        </w:tc>
        <w:tc>
          <w:tcPr>
            <w:tcW w:w="5245"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24英寸高分辨率液晶平面显示器，显示矩阵</w:t>
            </w:r>
          </w:p>
        </w:tc>
        <w:tc>
          <w:tcPr>
            <w:tcW w:w="2552"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w:t>
            </w:r>
          </w:p>
        </w:tc>
        <w:tc>
          <w:tcPr>
            <w:tcW w:w="5245"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显示器逐行扫描</w:t>
            </w:r>
          </w:p>
        </w:tc>
        <w:tc>
          <w:tcPr>
            <w:tcW w:w="2552"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w:t>
            </w:r>
          </w:p>
        </w:tc>
        <w:tc>
          <w:tcPr>
            <w:tcW w:w="5245"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网络接口DICOM 3.0</w:t>
            </w:r>
          </w:p>
        </w:tc>
        <w:tc>
          <w:tcPr>
            <w:tcW w:w="2552"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w:t>
            </w:r>
          </w:p>
        </w:tc>
        <w:tc>
          <w:tcPr>
            <w:tcW w:w="5245"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永久贮存刻录方式</w:t>
            </w:r>
          </w:p>
        </w:tc>
        <w:tc>
          <w:tcPr>
            <w:tcW w:w="2552"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DVD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w:t>
            </w:r>
          </w:p>
        </w:tc>
        <w:tc>
          <w:tcPr>
            <w:tcW w:w="5245"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激光相机DICOM3.0接口</w:t>
            </w:r>
          </w:p>
        </w:tc>
        <w:tc>
          <w:tcPr>
            <w:tcW w:w="2552"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7.10</w:t>
            </w:r>
          </w:p>
        </w:tc>
        <w:tc>
          <w:tcPr>
            <w:tcW w:w="5245"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提供Dicom3.0,所有传出及传入接口功能</w:t>
            </w:r>
          </w:p>
        </w:tc>
        <w:tc>
          <w:tcPr>
            <w:tcW w:w="2552"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7.11</w:t>
            </w:r>
          </w:p>
        </w:tc>
        <w:tc>
          <w:tcPr>
            <w:tcW w:w="5245"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自动照相技术</w:t>
            </w:r>
          </w:p>
        </w:tc>
        <w:tc>
          <w:tcPr>
            <w:tcW w:w="2552"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7.12</w:t>
            </w:r>
          </w:p>
        </w:tc>
        <w:tc>
          <w:tcPr>
            <w:tcW w:w="5245"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自动语音系统及双向语音传输</w:t>
            </w:r>
          </w:p>
        </w:tc>
        <w:tc>
          <w:tcPr>
            <w:tcW w:w="2552"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7.13</w:t>
            </w:r>
          </w:p>
        </w:tc>
        <w:tc>
          <w:tcPr>
            <w:tcW w:w="5245"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同步并行图像处理功能</w:t>
            </w:r>
          </w:p>
        </w:tc>
        <w:tc>
          <w:tcPr>
            <w:tcW w:w="2552"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w:t>
            </w:r>
          </w:p>
        </w:tc>
        <w:tc>
          <w:tcPr>
            <w:tcW w:w="7797" w:type="dxa"/>
            <w:gridSpan w:val="3"/>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主要应用软件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w:t>
            </w:r>
          </w:p>
        </w:tc>
        <w:tc>
          <w:tcPr>
            <w:tcW w:w="5245"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图像减影功能</w:t>
            </w:r>
          </w:p>
        </w:tc>
        <w:tc>
          <w:tcPr>
            <w:tcW w:w="2552"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p>
        </w:tc>
        <w:tc>
          <w:tcPr>
            <w:tcW w:w="5245"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CT电影功能</w:t>
            </w:r>
          </w:p>
        </w:tc>
        <w:tc>
          <w:tcPr>
            <w:tcW w:w="2552"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w:t>
            </w:r>
          </w:p>
        </w:tc>
        <w:tc>
          <w:tcPr>
            <w:tcW w:w="5245"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管电流自动调节功能</w:t>
            </w:r>
          </w:p>
        </w:tc>
        <w:tc>
          <w:tcPr>
            <w:tcW w:w="2552"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w:t>
            </w:r>
          </w:p>
        </w:tc>
        <w:tc>
          <w:tcPr>
            <w:tcW w:w="5245"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MPR/CPR/ SSD/MIP/VR</w:t>
            </w:r>
          </w:p>
        </w:tc>
        <w:tc>
          <w:tcPr>
            <w:tcW w:w="2552"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w:t>
            </w:r>
          </w:p>
        </w:tc>
        <w:tc>
          <w:tcPr>
            <w:tcW w:w="5245"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组织裁剪功能</w:t>
            </w:r>
          </w:p>
        </w:tc>
        <w:tc>
          <w:tcPr>
            <w:tcW w:w="2552"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w:t>
            </w:r>
          </w:p>
        </w:tc>
        <w:tc>
          <w:tcPr>
            <w:tcW w:w="5245"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三维（3D、SSD）软件</w:t>
            </w:r>
          </w:p>
        </w:tc>
        <w:tc>
          <w:tcPr>
            <w:tcW w:w="2552"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8.7</w:t>
            </w:r>
          </w:p>
        </w:tc>
        <w:tc>
          <w:tcPr>
            <w:tcW w:w="5245"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最大及最小密度投影(MIP, MinP)</w:t>
            </w:r>
          </w:p>
        </w:tc>
        <w:tc>
          <w:tcPr>
            <w:tcW w:w="2552"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w:t>
            </w:r>
          </w:p>
        </w:tc>
        <w:tc>
          <w:tcPr>
            <w:tcW w:w="5245"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三维容积测量评估功能</w:t>
            </w:r>
          </w:p>
        </w:tc>
        <w:tc>
          <w:tcPr>
            <w:tcW w:w="2552"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8.9</w:t>
            </w:r>
          </w:p>
        </w:tc>
        <w:tc>
          <w:tcPr>
            <w:tcW w:w="5245"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CT血管造影</w:t>
            </w:r>
          </w:p>
        </w:tc>
        <w:tc>
          <w:tcPr>
            <w:tcW w:w="2552"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8.10</w:t>
            </w:r>
          </w:p>
        </w:tc>
        <w:tc>
          <w:tcPr>
            <w:tcW w:w="5245"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一键式容积重建</w:t>
            </w:r>
          </w:p>
        </w:tc>
        <w:tc>
          <w:tcPr>
            <w:tcW w:w="2552"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8.11</w:t>
            </w:r>
          </w:p>
        </w:tc>
        <w:tc>
          <w:tcPr>
            <w:tcW w:w="5245"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高级血管量化分析软件</w:t>
            </w:r>
          </w:p>
        </w:tc>
        <w:tc>
          <w:tcPr>
            <w:tcW w:w="2552"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8.12</w:t>
            </w:r>
          </w:p>
        </w:tc>
        <w:tc>
          <w:tcPr>
            <w:tcW w:w="5245"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血管狭窄测量分析软件</w:t>
            </w:r>
          </w:p>
        </w:tc>
        <w:tc>
          <w:tcPr>
            <w:tcW w:w="2552"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8.13</w:t>
            </w:r>
          </w:p>
        </w:tc>
        <w:tc>
          <w:tcPr>
            <w:tcW w:w="5245"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三维CT内镜(CTVE)</w:t>
            </w:r>
          </w:p>
        </w:tc>
        <w:tc>
          <w:tcPr>
            <w:tcW w:w="2552"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8.14</w:t>
            </w:r>
          </w:p>
        </w:tc>
        <w:tc>
          <w:tcPr>
            <w:tcW w:w="5245"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一键式去骨功能</w:t>
            </w:r>
          </w:p>
        </w:tc>
        <w:tc>
          <w:tcPr>
            <w:tcW w:w="2552"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8.15</w:t>
            </w:r>
          </w:p>
        </w:tc>
        <w:tc>
          <w:tcPr>
            <w:tcW w:w="5245"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造影剂自动跟踪软件</w:t>
            </w:r>
          </w:p>
        </w:tc>
        <w:tc>
          <w:tcPr>
            <w:tcW w:w="2552"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8.16</w:t>
            </w:r>
          </w:p>
        </w:tc>
        <w:tc>
          <w:tcPr>
            <w:tcW w:w="5245"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容积漫游（VRT）</w:t>
            </w:r>
          </w:p>
        </w:tc>
        <w:tc>
          <w:tcPr>
            <w:tcW w:w="2552"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8.17</w:t>
            </w:r>
          </w:p>
        </w:tc>
        <w:tc>
          <w:tcPr>
            <w:tcW w:w="5245"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肺结节自动计算机辅助肺结节筛查功能（CAD），自动探查肺结节，自动给出结节体积等定量数据</w:t>
            </w:r>
          </w:p>
        </w:tc>
        <w:tc>
          <w:tcPr>
            <w:tcW w:w="2552"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8.18</w:t>
            </w:r>
          </w:p>
        </w:tc>
        <w:tc>
          <w:tcPr>
            <w:tcW w:w="5245"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三维肺气肿分析评估软件</w:t>
            </w:r>
          </w:p>
        </w:tc>
        <w:tc>
          <w:tcPr>
            <w:tcW w:w="2552"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8.19</w:t>
            </w:r>
          </w:p>
        </w:tc>
        <w:tc>
          <w:tcPr>
            <w:tcW w:w="5245"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灌注软件（脑灌注）</w:t>
            </w:r>
          </w:p>
        </w:tc>
        <w:tc>
          <w:tcPr>
            <w:tcW w:w="2552"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8.20</w:t>
            </w:r>
          </w:p>
        </w:tc>
        <w:tc>
          <w:tcPr>
            <w:tcW w:w="5245"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低剂量筛查</w:t>
            </w:r>
          </w:p>
        </w:tc>
        <w:tc>
          <w:tcPr>
            <w:tcW w:w="2552"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8.21</w:t>
            </w:r>
          </w:p>
        </w:tc>
        <w:tc>
          <w:tcPr>
            <w:tcW w:w="5245"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齿科分析软件</w:t>
            </w:r>
          </w:p>
        </w:tc>
        <w:tc>
          <w:tcPr>
            <w:tcW w:w="2552"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8.22</w:t>
            </w:r>
          </w:p>
        </w:tc>
        <w:tc>
          <w:tcPr>
            <w:tcW w:w="5245"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肿瘤评估软件</w:t>
            </w:r>
          </w:p>
        </w:tc>
        <w:tc>
          <w:tcPr>
            <w:tcW w:w="2552"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8.23</w:t>
            </w:r>
          </w:p>
        </w:tc>
        <w:tc>
          <w:tcPr>
            <w:tcW w:w="5245"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肺密度分析软件</w:t>
            </w:r>
          </w:p>
        </w:tc>
        <w:tc>
          <w:tcPr>
            <w:tcW w:w="2552"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8.24</w:t>
            </w:r>
          </w:p>
        </w:tc>
        <w:tc>
          <w:tcPr>
            <w:tcW w:w="5245"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去伪影技术</w:t>
            </w:r>
          </w:p>
        </w:tc>
        <w:tc>
          <w:tcPr>
            <w:tcW w:w="2552"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8.25</w:t>
            </w:r>
          </w:p>
        </w:tc>
        <w:tc>
          <w:tcPr>
            <w:tcW w:w="5245"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常规标配软件必须提供</w:t>
            </w:r>
          </w:p>
        </w:tc>
        <w:tc>
          <w:tcPr>
            <w:tcW w:w="2552"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blHeader/>
        </w:trPr>
        <w:tc>
          <w:tcPr>
            <w:tcW w:w="709"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8.26*</w:t>
            </w:r>
          </w:p>
        </w:tc>
        <w:tc>
          <w:tcPr>
            <w:tcW w:w="5245" w:type="dxa"/>
            <w:gridSpan w:val="2"/>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提供技术白皮书（完整版）</w:t>
            </w:r>
          </w:p>
        </w:tc>
        <w:tc>
          <w:tcPr>
            <w:tcW w:w="2552" w:type="dxa"/>
            <w:vAlign w:val="center"/>
          </w:tcPr>
          <w:p>
            <w:pPr>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具备</w:t>
            </w:r>
          </w:p>
        </w:tc>
      </w:tr>
    </w:tbl>
    <w:p>
      <w:pPr>
        <w:widowControl/>
        <w:spacing w:line="360" w:lineRule="auto"/>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本次2台CT设备采购，所报价格包含了以下内容：</w:t>
      </w:r>
    </w:p>
    <w:p>
      <w:pPr>
        <w:widowControl/>
        <w:tabs>
          <w:tab w:val="left" w:pos="312"/>
        </w:tabs>
        <w:spacing w:line="360" w:lineRule="auto"/>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1．PACS接口4个、HIS接口2个。</w:t>
      </w:r>
    </w:p>
    <w:p>
      <w:pPr>
        <w:widowControl/>
        <w:tabs>
          <w:tab w:val="left" w:pos="312"/>
        </w:tabs>
        <w:spacing w:line="360" w:lineRule="auto"/>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2．3M巨鲨灰阶显示器2台。</w:t>
      </w:r>
    </w:p>
    <w:p>
      <w:pPr>
        <w:widowControl/>
        <w:tabs>
          <w:tab w:val="left" w:pos="312"/>
        </w:tabs>
        <w:spacing w:line="360" w:lineRule="auto"/>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3．格力3P空调2台，格力2P空调2台，除湿机2台、等离子空气消毒机2台。</w:t>
      </w:r>
    </w:p>
    <w:p>
      <w:pPr>
        <w:widowControl/>
        <w:tabs>
          <w:tab w:val="left" w:pos="312"/>
        </w:tabs>
        <w:spacing w:line="360" w:lineRule="auto"/>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4．后处理工作站配备品牌电脑6台（配置CPU I5以上，内存≥16G，固态硬盘≥256G，机械硬盘配备≥1T，配备独立显卡显存≥2G，显示器尺寸≥21.5英寸）。</w:t>
      </w:r>
    </w:p>
    <w:p>
      <w:pPr>
        <w:widowControl/>
        <w:tabs>
          <w:tab w:val="left" w:pos="312"/>
        </w:tabs>
        <w:spacing w:line="360" w:lineRule="auto"/>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5．整机及附件、后处理工作站除外，另外配置与整机一样的球管2个。</w:t>
      </w:r>
    </w:p>
    <w:p>
      <w:pPr>
        <w:widowControl/>
        <w:tabs>
          <w:tab w:val="left" w:pos="312"/>
        </w:tabs>
        <w:spacing w:line="360" w:lineRule="auto"/>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6．操作间电脑桌椅各2套，不锈钢铅衣架2个。</w:t>
      </w:r>
    </w:p>
    <w:p>
      <w:pPr>
        <w:widowControl/>
        <w:tabs>
          <w:tab w:val="left" w:pos="312"/>
        </w:tabs>
        <w:spacing w:line="360" w:lineRule="auto"/>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7．≥20KVA的不间断电源（UPS）2台。</w:t>
      </w:r>
    </w:p>
    <w:p>
      <w:pPr>
        <w:widowControl/>
        <w:tabs>
          <w:tab w:val="left" w:pos="312"/>
        </w:tabs>
        <w:spacing w:line="360" w:lineRule="auto"/>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8．机房的装修（包括防护装修，具体装修要求见附件清单），须提供合格的预评和控评检测报告以及后期办理许可证手续等。具体清单如下所列：</w:t>
      </w:r>
    </w:p>
    <w:p>
      <w:pPr>
        <w:widowControl/>
        <w:tabs>
          <w:tab w:val="left" w:pos="312"/>
        </w:tabs>
        <w:spacing w:line="360" w:lineRule="auto"/>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①蓬街分院</w:t>
      </w:r>
    </w:p>
    <w:p>
      <w:pPr>
        <w:widowControl/>
        <w:tabs>
          <w:tab w:val="left" w:pos="312"/>
        </w:tabs>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inline distT="0" distB="0" distL="0" distR="0">
            <wp:extent cx="5274310" cy="3719830"/>
            <wp:effectExtent l="0" t="0" r="8890" b="1270"/>
            <wp:docPr id="4" name="图片 4" descr="C:\Users\ADMINI~1\AppData\Local\Temp\163393378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1633933784(1).png"/>
                    <pic:cNvPicPr>
                      <a:picLocks noChangeAspect="1" noChangeArrowheads="1"/>
                    </pic:cNvPicPr>
                  </pic:nvPicPr>
                  <pic:blipFill>
                    <a:blip r:embed="rId7" cstate="print"/>
                    <a:srcRect/>
                    <a:stretch>
                      <a:fillRect/>
                    </a:stretch>
                  </pic:blipFill>
                  <pic:spPr>
                    <a:xfrm>
                      <a:off x="0" y="0"/>
                      <a:ext cx="5274310" cy="3720354"/>
                    </a:xfrm>
                    <a:prstGeom prst="rect">
                      <a:avLst/>
                    </a:prstGeom>
                    <a:noFill/>
                    <a:ln w="9525">
                      <a:noFill/>
                      <a:miter lim="800000"/>
                      <a:headEnd/>
                      <a:tailEnd/>
                    </a:ln>
                  </pic:spPr>
                </pic:pic>
              </a:graphicData>
            </a:graphic>
          </wp:inline>
        </w:drawing>
      </w:r>
    </w:p>
    <w:p>
      <w:pPr>
        <w:spacing w:line="360" w:lineRule="auto"/>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蓬街分院装修要求、预算等：</w:t>
      </w:r>
    </w:p>
    <w:p>
      <w:pPr>
        <w:widowControl/>
        <w:numPr>
          <w:ilvl w:val="0"/>
          <w:numId w:val="3"/>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五面墙体约102平米，全部用4mmpb铅板，预算约15万元。</w:t>
      </w:r>
    </w:p>
    <w:p>
      <w:pPr>
        <w:widowControl/>
        <w:numPr>
          <w:ilvl w:val="0"/>
          <w:numId w:val="3"/>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其他如墙体拆除、重建以及防护装修（含1个电动门，1个医生进出门，1个100*120铅玻璃窗）等,装修要求为交钥匙工程。预算约17万元。</w:t>
      </w:r>
    </w:p>
    <w:p>
      <w:pPr>
        <w:widowControl/>
        <w:numPr>
          <w:ilvl w:val="0"/>
          <w:numId w:val="3"/>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第三方检测费用及机房用换气、照明、配电箱等，预算约5万元。</w:t>
      </w:r>
    </w:p>
    <w:p>
      <w:pPr>
        <w:spacing w:line="360" w:lineRule="auto"/>
        <w:ind w:lef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②、金清分院</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drawing>
          <wp:inline distT="0" distB="0" distL="0" distR="0">
            <wp:extent cx="5274310" cy="3732530"/>
            <wp:effectExtent l="0" t="0" r="8890" b="127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8" cstate="print"/>
                    <a:srcRect/>
                    <a:stretch>
                      <a:fillRect/>
                    </a:stretch>
                  </pic:blipFill>
                  <pic:spPr>
                    <a:xfrm>
                      <a:off x="0" y="0"/>
                      <a:ext cx="5274310" cy="3732601"/>
                    </a:xfrm>
                    <a:prstGeom prst="rect">
                      <a:avLst/>
                    </a:prstGeom>
                    <a:noFill/>
                    <a:ln w="9525">
                      <a:noFill/>
                      <a:miter lim="800000"/>
                      <a:headEnd/>
                      <a:tailEnd/>
                    </a:ln>
                  </pic:spPr>
                </pic:pic>
              </a:graphicData>
            </a:graphic>
          </wp:inline>
        </w:drawing>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装修及防护等预算：</w:t>
      </w:r>
    </w:p>
    <w:p>
      <w:pPr>
        <w:widowControl/>
        <w:numPr>
          <w:ilvl w:val="0"/>
          <w:numId w:val="4"/>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五面墙体约105平米，全部用4mmpb铅板，预算约15万元。</w:t>
      </w:r>
    </w:p>
    <w:p>
      <w:pPr>
        <w:widowControl/>
        <w:numPr>
          <w:ilvl w:val="0"/>
          <w:numId w:val="4"/>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其他如墙体拆除、重建以及防护装修（含1个电动门，1个医生进出门，1个100*120铅玻璃窗）等,装修要求为交钥匙工程。预算约17万元。</w:t>
      </w:r>
    </w:p>
    <w:p>
      <w:pPr>
        <w:widowControl/>
        <w:numPr>
          <w:ilvl w:val="0"/>
          <w:numId w:val="4"/>
        </w:numPr>
        <w:spacing w:line="360" w:lineRule="auto"/>
        <w:rPr>
          <w:rFonts w:hint="eastAsia" w:ascii="宋体" w:hAnsi="宋体" w:cs="宋体"/>
          <w:color w:val="auto"/>
          <w:sz w:val="24"/>
          <w:szCs w:val="32"/>
          <w:highlight w:val="none"/>
          <w:lang w:val="en-US" w:eastAsia="zh-CN"/>
        </w:rPr>
      </w:pPr>
      <w:r>
        <w:rPr>
          <w:rFonts w:hint="eastAsia" w:ascii="宋体" w:hAnsi="宋体" w:eastAsia="宋体" w:cs="宋体"/>
          <w:color w:val="auto"/>
          <w:sz w:val="24"/>
          <w:szCs w:val="24"/>
          <w:highlight w:val="none"/>
        </w:rPr>
        <w:t>第三方检测费用及机房用换气、照明、配电箱等，预算约5万元。</w:t>
      </w:r>
    </w:p>
    <w:p>
      <w:pPr>
        <w:spacing w:line="360" w:lineRule="auto"/>
        <w:jc w:val="both"/>
        <w:rPr>
          <w:rFonts w:ascii="宋体"/>
          <w:b/>
          <w:bCs/>
          <w:color w:val="auto"/>
          <w:sz w:val="24"/>
          <w:highlight w:val="none"/>
        </w:rPr>
      </w:pPr>
      <w:r>
        <w:rPr>
          <w:rFonts w:hint="eastAsia" w:ascii="宋体" w:hAnsi="宋体" w:cs="宋体"/>
          <w:color w:val="auto"/>
          <w:sz w:val="24"/>
          <w:szCs w:val="32"/>
          <w:highlight w:val="none"/>
          <w:lang w:val="en-US" w:eastAsia="zh-CN"/>
        </w:rPr>
        <w:t>三、</w:t>
      </w:r>
      <w:r>
        <w:rPr>
          <w:rFonts w:hint="eastAsia" w:ascii="宋体" w:hAnsi="宋体" w:cs="宋体"/>
          <w:b/>
          <w:bCs/>
          <w:color w:val="auto"/>
          <w:sz w:val="24"/>
          <w:szCs w:val="32"/>
          <w:highlight w:val="none"/>
        </w:rPr>
        <w:t>付款方式</w:t>
      </w:r>
      <w:r>
        <w:rPr>
          <w:rFonts w:hint="eastAsia" w:ascii="宋体" w:hAnsi="宋体" w:cs="宋体"/>
          <w:b/>
          <w:bCs/>
          <w:color w:val="auto"/>
          <w:sz w:val="24"/>
          <w:szCs w:val="32"/>
          <w:highlight w:val="none"/>
          <w:lang w:eastAsia="zh-CN"/>
        </w:rPr>
        <w:t>：</w:t>
      </w:r>
      <w:r>
        <w:rPr>
          <w:rFonts w:hint="eastAsia" w:ascii="宋体" w:hAnsi="宋体" w:cs="宋体"/>
          <w:color w:val="auto"/>
          <w:sz w:val="24"/>
          <w:szCs w:val="32"/>
          <w:highlight w:val="none"/>
        </w:rPr>
        <w:t>合同签订后，货到安装调试验收合格并收到所有证件资料后满3个月支付合同金额90%，在验收合格后且无故障运行满1年支付10%的合同金额，如出现主要部件故障则要扣除保证金作为赔偿。</w:t>
      </w:r>
    </w:p>
    <w:p>
      <w:pPr>
        <w:spacing w:line="360" w:lineRule="auto"/>
        <w:rPr>
          <w:rFonts w:hint="eastAsia" w:ascii="宋体" w:hAnsi="宋体" w:eastAsia="宋体" w:cs="宋体"/>
          <w:color w:val="auto"/>
          <w:sz w:val="24"/>
          <w:szCs w:val="32"/>
          <w:highlight w:val="none"/>
          <w:lang w:val="en-US" w:eastAsia="zh-CN"/>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spacing w:line="360" w:lineRule="auto"/>
        <w:rPr>
          <w:rFonts w:ascii="宋体" w:hAnsi="宋体" w:cs="宋体"/>
          <w:color w:val="auto"/>
          <w:sz w:val="24"/>
          <w:szCs w:val="32"/>
          <w:highlight w:val="none"/>
        </w:rPr>
      </w:pPr>
    </w:p>
    <w:p>
      <w:pPr>
        <w:pStyle w:val="7"/>
        <w:rPr>
          <w:rFonts w:ascii="宋体" w:hAnsi="宋体" w:cs="宋体"/>
          <w:color w:val="auto"/>
          <w:sz w:val="24"/>
          <w:szCs w:val="32"/>
          <w:highlight w:val="none"/>
        </w:rPr>
      </w:pPr>
    </w:p>
    <w:p>
      <w:pPr>
        <w:pStyle w:val="8"/>
        <w:rPr>
          <w:rFonts w:ascii="宋体" w:hAnsi="宋体" w:cs="宋体"/>
          <w:color w:val="auto"/>
          <w:sz w:val="24"/>
          <w:szCs w:val="32"/>
          <w:highlight w:val="none"/>
        </w:rPr>
      </w:pPr>
    </w:p>
    <w:p>
      <w:pPr>
        <w:rPr>
          <w:rFonts w:ascii="宋体" w:hAnsi="宋体" w:cs="宋体"/>
          <w:color w:val="auto"/>
          <w:sz w:val="24"/>
          <w:szCs w:val="32"/>
          <w:highlight w:val="none"/>
        </w:rPr>
      </w:pPr>
    </w:p>
    <w:p>
      <w:pPr>
        <w:pStyle w:val="7"/>
        <w:rPr>
          <w:rFonts w:ascii="宋体" w:hAnsi="宋体" w:cs="宋体"/>
          <w:color w:val="auto"/>
          <w:sz w:val="24"/>
          <w:szCs w:val="32"/>
          <w:highlight w:val="none"/>
        </w:rPr>
      </w:pPr>
    </w:p>
    <w:p>
      <w:pPr>
        <w:pStyle w:val="8"/>
        <w:rPr>
          <w:rFonts w:ascii="宋体" w:hAnsi="宋体" w:cs="宋体"/>
          <w:color w:val="auto"/>
          <w:sz w:val="24"/>
          <w:szCs w:val="32"/>
          <w:highlight w:val="none"/>
        </w:rPr>
      </w:pPr>
    </w:p>
    <w:p>
      <w:pPr>
        <w:rPr>
          <w:rFonts w:ascii="宋体" w:hAnsi="宋体" w:cs="宋体"/>
          <w:color w:val="auto"/>
          <w:sz w:val="24"/>
          <w:szCs w:val="32"/>
          <w:highlight w:val="none"/>
        </w:rPr>
      </w:pPr>
    </w:p>
    <w:p>
      <w:pPr>
        <w:pStyle w:val="8"/>
        <w:ind w:left="0" w:leftChars="0" w:firstLine="0" w:firstLineChars="0"/>
        <w:rPr>
          <w:rFonts w:ascii="宋体" w:hAnsi="宋体" w:cs="宋体"/>
          <w:color w:val="auto"/>
          <w:sz w:val="24"/>
          <w:szCs w:val="32"/>
          <w:highlight w:val="none"/>
        </w:rPr>
      </w:pPr>
    </w:p>
    <w:p>
      <w:pPr>
        <w:rPr>
          <w:color w:val="auto"/>
          <w:highlight w:val="none"/>
        </w:rPr>
      </w:pPr>
    </w:p>
    <w:p>
      <w:pPr>
        <w:spacing w:line="360" w:lineRule="auto"/>
        <w:jc w:val="center"/>
        <w:rPr>
          <w:rFonts w:ascii="宋体"/>
          <w:b/>
          <w:bCs/>
          <w:color w:val="auto"/>
          <w:sz w:val="36"/>
          <w:szCs w:val="36"/>
          <w:highlight w:val="none"/>
        </w:rPr>
      </w:pPr>
      <w:r>
        <w:rPr>
          <w:rFonts w:hint="eastAsia" w:ascii="宋体" w:hAnsi="宋体" w:cs="宋体"/>
          <w:b/>
          <w:bCs/>
          <w:color w:val="auto"/>
          <w:sz w:val="36"/>
          <w:szCs w:val="36"/>
          <w:highlight w:val="none"/>
        </w:rPr>
        <w:t>第五章</w:t>
      </w:r>
      <w:r>
        <w:rPr>
          <w:rFonts w:ascii="宋体" w:hAnsi="宋体" w:cs="宋体"/>
          <w:b/>
          <w:bCs/>
          <w:color w:val="auto"/>
          <w:sz w:val="36"/>
          <w:szCs w:val="36"/>
          <w:highlight w:val="none"/>
        </w:rPr>
        <w:t xml:space="preserve"> </w:t>
      </w:r>
      <w:r>
        <w:rPr>
          <w:rFonts w:hint="eastAsia" w:ascii="宋体" w:hAnsi="宋体" w:cs="宋体"/>
          <w:b/>
          <w:bCs/>
          <w:color w:val="auto"/>
          <w:sz w:val="36"/>
          <w:szCs w:val="36"/>
          <w:highlight w:val="none"/>
        </w:rPr>
        <w:t>合同主要条款</w:t>
      </w:r>
    </w:p>
    <w:p>
      <w:pPr>
        <w:spacing w:line="360" w:lineRule="auto"/>
        <w:ind w:firstLine="480" w:firstLineChars="200"/>
        <w:jc w:val="left"/>
        <w:rPr>
          <w:rFonts w:ascii="宋体" w:cs="宋体"/>
          <w:color w:val="auto"/>
          <w:sz w:val="24"/>
          <w:szCs w:val="32"/>
          <w:highlight w:val="none"/>
        </w:rPr>
      </w:pPr>
      <w:r>
        <w:rPr>
          <w:rFonts w:hint="eastAsia" w:ascii="宋体" w:hAnsi="宋体" w:cs="宋体"/>
          <w:color w:val="auto"/>
          <w:sz w:val="24"/>
          <w:szCs w:val="32"/>
          <w:highlight w:val="none"/>
        </w:rPr>
        <w:t>以下为成交后签定本项目合同的通用条款，成交供应商不得提出实质性的修改，关于专用条款将由采购人与成交供应商结合本项目具体情况协商后签订。</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甲方：</w:t>
      </w:r>
      <w:r>
        <w:rPr>
          <w:rFonts w:hint="eastAsia" w:ascii="宋体" w:hAnsi="宋体" w:cs="宋体"/>
          <w:b/>
          <w:bCs/>
          <w:color w:val="auto"/>
          <w:sz w:val="24"/>
          <w:szCs w:val="32"/>
          <w:highlight w:val="none"/>
        </w:rPr>
        <w:t>台州市路桥区第二人民医院医疗服务共同体</w:t>
      </w:r>
      <w:r>
        <w:rPr>
          <w:rFonts w:hint="eastAsia" w:ascii="宋体" w:hAnsi="宋体" w:cs="宋体"/>
          <w:color w:val="auto"/>
          <w:sz w:val="24"/>
          <w:szCs w:val="32"/>
          <w:highlight w:val="none"/>
        </w:rPr>
        <w:t>（以下简称甲方）</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乙方：</w:t>
      </w:r>
      <w:r>
        <w:rPr>
          <w:rFonts w:ascii="宋体" w:hAnsi="宋体" w:cs="宋体"/>
          <w:b/>
          <w:bCs/>
          <w:color w:val="auto"/>
          <w:sz w:val="24"/>
          <w:szCs w:val="32"/>
          <w:highlight w:val="none"/>
          <w:u w:val="single"/>
        </w:rPr>
        <w:t xml:space="preserve">                              </w:t>
      </w:r>
      <w:r>
        <w:rPr>
          <w:rFonts w:hint="eastAsia" w:ascii="宋体" w:hAnsi="宋体" w:cs="宋体"/>
          <w:b/>
          <w:bCs/>
          <w:color w:val="auto"/>
          <w:sz w:val="24"/>
          <w:szCs w:val="32"/>
          <w:highlight w:val="none"/>
          <w:u w:val="single"/>
        </w:rPr>
        <w:t xml:space="preserve">    </w:t>
      </w:r>
      <w:r>
        <w:rPr>
          <w:rFonts w:ascii="宋体" w:hAnsi="宋体" w:cs="宋体"/>
          <w:b/>
          <w:bCs/>
          <w:color w:val="auto"/>
          <w:sz w:val="24"/>
          <w:szCs w:val="32"/>
          <w:highlight w:val="none"/>
          <w:u w:val="single"/>
        </w:rPr>
        <w:t xml:space="preserve">    </w:t>
      </w:r>
      <w:r>
        <w:rPr>
          <w:rFonts w:hint="eastAsia" w:ascii="宋体" w:hAnsi="宋体" w:cs="宋体"/>
          <w:color w:val="auto"/>
          <w:sz w:val="24"/>
          <w:szCs w:val="32"/>
          <w:highlight w:val="none"/>
        </w:rPr>
        <w:t>（以下简称乙方）</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合同签约地：浙江省台州市</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合同编号：</w:t>
      </w:r>
    </w:p>
    <w:p>
      <w:pPr>
        <w:spacing w:line="360" w:lineRule="auto"/>
        <w:jc w:val="center"/>
        <w:rPr>
          <w:rFonts w:ascii="宋体" w:cs="宋体"/>
          <w:b/>
          <w:bCs/>
          <w:color w:val="auto"/>
          <w:sz w:val="24"/>
          <w:szCs w:val="32"/>
          <w:highlight w:val="none"/>
        </w:rPr>
      </w:pPr>
    </w:p>
    <w:p>
      <w:pPr>
        <w:spacing w:line="360" w:lineRule="auto"/>
        <w:jc w:val="center"/>
        <w:rPr>
          <w:rFonts w:ascii="宋体" w:cs="宋体"/>
          <w:b/>
          <w:bCs/>
          <w:color w:val="auto"/>
          <w:sz w:val="24"/>
          <w:szCs w:val="32"/>
          <w:highlight w:val="none"/>
        </w:rPr>
      </w:pPr>
      <w:r>
        <w:rPr>
          <w:rFonts w:hint="eastAsia" w:ascii="宋体" w:hAnsi="宋体" w:cs="宋体"/>
          <w:b/>
          <w:bCs/>
          <w:color w:val="auto"/>
          <w:sz w:val="24"/>
          <w:szCs w:val="32"/>
          <w:highlight w:val="none"/>
        </w:rPr>
        <w:t>第一章</w:t>
      </w:r>
      <w:r>
        <w:rPr>
          <w:rFonts w:ascii="宋体" w:hAnsi="宋体" w:cs="宋体"/>
          <w:b/>
          <w:bCs/>
          <w:color w:val="auto"/>
          <w:sz w:val="24"/>
          <w:szCs w:val="32"/>
          <w:highlight w:val="none"/>
        </w:rPr>
        <w:t xml:space="preserve">  </w:t>
      </w:r>
      <w:r>
        <w:rPr>
          <w:rFonts w:hint="eastAsia" w:ascii="宋体" w:hAnsi="宋体" w:cs="宋体"/>
          <w:b/>
          <w:bCs/>
          <w:color w:val="auto"/>
          <w:sz w:val="24"/>
          <w:szCs w:val="32"/>
          <w:highlight w:val="none"/>
        </w:rPr>
        <w:t>总</w:t>
      </w:r>
      <w:r>
        <w:rPr>
          <w:rFonts w:ascii="宋体" w:hAnsi="宋体" w:cs="宋体"/>
          <w:b/>
          <w:bCs/>
          <w:color w:val="auto"/>
          <w:sz w:val="24"/>
          <w:szCs w:val="32"/>
          <w:highlight w:val="none"/>
        </w:rPr>
        <w:t xml:space="preserve"> </w:t>
      </w:r>
      <w:r>
        <w:rPr>
          <w:rFonts w:hint="eastAsia" w:ascii="宋体" w:hAnsi="宋体" w:cs="宋体"/>
          <w:b/>
          <w:bCs/>
          <w:color w:val="auto"/>
          <w:sz w:val="24"/>
          <w:szCs w:val="32"/>
          <w:highlight w:val="none"/>
        </w:rPr>
        <w:t>则</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1</w:t>
      </w:r>
      <w:r>
        <w:rPr>
          <w:rFonts w:hint="eastAsia" w:ascii="宋体" w:hAnsi="宋体" w:cs="宋体"/>
          <w:color w:val="auto"/>
          <w:sz w:val="24"/>
          <w:szCs w:val="32"/>
          <w:highlight w:val="none"/>
        </w:rPr>
        <w:t>、根据招标情况和评标标准，确定乙方为中标人。根据招标处理办法，甲乙双方本着平等互惠、友好合作的原则，特签订本合同。</w:t>
      </w:r>
    </w:p>
    <w:p>
      <w:pPr>
        <w:spacing w:line="360" w:lineRule="auto"/>
        <w:jc w:val="center"/>
        <w:rPr>
          <w:rFonts w:ascii="宋体" w:cs="宋体"/>
          <w:b/>
          <w:bCs/>
          <w:color w:val="auto"/>
          <w:sz w:val="24"/>
          <w:szCs w:val="32"/>
          <w:highlight w:val="none"/>
        </w:rPr>
      </w:pPr>
    </w:p>
    <w:p>
      <w:pPr>
        <w:spacing w:line="360" w:lineRule="auto"/>
        <w:jc w:val="center"/>
        <w:rPr>
          <w:rFonts w:ascii="宋体" w:cs="宋体"/>
          <w:b/>
          <w:bCs/>
          <w:color w:val="auto"/>
          <w:sz w:val="24"/>
          <w:szCs w:val="32"/>
          <w:highlight w:val="none"/>
        </w:rPr>
      </w:pPr>
      <w:r>
        <w:rPr>
          <w:rFonts w:hint="eastAsia" w:ascii="宋体" w:hAnsi="宋体" w:cs="宋体"/>
          <w:b/>
          <w:bCs/>
          <w:color w:val="auto"/>
          <w:sz w:val="24"/>
          <w:szCs w:val="32"/>
          <w:highlight w:val="none"/>
        </w:rPr>
        <w:t>第二章</w:t>
      </w:r>
      <w:r>
        <w:rPr>
          <w:rFonts w:ascii="宋体" w:hAnsi="宋体" w:cs="宋体"/>
          <w:b/>
          <w:bCs/>
          <w:color w:val="auto"/>
          <w:sz w:val="24"/>
          <w:szCs w:val="32"/>
          <w:highlight w:val="none"/>
        </w:rPr>
        <w:t xml:space="preserve">   </w:t>
      </w:r>
      <w:r>
        <w:rPr>
          <w:rFonts w:hint="eastAsia" w:ascii="宋体" w:hAnsi="宋体" w:cs="宋体"/>
          <w:b/>
          <w:bCs/>
          <w:color w:val="auto"/>
          <w:sz w:val="24"/>
          <w:szCs w:val="32"/>
          <w:highlight w:val="none"/>
        </w:rPr>
        <w:t>标</w:t>
      </w:r>
      <w:r>
        <w:rPr>
          <w:rFonts w:ascii="宋体" w:hAnsi="宋体" w:cs="宋体"/>
          <w:b/>
          <w:bCs/>
          <w:color w:val="auto"/>
          <w:sz w:val="24"/>
          <w:szCs w:val="32"/>
          <w:highlight w:val="none"/>
        </w:rPr>
        <w:t xml:space="preserve"> </w:t>
      </w:r>
      <w:r>
        <w:rPr>
          <w:rFonts w:hint="eastAsia" w:ascii="宋体" w:hAnsi="宋体" w:cs="宋体"/>
          <w:b/>
          <w:bCs/>
          <w:color w:val="auto"/>
          <w:sz w:val="24"/>
          <w:szCs w:val="32"/>
          <w:highlight w:val="none"/>
        </w:rPr>
        <w:t>的</w:t>
      </w:r>
      <w:r>
        <w:rPr>
          <w:rFonts w:ascii="宋体" w:hAnsi="宋体" w:cs="宋体"/>
          <w:b/>
          <w:bCs/>
          <w:color w:val="auto"/>
          <w:sz w:val="24"/>
          <w:szCs w:val="32"/>
          <w:highlight w:val="none"/>
        </w:rPr>
        <w:t xml:space="preserve"> </w:t>
      </w:r>
      <w:r>
        <w:rPr>
          <w:rFonts w:hint="eastAsia" w:ascii="宋体" w:hAnsi="宋体" w:cs="宋体"/>
          <w:b/>
          <w:bCs/>
          <w:color w:val="auto"/>
          <w:sz w:val="24"/>
          <w:szCs w:val="32"/>
          <w:highlight w:val="none"/>
        </w:rPr>
        <w:t>物</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1</w:t>
      </w:r>
      <w:r>
        <w:rPr>
          <w:rFonts w:hint="eastAsia" w:ascii="宋体" w:hAnsi="宋体" w:cs="宋体"/>
          <w:color w:val="auto"/>
          <w:sz w:val="24"/>
          <w:szCs w:val="32"/>
          <w:highlight w:val="none"/>
        </w:rPr>
        <w:t>、商品的名称、品牌、规格型号、产地、数量、价格等</w:t>
      </w:r>
    </w:p>
    <w:tbl>
      <w:tblPr>
        <w:tblStyle w:val="26"/>
        <w:tblW w:w="8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524"/>
        <w:gridCol w:w="696"/>
        <w:gridCol w:w="1176"/>
        <w:gridCol w:w="696"/>
        <w:gridCol w:w="696"/>
        <w:gridCol w:w="1236"/>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856" w:type="dxa"/>
            <w:vAlign w:val="center"/>
          </w:tcPr>
          <w:p>
            <w:pPr>
              <w:jc w:val="center"/>
              <w:rPr>
                <w:rFonts w:ascii="宋体" w:cs="宋体"/>
                <w:color w:val="auto"/>
                <w:sz w:val="24"/>
                <w:szCs w:val="32"/>
                <w:highlight w:val="none"/>
              </w:rPr>
            </w:pPr>
            <w:r>
              <w:rPr>
                <w:rFonts w:hint="eastAsia" w:ascii="宋体" w:hAnsi="宋体" w:cs="宋体"/>
                <w:color w:val="auto"/>
                <w:sz w:val="24"/>
                <w:szCs w:val="32"/>
                <w:highlight w:val="none"/>
              </w:rPr>
              <w:t>序号</w:t>
            </w:r>
          </w:p>
        </w:tc>
        <w:tc>
          <w:tcPr>
            <w:tcW w:w="1524" w:type="dxa"/>
            <w:vAlign w:val="center"/>
          </w:tcPr>
          <w:p>
            <w:pPr>
              <w:jc w:val="center"/>
              <w:rPr>
                <w:rFonts w:ascii="宋体" w:cs="宋体"/>
                <w:color w:val="auto"/>
                <w:sz w:val="24"/>
                <w:szCs w:val="32"/>
                <w:highlight w:val="none"/>
              </w:rPr>
            </w:pPr>
            <w:r>
              <w:rPr>
                <w:rFonts w:hint="eastAsia" w:ascii="宋体" w:hAnsi="宋体" w:cs="宋体"/>
                <w:color w:val="auto"/>
                <w:sz w:val="24"/>
                <w:szCs w:val="32"/>
                <w:highlight w:val="none"/>
              </w:rPr>
              <w:t>商品名称</w:t>
            </w:r>
          </w:p>
        </w:tc>
        <w:tc>
          <w:tcPr>
            <w:tcW w:w="696" w:type="dxa"/>
            <w:vAlign w:val="center"/>
          </w:tcPr>
          <w:p>
            <w:pPr>
              <w:jc w:val="center"/>
              <w:rPr>
                <w:rFonts w:ascii="宋体" w:cs="宋体"/>
                <w:color w:val="auto"/>
                <w:sz w:val="24"/>
                <w:szCs w:val="32"/>
                <w:highlight w:val="none"/>
              </w:rPr>
            </w:pPr>
            <w:r>
              <w:rPr>
                <w:rFonts w:hint="eastAsia" w:ascii="宋体" w:hAnsi="宋体" w:cs="宋体"/>
                <w:color w:val="auto"/>
                <w:sz w:val="24"/>
                <w:szCs w:val="32"/>
                <w:highlight w:val="none"/>
              </w:rPr>
              <w:t>品牌</w:t>
            </w:r>
          </w:p>
        </w:tc>
        <w:tc>
          <w:tcPr>
            <w:tcW w:w="1176" w:type="dxa"/>
            <w:vAlign w:val="center"/>
          </w:tcPr>
          <w:p>
            <w:pPr>
              <w:jc w:val="center"/>
              <w:rPr>
                <w:rFonts w:ascii="宋体" w:cs="宋体"/>
                <w:color w:val="auto"/>
                <w:sz w:val="24"/>
                <w:szCs w:val="32"/>
                <w:highlight w:val="none"/>
              </w:rPr>
            </w:pPr>
            <w:r>
              <w:rPr>
                <w:rFonts w:hint="eastAsia" w:ascii="宋体" w:hAnsi="宋体" w:cs="宋体"/>
                <w:color w:val="auto"/>
                <w:sz w:val="24"/>
                <w:szCs w:val="32"/>
                <w:highlight w:val="none"/>
              </w:rPr>
              <w:t>规格型号</w:t>
            </w:r>
          </w:p>
        </w:tc>
        <w:tc>
          <w:tcPr>
            <w:tcW w:w="696" w:type="dxa"/>
            <w:vAlign w:val="center"/>
          </w:tcPr>
          <w:p>
            <w:pPr>
              <w:jc w:val="center"/>
              <w:rPr>
                <w:rFonts w:ascii="宋体" w:cs="宋体"/>
                <w:color w:val="auto"/>
                <w:sz w:val="24"/>
                <w:szCs w:val="32"/>
                <w:highlight w:val="none"/>
              </w:rPr>
            </w:pPr>
            <w:r>
              <w:rPr>
                <w:rFonts w:hint="eastAsia" w:ascii="宋体" w:hAnsi="宋体" w:cs="宋体"/>
                <w:color w:val="auto"/>
                <w:sz w:val="24"/>
                <w:szCs w:val="32"/>
                <w:highlight w:val="none"/>
              </w:rPr>
              <w:t>产地</w:t>
            </w:r>
          </w:p>
        </w:tc>
        <w:tc>
          <w:tcPr>
            <w:tcW w:w="696" w:type="dxa"/>
            <w:vAlign w:val="center"/>
          </w:tcPr>
          <w:p>
            <w:pPr>
              <w:jc w:val="center"/>
              <w:rPr>
                <w:rFonts w:ascii="宋体" w:cs="宋体"/>
                <w:color w:val="auto"/>
                <w:sz w:val="24"/>
                <w:szCs w:val="32"/>
                <w:highlight w:val="none"/>
              </w:rPr>
            </w:pPr>
            <w:r>
              <w:rPr>
                <w:rFonts w:hint="eastAsia" w:ascii="宋体" w:hAnsi="宋体" w:cs="宋体"/>
                <w:color w:val="auto"/>
                <w:sz w:val="24"/>
                <w:szCs w:val="32"/>
                <w:highlight w:val="none"/>
              </w:rPr>
              <w:t>数量</w:t>
            </w:r>
          </w:p>
        </w:tc>
        <w:tc>
          <w:tcPr>
            <w:tcW w:w="1236" w:type="dxa"/>
            <w:vAlign w:val="center"/>
          </w:tcPr>
          <w:p>
            <w:pPr>
              <w:jc w:val="center"/>
              <w:rPr>
                <w:rFonts w:ascii="宋体" w:cs="宋体"/>
                <w:color w:val="auto"/>
                <w:sz w:val="24"/>
                <w:szCs w:val="32"/>
                <w:highlight w:val="none"/>
              </w:rPr>
            </w:pPr>
            <w:r>
              <w:rPr>
                <w:rFonts w:hint="eastAsia" w:ascii="宋体" w:hAnsi="宋体" w:cs="宋体"/>
                <w:color w:val="auto"/>
                <w:sz w:val="24"/>
                <w:szCs w:val="32"/>
                <w:highlight w:val="none"/>
              </w:rPr>
              <w:t>单价</w:t>
            </w:r>
          </w:p>
          <w:p>
            <w:pPr>
              <w:jc w:val="center"/>
              <w:rPr>
                <w:rFonts w:ascii="宋体" w:cs="宋体"/>
                <w:color w:val="auto"/>
                <w:sz w:val="24"/>
                <w:szCs w:val="32"/>
                <w:highlight w:val="none"/>
              </w:rPr>
            </w:pPr>
            <w:r>
              <w:rPr>
                <w:rFonts w:hint="eastAsia" w:ascii="宋体" w:hAnsi="宋体" w:cs="宋体"/>
                <w:color w:val="auto"/>
                <w:sz w:val="24"/>
                <w:szCs w:val="32"/>
                <w:highlight w:val="none"/>
              </w:rPr>
              <w:t>（万元）</w:t>
            </w:r>
          </w:p>
        </w:tc>
        <w:tc>
          <w:tcPr>
            <w:tcW w:w="1236" w:type="dxa"/>
            <w:vAlign w:val="center"/>
          </w:tcPr>
          <w:p>
            <w:pPr>
              <w:jc w:val="center"/>
              <w:rPr>
                <w:rFonts w:ascii="宋体" w:cs="宋体"/>
                <w:color w:val="auto"/>
                <w:sz w:val="24"/>
                <w:szCs w:val="32"/>
                <w:highlight w:val="none"/>
              </w:rPr>
            </w:pPr>
            <w:r>
              <w:rPr>
                <w:rFonts w:hint="eastAsia" w:ascii="宋体" w:hAnsi="宋体" w:cs="宋体"/>
                <w:color w:val="auto"/>
                <w:sz w:val="24"/>
                <w:szCs w:val="32"/>
                <w:highlight w:val="none"/>
              </w:rPr>
              <w:t>总价</w:t>
            </w:r>
          </w:p>
          <w:p>
            <w:pPr>
              <w:jc w:val="center"/>
              <w:rPr>
                <w:rFonts w:ascii="宋体" w:cs="宋体"/>
                <w:color w:val="auto"/>
                <w:sz w:val="24"/>
                <w:szCs w:val="32"/>
                <w:highlight w:val="none"/>
              </w:rPr>
            </w:pPr>
            <w:r>
              <w:rPr>
                <w:rFonts w:hint="eastAsia" w:ascii="宋体" w:hAnsi="宋体" w:cs="宋体"/>
                <w:color w:val="auto"/>
                <w:sz w:val="24"/>
                <w:szCs w:val="3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56" w:type="dxa"/>
            <w:vAlign w:val="center"/>
          </w:tcPr>
          <w:p>
            <w:pPr>
              <w:jc w:val="center"/>
              <w:rPr>
                <w:rFonts w:ascii="宋体" w:cs="宋体"/>
                <w:color w:val="auto"/>
                <w:sz w:val="24"/>
                <w:szCs w:val="32"/>
                <w:highlight w:val="none"/>
              </w:rPr>
            </w:pPr>
            <w:r>
              <w:rPr>
                <w:rFonts w:ascii="宋体" w:hAnsi="宋体" w:cs="宋体"/>
                <w:color w:val="auto"/>
                <w:sz w:val="24"/>
                <w:szCs w:val="32"/>
                <w:highlight w:val="none"/>
              </w:rPr>
              <w:t>1</w:t>
            </w:r>
          </w:p>
        </w:tc>
        <w:tc>
          <w:tcPr>
            <w:tcW w:w="1524" w:type="dxa"/>
            <w:vAlign w:val="center"/>
          </w:tcPr>
          <w:p>
            <w:pPr>
              <w:jc w:val="center"/>
              <w:rPr>
                <w:rFonts w:ascii="宋体" w:cs="宋体"/>
                <w:color w:val="auto"/>
                <w:sz w:val="24"/>
                <w:szCs w:val="32"/>
                <w:highlight w:val="none"/>
              </w:rPr>
            </w:pPr>
          </w:p>
        </w:tc>
        <w:tc>
          <w:tcPr>
            <w:tcW w:w="696" w:type="dxa"/>
            <w:vAlign w:val="center"/>
          </w:tcPr>
          <w:p>
            <w:pPr>
              <w:jc w:val="center"/>
              <w:rPr>
                <w:rFonts w:ascii="宋体" w:cs="宋体"/>
                <w:color w:val="auto"/>
                <w:sz w:val="24"/>
                <w:szCs w:val="32"/>
                <w:highlight w:val="none"/>
              </w:rPr>
            </w:pPr>
          </w:p>
        </w:tc>
        <w:tc>
          <w:tcPr>
            <w:tcW w:w="1176" w:type="dxa"/>
            <w:vAlign w:val="center"/>
          </w:tcPr>
          <w:p>
            <w:pPr>
              <w:jc w:val="center"/>
              <w:rPr>
                <w:rFonts w:ascii="宋体" w:cs="宋体"/>
                <w:color w:val="auto"/>
                <w:sz w:val="24"/>
                <w:szCs w:val="32"/>
                <w:highlight w:val="none"/>
              </w:rPr>
            </w:pPr>
          </w:p>
        </w:tc>
        <w:tc>
          <w:tcPr>
            <w:tcW w:w="696" w:type="dxa"/>
            <w:vAlign w:val="center"/>
          </w:tcPr>
          <w:p>
            <w:pPr>
              <w:jc w:val="center"/>
              <w:rPr>
                <w:rFonts w:ascii="宋体" w:cs="宋体"/>
                <w:color w:val="auto"/>
                <w:sz w:val="24"/>
                <w:szCs w:val="32"/>
                <w:highlight w:val="none"/>
              </w:rPr>
            </w:pPr>
          </w:p>
        </w:tc>
        <w:tc>
          <w:tcPr>
            <w:tcW w:w="696" w:type="dxa"/>
            <w:vAlign w:val="center"/>
          </w:tcPr>
          <w:p>
            <w:pPr>
              <w:jc w:val="center"/>
              <w:rPr>
                <w:rFonts w:ascii="宋体" w:cs="宋体"/>
                <w:color w:val="auto"/>
                <w:sz w:val="24"/>
                <w:szCs w:val="32"/>
                <w:highlight w:val="none"/>
              </w:rPr>
            </w:pPr>
          </w:p>
        </w:tc>
        <w:tc>
          <w:tcPr>
            <w:tcW w:w="1236" w:type="dxa"/>
            <w:vAlign w:val="center"/>
          </w:tcPr>
          <w:p>
            <w:pPr>
              <w:jc w:val="center"/>
              <w:rPr>
                <w:rFonts w:ascii="宋体" w:cs="宋体"/>
                <w:color w:val="auto"/>
                <w:sz w:val="24"/>
                <w:szCs w:val="32"/>
                <w:highlight w:val="none"/>
              </w:rPr>
            </w:pPr>
          </w:p>
        </w:tc>
        <w:tc>
          <w:tcPr>
            <w:tcW w:w="1236" w:type="dxa"/>
            <w:vAlign w:val="center"/>
          </w:tcPr>
          <w:p>
            <w:pPr>
              <w:jc w:val="center"/>
              <w:rPr>
                <w:rFonts w:ascii="宋体" w:cs="宋体"/>
                <w:color w:val="auto"/>
                <w:sz w:val="24"/>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56" w:type="dxa"/>
            <w:vAlign w:val="center"/>
          </w:tcPr>
          <w:p>
            <w:pPr>
              <w:jc w:val="center"/>
              <w:rPr>
                <w:rFonts w:ascii="宋体" w:cs="宋体"/>
                <w:color w:val="auto"/>
                <w:sz w:val="24"/>
                <w:szCs w:val="32"/>
                <w:highlight w:val="none"/>
              </w:rPr>
            </w:pPr>
            <w:r>
              <w:rPr>
                <w:rFonts w:hint="eastAsia" w:ascii="宋体" w:hAnsi="宋体" w:cs="宋体"/>
                <w:color w:val="auto"/>
                <w:sz w:val="24"/>
                <w:szCs w:val="32"/>
                <w:highlight w:val="none"/>
              </w:rPr>
              <w:t>……</w:t>
            </w:r>
          </w:p>
        </w:tc>
        <w:tc>
          <w:tcPr>
            <w:tcW w:w="1524" w:type="dxa"/>
            <w:vAlign w:val="center"/>
          </w:tcPr>
          <w:p>
            <w:pPr>
              <w:jc w:val="center"/>
              <w:rPr>
                <w:rFonts w:ascii="宋体" w:cs="宋体"/>
                <w:color w:val="auto"/>
                <w:sz w:val="24"/>
                <w:szCs w:val="32"/>
                <w:highlight w:val="none"/>
              </w:rPr>
            </w:pPr>
            <w:r>
              <w:rPr>
                <w:rFonts w:hint="eastAsia" w:ascii="宋体" w:hAnsi="宋体" w:cs="宋体"/>
                <w:color w:val="auto"/>
                <w:sz w:val="24"/>
                <w:szCs w:val="32"/>
                <w:highlight w:val="none"/>
              </w:rPr>
              <w:t>……</w:t>
            </w:r>
          </w:p>
        </w:tc>
        <w:tc>
          <w:tcPr>
            <w:tcW w:w="696" w:type="dxa"/>
            <w:vAlign w:val="center"/>
          </w:tcPr>
          <w:p>
            <w:pPr>
              <w:jc w:val="center"/>
              <w:rPr>
                <w:rFonts w:ascii="宋体" w:cs="宋体"/>
                <w:color w:val="auto"/>
                <w:sz w:val="24"/>
                <w:szCs w:val="32"/>
                <w:highlight w:val="none"/>
              </w:rPr>
            </w:pPr>
            <w:r>
              <w:rPr>
                <w:rFonts w:hint="eastAsia" w:ascii="宋体" w:hAnsi="宋体" w:cs="宋体"/>
                <w:color w:val="auto"/>
                <w:sz w:val="24"/>
                <w:szCs w:val="32"/>
                <w:highlight w:val="none"/>
              </w:rPr>
              <w:t>……</w:t>
            </w:r>
          </w:p>
        </w:tc>
        <w:tc>
          <w:tcPr>
            <w:tcW w:w="1176" w:type="dxa"/>
            <w:vAlign w:val="center"/>
          </w:tcPr>
          <w:p>
            <w:pPr>
              <w:jc w:val="center"/>
              <w:rPr>
                <w:rFonts w:ascii="宋体" w:cs="宋体"/>
                <w:color w:val="auto"/>
                <w:sz w:val="24"/>
                <w:szCs w:val="32"/>
                <w:highlight w:val="none"/>
              </w:rPr>
            </w:pPr>
            <w:r>
              <w:rPr>
                <w:rFonts w:hint="eastAsia" w:ascii="宋体" w:hAnsi="宋体" w:cs="宋体"/>
                <w:color w:val="auto"/>
                <w:sz w:val="24"/>
                <w:szCs w:val="32"/>
                <w:highlight w:val="none"/>
              </w:rPr>
              <w:t>……</w:t>
            </w:r>
          </w:p>
        </w:tc>
        <w:tc>
          <w:tcPr>
            <w:tcW w:w="696" w:type="dxa"/>
            <w:vAlign w:val="center"/>
          </w:tcPr>
          <w:p>
            <w:pPr>
              <w:jc w:val="center"/>
              <w:rPr>
                <w:rFonts w:ascii="宋体" w:cs="宋体"/>
                <w:color w:val="auto"/>
                <w:sz w:val="24"/>
                <w:szCs w:val="32"/>
                <w:highlight w:val="none"/>
              </w:rPr>
            </w:pPr>
            <w:r>
              <w:rPr>
                <w:rFonts w:hint="eastAsia" w:ascii="宋体" w:hAnsi="宋体" w:cs="宋体"/>
                <w:color w:val="auto"/>
                <w:sz w:val="24"/>
                <w:szCs w:val="32"/>
                <w:highlight w:val="none"/>
              </w:rPr>
              <w:t>……</w:t>
            </w:r>
          </w:p>
        </w:tc>
        <w:tc>
          <w:tcPr>
            <w:tcW w:w="696" w:type="dxa"/>
            <w:vAlign w:val="center"/>
          </w:tcPr>
          <w:p>
            <w:pPr>
              <w:jc w:val="center"/>
              <w:rPr>
                <w:rFonts w:ascii="宋体" w:cs="宋体"/>
                <w:color w:val="auto"/>
                <w:sz w:val="24"/>
                <w:szCs w:val="32"/>
                <w:highlight w:val="none"/>
              </w:rPr>
            </w:pPr>
            <w:r>
              <w:rPr>
                <w:rFonts w:hint="eastAsia" w:ascii="宋体" w:hAnsi="宋体" w:cs="宋体"/>
                <w:color w:val="auto"/>
                <w:sz w:val="24"/>
                <w:szCs w:val="32"/>
                <w:highlight w:val="none"/>
              </w:rPr>
              <w:t>……</w:t>
            </w:r>
          </w:p>
        </w:tc>
        <w:tc>
          <w:tcPr>
            <w:tcW w:w="1236" w:type="dxa"/>
            <w:vAlign w:val="center"/>
          </w:tcPr>
          <w:p>
            <w:pPr>
              <w:jc w:val="center"/>
              <w:rPr>
                <w:rFonts w:ascii="宋体" w:cs="宋体"/>
                <w:color w:val="auto"/>
                <w:sz w:val="24"/>
                <w:szCs w:val="32"/>
                <w:highlight w:val="none"/>
              </w:rPr>
            </w:pPr>
            <w:r>
              <w:rPr>
                <w:rFonts w:hint="eastAsia" w:ascii="宋体" w:hAnsi="宋体" w:cs="宋体"/>
                <w:color w:val="auto"/>
                <w:sz w:val="24"/>
                <w:szCs w:val="32"/>
                <w:highlight w:val="none"/>
              </w:rPr>
              <w:t>……</w:t>
            </w:r>
          </w:p>
        </w:tc>
        <w:tc>
          <w:tcPr>
            <w:tcW w:w="1236" w:type="dxa"/>
            <w:vAlign w:val="center"/>
          </w:tcPr>
          <w:p>
            <w:pPr>
              <w:jc w:val="center"/>
              <w:rPr>
                <w:rFonts w:ascii="宋体" w:cs="宋体"/>
                <w:color w:val="auto"/>
                <w:sz w:val="24"/>
                <w:szCs w:val="32"/>
                <w:highlight w:val="none"/>
              </w:rPr>
            </w:pPr>
            <w:r>
              <w:rPr>
                <w:rFonts w:hint="eastAsia" w:ascii="宋体" w:hAnsi="宋体" w:cs="宋体"/>
                <w:color w:val="auto"/>
                <w:sz w:val="24"/>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jc w:val="center"/>
        </w:trPr>
        <w:tc>
          <w:tcPr>
            <w:tcW w:w="8116" w:type="dxa"/>
            <w:gridSpan w:val="8"/>
            <w:vAlign w:val="center"/>
          </w:tcPr>
          <w:p>
            <w:pPr>
              <w:rPr>
                <w:rFonts w:ascii="宋体" w:cs="宋体"/>
                <w:color w:val="auto"/>
                <w:sz w:val="24"/>
                <w:szCs w:val="32"/>
                <w:highlight w:val="none"/>
              </w:rPr>
            </w:pPr>
            <w:r>
              <w:rPr>
                <w:rFonts w:hint="eastAsia" w:ascii="宋体" w:hAnsi="宋体" w:cs="宋体"/>
                <w:color w:val="auto"/>
                <w:sz w:val="24"/>
                <w:szCs w:val="32"/>
                <w:highlight w:val="none"/>
              </w:rPr>
              <w:t>合计人民币（大写）：</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元整。</w:t>
            </w:r>
          </w:p>
        </w:tc>
      </w:tr>
    </w:tbl>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2</w:t>
      </w:r>
      <w:r>
        <w:rPr>
          <w:rFonts w:hint="eastAsia" w:ascii="宋体" w:hAnsi="宋体" w:cs="宋体"/>
          <w:color w:val="auto"/>
          <w:sz w:val="24"/>
          <w:szCs w:val="32"/>
          <w:highlight w:val="none"/>
        </w:rPr>
        <w:t>、以上合同总价包含产品到达甲方并能正常使用所需的一切费用。</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3</w:t>
      </w:r>
      <w:r>
        <w:rPr>
          <w:rFonts w:hint="eastAsia" w:ascii="宋体" w:hAnsi="宋体" w:cs="宋体"/>
          <w:color w:val="auto"/>
          <w:sz w:val="24"/>
          <w:szCs w:val="32"/>
          <w:highlight w:val="none"/>
        </w:rPr>
        <w:t>、配置要求详见配置清单。</w:t>
      </w:r>
    </w:p>
    <w:p>
      <w:pPr>
        <w:spacing w:line="360" w:lineRule="auto"/>
        <w:jc w:val="center"/>
        <w:rPr>
          <w:rFonts w:ascii="宋体" w:cs="宋体"/>
          <w:b/>
          <w:bCs/>
          <w:color w:val="auto"/>
          <w:sz w:val="24"/>
          <w:szCs w:val="32"/>
          <w:highlight w:val="none"/>
        </w:rPr>
      </w:pPr>
    </w:p>
    <w:p>
      <w:pPr>
        <w:spacing w:line="360" w:lineRule="auto"/>
        <w:jc w:val="center"/>
        <w:rPr>
          <w:rFonts w:ascii="宋体" w:cs="宋体"/>
          <w:b/>
          <w:bCs/>
          <w:color w:val="auto"/>
          <w:sz w:val="24"/>
          <w:szCs w:val="32"/>
          <w:highlight w:val="none"/>
        </w:rPr>
      </w:pPr>
      <w:r>
        <w:rPr>
          <w:rFonts w:hint="eastAsia" w:ascii="宋体" w:hAnsi="宋体" w:cs="宋体"/>
          <w:b/>
          <w:bCs/>
          <w:color w:val="auto"/>
          <w:sz w:val="24"/>
          <w:szCs w:val="32"/>
          <w:highlight w:val="none"/>
        </w:rPr>
        <w:t>第三章</w:t>
      </w:r>
      <w:r>
        <w:rPr>
          <w:rFonts w:ascii="宋体" w:hAnsi="宋体" w:cs="宋体"/>
          <w:b/>
          <w:bCs/>
          <w:color w:val="auto"/>
          <w:sz w:val="24"/>
          <w:szCs w:val="32"/>
          <w:highlight w:val="none"/>
        </w:rPr>
        <w:t xml:space="preserve">  </w:t>
      </w:r>
      <w:r>
        <w:rPr>
          <w:rFonts w:hint="eastAsia" w:ascii="宋体" w:hAnsi="宋体" w:cs="宋体"/>
          <w:b/>
          <w:bCs/>
          <w:color w:val="auto"/>
          <w:sz w:val="24"/>
          <w:szCs w:val="32"/>
          <w:highlight w:val="none"/>
        </w:rPr>
        <w:t>付款方式</w:t>
      </w:r>
    </w:p>
    <w:p>
      <w:pPr>
        <w:spacing w:line="360" w:lineRule="auto"/>
        <w:ind w:firstLine="480" w:firstLineChars="200"/>
        <w:jc w:val="left"/>
        <w:rPr>
          <w:rFonts w:ascii="宋体"/>
          <w:b/>
          <w:bCs/>
          <w:color w:val="auto"/>
          <w:sz w:val="24"/>
          <w:highlight w:val="none"/>
        </w:rPr>
      </w:pPr>
      <w:r>
        <w:rPr>
          <w:rFonts w:ascii="宋体" w:hAnsi="宋体" w:cs="宋体"/>
          <w:color w:val="auto"/>
          <w:sz w:val="24"/>
          <w:szCs w:val="32"/>
          <w:highlight w:val="none"/>
        </w:rPr>
        <w:t>1</w:t>
      </w:r>
      <w:r>
        <w:rPr>
          <w:rFonts w:hint="eastAsia" w:ascii="宋体" w:hAnsi="宋体" w:cs="宋体"/>
          <w:color w:val="auto"/>
          <w:sz w:val="24"/>
          <w:szCs w:val="32"/>
          <w:highlight w:val="none"/>
        </w:rPr>
        <w:t>、合同签订后，货到安装调试验收合格并收到所有证件资料后满3个月支付合同金额90%，在验收合格后且无故障运行满1年支付10%的合同金额，如出现主要部件故障则要扣除保证金作为赔偿。</w:t>
      </w:r>
    </w:p>
    <w:p>
      <w:pPr>
        <w:spacing w:line="360" w:lineRule="auto"/>
        <w:jc w:val="center"/>
        <w:rPr>
          <w:rFonts w:ascii="宋体" w:cs="宋体"/>
          <w:b/>
          <w:bCs/>
          <w:color w:val="auto"/>
          <w:sz w:val="24"/>
          <w:szCs w:val="32"/>
          <w:highlight w:val="none"/>
        </w:rPr>
      </w:pPr>
    </w:p>
    <w:p>
      <w:pPr>
        <w:pStyle w:val="10"/>
        <w:rPr>
          <w:color w:val="auto"/>
          <w:highlight w:val="none"/>
        </w:rPr>
      </w:pPr>
    </w:p>
    <w:p>
      <w:pPr>
        <w:spacing w:line="360" w:lineRule="auto"/>
        <w:jc w:val="center"/>
        <w:rPr>
          <w:rFonts w:ascii="宋体" w:cs="宋体"/>
          <w:b/>
          <w:bCs/>
          <w:color w:val="auto"/>
          <w:sz w:val="24"/>
          <w:szCs w:val="32"/>
          <w:highlight w:val="none"/>
        </w:rPr>
      </w:pPr>
      <w:r>
        <w:rPr>
          <w:rFonts w:hint="eastAsia" w:ascii="宋体" w:hAnsi="宋体" w:cs="宋体"/>
          <w:b/>
          <w:bCs/>
          <w:color w:val="auto"/>
          <w:sz w:val="24"/>
          <w:szCs w:val="32"/>
          <w:highlight w:val="none"/>
        </w:rPr>
        <w:t>第四章</w:t>
      </w:r>
      <w:r>
        <w:rPr>
          <w:rFonts w:ascii="宋体" w:hAnsi="宋体" w:cs="宋体"/>
          <w:b/>
          <w:bCs/>
          <w:color w:val="auto"/>
          <w:sz w:val="24"/>
          <w:szCs w:val="32"/>
          <w:highlight w:val="none"/>
        </w:rPr>
        <w:t xml:space="preserve">  </w:t>
      </w:r>
      <w:r>
        <w:rPr>
          <w:rFonts w:hint="eastAsia" w:ascii="宋体" w:hAnsi="宋体" w:cs="宋体"/>
          <w:b/>
          <w:bCs/>
          <w:color w:val="auto"/>
          <w:sz w:val="24"/>
          <w:szCs w:val="32"/>
          <w:highlight w:val="none"/>
        </w:rPr>
        <w:t>交货时间、地点</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1</w:t>
      </w:r>
      <w:r>
        <w:rPr>
          <w:rFonts w:hint="eastAsia" w:ascii="宋体" w:hAnsi="宋体" w:cs="宋体"/>
          <w:color w:val="auto"/>
          <w:sz w:val="24"/>
          <w:szCs w:val="32"/>
          <w:highlight w:val="none"/>
        </w:rPr>
        <w:t>、乙方在</w:t>
      </w:r>
      <w:r>
        <w:rPr>
          <w:rFonts w:hint="eastAsia" w:ascii="宋体"/>
          <w:color w:val="auto"/>
          <w:sz w:val="24"/>
          <w:highlight w:val="none"/>
        </w:rPr>
        <w:t>合同签订后</w:t>
      </w:r>
      <w:r>
        <w:rPr>
          <w:rFonts w:hint="eastAsia" w:ascii="宋体" w:hAnsi="宋体" w:cs="宋体"/>
          <w:color w:val="auto"/>
          <w:sz w:val="24"/>
          <w:szCs w:val="32"/>
          <w:highlight w:val="none"/>
        </w:rPr>
        <w:t>1个月内按院方要求将货物到指定地点并完成安装调试，在此过程所产生的所有费用由供货方承担。如发生由于乙方原因产生的逾期到货，乙方应按照逾期到货部分价款的每天</w:t>
      </w:r>
      <w:r>
        <w:rPr>
          <w:rFonts w:ascii="宋体" w:hAnsi="宋体" w:cs="宋体"/>
          <w:color w:val="auto"/>
          <w:sz w:val="24"/>
          <w:szCs w:val="32"/>
          <w:highlight w:val="none"/>
        </w:rPr>
        <w:t>0.3%</w:t>
      </w:r>
      <w:r>
        <w:rPr>
          <w:rFonts w:hint="eastAsia" w:ascii="宋体" w:hAnsi="宋体" w:cs="宋体"/>
          <w:color w:val="auto"/>
          <w:sz w:val="24"/>
          <w:szCs w:val="32"/>
          <w:highlight w:val="none"/>
        </w:rPr>
        <w:t>向甲方付违约金。</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2</w:t>
      </w:r>
      <w:r>
        <w:rPr>
          <w:rFonts w:hint="eastAsia" w:ascii="宋体" w:hAnsi="宋体" w:cs="宋体"/>
          <w:color w:val="auto"/>
          <w:sz w:val="24"/>
          <w:szCs w:val="32"/>
          <w:highlight w:val="none"/>
        </w:rPr>
        <w:t>、交货地点：台州市路桥区第二人民医院指定地点。</w:t>
      </w:r>
    </w:p>
    <w:p>
      <w:pPr>
        <w:spacing w:line="360" w:lineRule="auto"/>
        <w:jc w:val="center"/>
        <w:rPr>
          <w:rFonts w:ascii="宋体" w:cs="宋体"/>
          <w:b/>
          <w:bCs/>
          <w:color w:val="auto"/>
          <w:sz w:val="24"/>
          <w:szCs w:val="32"/>
          <w:highlight w:val="none"/>
        </w:rPr>
      </w:pPr>
    </w:p>
    <w:p>
      <w:pPr>
        <w:spacing w:line="360" w:lineRule="auto"/>
        <w:jc w:val="center"/>
        <w:rPr>
          <w:rFonts w:ascii="宋体" w:cs="宋体"/>
          <w:b/>
          <w:bCs/>
          <w:color w:val="auto"/>
          <w:sz w:val="24"/>
          <w:szCs w:val="32"/>
          <w:highlight w:val="none"/>
        </w:rPr>
      </w:pPr>
      <w:r>
        <w:rPr>
          <w:rFonts w:hint="eastAsia" w:ascii="宋体" w:hAnsi="宋体" w:cs="宋体"/>
          <w:b/>
          <w:bCs/>
          <w:color w:val="auto"/>
          <w:sz w:val="24"/>
          <w:szCs w:val="32"/>
          <w:highlight w:val="none"/>
        </w:rPr>
        <w:t>第五章</w:t>
      </w:r>
      <w:r>
        <w:rPr>
          <w:rFonts w:ascii="宋体" w:hAnsi="宋体" w:cs="宋体"/>
          <w:b/>
          <w:bCs/>
          <w:color w:val="auto"/>
          <w:sz w:val="24"/>
          <w:szCs w:val="32"/>
          <w:highlight w:val="none"/>
        </w:rPr>
        <w:t xml:space="preserve">  </w:t>
      </w:r>
      <w:r>
        <w:rPr>
          <w:rFonts w:hint="eastAsia" w:ascii="宋体" w:hAnsi="宋体" w:cs="宋体"/>
          <w:b/>
          <w:bCs/>
          <w:color w:val="auto"/>
          <w:sz w:val="24"/>
          <w:szCs w:val="32"/>
          <w:highlight w:val="none"/>
        </w:rPr>
        <w:t>货物包装、到货及安装验收</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1</w:t>
      </w:r>
      <w:r>
        <w:rPr>
          <w:rFonts w:hint="eastAsia" w:ascii="宋体" w:hAnsi="宋体" w:cs="宋体"/>
          <w:color w:val="auto"/>
          <w:sz w:val="24"/>
          <w:szCs w:val="32"/>
          <w:highlight w:val="none"/>
        </w:rPr>
        <w:t>、乙方应在货物发运前对其进行满足运输距离、防潮、防震、防锈和防破损装卸等符合该货物国家相关规范及本身运输需要的要求包装，以保证货物安全运达甲方指定地点。</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2</w:t>
      </w:r>
      <w:r>
        <w:rPr>
          <w:rFonts w:hint="eastAsia" w:ascii="宋体" w:hAnsi="宋体" w:cs="宋体"/>
          <w:color w:val="auto"/>
          <w:sz w:val="24"/>
          <w:szCs w:val="32"/>
          <w:highlight w:val="none"/>
        </w:rPr>
        <w:t>、乙方应在货物发送前</w:t>
      </w:r>
      <w:r>
        <w:rPr>
          <w:rFonts w:ascii="宋体" w:hAnsi="宋体" w:cs="宋体"/>
          <w:color w:val="auto"/>
          <w:sz w:val="24"/>
          <w:szCs w:val="32"/>
          <w:highlight w:val="none"/>
        </w:rPr>
        <w:t>48</w:t>
      </w:r>
      <w:r>
        <w:rPr>
          <w:rFonts w:hint="eastAsia" w:ascii="宋体" w:hAnsi="宋体" w:cs="宋体"/>
          <w:color w:val="auto"/>
          <w:sz w:val="24"/>
          <w:szCs w:val="32"/>
          <w:highlight w:val="none"/>
        </w:rPr>
        <w:t>小时通知甲方发货信息；货物到后，乙方负责在经甲方电话或书面通知后</w:t>
      </w:r>
      <w:r>
        <w:rPr>
          <w:rFonts w:ascii="宋体" w:hAnsi="宋体" w:cs="宋体"/>
          <w:color w:val="auto"/>
          <w:sz w:val="24"/>
          <w:szCs w:val="32"/>
          <w:highlight w:val="none"/>
        </w:rPr>
        <w:t>7</w:t>
      </w:r>
      <w:r>
        <w:rPr>
          <w:rFonts w:hint="eastAsia" w:ascii="宋体" w:hAnsi="宋体" w:cs="宋体"/>
          <w:color w:val="auto"/>
          <w:sz w:val="24"/>
          <w:szCs w:val="32"/>
          <w:highlight w:val="none"/>
        </w:rPr>
        <w:t>天内派工程师到院安装完毕，如超过时间，每天按货物总价的</w:t>
      </w:r>
      <w:r>
        <w:rPr>
          <w:rFonts w:ascii="宋体" w:hAnsi="宋体" w:cs="宋体"/>
          <w:color w:val="auto"/>
          <w:sz w:val="24"/>
          <w:szCs w:val="32"/>
          <w:highlight w:val="none"/>
        </w:rPr>
        <w:t>0.3%</w:t>
      </w:r>
      <w:r>
        <w:rPr>
          <w:rFonts w:hint="eastAsia" w:ascii="宋体" w:hAnsi="宋体" w:cs="宋体"/>
          <w:color w:val="auto"/>
          <w:sz w:val="24"/>
          <w:szCs w:val="32"/>
          <w:highlight w:val="none"/>
        </w:rPr>
        <w:t>作为违约金付给甲方。</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3</w:t>
      </w:r>
      <w:r>
        <w:rPr>
          <w:rFonts w:hint="eastAsia" w:ascii="宋体" w:hAnsi="宋体" w:cs="宋体"/>
          <w:color w:val="auto"/>
          <w:sz w:val="24"/>
          <w:szCs w:val="32"/>
          <w:highlight w:val="none"/>
        </w:rPr>
        <w:t>、设备验收规定</w:t>
      </w:r>
    </w:p>
    <w:p>
      <w:pPr>
        <w:spacing w:line="360" w:lineRule="auto"/>
        <w:ind w:firstLine="480" w:firstLineChars="200"/>
        <w:jc w:val="left"/>
        <w:rPr>
          <w:rFonts w:ascii="宋体" w:cs="宋体"/>
          <w:color w:val="auto"/>
          <w:sz w:val="24"/>
          <w:szCs w:val="32"/>
          <w:highlight w:val="none"/>
        </w:rPr>
      </w:pPr>
      <w:r>
        <w:rPr>
          <w:rFonts w:hint="eastAsia" w:ascii="宋体" w:hAnsi="宋体" w:cs="宋体"/>
          <w:color w:val="auto"/>
          <w:sz w:val="24"/>
          <w:szCs w:val="32"/>
          <w:highlight w:val="none"/>
        </w:rPr>
        <w:t>（</w:t>
      </w:r>
      <w:r>
        <w:rPr>
          <w:rFonts w:ascii="宋体" w:hAnsi="宋体" w:cs="宋体"/>
          <w:color w:val="auto"/>
          <w:sz w:val="24"/>
          <w:szCs w:val="32"/>
          <w:highlight w:val="none"/>
        </w:rPr>
        <w:t>1</w:t>
      </w:r>
      <w:r>
        <w:rPr>
          <w:rFonts w:hint="eastAsia" w:ascii="宋体" w:hAnsi="宋体" w:cs="宋体"/>
          <w:color w:val="auto"/>
          <w:sz w:val="24"/>
          <w:szCs w:val="32"/>
          <w:highlight w:val="none"/>
        </w:rPr>
        <w:t>）双方工作人员清点到货设备品名、数量、产地、规格型号、中文标识及合法证件等。</w:t>
      </w:r>
    </w:p>
    <w:p>
      <w:pPr>
        <w:spacing w:line="360" w:lineRule="auto"/>
        <w:ind w:firstLine="480" w:firstLineChars="200"/>
        <w:jc w:val="left"/>
        <w:rPr>
          <w:rFonts w:ascii="宋体" w:cs="宋体"/>
          <w:color w:val="auto"/>
          <w:sz w:val="24"/>
          <w:szCs w:val="32"/>
          <w:highlight w:val="none"/>
        </w:rPr>
      </w:pPr>
      <w:r>
        <w:rPr>
          <w:rFonts w:hint="eastAsia" w:ascii="宋体" w:hAnsi="宋体" w:cs="宋体"/>
          <w:color w:val="auto"/>
          <w:sz w:val="24"/>
          <w:szCs w:val="32"/>
          <w:highlight w:val="none"/>
        </w:rPr>
        <w:t>（</w:t>
      </w:r>
      <w:r>
        <w:rPr>
          <w:rFonts w:ascii="宋体" w:hAnsi="宋体" w:cs="宋体"/>
          <w:color w:val="auto"/>
          <w:sz w:val="24"/>
          <w:szCs w:val="32"/>
          <w:highlight w:val="none"/>
        </w:rPr>
        <w:t>2</w:t>
      </w:r>
      <w:r>
        <w:rPr>
          <w:rFonts w:hint="eastAsia" w:ascii="宋体" w:hAnsi="宋体" w:cs="宋体"/>
          <w:color w:val="auto"/>
          <w:sz w:val="24"/>
          <w:szCs w:val="32"/>
          <w:highlight w:val="none"/>
        </w:rPr>
        <w:t>）甲乙双方应按照合同及投标文件和承诺书对配置、功能以及其他相关数据测试方面进行一一验收。同时要求乙方提供海关报关单（如是进口设备）、商检证书（如是进口设备）、中文出厂检测报告、中文操作规程等文件资料用于验收。</w:t>
      </w:r>
    </w:p>
    <w:p>
      <w:pPr>
        <w:spacing w:line="360" w:lineRule="auto"/>
        <w:ind w:firstLine="480" w:firstLineChars="200"/>
        <w:jc w:val="left"/>
        <w:rPr>
          <w:rFonts w:ascii="宋体" w:cs="宋体"/>
          <w:color w:val="auto"/>
          <w:sz w:val="24"/>
          <w:szCs w:val="32"/>
          <w:highlight w:val="none"/>
        </w:rPr>
      </w:pPr>
      <w:r>
        <w:rPr>
          <w:rFonts w:hint="eastAsia" w:ascii="宋体" w:hAnsi="宋体" w:cs="宋体"/>
          <w:color w:val="auto"/>
          <w:sz w:val="24"/>
          <w:szCs w:val="32"/>
          <w:highlight w:val="none"/>
        </w:rPr>
        <w:t>（</w:t>
      </w:r>
      <w:r>
        <w:rPr>
          <w:rFonts w:ascii="宋体" w:hAnsi="宋体" w:cs="宋体"/>
          <w:color w:val="auto"/>
          <w:sz w:val="24"/>
          <w:szCs w:val="32"/>
          <w:highlight w:val="none"/>
        </w:rPr>
        <w:t>3</w:t>
      </w:r>
      <w:r>
        <w:rPr>
          <w:rFonts w:hint="eastAsia" w:ascii="宋体" w:hAnsi="宋体" w:cs="宋体"/>
          <w:color w:val="auto"/>
          <w:sz w:val="24"/>
          <w:szCs w:val="32"/>
          <w:highlight w:val="none"/>
        </w:rPr>
        <w:t>）对技术复杂的货物，甲方应邀请国家认可的专业检测机构或质控机构参与验收，并由其出具质量检测报告。</w:t>
      </w:r>
    </w:p>
    <w:p>
      <w:pPr>
        <w:spacing w:line="360" w:lineRule="auto"/>
        <w:ind w:firstLine="480" w:firstLineChars="200"/>
        <w:jc w:val="left"/>
        <w:rPr>
          <w:rFonts w:ascii="宋体" w:cs="宋体"/>
          <w:color w:val="auto"/>
          <w:sz w:val="24"/>
          <w:szCs w:val="32"/>
          <w:highlight w:val="none"/>
        </w:rPr>
      </w:pPr>
      <w:r>
        <w:rPr>
          <w:rFonts w:hint="eastAsia" w:ascii="宋体" w:hAnsi="宋体" w:cs="宋体"/>
          <w:color w:val="auto"/>
          <w:sz w:val="24"/>
          <w:szCs w:val="32"/>
          <w:highlight w:val="none"/>
        </w:rPr>
        <w:t>（</w:t>
      </w:r>
      <w:r>
        <w:rPr>
          <w:rFonts w:ascii="宋体" w:hAnsi="宋体" w:cs="宋体"/>
          <w:color w:val="auto"/>
          <w:sz w:val="24"/>
          <w:szCs w:val="32"/>
          <w:highlight w:val="none"/>
        </w:rPr>
        <w:t>4</w:t>
      </w:r>
      <w:r>
        <w:rPr>
          <w:rFonts w:hint="eastAsia" w:ascii="宋体" w:hAnsi="宋体" w:cs="宋体"/>
          <w:color w:val="auto"/>
          <w:sz w:val="24"/>
          <w:szCs w:val="32"/>
          <w:highlight w:val="none"/>
        </w:rPr>
        <w:t>）货物安装验收合格后，甲乙双方在验收报告上签字确认，货物安装调试工作完成。如有产生验收费用，则由乙方负责。</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4</w:t>
      </w:r>
      <w:r>
        <w:rPr>
          <w:rFonts w:hint="eastAsia" w:ascii="宋体" w:hAnsi="宋体" w:cs="宋体"/>
          <w:color w:val="auto"/>
          <w:sz w:val="24"/>
          <w:szCs w:val="32"/>
          <w:highlight w:val="none"/>
        </w:rPr>
        <w:t>、乙方需对设备的合法性负全责（包括进货渠道、合法证件、购货发票等）。</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5</w:t>
      </w:r>
      <w:r>
        <w:rPr>
          <w:rFonts w:hint="eastAsia" w:ascii="宋体" w:hAnsi="宋体" w:cs="宋体"/>
          <w:color w:val="auto"/>
          <w:sz w:val="24"/>
          <w:szCs w:val="32"/>
          <w:highlight w:val="none"/>
        </w:rPr>
        <w:t>、乙方应保证所提供的货物或其任何一部分均不会侵犯任何第三方的知识产权；设备所含的软件甲方具有永久使用权。</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6</w:t>
      </w:r>
      <w:r>
        <w:rPr>
          <w:rFonts w:hint="eastAsia" w:ascii="宋体" w:hAnsi="宋体" w:cs="宋体"/>
          <w:color w:val="auto"/>
          <w:sz w:val="24"/>
          <w:szCs w:val="32"/>
          <w:highlight w:val="none"/>
        </w:rPr>
        <w:t>、乙方保证所交付的货物的所有权完全属于乙方且无任何抵押、查封等产权瑕疵。</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7</w:t>
      </w:r>
      <w:r>
        <w:rPr>
          <w:rFonts w:hint="eastAsia" w:ascii="宋体" w:hAnsi="宋体" w:cs="宋体"/>
          <w:color w:val="auto"/>
          <w:sz w:val="24"/>
          <w:szCs w:val="32"/>
          <w:highlight w:val="none"/>
        </w:rPr>
        <w:t>、乙方提供所有软件的备份光盘、</w:t>
      </w:r>
      <w:r>
        <w:rPr>
          <w:rFonts w:ascii="宋体" w:hAnsi="宋体" w:cs="宋体"/>
          <w:color w:val="auto"/>
          <w:sz w:val="24"/>
          <w:szCs w:val="32"/>
          <w:highlight w:val="none"/>
        </w:rPr>
        <w:t>License</w:t>
      </w:r>
      <w:r>
        <w:rPr>
          <w:rFonts w:hint="eastAsia" w:ascii="宋体" w:hAnsi="宋体" w:cs="宋体"/>
          <w:color w:val="auto"/>
          <w:sz w:val="24"/>
          <w:szCs w:val="32"/>
          <w:highlight w:val="none"/>
        </w:rPr>
        <w:t>及所有口令信息，同时提供这些软件安装、调试及相关维护所需要的所有硬件和软件工具。不能提供上述内容的，则需到甲方现场提供所有软件终身免费安装（含硬件更换后软件重新安装调试）、调试、维护服务。</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8</w:t>
      </w:r>
      <w:r>
        <w:rPr>
          <w:rFonts w:hint="eastAsia" w:ascii="宋体" w:hAnsi="宋体" w:cs="宋体"/>
          <w:color w:val="auto"/>
          <w:sz w:val="24"/>
          <w:szCs w:val="32"/>
          <w:highlight w:val="none"/>
        </w:rPr>
        <w:t>、首次计量检测费用由乙方承担，同时乙方按成本价提供后续计量服务。</w:t>
      </w:r>
    </w:p>
    <w:p>
      <w:pPr>
        <w:spacing w:line="360" w:lineRule="auto"/>
        <w:jc w:val="center"/>
        <w:rPr>
          <w:rFonts w:ascii="宋体" w:cs="宋体"/>
          <w:b/>
          <w:bCs/>
          <w:color w:val="auto"/>
          <w:sz w:val="24"/>
          <w:szCs w:val="32"/>
          <w:highlight w:val="none"/>
        </w:rPr>
      </w:pPr>
    </w:p>
    <w:p>
      <w:pPr>
        <w:spacing w:line="360" w:lineRule="auto"/>
        <w:jc w:val="center"/>
        <w:rPr>
          <w:rFonts w:ascii="宋体" w:cs="宋体"/>
          <w:b/>
          <w:bCs/>
          <w:color w:val="auto"/>
          <w:sz w:val="24"/>
          <w:szCs w:val="32"/>
          <w:highlight w:val="none"/>
        </w:rPr>
      </w:pPr>
      <w:r>
        <w:rPr>
          <w:rFonts w:hint="eastAsia" w:ascii="宋体" w:hAnsi="宋体" w:cs="宋体"/>
          <w:b/>
          <w:bCs/>
          <w:color w:val="auto"/>
          <w:sz w:val="24"/>
          <w:szCs w:val="32"/>
          <w:highlight w:val="none"/>
        </w:rPr>
        <w:t>第六章</w:t>
      </w:r>
      <w:r>
        <w:rPr>
          <w:rFonts w:ascii="宋体" w:hAnsi="宋体" w:cs="宋体"/>
          <w:b/>
          <w:bCs/>
          <w:color w:val="auto"/>
          <w:sz w:val="24"/>
          <w:szCs w:val="32"/>
          <w:highlight w:val="none"/>
        </w:rPr>
        <w:t xml:space="preserve">  </w:t>
      </w:r>
      <w:r>
        <w:rPr>
          <w:rFonts w:hint="eastAsia" w:ascii="宋体" w:hAnsi="宋体" w:cs="宋体"/>
          <w:b/>
          <w:bCs/>
          <w:color w:val="auto"/>
          <w:sz w:val="24"/>
          <w:szCs w:val="32"/>
          <w:highlight w:val="none"/>
        </w:rPr>
        <w:t>质量保证及售后服务</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1</w:t>
      </w:r>
      <w:r>
        <w:rPr>
          <w:rFonts w:hint="eastAsia" w:ascii="宋体" w:hAnsi="宋体" w:cs="宋体"/>
          <w:color w:val="auto"/>
          <w:sz w:val="24"/>
          <w:szCs w:val="32"/>
          <w:highlight w:val="none"/>
        </w:rPr>
        <w:t>、乙方保证本合同所供应的商品是最新生产的未曾使用过的符合国家技术规格和质量标准的出厂原装合格产品，同时该商品的所有技术性能应符合投标文件所响应条款。如发生所供商品与合同不符或者技术性能与投标文件不符等问题，甲方有权退货，并且由乙方赔偿因退货而给甲方造成的损失（赔偿金额为不少于合同总金额的</w:t>
      </w:r>
      <w:r>
        <w:rPr>
          <w:rFonts w:ascii="宋体" w:hAnsi="宋体" w:cs="宋体"/>
          <w:color w:val="auto"/>
          <w:sz w:val="24"/>
          <w:szCs w:val="32"/>
          <w:highlight w:val="none"/>
        </w:rPr>
        <w:t>10%</w:t>
      </w:r>
      <w:r>
        <w:rPr>
          <w:rFonts w:hint="eastAsia" w:ascii="宋体" w:hAnsi="宋体" w:cs="宋体"/>
          <w:color w:val="auto"/>
          <w:sz w:val="24"/>
          <w:szCs w:val="32"/>
          <w:highlight w:val="none"/>
        </w:rPr>
        <w:t>）。</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2</w:t>
      </w:r>
      <w:r>
        <w:rPr>
          <w:rFonts w:hint="eastAsia" w:ascii="宋体" w:hAnsi="宋体" w:cs="宋体"/>
          <w:color w:val="auto"/>
          <w:sz w:val="24"/>
          <w:szCs w:val="32"/>
          <w:highlight w:val="none"/>
        </w:rPr>
        <w:t>、乙方提供的货物在质保期内因货物本身的质量问题发生故障，乙方应负责免费更换。对达不到技术要求者，根据实际情况，经双方协商，可按以下办法处理：</w:t>
      </w:r>
    </w:p>
    <w:p>
      <w:pPr>
        <w:spacing w:line="360" w:lineRule="auto"/>
        <w:ind w:firstLine="480" w:firstLineChars="200"/>
        <w:jc w:val="left"/>
        <w:rPr>
          <w:rFonts w:ascii="宋体" w:cs="宋体"/>
          <w:color w:val="auto"/>
          <w:sz w:val="24"/>
          <w:szCs w:val="32"/>
          <w:highlight w:val="none"/>
        </w:rPr>
      </w:pPr>
      <w:r>
        <w:rPr>
          <w:rFonts w:hint="eastAsia" w:ascii="宋体" w:hAnsi="宋体" w:cs="宋体"/>
          <w:color w:val="auto"/>
          <w:sz w:val="24"/>
          <w:szCs w:val="32"/>
          <w:highlight w:val="none"/>
        </w:rPr>
        <w:t>（</w:t>
      </w:r>
      <w:r>
        <w:rPr>
          <w:rFonts w:ascii="宋体" w:hAnsi="宋体" w:cs="宋体"/>
          <w:color w:val="auto"/>
          <w:sz w:val="24"/>
          <w:szCs w:val="32"/>
          <w:highlight w:val="none"/>
        </w:rPr>
        <w:t>1</w:t>
      </w:r>
      <w:r>
        <w:rPr>
          <w:rFonts w:hint="eastAsia" w:ascii="宋体" w:hAnsi="宋体" w:cs="宋体"/>
          <w:color w:val="auto"/>
          <w:sz w:val="24"/>
          <w:szCs w:val="32"/>
          <w:highlight w:val="none"/>
        </w:rPr>
        <w:t>）更换：由乙方承担所发生的全部费用。</w:t>
      </w:r>
    </w:p>
    <w:p>
      <w:pPr>
        <w:spacing w:line="360" w:lineRule="auto"/>
        <w:ind w:firstLine="480" w:firstLineChars="200"/>
        <w:jc w:val="left"/>
        <w:rPr>
          <w:rFonts w:ascii="宋体" w:cs="宋体"/>
          <w:color w:val="auto"/>
          <w:sz w:val="24"/>
          <w:szCs w:val="32"/>
          <w:highlight w:val="none"/>
        </w:rPr>
      </w:pPr>
      <w:r>
        <w:rPr>
          <w:rFonts w:hint="eastAsia" w:ascii="宋体" w:hAnsi="宋体" w:cs="宋体"/>
          <w:color w:val="auto"/>
          <w:sz w:val="24"/>
          <w:szCs w:val="32"/>
          <w:highlight w:val="none"/>
        </w:rPr>
        <w:t>（</w:t>
      </w:r>
      <w:r>
        <w:rPr>
          <w:rFonts w:ascii="宋体" w:hAnsi="宋体" w:cs="宋体"/>
          <w:color w:val="auto"/>
          <w:sz w:val="24"/>
          <w:szCs w:val="32"/>
          <w:highlight w:val="none"/>
        </w:rPr>
        <w:t>2</w:t>
      </w:r>
      <w:r>
        <w:rPr>
          <w:rFonts w:hint="eastAsia" w:ascii="宋体" w:hAnsi="宋体" w:cs="宋体"/>
          <w:color w:val="auto"/>
          <w:sz w:val="24"/>
          <w:szCs w:val="32"/>
          <w:highlight w:val="none"/>
        </w:rPr>
        <w:t>）贬值处理：由甲乙双方合议定价。</w:t>
      </w:r>
    </w:p>
    <w:p>
      <w:pPr>
        <w:spacing w:line="360" w:lineRule="auto"/>
        <w:ind w:firstLine="480" w:firstLineChars="200"/>
        <w:jc w:val="left"/>
        <w:rPr>
          <w:rFonts w:ascii="宋体" w:cs="宋体"/>
          <w:color w:val="auto"/>
          <w:sz w:val="24"/>
          <w:szCs w:val="32"/>
          <w:highlight w:val="none"/>
        </w:rPr>
      </w:pPr>
      <w:r>
        <w:rPr>
          <w:rFonts w:hint="eastAsia" w:ascii="宋体" w:hAnsi="宋体" w:cs="宋体"/>
          <w:color w:val="auto"/>
          <w:sz w:val="24"/>
          <w:szCs w:val="32"/>
          <w:highlight w:val="none"/>
        </w:rPr>
        <w:t>（</w:t>
      </w:r>
      <w:r>
        <w:rPr>
          <w:rFonts w:ascii="宋体" w:hAnsi="宋体" w:cs="宋体"/>
          <w:color w:val="auto"/>
          <w:sz w:val="24"/>
          <w:szCs w:val="32"/>
          <w:highlight w:val="none"/>
        </w:rPr>
        <w:t>3</w:t>
      </w:r>
      <w:r>
        <w:rPr>
          <w:rFonts w:hint="eastAsia" w:ascii="宋体" w:hAnsi="宋体" w:cs="宋体"/>
          <w:color w:val="auto"/>
          <w:sz w:val="24"/>
          <w:szCs w:val="32"/>
          <w:highlight w:val="none"/>
        </w:rPr>
        <w:t>）退货处理：乙方应退还甲方支付的合同款，同时应承担该货物的直接费用（包括运输、保险、检验、货款利息及银行手续费等）</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3</w:t>
      </w:r>
      <w:r>
        <w:rPr>
          <w:rFonts w:hint="eastAsia" w:ascii="宋体" w:hAnsi="宋体" w:cs="宋体"/>
          <w:color w:val="auto"/>
          <w:sz w:val="24"/>
          <w:szCs w:val="32"/>
          <w:highlight w:val="none"/>
        </w:rPr>
        <w:t>、在质保期内，乙方应对货物出现的质量及安全问题负责处理解决并承担一切费用。</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4</w:t>
      </w:r>
      <w:r>
        <w:rPr>
          <w:rFonts w:hint="eastAsia" w:ascii="宋体" w:hAnsi="宋体" w:cs="宋体"/>
          <w:color w:val="auto"/>
          <w:sz w:val="24"/>
          <w:szCs w:val="32"/>
          <w:highlight w:val="none"/>
        </w:rPr>
        <w:t>、质保期：在乙方货到安装调试验收合格并移交所有证件资料后开始计算质保期；全套设备免费保修</w:t>
      </w:r>
      <w:r>
        <w:rPr>
          <w:rFonts w:ascii="宋体" w:hAnsi="宋体" w:cs="宋体"/>
          <w:color w:val="auto"/>
          <w:sz w:val="24"/>
          <w:szCs w:val="32"/>
          <w:highlight w:val="none"/>
          <w:u w:val="single"/>
        </w:rPr>
        <w:t xml:space="preserve">   </w:t>
      </w:r>
      <w:r>
        <w:rPr>
          <w:rFonts w:hint="eastAsia" w:ascii="宋体" w:hAnsi="宋体" w:cs="宋体"/>
          <w:color w:val="auto"/>
          <w:sz w:val="24"/>
          <w:szCs w:val="32"/>
          <w:highlight w:val="none"/>
        </w:rPr>
        <w:t>年（包含所有部件（消耗品除外））；质保期内每年进行</w:t>
      </w:r>
      <w:r>
        <w:rPr>
          <w:rFonts w:ascii="宋体" w:hAnsi="宋体" w:cs="宋体"/>
          <w:color w:val="auto"/>
          <w:sz w:val="24"/>
          <w:szCs w:val="32"/>
          <w:highlight w:val="none"/>
        </w:rPr>
        <w:t>2</w:t>
      </w:r>
      <w:r>
        <w:rPr>
          <w:rFonts w:hint="eastAsia" w:ascii="宋体" w:hAnsi="宋体" w:cs="宋体"/>
          <w:color w:val="auto"/>
          <w:sz w:val="24"/>
          <w:szCs w:val="32"/>
          <w:highlight w:val="none"/>
        </w:rPr>
        <w:t>次免费维护（不包括维修）；质保期外，终身维修，维修只收配件成本费，维修配件提供时间不少于十年；在质保期内保证开机率大于等于</w:t>
      </w:r>
      <w:r>
        <w:rPr>
          <w:rFonts w:ascii="宋体" w:hAnsi="宋体" w:cs="宋体"/>
          <w:color w:val="auto"/>
          <w:sz w:val="24"/>
          <w:szCs w:val="32"/>
          <w:highlight w:val="none"/>
        </w:rPr>
        <w:t>95%</w:t>
      </w:r>
      <w:r>
        <w:rPr>
          <w:rFonts w:hint="eastAsia" w:ascii="宋体" w:hAnsi="宋体" w:cs="宋体"/>
          <w:color w:val="auto"/>
          <w:sz w:val="24"/>
          <w:szCs w:val="32"/>
          <w:highlight w:val="none"/>
        </w:rPr>
        <w:t>（按工作日每超出开机率要求时间一天，保修时间相应延长十天），接到电话报修响应并到达医院时间小于</w:t>
      </w:r>
      <w:r>
        <w:rPr>
          <w:rFonts w:ascii="宋体" w:hAnsi="宋体" w:cs="宋体"/>
          <w:color w:val="auto"/>
          <w:sz w:val="24"/>
          <w:szCs w:val="32"/>
          <w:highlight w:val="none"/>
        </w:rPr>
        <w:t>24</w:t>
      </w:r>
      <w:r>
        <w:rPr>
          <w:rFonts w:hint="eastAsia" w:ascii="宋体" w:hAnsi="宋体" w:cs="宋体"/>
          <w:color w:val="auto"/>
          <w:sz w:val="24"/>
          <w:szCs w:val="32"/>
          <w:highlight w:val="none"/>
        </w:rPr>
        <w:t>小时。</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5</w:t>
      </w:r>
      <w:r>
        <w:rPr>
          <w:rFonts w:hint="eastAsia" w:ascii="宋体" w:hAnsi="宋体" w:cs="宋体"/>
          <w:color w:val="auto"/>
          <w:sz w:val="24"/>
          <w:szCs w:val="32"/>
          <w:highlight w:val="none"/>
        </w:rPr>
        <w:t>、乙方派出人员在提供安装验收和维修维护等所有服务中，应遵守甲方规章制度，不得泄漏甲方一切需要保密的信息或数据（包括但不限于病人信息、医院信息等），同时工作中须符合甲方院感要求；另需提供到甲方服务人员的健康证明、资质文件、培训记录等。</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6</w:t>
      </w:r>
      <w:r>
        <w:rPr>
          <w:rFonts w:hint="eastAsia" w:ascii="宋体" w:hAnsi="宋体" w:cs="宋体"/>
          <w:color w:val="auto"/>
          <w:sz w:val="24"/>
          <w:szCs w:val="32"/>
          <w:highlight w:val="none"/>
        </w:rPr>
        <w:t>、乙方在为甲方提供安装调试、维修维护及其他任何服务中，应负责乙方委派或派出人员的安全生产管理责任，并承担委派或派出人员在甲方服务期间因患病、意外伤害及其他原因导致损失的所有费用。</w:t>
      </w:r>
    </w:p>
    <w:p>
      <w:pPr>
        <w:spacing w:line="360" w:lineRule="auto"/>
        <w:jc w:val="center"/>
        <w:rPr>
          <w:rFonts w:ascii="宋体" w:cs="宋体"/>
          <w:b/>
          <w:bCs/>
          <w:color w:val="auto"/>
          <w:sz w:val="24"/>
          <w:szCs w:val="32"/>
          <w:highlight w:val="none"/>
        </w:rPr>
      </w:pPr>
    </w:p>
    <w:p>
      <w:pPr>
        <w:spacing w:line="360" w:lineRule="auto"/>
        <w:jc w:val="center"/>
        <w:rPr>
          <w:rFonts w:ascii="宋体" w:cs="宋体"/>
          <w:b/>
          <w:bCs/>
          <w:color w:val="auto"/>
          <w:sz w:val="24"/>
          <w:szCs w:val="32"/>
          <w:highlight w:val="none"/>
        </w:rPr>
      </w:pPr>
      <w:r>
        <w:rPr>
          <w:rFonts w:hint="eastAsia" w:ascii="宋体" w:hAnsi="宋体" w:cs="宋体"/>
          <w:b/>
          <w:bCs/>
          <w:color w:val="auto"/>
          <w:sz w:val="24"/>
          <w:szCs w:val="32"/>
          <w:highlight w:val="none"/>
        </w:rPr>
        <w:t>第七章</w:t>
      </w:r>
      <w:r>
        <w:rPr>
          <w:rFonts w:ascii="宋体" w:hAnsi="宋体" w:cs="宋体"/>
          <w:b/>
          <w:bCs/>
          <w:color w:val="auto"/>
          <w:sz w:val="24"/>
          <w:szCs w:val="32"/>
          <w:highlight w:val="none"/>
        </w:rPr>
        <w:t xml:space="preserve">  </w:t>
      </w:r>
      <w:r>
        <w:rPr>
          <w:rFonts w:hint="eastAsia" w:ascii="宋体" w:hAnsi="宋体" w:cs="宋体"/>
          <w:b/>
          <w:bCs/>
          <w:color w:val="auto"/>
          <w:sz w:val="24"/>
          <w:szCs w:val="32"/>
          <w:highlight w:val="none"/>
        </w:rPr>
        <w:t>技术支持、培训</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1</w:t>
      </w:r>
      <w:r>
        <w:rPr>
          <w:rFonts w:hint="eastAsia" w:ascii="宋体" w:hAnsi="宋体" w:cs="宋体"/>
          <w:color w:val="auto"/>
          <w:sz w:val="24"/>
          <w:szCs w:val="32"/>
          <w:highlight w:val="none"/>
        </w:rPr>
        <w:t>、技术支持</w:t>
      </w:r>
    </w:p>
    <w:p>
      <w:pPr>
        <w:spacing w:line="360" w:lineRule="auto"/>
        <w:ind w:firstLine="480" w:firstLineChars="200"/>
        <w:jc w:val="left"/>
        <w:rPr>
          <w:rFonts w:ascii="宋体" w:cs="宋体"/>
          <w:color w:val="auto"/>
          <w:sz w:val="24"/>
          <w:szCs w:val="32"/>
          <w:highlight w:val="none"/>
        </w:rPr>
      </w:pPr>
      <w:r>
        <w:rPr>
          <w:rFonts w:hint="eastAsia" w:ascii="宋体" w:hAnsi="宋体" w:cs="宋体"/>
          <w:color w:val="auto"/>
          <w:sz w:val="24"/>
          <w:szCs w:val="32"/>
          <w:highlight w:val="none"/>
        </w:rPr>
        <w:t>甲乙双方签订合同后，货到之前，乙方派遣工程技术人员免费进行场地设计及现场指导，并且乙方承诺为甲方免费提供软件升级，及时提供设备新功能和临床应用的资料。</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2</w:t>
      </w:r>
      <w:r>
        <w:rPr>
          <w:rFonts w:hint="eastAsia" w:ascii="宋体" w:hAnsi="宋体" w:cs="宋体"/>
          <w:color w:val="auto"/>
          <w:sz w:val="24"/>
          <w:szCs w:val="32"/>
          <w:highlight w:val="none"/>
        </w:rPr>
        <w:t>、设备安装以后，乙方负责对甲方操作人员、维修人员进行技术培训。</w:t>
      </w:r>
    </w:p>
    <w:p>
      <w:pPr>
        <w:spacing w:line="360" w:lineRule="auto"/>
        <w:ind w:firstLine="480" w:firstLineChars="200"/>
        <w:jc w:val="left"/>
        <w:rPr>
          <w:rFonts w:ascii="宋体" w:cs="宋体"/>
          <w:color w:val="auto"/>
          <w:sz w:val="24"/>
          <w:szCs w:val="32"/>
          <w:highlight w:val="none"/>
        </w:rPr>
      </w:pPr>
      <w:r>
        <w:rPr>
          <w:rFonts w:hint="eastAsia" w:ascii="宋体" w:hAnsi="宋体" w:cs="宋体"/>
          <w:color w:val="auto"/>
          <w:sz w:val="24"/>
          <w:szCs w:val="32"/>
          <w:highlight w:val="none"/>
        </w:rPr>
        <w:t>（</w:t>
      </w:r>
      <w:r>
        <w:rPr>
          <w:rFonts w:ascii="宋体" w:hAnsi="宋体" w:cs="宋体"/>
          <w:color w:val="auto"/>
          <w:sz w:val="24"/>
          <w:szCs w:val="32"/>
          <w:highlight w:val="none"/>
        </w:rPr>
        <w:t>1</w:t>
      </w:r>
      <w:r>
        <w:rPr>
          <w:rFonts w:hint="eastAsia" w:ascii="宋体" w:hAnsi="宋体" w:cs="宋体"/>
          <w:color w:val="auto"/>
          <w:sz w:val="24"/>
          <w:szCs w:val="32"/>
          <w:highlight w:val="none"/>
        </w:rPr>
        <w:t>）乙方对甲方的操作人员进行现场操作培训直到甲方操作人员熟练掌握使用该设备各种性能为止，并提供详细的操作手册、电子版使用操作规程以及电子版培训资料。</w:t>
      </w:r>
    </w:p>
    <w:p>
      <w:pPr>
        <w:spacing w:line="360" w:lineRule="auto"/>
        <w:ind w:firstLine="480" w:firstLineChars="200"/>
        <w:jc w:val="left"/>
        <w:rPr>
          <w:rFonts w:ascii="宋体" w:cs="宋体"/>
          <w:color w:val="auto"/>
          <w:sz w:val="24"/>
          <w:szCs w:val="32"/>
          <w:highlight w:val="none"/>
        </w:rPr>
      </w:pPr>
      <w:r>
        <w:rPr>
          <w:rFonts w:hint="eastAsia" w:ascii="宋体" w:hAnsi="宋体" w:cs="宋体"/>
          <w:color w:val="auto"/>
          <w:sz w:val="24"/>
          <w:szCs w:val="32"/>
          <w:highlight w:val="none"/>
        </w:rPr>
        <w:t>（</w:t>
      </w:r>
      <w:r>
        <w:rPr>
          <w:rFonts w:ascii="宋体" w:hAnsi="宋体" w:cs="宋体"/>
          <w:color w:val="auto"/>
          <w:sz w:val="24"/>
          <w:szCs w:val="32"/>
          <w:highlight w:val="none"/>
        </w:rPr>
        <w:t>2</w:t>
      </w:r>
      <w:r>
        <w:rPr>
          <w:rFonts w:hint="eastAsia" w:ascii="宋体" w:hAnsi="宋体" w:cs="宋体"/>
          <w:color w:val="auto"/>
          <w:sz w:val="24"/>
          <w:szCs w:val="32"/>
          <w:highlight w:val="none"/>
        </w:rPr>
        <w:t>）乙方对甲方的设备维修人员进行现场培训，使甲方人员能对设备进行日常的维修保养以及一般故障进行维修，同时为甲方维修人员提供详细的维修图纸及维修手册、故障代码表、维修密码及软件备份、电子版维护保养规程等。</w:t>
      </w:r>
    </w:p>
    <w:p>
      <w:pPr>
        <w:spacing w:line="360" w:lineRule="auto"/>
        <w:ind w:firstLine="480" w:firstLineChars="200"/>
        <w:jc w:val="left"/>
        <w:rPr>
          <w:rFonts w:ascii="宋体" w:cs="宋体"/>
          <w:color w:val="auto"/>
          <w:sz w:val="24"/>
          <w:szCs w:val="32"/>
          <w:highlight w:val="none"/>
        </w:rPr>
      </w:pPr>
      <w:r>
        <w:rPr>
          <w:rFonts w:hint="eastAsia" w:ascii="宋体" w:hAnsi="宋体" w:cs="宋体"/>
          <w:color w:val="auto"/>
          <w:sz w:val="24"/>
          <w:szCs w:val="32"/>
          <w:highlight w:val="none"/>
        </w:rPr>
        <w:t>（</w:t>
      </w:r>
      <w:r>
        <w:rPr>
          <w:rFonts w:ascii="宋体" w:hAnsi="宋体" w:cs="宋体"/>
          <w:color w:val="auto"/>
          <w:sz w:val="24"/>
          <w:szCs w:val="32"/>
          <w:highlight w:val="none"/>
        </w:rPr>
        <w:t>3</w:t>
      </w:r>
      <w:r>
        <w:rPr>
          <w:rFonts w:hint="eastAsia" w:ascii="宋体" w:hAnsi="宋体" w:cs="宋体"/>
          <w:color w:val="auto"/>
          <w:sz w:val="24"/>
          <w:szCs w:val="32"/>
          <w:highlight w:val="none"/>
        </w:rPr>
        <w:t>）其他乙方在投标文件或承诺书中有响应的培训内容按响应条款执行。</w:t>
      </w:r>
    </w:p>
    <w:p>
      <w:pPr>
        <w:spacing w:line="360" w:lineRule="auto"/>
        <w:jc w:val="center"/>
        <w:rPr>
          <w:rFonts w:ascii="宋体" w:cs="宋体"/>
          <w:b/>
          <w:bCs/>
          <w:color w:val="auto"/>
          <w:sz w:val="24"/>
          <w:szCs w:val="32"/>
          <w:highlight w:val="none"/>
        </w:rPr>
      </w:pPr>
    </w:p>
    <w:p>
      <w:pPr>
        <w:spacing w:line="360" w:lineRule="auto"/>
        <w:jc w:val="center"/>
        <w:rPr>
          <w:rFonts w:ascii="宋体" w:cs="宋体"/>
          <w:b/>
          <w:bCs/>
          <w:color w:val="auto"/>
          <w:sz w:val="24"/>
          <w:szCs w:val="32"/>
          <w:highlight w:val="none"/>
        </w:rPr>
      </w:pPr>
      <w:r>
        <w:rPr>
          <w:rFonts w:hint="eastAsia" w:ascii="宋体" w:hAnsi="宋体" w:cs="宋体"/>
          <w:b/>
          <w:bCs/>
          <w:color w:val="auto"/>
          <w:sz w:val="24"/>
          <w:szCs w:val="32"/>
          <w:highlight w:val="none"/>
        </w:rPr>
        <w:t>第八章</w:t>
      </w:r>
      <w:r>
        <w:rPr>
          <w:rFonts w:ascii="宋体" w:hAnsi="宋体" w:cs="宋体"/>
          <w:b/>
          <w:bCs/>
          <w:color w:val="auto"/>
          <w:sz w:val="24"/>
          <w:szCs w:val="32"/>
          <w:highlight w:val="none"/>
        </w:rPr>
        <w:t xml:space="preserve">  </w:t>
      </w:r>
      <w:r>
        <w:rPr>
          <w:rFonts w:hint="eastAsia" w:ascii="宋体" w:hAnsi="宋体" w:cs="宋体"/>
          <w:b/>
          <w:bCs/>
          <w:color w:val="auto"/>
          <w:sz w:val="24"/>
          <w:szCs w:val="32"/>
          <w:highlight w:val="none"/>
        </w:rPr>
        <w:t>合同的修改变更与解除</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1</w:t>
      </w:r>
      <w:r>
        <w:rPr>
          <w:rFonts w:hint="eastAsia" w:ascii="宋体" w:hAnsi="宋体" w:cs="宋体"/>
          <w:color w:val="auto"/>
          <w:sz w:val="24"/>
          <w:szCs w:val="32"/>
          <w:highlight w:val="none"/>
        </w:rPr>
        <w:t>、对本合同及其附件变更或解除，必须合同双方签署书面协议才能生效。</w:t>
      </w:r>
    </w:p>
    <w:p>
      <w:pPr>
        <w:spacing w:line="360" w:lineRule="auto"/>
        <w:jc w:val="center"/>
        <w:rPr>
          <w:rFonts w:ascii="宋体" w:cs="宋体"/>
          <w:b/>
          <w:bCs/>
          <w:color w:val="auto"/>
          <w:sz w:val="24"/>
          <w:szCs w:val="32"/>
          <w:highlight w:val="none"/>
        </w:rPr>
      </w:pPr>
    </w:p>
    <w:p>
      <w:pPr>
        <w:spacing w:line="360" w:lineRule="auto"/>
        <w:jc w:val="center"/>
        <w:rPr>
          <w:rFonts w:ascii="宋体" w:cs="宋体"/>
          <w:b/>
          <w:bCs/>
          <w:color w:val="auto"/>
          <w:sz w:val="24"/>
          <w:szCs w:val="32"/>
          <w:highlight w:val="none"/>
        </w:rPr>
      </w:pPr>
      <w:r>
        <w:rPr>
          <w:rFonts w:hint="eastAsia" w:ascii="宋体" w:hAnsi="宋体" w:cs="宋体"/>
          <w:b/>
          <w:bCs/>
          <w:color w:val="auto"/>
          <w:sz w:val="24"/>
          <w:szCs w:val="32"/>
          <w:highlight w:val="none"/>
        </w:rPr>
        <w:t>第九章</w:t>
      </w:r>
      <w:r>
        <w:rPr>
          <w:rFonts w:ascii="宋体" w:hAnsi="宋体" w:cs="宋体"/>
          <w:b/>
          <w:bCs/>
          <w:color w:val="auto"/>
          <w:sz w:val="24"/>
          <w:szCs w:val="32"/>
          <w:highlight w:val="none"/>
        </w:rPr>
        <w:t xml:space="preserve">  </w:t>
      </w:r>
      <w:r>
        <w:rPr>
          <w:rFonts w:hint="eastAsia" w:ascii="宋体" w:hAnsi="宋体" w:cs="宋体"/>
          <w:b/>
          <w:bCs/>
          <w:color w:val="auto"/>
          <w:sz w:val="24"/>
          <w:szCs w:val="32"/>
          <w:highlight w:val="none"/>
        </w:rPr>
        <w:t>违约责任</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1</w:t>
      </w:r>
      <w:r>
        <w:rPr>
          <w:rFonts w:hint="eastAsia" w:ascii="宋体" w:hAnsi="宋体" w:cs="宋体"/>
          <w:color w:val="auto"/>
          <w:sz w:val="24"/>
          <w:szCs w:val="32"/>
          <w:highlight w:val="none"/>
        </w:rPr>
        <w:t>、对一方的违约行为或合同执行中给对方造成的损失，责任方的赔偿额不高于实际的损失额度或本合同的总金额。</w:t>
      </w:r>
    </w:p>
    <w:p>
      <w:pPr>
        <w:spacing w:line="360" w:lineRule="auto"/>
        <w:jc w:val="center"/>
        <w:rPr>
          <w:rFonts w:ascii="宋体" w:cs="宋体"/>
          <w:b/>
          <w:bCs/>
          <w:color w:val="auto"/>
          <w:sz w:val="24"/>
          <w:szCs w:val="32"/>
          <w:highlight w:val="none"/>
        </w:rPr>
      </w:pPr>
    </w:p>
    <w:p>
      <w:pPr>
        <w:spacing w:line="360" w:lineRule="auto"/>
        <w:jc w:val="center"/>
        <w:rPr>
          <w:rFonts w:ascii="宋体" w:cs="宋体"/>
          <w:b/>
          <w:bCs/>
          <w:color w:val="auto"/>
          <w:sz w:val="24"/>
          <w:szCs w:val="32"/>
          <w:highlight w:val="none"/>
        </w:rPr>
      </w:pPr>
      <w:r>
        <w:rPr>
          <w:rFonts w:hint="eastAsia" w:ascii="宋体" w:hAnsi="宋体" w:cs="宋体"/>
          <w:b/>
          <w:bCs/>
          <w:color w:val="auto"/>
          <w:sz w:val="24"/>
          <w:szCs w:val="32"/>
          <w:highlight w:val="none"/>
        </w:rPr>
        <w:t>第十章</w:t>
      </w:r>
      <w:r>
        <w:rPr>
          <w:rFonts w:ascii="宋体" w:hAnsi="宋体" w:cs="宋体"/>
          <w:b/>
          <w:bCs/>
          <w:color w:val="auto"/>
          <w:sz w:val="24"/>
          <w:szCs w:val="32"/>
          <w:highlight w:val="none"/>
        </w:rPr>
        <w:t xml:space="preserve">  </w:t>
      </w:r>
      <w:r>
        <w:rPr>
          <w:rFonts w:hint="eastAsia" w:ascii="宋体" w:hAnsi="宋体" w:cs="宋体"/>
          <w:b/>
          <w:bCs/>
          <w:color w:val="auto"/>
          <w:sz w:val="24"/>
          <w:szCs w:val="32"/>
          <w:highlight w:val="none"/>
        </w:rPr>
        <w:t>争议的解决</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1</w:t>
      </w:r>
      <w:r>
        <w:rPr>
          <w:rFonts w:hint="eastAsia" w:ascii="宋体" w:hAnsi="宋体" w:cs="宋体"/>
          <w:color w:val="auto"/>
          <w:sz w:val="24"/>
          <w:szCs w:val="32"/>
          <w:highlight w:val="none"/>
        </w:rPr>
        <w:t>、本合同一式陆份（甲方二份、乙方二份、招标代理机构一份、台州市路桥区政府采购监管处一份），具有同等法律效力，双方签字盖章后生效。</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2</w:t>
      </w:r>
      <w:r>
        <w:rPr>
          <w:rFonts w:hint="eastAsia" w:ascii="宋体" w:hAnsi="宋体" w:cs="宋体"/>
          <w:color w:val="auto"/>
          <w:sz w:val="24"/>
          <w:szCs w:val="32"/>
          <w:highlight w:val="none"/>
        </w:rPr>
        <w:t>、凡有关本合同或执行本合同而发生的一切争议，应通过友好协商解决，如协商不成，则应申请甲方所在地法院裁决。</w:t>
      </w:r>
    </w:p>
    <w:p>
      <w:pPr>
        <w:spacing w:line="360" w:lineRule="auto"/>
        <w:jc w:val="center"/>
        <w:rPr>
          <w:rFonts w:ascii="宋体" w:cs="宋体"/>
          <w:b/>
          <w:bCs/>
          <w:color w:val="auto"/>
          <w:sz w:val="24"/>
          <w:szCs w:val="32"/>
          <w:highlight w:val="none"/>
        </w:rPr>
      </w:pPr>
    </w:p>
    <w:p>
      <w:pPr>
        <w:spacing w:line="360" w:lineRule="auto"/>
        <w:jc w:val="center"/>
        <w:rPr>
          <w:rFonts w:hint="eastAsia" w:ascii="宋体" w:hAnsi="宋体" w:cs="宋体"/>
          <w:b/>
          <w:bCs/>
          <w:color w:val="auto"/>
          <w:sz w:val="24"/>
          <w:szCs w:val="32"/>
          <w:highlight w:val="none"/>
        </w:rPr>
      </w:pPr>
    </w:p>
    <w:p>
      <w:pPr>
        <w:spacing w:line="360" w:lineRule="auto"/>
        <w:jc w:val="center"/>
        <w:rPr>
          <w:rFonts w:ascii="宋体" w:cs="宋体"/>
          <w:b/>
          <w:bCs/>
          <w:color w:val="auto"/>
          <w:sz w:val="24"/>
          <w:szCs w:val="32"/>
          <w:highlight w:val="none"/>
        </w:rPr>
      </w:pPr>
      <w:r>
        <w:rPr>
          <w:rFonts w:hint="eastAsia" w:ascii="宋体" w:hAnsi="宋体" w:cs="宋体"/>
          <w:b/>
          <w:bCs/>
          <w:color w:val="auto"/>
          <w:sz w:val="24"/>
          <w:szCs w:val="32"/>
          <w:highlight w:val="none"/>
        </w:rPr>
        <w:t>第十一章</w:t>
      </w:r>
      <w:r>
        <w:rPr>
          <w:rFonts w:ascii="宋体" w:hAnsi="宋体" w:cs="宋体"/>
          <w:b/>
          <w:bCs/>
          <w:color w:val="auto"/>
          <w:sz w:val="24"/>
          <w:szCs w:val="32"/>
          <w:highlight w:val="none"/>
        </w:rPr>
        <w:t xml:space="preserve">  </w:t>
      </w:r>
      <w:r>
        <w:rPr>
          <w:rFonts w:hint="eastAsia" w:ascii="宋体" w:hAnsi="宋体" w:cs="宋体"/>
          <w:b/>
          <w:bCs/>
          <w:color w:val="auto"/>
          <w:sz w:val="24"/>
          <w:szCs w:val="32"/>
          <w:highlight w:val="none"/>
        </w:rPr>
        <w:t>其</w:t>
      </w:r>
      <w:r>
        <w:rPr>
          <w:rFonts w:ascii="宋体" w:hAnsi="宋体" w:cs="宋体"/>
          <w:b/>
          <w:bCs/>
          <w:color w:val="auto"/>
          <w:sz w:val="24"/>
          <w:szCs w:val="32"/>
          <w:highlight w:val="none"/>
        </w:rPr>
        <w:t xml:space="preserve"> </w:t>
      </w:r>
      <w:r>
        <w:rPr>
          <w:rFonts w:hint="eastAsia" w:ascii="宋体" w:hAnsi="宋体" w:cs="宋体"/>
          <w:b/>
          <w:bCs/>
          <w:color w:val="auto"/>
          <w:sz w:val="24"/>
          <w:szCs w:val="32"/>
          <w:highlight w:val="none"/>
        </w:rPr>
        <w:t>它</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1</w:t>
      </w:r>
      <w:r>
        <w:rPr>
          <w:rFonts w:hint="eastAsia" w:ascii="宋体" w:hAnsi="宋体" w:cs="宋体"/>
          <w:color w:val="auto"/>
          <w:sz w:val="24"/>
          <w:szCs w:val="32"/>
          <w:highlight w:val="none"/>
        </w:rPr>
        <w:t>、在合同有效期内，任何一方因不可抗力事件导致不能履行合同，则合同履行期可延长；不可抗力延续</w:t>
      </w:r>
      <w:r>
        <w:rPr>
          <w:rFonts w:ascii="宋体" w:hAnsi="宋体" w:cs="宋体"/>
          <w:color w:val="auto"/>
          <w:sz w:val="24"/>
          <w:szCs w:val="32"/>
          <w:highlight w:val="none"/>
        </w:rPr>
        <w:t>120</w:t>
      </w:r>
      <w:r>
        <w:rPr>
          <w:rFonts w:hint="eastAsia" w:ascii="宋体" w:hAnsi="宋体" w:cs="宋体"/>
          <w:color w:val="auto"/>
          <w:sz w:val="24"/>
          <w:szCs w:val="32"/>
          <w:highlight w:val="none"/>
        </w:rPr>
        <w:t>天以上，双方应友好协商是否解除合同。</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2</w:t>
      </w:r>
      <w:r>
        <w:rPr>
          <w:rFonts w:hint="eastAsia" w:ascii="宋体" w:hAnsi="宋体" w:cs="宋体"/>
          <w:color w:val="auto"/>
          <w:sz w:val="24"/>
          <w:szCs w:val="32"/>
          <w:highlight w:val="none"/>
        </w:rPr>
        <w:t>、本合同未尽事宜，可另行签订《补充协议》，《补充协议》与本合同具有同等法律效力。</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3</w:t>
      </w:r>
      <w:r>
        <w:rPr>
          <w:rFonts w:hint="eastAsia" w:ascii="宋体" w:hAnsi="宋体" w:cs="宋体"/>
          <w:color w:val="auto"/>
          <w:sz w:val="24"/>
          <w:szCs w:val="32"/>
          <w:highlight w:val="none"/>
        </w:rPr>
        <w:t>、本合同未涉及到的内容以</w:t>
      </w:r>
      <w:r>
        <w:rPr>
          <w:rFonts w:hint="eastAsia" w:ascii="宋体" w:hAnsi="宋体" w:cs="宋体"/>
          <w:b/>
          <w:bCs/>
          <w:color w:val="auto"/>
          <w:sz w:val="24"/>
          <w:szCs w:val="32"/>
          <w:highlight w:val="none"/>
          <w:u w:val="single"/>
        </w:rPr>
        <w:t>编号：</w:t>
      </w:r>
      <w:r>
        <w:rPr>
          <w:rFonts w:hint="eastAsia" w:ascii="宋体" w:hAnsi="宋体" w:cs="宋体"/>
          <w:b/>
          <w:bCs/>
          <w:color w:val="auto"/>
          <w:sz w:val="24"/>
          <w:szCs w:val="32"/>
          <w:highlight w:val="none"/>
          <w:u w:val="single"/>
          <w:lang w:eastAsia="zh-CN"/>
        </w:rPr>
        <w:t>ZJWS2021-LQ201</w:t>
      </w:r>
      <w:r>
        <w:rPr>
          <w:rFonts w:hint="eastAsia" w:ascii="宋体" w:hAnsi="宋体" w:cs="宋体"/>
          <w:color w:val="auto"/>
          <w:sz w:val="24"/>
          <w:szCs w:val="32"/>
          <w:highlight w:val="none"/>
        </w:rPr>
        <w:t>项目中的招投标文件和承诺书为准。</w:t>
      </w:r>
    </w:p>
    <w:p>
      <w:pPr>
        <w:spacing w:line="360" w:lineRule="auto"/>
        <w:ind w:firstLine="480" w:firstLineChars="200"/>
        <w:jc w:val="left"/>
        <w:rPr>
          <w:rFonts w:ascii="宋体" w:cs="宋体"/>
          <w:color w:val="auto"/>
          <w:sz w:val="24"/>
          <w:szCs w:val="32"/>
          <w:highlight w:val="none"/>
        </w:rPr>
      </w:pPr>
      <w:r>
        <w:rPr>
          <w:rFonts w:ascii="宋体" w:hAnsi="宋体" w:cs="宋体"/>
          <w:color w:val="auto"/>
          <w:sz w:val="24"/>
          <w:szCs w:val="32"/>
          <w:highlight w:val="none"/>
        </w:rPr>
        <w:t>4</w:t>
      </w:r>
      <w:r>
        <w:rPr>
          <w:rFonts w:hint="eastAsia" w:ascii="宋体" w:hAnsi="宋体" w:cs="宋体"/>
          <w:color w:val="auto"/>
          <w:sz w:val="24"/>
          <w:szCs w:val="32"/>
          <w:highlight w:val="none"/>
        </w:rPr>
        <w:t>、若合同签定、执行过程中，乙方有违反国家法律法规或医院廉洁自律方面规章制度的行为，则本合同自动作废。</w:t>
      </w:r>
    </w:p>
    <w:p>
      <w:pPr>
        <w:spacing w:line="360" w:lineRule="auto"/>
        <w:jc w:val="left"/>
        <w:rPr>
          <w:rFonts w:ascii="宋体" w:cs="宋体"/>
          <w:color w:val="auto"/>
          <w:sz w:val="24"/>
          <w:szCs w:val="32"/>
          <w:highlight w:val="none"/>
        </w:rPr>
      </w:pPr>
    </w:p>
    <w:p>
      <w:pPr>
        <w:spacing w:line="360" w:lineRule="auto"/>
        <w:jc w:val="left"/>
        <w:rPr>
          <w:rFonts w:ascii="宋体" w:cs="宋体"/>
          <w:color w:val="auto"/>
          <w:sz w:val="24"/>
          <w:szCs w:val="32"/>
          <w:highlight w:val="none"/>
        </w:rPr>
      </w:pP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甲</w:t>
      </w:r>
      <w:r>
        <w:rPr>
          <w:rFonts w:ascii="宋体" w:hAnsi="宋体" w:cs="宋体"/>
          <w:color w:val="auto"/>
          <w:sz w:val="24"/>
          <w:szCs w:val="32"/>
          <w:highlight w:val="none"/>
        </w:rPr>
        <w:t xml:space="preserve">    </w:t>
      </w:r>
      <w:r>
        <w:rPr>
          <w:rFonts w:hint="eastAsia" w:ascii="宋体" w:hAnsi="宋体" w:cs="宋体"/>
          <w:color w:val="auto"/>
          <w:sz w:val="24"/>
          <w:szCs w:val="32"/>
          <w:highlight w:val="none"/>
        </w:rPr>
        <w:t>方：</w:t>
      </w:r>
      <w:r>
        <w:rPr>
          <w:rFonts w:ascii="宋体" w:hAnsi="宋体" w:cs="宋体"/>
          <w:color w:val="auto"/>
          <w:sz w:val="24"/>
          <w:szCs w:val="32"/>
          <w:highlight w:val="none"/>
        </w:rPr>
        <w:t xml:space="preserve">                            </w:t>
      </w:r>
      <w:r>
        <w:rPr>
          <w:rFonts w:hint="eastAsia" w:ascii="宋体" w:hAnsi="宋体" w:cs="宋体"/>
          <w:color w:val="auto"/>
          <w:sz w:val="24"/>
          <w:szCs w:val="32"/>
          <w:highlight w:val="none"/>
        </w:rPr>
        <w:t>乙</w:t>
      </w:r>
      <w:r>
        <w:rPr>
          <w:rFonts w:ascii="宋体" w:hAnsi="宋体" w:cs="宋体"/>
          <w:color w:val="auto"/>
          <w:sz w:val="24"/>
          <w:szCs w:val="32"/>
          <w:highlight w:val="none"/>
        </w:rPr>
        <w:t xml:space="preserve">    </w:t>
      </w:r>
      <w:r>
        <w:rPr>
          <w:rFonts w:hint="eastAsia" w:ascii="宋体" w:hAnsi="宋体" w:cs="宋体"/>
          <w:color w:val="auto"/>
          <w:sz w:val="24"/>
          <w:szCs w:val="32"/>
          <w:highlight w:val="none"/>
        </w:rPr>
        <w:t>方：</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签字盖章：</w:t>
      </w:r>
      <w:r>
        <w:rPr>
          <w:rFonts w:ascii="宋体" w:hAnsi="宋体" w:cs="宋体"/>
          <w:color w:val="auto"/>
          <w:sz w:val="24"/>
          <w:szCs w:val="32"/>
          <w:highlight w:val="none"/>
        </w:rPr>
        <w:t xml:space="preserve">                            </w:t>
      </w:r>
      <w:r>
        <w:rPr>
          <w:rFonts w:hint="eastAsia" w:ascii="宋体" w:hAnsi="宋体" w:cs="宋体"/>
          <w:color w:val="auto"/>
          <w:sz w:val="24"/>
          <w:szCs w:val="32"/>
          <w:highlight w:val="none"/>
        </w:rPr>
        <w:t>签字盖章：</w:t>
      </w:r>
      <w:r>
        <w:rPr>
          <w:rFonts w:ascii="宋体" w:hAnsi="宋体" w:cs="宋体"/>
          <w:color w:val="auto"/>
          <w:sz w:val="24"/>
          <w:szCs w:val="32"/>
          <w:highlight w:val="none"/>
        </w:rPr>
        <w:t xml:space="preserve"> </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开户银行：</w:t>
      </w:r>
      <w:r>
        <w:rPr>
          <w:rFonts w:ascii="宋体" w:hAnsi="宋体" w:cs="宋体"/>
          <w:color w:val="auto"/>
          <w:sz w:val="24"/>
          <w:szCs w:val="32"/>
          <w:highlight w:val="none"/>
        </w:rPr>
        <w:t xml:space="preserve">                            </w:t>
      </w:r>
      <w:r>
        <w:rPr>
          <w:rFonts w:hint="eastAsia" w:ascii="宋体" w:hAnsi="宋体" w:cs="宋体"/>
          <w:color w:val="auto"/>
          <w:sz w:val="24"/>
          <w:szCs w:val="32"/>
          <w:highlight w:val="none"/>
        </w:rPr>
        <w:t>开户银行：（必填）</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银行账号：</w:t>
      </w:r>
      <w:r>
        <w:rPr>
          <w:rFonts w:ascii="宋体" w:hAnsi="宋体" w:cs="宋体"/>
          <w:color w:val="auto"/>
          <w:sz w:val="24"/>
          <w:szCs w:val="32"/>
          <w:highlight w:val="none"/>
        </w:rPr>
        <w:t xml:space="preserve">                            </w:t>
      </w:r>
      <w:r>
        <w:rPr>
          <w:rFonts w:hint="eastAsia" w:ascii="宋体" w:hAnsi="宋体" w:cs="宋体"/>
          <w:color w:val="auto"/>
          <w:sz w:val="24"/>
          <w:szCs w:val="32"/>
          <w:highlight w:val="none"/>
        </w:rPr>
        <w:t>银行账号：（必填）</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日</w:t>
      </w:r>
      <w:r>
        <w:rPr>
          <w:rFonts w:ascii="宋体" w:hAnsi="宋体" w:cs="宋体"/>
          <w:color w:val="auto"/>
          <w:sz w:val="24"/>
          <w:szCs w:val="32"/>
          <w:highlight w:val="none"/>
        </w:rPr>
        <w:t xml:space="preserve">    </w:t>
      </w:r>
      <w:r>
        <w:rPr>
          <w:rFonts w:hint="eastAsia" w:ascii="宋体" w:hAnsi="宋体" w:cs="宋体"/>
          <w:color w:val="auto"/>
          <w:sz w:val="24"/>
          <w:szCs w:val="32"/>
          <w:highlight w:val="none"/>
        </w:rPr>
        <w:t>期：</w:t>
      </w:r>
      <w:r>
        <w:rPr>
          <w:rFonts w:ascii="宋体" w:hAnsi="宋体" w:cs="宋体"/>
          <w:color w:val="auto"/>
          <w:sz w:val="24"/>
          <w:szCs w:val="32"/>
          <w:highlight w:val="none"/>
        </w:rPr>
        <w:t xml:space="preserve">                            </w:t>
      </w:r>
      <w:r>
        <w:rPr>
          <w:rFonts w:hint="eastAsia" w:ascii="宋体" w:hAnsi="宋体" w:cs="宋体"/>
          <w:color w:val="auto"/>
          <w:sz w:val="24"/>
          <w:szCs w:val="32"/>
          <w:highlight w:val="none"/>
        </w:rPr>
        <w:t>日</w:t>
      </w:r>
      <w:r>
        <w:rPr>
          <w:rFonts w:ascii="宋体" w:hAnsi="宋体" w:cs="宋体"/>
          <w:color w:val="auto"/>
          <w:sz w:val="24"/>
          <w:szCs w:val="32"/>
          <w:highlight w:val="none"/>
        </w:rPr>
        <w:t xml:space="preserve">    </w:t>
      </w:r>
      <w:r>
        <w:rPr>
          <w:rFonts w:hint="eastAsia" w:ascii="宋体" w:hAnsi="宋体" w:cs="宋体"/>
          <w:color w:val="auto"/>
          <w:sz w:val="24"/>
          <w:szCs w:val="32"/>
          <w:highlight w:val="none"/>
        </w:rPr>
        <w:t>期：</w:t>
      </w:r>
      <w:r>
        <w:rPr>
          <w:rFonts w:ascii="宋体" w:hAnsi="宋体" w:cs="宋体"/>
          <w:color w:val="auto"/>
          <w:sz w:val="24"/>
          <w:szCs w:val="32"/>
          <w:highlight w:val="none"/>
        </w:rPr>
        <w:t xml:space="preserve"> </w:t>
      </w:r>
    </w:p>
    <w:p>
      <w:pPr>
        <w:spacing w:line="360" w:lineRule="auto"/>
        <w:jc w:val="left"/>
        <w:rPr>
          <w:rFonts w:ascii="宋体" w:cs="宋体"/>
          <w:color w:val="auto"/>
          <w:sz w:val="24"/>
          <w:szCs w:val="32"/>
          <w:highlight w:val="none"/>
        </w:rPr>
      </w:pPr>
    </w:p>
    <w:p>
      <w:pPr>
        <w:spacing w:line="360" w:lineRule="auto"/>
        <w:jc w:val="left"/>
        <w:rPr>
          <w:rFonts w:ascii="宋体" w:cs="宋体"/>
          <w:color w:val="auto"/>
          <w:sz w:val="24"/>
          <w:szCs w:val="32"/>
          <w:highlight w:val="none"/>
        </w:rPr>
      </w:pP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鉴证方（鉴证章）：</w:t>
      </w:r>
    </w:p>
    <w:p>
      <w:pPr>
        <w:spacing w:line="360" w:lineRule="auto"/>
        <w:jc w:val="left"/>
        <w:rPr>
          <w:rFonts w:ascii="宋体" w:cs="宋体"/>
          <w:color w:val="auto"/>
          <w:sz w:val="24"/>
          <w:szCs w:val="32"/>
          <w:highlight w:val="none"/>
        </w:rPr>
      </w:pPr>
      <w:r>
        <w:rPr>
          <w:rFonts w:hint="eastAsia" w:ascii="宋体" w:hAnsi="宋体" w:cs="宋体"/>
          <w:color w:val="auto"/>
          <w:sz w:val="24"/>
          <w:szCs w:val="32"/>
          <w:highlight w:val="none"/>
        </w:rPr>
        <w:t>日</w:t>
      </w:r>
      <w:r>
        <w:rPr>
          <w:rFonts w:ascii="宋体" w:hAnsi="宋体" w:cs="宋体"/>
          <w:color w:val="auto"/>
          <w:sz w:val="24"/>
          <w:szCs w:val="32"/>
          <w:highlight w:val="none"/>
        </w:rPr>
        <w:t xml:space="preserve">  </w:t>
      </w:r>
      <w:r>
        <w:rPr>
          <w:rFonts w:hint="eastAsia" w:ascii="宋体" w:hAnsi="宋体" w:cs="宋体"/>
          <w:color w:val="auto"/>
          <w:sz w:val="24"/>
          <w:szCs w:val="32"/>
          <w:highlight w:val="none"/>
        </w:rPr>
        <w:t>期：</w:t>
      </w:r>
    </w:p>
    <w:p>
      <w:pPr>
        <w:spacing w:line="360" w:lineRule="auto"/>
        <w:jc w:val="left"/>
        <w:rPr>
          <w:rFonts w:ascii="宋体" w:hAnsi="宋体" w:cs="宋体"/>
          <w:color w:val="auto"/>
          <w:sz w:val="24"/>
          <w:szCs w:val="32"/>
          <w:highlight w:val="none"/>
        </w:rPr>
      </w:pPr>
    </w:p>
    <w:p>
      <w:pPr>
        <w:spacing w:line="360" w:lineRule="auto"/>
        <w:jc w:val="left"/>
        <w:rPr>
          <w:rFonts w:ascii="宋体" w:hAnsi="宋体" w:cs="宋体"/>
          <w:color w:val="auto"/>
          <w:sz w:val="24"/>
          <w:szCs w:val="32"/>
          <w:highlight w:val="none"/>
        </w:rPr>
      </w:pPr>
    </w:p>
    <w:p>
      <w:pPr>
        <w:spacing w:line="360" w:lineRule="auto"/>
        <w:jc w:val="left"/>
        <w:rPr>
          <w:rFonts w:ascii="宋体" w:hAnsi="宋体" w:cs="宋体"/>
          <w:color w:val="auto"/>
          <w:sz w:val="24"/>
          <w:szCs w:val="32"/>
          <w:highlight w:val="none"/>
        </w:rPr>
      </w:pPr>
    </w:p>
    <w:p>
      <w:pPr>
        <w:spacing w:line="360" w:lineRule="auto"/>
        <w:jc w:val="left"/>
        <w:rPr>
          <w:rFonts w:ascii="宋体" w:hAnsi="宋体" w:cs="宋体"/>
          <w:color w:val="auto"/>
          <w:sz w:val="24"/>
          <w:szCs w:val="32"/>
          <w:highlight w:val="none"/>
        </w:rPr>
      </w:pPr>
    </w:p>
    <w:p>
      <w:pPr>
        <w:pStyle w:val="14"/>
        <w:ind w:right="-252"/>
        <w:rPr>
          <w:b/>
          <w:bCs/>
          <w:color w:val="auto"/>
          <w:kern w:val="0"/>
          <w:sz w:val="30"/>
          <w:szCs w:val="30"/>
          <w:highlight w:val="none"/>
        </w:rPr>
      </w:pPr>
    </w:p>
    <w:p>
      <w:pPr>
        <w:pStyle w:val="14"/>
        <w:ind w:right="-252"/>
        <w:rPr>
          <w:b/>
          <w:bCs/>
          <w:color w:val="auto"/>
          <w:kern w:val="0"/>
          <w:sz w:val="30"/>
          <w:szCs w:val="30"/>
          <w:highlight w:val="none"/>
        </w:rPr>
      </w:pPr>
    </w:p>
    <w:p>
      <w:pPr>
        <w:pStyle w:val="14"/>
        <w:ind w:right="-252"/>
        <w:rPr>
          <w:b/>
          <w:bCs/>
          <w:color w:val="auto"/>
          <w:kern w:val="0"/>
          <w:sz w:val="30"/>
          <w:szCs w:val="30"/>
          <w:highlight w:val="none"/>
        </w:rPr>
      </w:pPr>
    </w:p>
    <w:p>
      <w:pPr>
        <w:pStyle w:val="14"/>
        <w:ind w:right="-252"/>
        <w:rPr>
          <w:b/>
          <w:bCs/>
          <w:color w:val="auto"/>
          <w:kern w:val="0"/>
          <w:sz w:val="30"/>
          <w:szCs w:val="30"/>
          <w:highlight w:val="none"/>
        </w:rPr>
      </w:pPr>
    </w:p>
    <w:p>
      <w:pPr>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第六章 投标文件格式附件</w:t>
      </w:r>
    </w:p>
    <w:p>
      <w:pPr>
        <w:rPr>
          <w:rFonts w:hint="eastAsia" w:ascii="宋体" w:hAnsi="宋体" w:eastAsia="宋体" w:cs="宋体"/>
          <w:b/>
          <w:color w:val="auto"/>
          <w:kern w:val="0"/>
          <w:sz w:val="28"/>
          <w:szCs w:val="28"/>
          <w:highlight w:val="none"/>
        </w:rPr>
      </w:pPr>
      <w:r>
        <w:rPr>
          <w:rFonts w:hint="eastAsia" w:ascii="宋体" w:hAnsi="宋体" w:eastAsia="宋体" w:cs="宋体"/>
          <w:b/>
          <w:bCs/>
          <w:color w:val="auto"/>
          <w:sz w:val="28"/>
          <w:szCs w:val="36"/>
          <w:highlight w:val="none"/>
        </w:rPr>
        <w:t>附件1　</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u w:val="single"/>
        </w:rPr>
        <w:t xml:space="preserve">   </w:t>
      </w:r>
      <w:r>
        <w:rPr>
          <w:rFonts w:hint="eastAsia" w:ascii="宋体" w:hAnsi="宋体" w:eastAsia="宋体" w:cs="宋体"/>
          <w:bCs/>
          <w:color w:val="auto"/>
          <w:sz w:val="24"/>
          <w:highlight w:val="none"/>
        </w:rPr>
        <w:t>本</w:t>
      </w:r>
    </w:p>
    <w:p>
      <w:pPr>
        <w:spacing w:line="360" w:lineRule="auto"/>
        <w:rPr>
          <w:rFonts w:hint="eastAsia" w:ascii="宋体" w:hAnsi="宋体" w:eastAsia="宋体" w:cs="宋体"/>
          <w:b/>
          <w:color w:val="auto"/>
          <w:sz w:val="30"/>
          <w:szCs w:val="30"/>
          <w:highlight w:val="none"/>
        </w:rPr>
      </w:pPr>
    </w:p>
    <w:p>
      <w:pPr>
        <w:spacing w:line="360" w:lineRule="auto"/>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pPr>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项目编号：（标段）</w:t>
      </w:r>
    </w:p>
    <w:p>
      <w:pPr>
        <w:autoSpaceDE w:val="0"/>
        <w:autoSpaceDN w:val="0"/>
        <w:adjustRightInd w:val="0"/>
        <w:spacing w:line="360" w:lineRule="auto"/>
        <w:jc w:val="center"/>
        <w:rPr>
          <w:rFonts w:hint="eastAsia" w:ascii="宋体" w:hAnsi="宋体" w:eastAsia="宋体" w:cs="宋体"/>
          <w:color w:val="auto"/>
          <w:sz w:val="84"/>
          <w:szCs w:val="84"/>
          <w:highlight w:val="none"/>
          <w:lang w:val="zh-CN"/>
        </w:rPr>
      </w:pPr>
    </w:p>
    <w:p>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pPr>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pPr>
        <w:autoSpaceDE w:val="0"/>
        <w:autoSpaceDN w:val="0"/>
        <w:adjustRightInd w:val="0"/>
        <w:spacing w:line="360" w:lineRule="auto"/>
        <w:jc w:val="center"/>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
          <w:color w:val="auto"/>
          <w:spacing w:val="40"/>
          <w:sz w:val="28"/>
          <w:szCs w:val="28"/>
          <w:highlight w:val="none"/>
        </w:rPr>
        <w:t>资格证明文件）</w:t>
      </w:r>
    </w:p>
    <w:p>
      <w:pPr>
        <w:autoSpaceDE w:val="0"/>
        <w:autoSpaceDN w:val="0"/>
        <w:adjustRightInd w:val="0"/>
        <w:spacing w:line="360" w:lineRule="auto"/>
        <w:rPr>
          <w:rFonts w:hint="eastAsia" w:ascii="宋体" w:hAnsi="宋体" w:eastAsia="宋体" w:cs="宋体"/>
          <w:color w:val="auto"/>
          <w:sz w:val="36"/>
          <w:szCs w:val="36"/>
          <w:highlight w:val="none"/>
        </w:rPr>
      </w:pPr>
    </w:p>
    <w:p>
      <w:pPr>
        <w:autoSpaceDE w:val="0"/>
        <w:autoSpaceDN w:val="0"/>
        <w:adjustRightInd w:val="0"/>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pPr>
        <w:autoSpaceDE w:val="0"/>
        <w:autoSpaceDN w:val="0"/>
        <w:adjustRightInd w:val="0"/>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pPr>
        <w:autoSpaceDE w:val="0"/>
        <w:autoSpaceDN w:val="0"/>
        <w:adjustRightInd w:val="0"/>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资格证明文件目录</w:t>
      </w: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（1）投标声明书；</w:t>
      </w:r>
    </w:p>
    <w:p>
      <w:pPr>
        <w:spacing w:line="360" w:lineRule="auto"/>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（2）授权委托书（法定代表人亲自办理投标事宜的，则无需提交）；</w:t>
      </w:r>
    </w:p>
    <w:p>
      <w:pPr>
        <w:spacing w:line="360" w:lineRule="auto"/>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（3）法人或者其他组织的营业执照等证明文件，自然人的身份证明；</w:t>
      </w:r>
    </w:p>
    <w:p>
      <w:pPr>
        <w:spacing w:line="360" w:lineRule="auto"/>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（4）具有良好的商业信誉和健全的财务会计制度的承诺；</w:t>
      </w:r>
    </w:p>
    <w:p>
      <w:pPr>
        <w:spacing w:line="360" w:lineRule="auto"/>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（5）依法缴纳税收和社会保障资金的承诺；</w:t>
      </w:r>
    </w:p>
    <w:p>
      <w:pPr>
        <w:spacing w:line="360" w:lineRule="auto"/>
        <w:rPr>
          <w:rFonts w:hint="eastAsia" w:ascii="宋体" w:hAnsi="宋体" w:eastAsia="宋体" w:cs="宋体"/>
          <w:color w:val="auto"/>
          <w:sz w:val="28"/>
          <w:szCs w:val="36"/>
          <w:highlight w:val="none"/>
          <w:lang w:eastAsia="zh-CN"/>
        </w:rPr>
      </w:pPr>
      <w:r>
        <w:rPr>
          <w:rFonts w:hint="eastAsia" w:ascii="宋体" w:hAnsi="宋体" w:eastAsia="宋体" w:cs="宋体"/>
          <w:color w:val="auto"/>
          <w:sz w:val="28"/>
          <w:szCs w:val="36"/>
          <w:highlight w:val="none"/>
        </w:rPr>
        <w:t>（6）参加政府采购活动前三年内，在经营活动中没有重大违法记录</w:t>
      </w:r>
      <w:r>
        <w:rPr>
          <w:rFonts w:hint="eastAsia" w:ascii="宋体" w:hAnsi="宋体" w:cs="宋体"/>
          <w:color w:val="auto"/>
          <w:sz w:val="28"/>
          <w:szCs w:val="36"/>
          <w:highlight w:val="none"/>
          <w:lang w:eastAsia="zh-CN"/>
        </w:rPr>
        <w:t>；</w:t>
      </w:r>
    </w:p>
    <w:p>
      <w:pPr>
        <w:spacing w:line="360" w:lineRule="auto"/>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（7）需要说明的其他资料。</w:t>
      </w: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pStyle w:val="2"/>
        <w:rPr>
          <w:rFonts w:hint="eastAsia"/>
          <w:color w:val="auto"/>
          <w:highlight w:val="none"/>
        </w:rPr>
      </w:pPr>
    </w:p>
    <w:p>
      <w:pPr>
        <w:rPr>
          <w:rFonts w:hint="eastAsia" w:ascii="宋体" w:hAnsi="宋体" w:eastAsia="宋体" w:cs="宋体"/>
          <w:color w:val="auto"/>
          <w:sz w:val="24"/>
          <w:szCs w:val="32"/>
          <w:highlight w:val="none"/>
        </w:rPr>
      </w:pPr>
    </w:p>
    <w:p>
      <w:pPr>
        <w:pStyle w:val="20"/>
        <w:spacing w:line="360" w:lineRule="auto"/>
        <w:ind w:left="0" w:firstLine="0" w:firstLineChars="0"/>
        <w:jc w:val="both"/>
        <w:outlineLvl w:val="2"/>
        <w:rPr>
          <w:rFonts w:hint="eastAsia" w:ascii="宋体" w:hAnsi="宋体" w:eastAsia="宋体" w:cs="宋体"/>
          <w:b/>
          <w:color w:val="auto"/>
          <w:sz w:val="28"/>
          <w:highlight w:val="none"/>
        </w:rPr>
      </w:pPr>
    </w:p>
    <w:p>
      <w:pPr>
        <w:pStyle w:val="20"/>
        <w:spacing w:line="360" w:lineRule="auto"/>
        <w:ind w:left="0" w:firstLine="0" w:firstLineChars="0"/>
        <w:jc w:val="both"/>
        <w:outlineLvl w:val="2"/>
        <w:rPr>
          <w:rFonts w:hint="eastAsia" w:ascii="宋体" w:hAnsi="宋体" w:eastAsia="宋体" w:cs="宋体"/>
          <w:b/>
          <w:color w:val="auto"/>
          <w:sz w:val="28"/>
          <w:highlight w:val="none"/>
        </w:rPr>
      </w:pPr>
    </w:p>
    <w:p>
      <w:pPr>
        <w:pStyle w:val="20"/>
        <w:spacing w:line="360" w:lineRule="auto"/>
        <w:ind w:left="0" w:firstLine="0" w:firstLineChars="0"/>
        <w:jc w:val="both"/>
        <w:outlineLvl w:val="2"/>
        <w:rPr>
          <w:rFonts w:hint="eastAsia" w:ascii="宋体" w:hAnsi="宋体" w:eastAsia="宋体" w:cs="宋体"/>
          <w:b/>
          <w:color w:val="auto"/>
          <w:sz w:val="28"/>
          <w:highlight w:val="none"/>
        </w:rPr>
      </w:pPr>
    </w:p>
    <w:p>
      <w:pPr>
        <w:pStyle w:val="20"/>
        <w:spacing w:line="360" w:lineRule="auto"/>
        <w:ind w:left="0" w:firstLine="0" w:firstLineChars="0"/>
        <w:jc w:val="both"/>
        <w:outlineLvl w:val="2"/>
        <w:rPr>
          <w:rFonts w:hint="eastAsia" w:ascii="宋体" w:hAnsi="宋体" w:eastAsia="宋体" w:cs="宋体"/>
          <w:b/>
          <w:color w:val="auto"/>
          <w:sz w:val="28"/>
          <w:highlight w:val="none"/>
        </w:rPr>
      </w:pPr>
    </w:p>
    <w:p>
      <w:pPr>
        <w:pStyle w:val="20"/>
        <w:spacing w:line="360" w:lineRule="auto"/>
        <w:ind w:left="0" w:firstLine="0" w:firstLineChars="0"/>
        <w:jc w:val="both"/>
        <w:outlineLvl w:val="2"/>
        <w:rPr>
          <w:rFonts w:hint="eastAsia" w:ascii="宋体" w:hAnsi="宋体" w:eastAsia="宋体" w:cs="宋体"/>
          <w:b/>
          <w:color w:val="auto"/>
          <w:sz w:val="28"/>
          <w:highlight w:val="none"/>
        </w:rPr>
      </w:pPr>
      <w:r>
        <w:rPr>
          <w:rFonts w:hint="eastAsia" w:ascii="宋体" w:hAnsi="宋体" w:eastAsia="宋体" w:cs="宋体"/>
          <w:b/>
          <w:color w:val="auto"/>
          <w:sz w:val="28"/>
          <w:highlight w:val="none"/>
        </w:rPr>
        <w:t xml:space="preserve">附件2 </w:t>
      </w:r>
    </w:p>
    <w:p>
      <w:pPr>
        <w:adjustRightInd w:val="0"/>
        <w:snapToGrid w:val="0"/>
        <w:spacing w:line="360" w:lineRule="auto"/>
        <w:ind w:right="480"/>
        <w:jc w:val="center"/>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color w:val="auto"/>
          <w:kern w:val="0"/>
          <w:sz w:val="24"/>
          <w:szCs w:val="24"/>
          <w:highlight w:val="none"/>
          <w:lang w:val="zh-CN"/>
        </w:rPr>
        <w:t>投标声明书</w:t>
      </w:r>
    </w:p>
    <w:p>
      <w:pPr>
        <w:snapToGrid w:val="0"/>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rPr>
        <w:t>：</w:t>
      </w:r>
    </w:p>
    <w:p>
      <w:pPr>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u w:val="single"/>
        </w:rPr>
        <w:t xml:space="preserve">   （投标人名称）</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系中华人民共和国合法企业，经营地址</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p>
    <w:p>
      <w:pPr>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我（</w:t>
      </w:r>
      <w:r>
        <w:rPr>
          <w:rFonts w:hint="eastAsia" w:asciiTheme="minorEastAsia" w:hAnsiTheme="minorEastAsia" w:eastAsiaTheme="minorEastAsia" w:cstheme="minorEastAsia"/>
          <w:color w:val="auto"/>
          <w:kern w:val="0"/>
          <w:sz w:val="24"/>
          <w:szCs w:val="24"/>
          <w:highlight w:val="none"/>
          <w:u w:val="single"/>
        </w:rPr>
        <w:t xml:space="preserve">   姓名   </w:t>
      </w:r>
      <w:r>
        <w:rPr>
          <w:rFonts w:hint="eastAsia" w:asciiTheme="minorEastAsia" w:hAnsiTheme="minorEastAsia" w:eastAsiaTheme="minorEastAsia" w:cstheme="minorEastAsia"/>
          <w:color w:val="auto"/>
          <w:kern w:val="0"/>
          <w:sz w:val="24"/>
          <w:szCs w:val="24"/>
          <w:highlight w:val="none"/>
        </w:rPr>
        <w:t>）系（</w:t>
      </w:r>
      <w:r>
        <w:rPr>
          <w:rFonts w:hint="eastAsia" w:asciiTheme="minorEastAsia" w:hAnsiTheme="minorEastAsia" w:eastAsiaTheme="minorEastAsia" w:cstheme="minorEastAsia"/>
          <w:color w:val="auto"/>
          <w:kern w:val="0"/>
          <w:sz w:val="24"/>
          <w:szCs w:val="24"/>
          <w:highlight w:val="none"/>
          <w:u w:val="single"/>
        </w:rPr>
        <w:t xml:space="preserve">    投标人名称    </w:t>
      </w:r>
      <w:r>
        <w:rPr>
          <w:rFonts w:hint="eastAsia" w:asciiTheme="minorEastAsia" w:hAnsiTheme="minorEastAsia" w:eastAsiaTheme="minorEastAsia" w:cstheme="minorEastAsia"/>
          <w:color w:val="auto"/>
          <w:kern w:val="0"/>
          <w:sz w:val="24"/>
          <w:szCs w:val="24"/>
          <w:highlight w:val="none"/>
        </w:rPr>
        <w:t>）的法定代表人，我公司自愿参加贵方组织的</w:t>
      </w:r>
      <w:r>
        <w:rPr>
          <w:rFonts w:hint="eastAsia" w:asciiTheme="minorEastAsia" w:hAnsiTheme="minorEastAsia" w:eastAsiaTheme="minorEastAsia" w:cstheme="minorEastAsia"/>
          <w:color w:val="auto"/>
          <w:kern w:val="0"/>
          <w:sz w:val="24"/>
          <w:szCs w:val="24"/>
          <w:highlight w:val="none"/>
          <w:u w:val="single"/>
          <w:lang w:val="en-US" w:eastAsia="zh-CN"/>
        </w:rPr>
        <w:t>多功能运动心肺评估系统采购项目</w:t>
      </w:r>
      <w:r>
        <w:rPr>
          <w:rFonts w:hint="eastAsia" w:asciiTheme="minorEastAsia" w:hAnsiTheme="minorEastAsia" w:eastAsiaTheme="minorEastAsia" w:cstheme="minorEastAsia"/>
          <w:color w:val="auto"/>
          <w:kern w:val="0"/>
          <w:sz w:val="24"/>
          <w:szCs w:val="24"/>
          <w:highlight w:val="none"/>
        </w:rPr>
        <w:t>（编号为</w:t>
      </w:r>
      <w:r>
        <w:rPr>
          <w:rFonts w:hint="eastAsia" w:asciiTheme="minorEastAsia" w:hAnsiTheme="minorEastAsia" w:eastAsiaTheme="minorEastAsia" w:cstheme="minorEastAsia"/>
          <w:color w:val="auto"/>
          <w:kern w:val="0"/>
          <w:sz w:val="24"/>
          <w:szCs w:val="24"/>
          <w:highlight w:val="none"/>
          <w:u w:val="single"/>
        </w:rPr>
        <w:t>ZJWS2021-JJ303</w:t>
      </w:r>
      <w:r>
        <w:rPr>
          <w:rFonts w:hint="eastAsia" w:asciiTheme="minorEastAsia" w:hAnsiTheme="minorEastAsia" w:eastAsiaTheme="minorEastAsia" w:cstheme="minorEastAsia"/>
          <w:color w:val="auto"/>
          <w:kern w:val="0"/>
          <w:sz w:val="24"/>
          <w:szCs w:val="24"/>
          <w:highlight w:val="none"/>
        </w:rPr>
        <w:t>）的投标，为此，我公司就本次投标有关事项郑重声明如下：</w:t>
      </w:r>
    </w:p>
    <w:p>
      <w:pPr>
        <w:snapToGrid w:val="0"/>
        <w:spacing w:line="360" w:lineRule="auto"/>
        <w:ind w:firstLine="480" w:firstLineChars="2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sz w:val="24"/>
          <w:szCs w:val="24"/>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3、我</w:t>
      </w:r>
      <w:r>
        <w:rPr>
          <w:rFonts w:hint="eastAsia" w:asciiTheme="minorEastAsia" w:hAnsiTheme="minorEastAsia" w:eastAsiaTheme="minorEastAsia" w:cstheme="minorEastAsia"/>
          <w:color w:val="auto"/>
          <w:kern w:val="0"/>
          <w:sz w:val="24"/>
          <w:szCs w:val="24"/>
          <w:highlight w:val="none"/>
          <w:lang w:val="zh-CN"/>
        </w:rPr>
        <w:t>公司</w:t>
      </w:r>
      <w:r>
        <w:rPr>
          <w:rFonts w:hint="eastAsia" w:asciiTheme="minorEastAsia" w:hAnsiTheme="minorEastAsia" w:eastAsiaTheme="minorEastAsia" w:cstheme="minorEastAsia"/>
          <w:color w:val="auto"/>
          <w:sz w:val="24"/>
          <w:szCs w:val="24"/>
          <w:highlight w:val="none"/>
        </w:rPr>
        <w:t>不是采购人的附属机构；在获知本项目采购信息后，与采购人聘请的为此项目提供咨询服务的公司及其附属机构没有任何联系。</w:t>
      </w:r>
    </w:p>
    <w:p>
      <w:pPr>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lang w:val="af-ZA"/>
        </w:rPr>
      </w:pPr>
      <w:r>
        <w:rPr>
          <w:rFonts w:hint="eastAsia" w:asciiTheme="minorEastAsia" w:hAnsiTheme="minorEastAsia" w:eastAsiaTheme="minorEastAsia" w:cstheme="minorEastAsia"/>
          <w:color w:val="auto"/>
          <w:sz w:val="24"/>
          <w:szCs w:val="24"/>
          <w:highlight w:val="none"/>
        </w:rPr>
        <w:t>4、</w:t>
      </w:r>
      <w:r>
        <w:rPr>
          <w:rFonts w:hint="eastAsia" w:asciiTheme="minorEastAsia" w:hAnsiTheme="minorEastAsia" w:eastAsiaTheme="minorEastAsia" w:cstheme="minorEastAsia"/>
          <w:color w:val="auto"/>
          <w:kern w:val="0"/>
          <w:sz w:val="24"/>
          <w:szCs w:val="24"/>
          <w:highlight w:val="none"/>
        </w:rPr>
        <w:t>我</w:t>
      </w:r>
      <w:r>
        <w:rPr>
          <w:rFonts w:hint="eastAsia" w:asciiTheme="minorEastAsia" w:hAnsiTheme="minorEastAsia" w:eastAsiaTheme="minorEastAsia" w:cstheme="minorEastAsia"/>
          <w:color w:val="auto"/>
          <w:kern w:val="0"/>
          <w:sz w:val="24"/>
          <w:szCs w:val="24"/>
          <w:highlight w:val="none"/>
          <w:lang w:val="zh-CN"/>
        </w:rPr>
        <w:t>公司</w:t>
      </w:r>
      <w:r>
        <w:rPr>
          <w:rFonts w:hint="eastAsia" w:asciiTheme="minorEastAsia" w:hAnsiTheme="minorEastAsia" w:eastAsiaTheme="minorEastAsia" w:cstheme="minorEastAsia"/>
          <w:color w:val="auto"/>
          <w:kern w:val="0"/>
          <w:sz w:val="24"/>
          <w:szCs w:val="24"/>
          <w:highlight w:val="none"/>
        </w:rPr>
        <w:t>保证，</w:t>
      </w:r>
      <w:r>
        <w:rPr>
          <w:rFonts w:hint="eastAsia" w:asciiTheme="minorEastAsia" w:hAnsiTheme="minorEastAsia" w:eastAsiaTheme="minorEastAsia" w:cstheme="minorEastAsia"/>
          <w:color w:val="auto"/>
          <w:kern w:val="0"/>
          <w:sz w:val="24"/>
          <w:szCs w:val="24"/>
          <w:highlight w:val="none"/>
          <w:lang w:val="af-ZA"/>
        </w:rPr>
        <w:t>采购人在中华人民共和国境内使用</w:t>
      </w:r>
      <w:r>
        <w:rPr>
          <w:rFonts w:hint="eastAsia" w:asciiTheme="minorEastAsia" w:hAnsiTheme="minorEastAsia" w:eastAsiaTheme="minorEastAsia" w:cstheme="minorEastAsia"/>
          <w:color w:val="auto"/>
          <w:kern w:val="0"/>
          <w:sz w:val="24"/>
          <w:szCs w:val="24"/>
          <w:highlight w:val="none"/>
        </w:rPr>
        <w:t>我</w:t>
      </w:r>
      <w:r>
        <w:rPr>
          <w:rFonts w:hint="eastAsia" w:asciiTheme="minorEastAsia" w:hAnsiTheme="minorEastAsia" w:eastAsiaTheme="minorEastAsia" w:cstheme="minorEastAsia"/>
          <w:color w:val="auto"/>
          <w:kern w:val="0"/>
          <w:sz w:val="24"/>
          <w:szCs w:val="24"/>
          <w:highlight w:val="none"/>
          <w:lang w:val="zh-CN"/>
        </w:rPr>
        <w:t>公司</w:t>
      </w:r>
      <w:r>
        <w:rPr>
          <w:rFonts w:hint="eastAsia" w:asciiTheme="minorEastAsia" w:hAnsiTheme="minorEastAsia" w:eastAsiaTheme="minorEastAsia" w:cstheme="minorEastAsia"/>
          <w:color w:val="auto"/>
          <w:kern w:val="0"/>
          <w:sz w:val="24"/>
          <w:szCs w:val="24"/>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napToGrid w:val="0"/>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af-ZA"/>
        </w:rPr>
        <w:t>5、我</w:t>
      </w:r>
      <w:r>
        <w:rPr>
          <w:rFonts w:hint="eastAsia" w:asciiTheme="minorEastAsia" w:hAnsiTheme="minorEastAsia" w:eastAsiaTheme="minorEastAsia" w:cstheme="minorEastAsia"/>
          <w:color w:val="auto"/>
          <w:kern w:val="0"/>
          <w:sz w:val="24"/>
          <w:szCs w:val="24"/>
          <w:highlight w:val="none"/>
          <w:lang w:val="zh-CN"/>
        </w:rPr>
        <w:t>公司</w:t>
      </w:r>
      <w:r>
        <w:rPr>
          <w:rFonts w:hint="eastAsia" w:asciiTheme="minorEastAsia" w:hAnsiTheme="minorEastAsia" w:eastAsiaTheme="minorEastAsia" w:cstheme="minorEastAsia"/>
          <w:color w:val="auto"/>
          <w:kern w:val="0"/>
          <w:sz w:val="24"/>
          <w:szCs w:val="24"/>
          <w:highlight w:val="none"/>
          <w:lang w:val="af-ZA"/>
        </w:rPr>
        <w:t>严格履行政府采购合同，不降低合同约定的产品质量和服务，不擅自变更、中止、终止合同，或拒绝履行合同义务；</w:t>
      </w:r>
    </w:p>
    <w:p>
      <w:pPr>
        <w:snapToGrid w:val="0"/>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6、以上事项如有虚假或隐瞒，我</w:t>
      </w:r>
      <w:r>
        <w:rPr>
          <w:rFonts w:hint="eastAsia" w:asciiTheme="minorEastAsia" w:hAnsiTheme="minorEastAsia" w:eastAsiaTheme="minorEastAsia" w:cstheme="minorEastAsia"/>
          <w:color w:val="auto"/>
          <w:kern w:val="0"/>
          <w:sz w:val="24"/>
          <w:szCs w:val="24"/>
          <w:highlight w:val="none"/>
          <w:lang w:val="zh-CN"/>
        </w:rPr>
        <w:t>公司</w:t>
      </w:r>
      <w:r>
        <w:rPr>
          <w:rFonts w:hint="eastAsia" w:asciiTheme="minorEastAsia" w:hAnsiTheme="minorEastAsia" w:eastAsiaTheme="minorEastAsia" w:cstheme="minorEastAsia"/>
          <w:color w:val="auto"/>
          <w:sz w:val="24"/>
          <w:szCs w:val="24"/>
          <w:highlight w:val="none"/>
        </w:rPr>
        <w:t>愿意承担一切后果，并不再寻求任何旨在减轻或免除法律责任的辩解。</w:t>
      </w:r>
    </w:p>
    <w:p>
      <w:pPr>
        <w:adjustRightInd w:val="0"/>
        <w:snapToGrid w:val="0"/>
        <w:spacing w:line="360" w:lineRule="auto"/>
        <w:jc w:val="left"/>
        <w:rPr>
          <w:rFonts w:hint="eastAsia" w:asciiTheme="minorEastAsia" w:hAnsiTheme="minorEastAsia" w:eastAsiaTheme="minorEastAsia" w:cstheme="minorEastAsia"/>
          <w:color w:val="auto"/>
          <w:kern w:val="0"/>
          <w:sz w:val="24"/>
          <w:szCs w:val="24"/>
          <w:highlight w:val="none"/>
          <w:u w:val="single"/>
          <w:lang w:val="zh-CN"/>
        </w:rPr>
      </w:pPr>
      <w:r>
        <w:rPr>
          <w:rFonts w:hint="eastAsia" w:asciiTheme="minorEastAsia" w:hAnsiTheme="minorEastAsia" w:eastAsiaTheme="minorEastAsia" w:cstheme="minorEastAsia"/>
          <w:color w:val="auto"/>
          <w:kern w:val="0"/>
          <w:sz w:val="24"/>
          <w:szCs w:val="24"/>
          <w:highlight w:val="none"/>
          <w:lang w:val="zh-CN"/>
        </w:rPr>
        <w:t>投标人名称(公章)：</w:t>
      </w:r>
      <w:r>
        <w:rPr>
          <w:rFonts w:hint="eastAsia" w:asciiTheme="minorEastAsia" w:hAnsiTheme="minorEastAsia" w:eastAsiaTheme="minorEastAsia" w:cstheme="minorEastAsia"/>
          <w:color w:val="auto"/>
          <w:kern w:val="0"/>
          <w:sz w:val="24"/>
          <w:szCs w:val="24"/>
          <w:highlight w:val="none"/>
          <w:u w:val="single"/>
          <w:lang w:val="zh-CN"/>
        </w:rPr>
        <w:t xml:space="preserve">         </w:t>
      </w:r>
    </w:p>
    <w:p>
      <w:pPr>
        <w:adjustRightInd w:val="0"/>
        <w:snapToGrid w:val="0"/>
        <w:spacing w:line="360" w:lineRule="auto"/>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法定代表人(</w:t>
      </w:r>
      <w:r>
        <w:rPr>
          <w:rFonts w:hint="eastAsia" w:asciiTheme="minorEastAsia" w:hAnsiTheme="minorEastAsia" w:eastAsiaTheme="minorEastAsia" w:cstheme="minorEastAsia"/>
          <w:color w:val="auto"/>
          <w:sz w:val="24"/>
          <w:szCs w:val="24"/>
          <w:highlight w:val="none"/>
        </w:rPr>
        <w:t>签字或盖章</w:t>
      </w:r>
      <w:r>
        <w:rPr>
          <w:rFonts w:hint="eastAsia" w:asciiTheme="minorEastAsia" w:hAnsiTheme="minorEastAsia" w:eastAsiaTheme="minorEastAsia" w:cstheme="minorEastAsia"/>
          <w:color w:val="auto"/>
          <w:kern w:val="0"/>
          <w:sz w:val="24"/>
          <w:szCs w:val="24"/>
          <w:highlight w:val="none"/>
          <w:lang w:val="zh-CN"/>
        </w:rPr>
        <w:t>)或授权委托代理人(签字)：</w:t>
      </w:r>
      <w:r>
        <w:rPr>
          <w:rFonts w:hint="eastAsia" w:asciiTheme="minorEastAsia" w:hAnsiTheme="minorEastAsia" w:eastAsiaTheme="minorEastAsia" w:cstheme="minorEastAsia"/>
          <w:color w:val="auto"/>
          <w:kern w:val="0"/>
          <w:sz w:val="24"/>
          <w:szCs w:val="24"/>
          <w:highlight w:val="none"/>
          <w:u w:val="single"/>
          <w:lang w:val="zh-CN"/>
        </w:rPr>
        <w:t xml:space="preserve">         </w:t>
      </w:r>
    </w:p>
    <w:p>
      <w:pPr>
        <w:adjustRightInd w:val="0"/>
        <w:snapToGrid w:val="0"/>
        <w:spacing w:line="360" w:lineRule="auto"/>
        <w:ind w:right="480"/>
        <w:jc w:val="left"/>
        <w:rPr>
          <w:rFonts w:hint="eastAsia"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kern w:val="0"/>
          <w:sz w:val="24"/>
          <w:szCs w:val="24"/>
          <w:highlight w:val="none"/>
          <w:lang w:val="zh-CN"/>
        </w:rPr>
        <w:t>日期：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lang w:val="zh-CN"/>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lang w:val="zh-CN"/>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lang w:val="zh-CN"/>
        </w:rPr>
        <w:t>日</w:t>
      </w:r>
    </w:p>
    <w:p>
      <w:pPr>
        <w:spacing w:line="360" w:lineRule="auto"/>
        <w:jc w:val="left"/>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3</w:t>
      </w:r>
    </w:p>
    <w:p>
      <w:pPr>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授权委托书</w:t>
      </w:r>
    </w:p>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lang w:eastAsia="zh-CN"/>
        </w:rPr>
        <w:t>浙江五石中正工程咨询有限公司</w:t>
      </w:r>
      <w:r>
        <w:rPr>
          <w:rFonts w:hint="eastAsia" w:asciiTheme="minorEastAsia" w:hAnsiTheme="minorEastAsia" w:eastAsiaTheme="minorEastAsia" w:cstheme="minorEastAsia"/>
          <w:color w:val="auto"/>
          <w:sz w:val="24"/>
          <w:szCs w:val="24"/>
          <w:highlight w:val="none"/>
        </w:rPr>
        <w:t>（采购代理机构名称）：</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（投标人全称）</w:t>
      </w:r>
      <w:r>
        <w:rPr>
          <w:rFonts w:hint="eastAsia" w:asciiTheme="minorEastAsia" w:hAnsiTheme="minorEastAsia" w:eastAsiaTheme="minorEastAsia" w:cstheme="minorEastAsia"/>
          <w:color w:val="auto"/>
          <w:sz w:val="24"/>
          <w:szCs w:val="24"/>
          <w:highlight w:val="none"/>
        </w:rPr>
        <w:t>法定代表人（或营业执照中单位负责人）</w:t>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u w:val="single"/>
        </w:rPr>
        <w:t xml:space="preserve">（法定代表人或营业执照中单位负责人姓名） </w:t>
      </w:r>
      <w:r>
        <w:rPr>
          <w:rFonts w:hint="eastAsia" w:asciiTheme="minorEastAsia" w:hAnsiTheme="minorEastAsia" w:eastAsiaTheme="minorEastAsia" w:cstheme="minorEastAsia"/>
          <w:color w:val="auto"/>
          <w:sz w:val="24"/>
          <w:szCs w:val="24"/>
          <w:highlight w:val="none"/>
        </w:rPr>
        <w:t>授权</w:t>
      </w:r>
      <w:r>
        <w:rPr>
          <w:rFonts w:hint="eastAsia" w:asciiTheme="minorEastAsia" w:hAnsiTheme="minorEastAsia" w:eastAsiaTheme="minorEastAsia" w:cstheme="minorEastAsia"/>
          <w:color w:val="auto"/>
          <w:sz w:val="24"/>
          <w:szCs w:val="24"/>
          <w:highlight w:val="none"/>
          <w:u w:val="single"/>
        </w:rPr>
        <w:t xml:space="preserve"> （授权委托代理人姓名） </w:t>
      </w:r>
      <w:r>
        <w:rPr>
          <w:rFonts w:hint="eastAsia" w:asciiTheme="minorEastAsia" w:hAnsiTheme="minorEastAsia" w:eastAsiaTheme="minorEastAsia" w:cstheme="minorEastAsia"/>
          <w:color w:val="auto"/>
          <w:sz w:val="24"/>
          <w:szCs w:val="24"/>
          <w:highlight w:val="none"/>
        </w:rPr>
        <w:t>为授权委托代理人，参加贵单位组织的</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eastAsia="zh-CN"/>
        </w:rPr>
        <w:t>多功能</w:t>
      </w:r>
      <w:r>
        <w:rPr>
          <w:rFonts w:hint="eastAsia" w:asciiTheme="minorEastAsia" w:hAnsiTheme="minorEastAsia" w:eastAsiaTheme="minorEastAsia" w:cstheme="minorEastAsia"/>
          <w:color w:val="auto"/>
          <w:sz w:val="24"/>
          <w:szCs w:val="24"/>
          <w:highlight w:val="none"/>
          <w:u w:val="single"/>
          <w:lang w:val="en-US" w:eastAsia="zh-CN"/>
        </w:rPr>
        <w:t>运动心肺评估系统</w:t>
      </w:r>
      <w:r>
        <w:rPr>
          <w:rFonts w:hint="eastAsia" w:asciiTheme="minorEastAsia" w:hAnsiTheme="minorEastAsia" w:eastAsiaTheme="minorEastAsia" w:cstheme="minorEastAsia"/>
          <w:color w:val="auto"/>
          <w:sz w:val="24"/>
          <w:szCs w:val="24"/>
          <w:highlight w:val="none"/>
          <w:u w:val="single"/>
          <w:lang w:eastAsia="zh-CN"/>
        </w:rPr>
        <w:t>采购项目</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的采购活动，并代表我方全权办理针对上述项目的投标、开标、评标、签约等具体事务和签署相关文件。我方对授权委托代理人的签字事项负全部责任。</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在撤销授权的书面通知以前，本授权书一直有效。授权委托代理人在授权委托书有效期内签署的所有文件不因授权的撤销而失效。</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授权委托代理人无转委托权，特此委托。</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法定代表人签字或盖章：</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投标人全称（公章）：                      </w:t>
      </w:r>
      <w:r>
        <w:rPr>
          <w:rFonts w:hint="eastAsia" w:asciiTheme="minorEastAsia" w:hAnsiTheme="minorEastAsia" w:eastAsiaTheme="minorEastAsia" w:cstheme="minorEastAsia"/>
          <w:color w:val="auto"/>
          <w:sz w:val="24"/>
          <w:szCs w:val="24"/>
          <w:highlight w:val="none"/>
          <w:lang w:val="zh-CN"/>
        </w:rPr>
        <w:t>日期：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lang w:val="zh-CN"/>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lang w:val="zh-CN"/>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lang w:val="zh-CN"/>
        </w:rPr>
        <w:t>日</w:t>
      </w:r>
    </w:p>
    <w:p>
      <w:pPr>
        <w:spacing w:line="360" w:lineRule="auto"/>
        <w:ind w:firstLine="480" w:firstLineChars="200"/>
        <w:rPr>
          <w:rFonts w:hint="eastAsia" w:asciiTheme="minorEastAsia" w:hAnsiTheme="minorEastAsia" w:eastAsiaTheme="minorEastAsia" w:cstheme="minorEastAsia"/>
          <w:color w:val="auto"/>
          <w:sz w:val="24"/>
          <w:szCs w:val="24"/>
          <w:highlight w:val="none"/>
        </w:rPr>
      </w:pPr>
    </w:p>
    <w:p>
      <w:pPr>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附：</w:t>
      </w: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法定代表身份证复印件粘帖处</w:t>
            </w:r>
          </w:p>
        </w:tc>
      </w:tr>
    </w:tbl>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法定代表人姓名：</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传真：</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手机：</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详细通讯地址：</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邮政编码：</w:t>
      </w:r>
    </w:p>
    <w:p>
      <w:pPr>
        <w:spacing w:line="360" w:lineRule="auto"/>
        <w:rPr>
          <w:rFonts w:hint="eastAsia" w:asciiTheme="minorEastAsia" w:hAnsiTheme="minorEastAsia" w:eastAsiaTheme="minorEastAsia" w:cstheme="minorEastAsia"/>
          <w:b/>
          <w:color w:val="auto"/>
          <w:sz w:val="24"/>
          <w:szCs w:val="24"/>
          <w:highlight w:val="none"/>
        </w:rPr>
      </w:pPr>
    </w:p>
    <w:tbl>
      <w:tblPr>
        <w:tblStyle w:val="2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授权委托代理人身份证复印件粘帖处</w:t>
            </w:r>
          </w:p>
        </w:tc>
      </w:tr>
    </w:tbl>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授权委托代理人姓名：</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职务：</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传真：</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手机：</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详细通讯地址：</w:t>
      </w:r>
    </w:p>
    <w:p>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邮政编码：</w:t>
      </w:r>
    </w:p>
    <w:p>
      <w:pPr>
        <w:pStyle w:val="20"/>
        <w:spacing w:line="360" w:lineRule="auto"/>
        <w:ind w:left="0" w:firstLine="0" w:firstLineChars="0"/>
        <w:jc w:val="both"/>
        <w:outlineLvl w:val="2"/>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4</w:t>
      </w:r>
      <w:r>
        <w:rPr>
          <w:rFonts w:hint="eastAsia" w:ascii="宋体" w:hAnsi="宋体" w:eastAsia="宋体" w:cs="宋体"/>
          <w:b/>
          <w:color w:val="auto"/>
          <w:sz w:val="28"/>
          <w:highlight w:val="none"/>
        </w:rPr>
        <w:t xml:space="preserve">               </w:t>
      </w:r>
    </w:p>
    <w:p>
      <w:pPr>
        <w:pStyle w:val="20"/>
        <w:spacing w:line="360" w:lineRule="auto"/>
        <w:ind w:left="0" w:firstLine="0" w:firstLineChars="0"/>
        <w:jc w:val="center"/>
        <w:outlineLvl w:val="2"/>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b/>
          <w:color w:val="auto"/>
          <w:spacing w:val="-6"/>
          <w:sz w:val="24"/>
          <w:szCs w:val="24"/>
          <w:highlight w:val="none"/>
        </w:rPr>
        <w:t>有效的法人或者其他组织的营业执照等证明文件（复印件），自然人的身份证明</w:t>
      </w:r>
    </w:p>
    <w:p>
      <w:pPr>
        <w:pStyle w:val="20"/>
        <w:spacing w:line="360" w:lineRule="auto"/>
        <w:ind w:left="0" w:firstLine="0" w:firstLineChars="0"/>
        <w:jc w:val="center"/>
        <w:rPr>
          <w:rFonts w:hint="eastAsia" w:asciiTheme="minorEastAsia" w:hAnsiTheme="minorEastAsia" w:eastAsiaTheme="minorEastAsia" w:cstheme="minorEastAsia"/>
          <w:b/>
          <w:color w:val="auto"/>
          <w:spacing w:val="-6"/>
          <w:sz w:val="24"/>
          <w:szCs w:val="24"/>
          <w:highlight w:val="none"/>
        </w:rPr>
      </w:pPr>
    </w:p>
    <w:p>
      <w:pPr>
        <w:pStyle w:val="20"/>
        <w:spacing w:line="360" w:lineRule="auto"/>
        <w:ind w:left="0" w:firstLine="0" w:firstLineChars="0"/>
        <w:jc w:val="center"/>
        <w:rPr>
          <w:rFonts w:hint="eastAsia" w:asciiTheme="minorEastAsia" w:hAnsiTheme="minorEastAsia" w:eastAsiaTheme="minorEastAsia" w:cstheme="minorEastAsia"/>
          <w:b/>
          <w:color w:val="auto"/>
          <w:spacing w:val="-6"/>
          <w:sz w:val="24"/>
          <w:szCs w:val="24"/>
          <w:highlight w:val="none"/>
        </w:rPr>
      </w:pPr>
    </w:p>
    <w:p>
      <w:pPr>
        <w:pStyle w:val="20"/>
        <w:spacing w:line="360" w:lineRule="auto"/>
        <w:ind w:left="0" w:firstLine="0" w:firstLineChars="0"/>
        <w:jc w:val="center"/>
        <w:rPr>
          <w:rFonts w:hint="eastAsia" w:asciiTheme="minorEastAsia" w:hAnsiTheme="minorEastAsia" w:eastAsiaTheme="minorEastAsia" w:cstheme="minorEastAsia"/>
          <w:b/>
          <w:color w:val="auto"/>
          <w:spacing w:val="-6"/>
          <w:sz w:val="24"/>
          <w:szCs w:val="24"/>
          <w:highlight w:val="none"/>
        </w:rPr>
      </w:pPr>
    </w:p>
    <w:p>
      <w:pPr>
        <w:spacing w:line="360" w:lineRule="auto"/>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b/>
          <w:color w:val="auto"/>
          <w:spacing w:val="-6"/>
          <w:sz w:val="24"/>
          <w:szCs w:val="24"/>
          <w:highlight w:val="none"/>
        </w:rPr>
        <w:t>说明：</w:t>
      </w:r>
    </w:p>
    <w:p>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1.如供应商是企业（包括合伙企业），提供在工商部门注册的有效“企业法人营业执照”或“营业执照”；</w:t>
      </w:r>
    </w:p>
    <w:p>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2.如供应商是事业单位，提供有效的“事业单位法人证书”；</w:t>
      </w:r>
    </w:p>
    <w:p>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3.如供应商是非企业专业服务机构的，提供执业许可证等证明文件；</w:t>
      </w:r>
    </w:p>
    <w:p>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4.如供应商是个体工商户，提供有效的“个体工商户营业执照”；</w:t>
      </w:r>
    </w:p>
    <w:p>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5.如供应商是自然人，提供有效的自然人身份证明。</w:t>
      </w:r>
    </w:p>
    <w:p>
      <w:pPr>
        <w:spacing w:after="240" w:afterLines="100" w:line="480" w:lineRule="auto"/>
        <w:jc w:val="left"/>
        <w:rPr>
          <w:rFonts w:hint="eastAsia" w:ascii="宋体" w:hAnsi="宋体" w:eastAsia="宋体" w:cs="宋体"/>
          <w:b/>
          <w:color w:val="auto"/>
          <w:sz w:val="28"/>
          <w:highlight w:val="none"/>
        </w:rPr>
      </w:pPr>
      <w:r>
        <w:rPr>
          <w:rFonts w:hint="eastAsia" w:asciiTheme="minorEastAsia" w:hAnsiTheme="minorEastAsia" w:eastAsiaTheme="minorEastAsia" w:cstheme="minorEastAsia"/>
          <w:b/>
          <w:color w:val="auto"/>
          <w:sz w:val="24"/>
          <w:szCs w:val="24"/>
          <w:highlight w:val="none"/>
        </w:rPr>
        <w:br w:type="page"/>
      </w:r>
    </w:p>
    <w:p>
      <w:pPr>
        <w:rPr>
          <w:rFonts w:hint="eastAsia"/>
          <w:b/>
          <w:bCs/>
          <w:color w:val="auto"/>
          <w:sz w:val="28"/>
          <w:szCs w:val="28"/>
          <w:highlight w:val="none"/>
          <w:lang w:val="en-US" w:eastAsia="zh-CN"/>
        </w:rPr>
      </w:pPr>
      <w:r>
        <w:rPr>
          <w:rFonts w:hint="eastAsia"/>
          <w:b/>
          <w:bCs/>
          <w:color w:val="auto"/>
          <w:sz w:val="28"/>
          <w:szCs w:val="28"/>
          <w:highlight w:val="none"/>
        </w:rPr>
        <w:t>附件</w:t>
      </w:r>
      <w:r>
        <w:rPr>
          <w:rFonts w:hint="eastAsia"/>
          <w:b/>
          <w:bCs/>
          <w:color w:val="auto"/>
          <w:sz w:val="28"/>
          <w:szCs w:val="28"/>
          <w:highlight w:val="none"/>
          <w:lang w:val="en-US" w:eastAsia="zh-CN"/>
        </w:rPr>
        <w:t>5</w:t>
      </w:r>
    </w:p>
    <w:p>
      <w:pPr>
        <w:spacing w:after="240" w:afterLines="100" w:line="48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zh-CN"/>
        </w:rPr>
        <w:t>具备健全的财务会计制度的承诺函</w:t>
      </w:r>
    </w:p>
    <w:p>
      <w:pPr>
        <w:widowControl/>
        <w:spacing w:line="600" w:lineRule="exact"/>
        <w:rPr>
          <w:rFonts w:hint="eastAsia" w:asciiTheme="minorEastAsia" w:hAnsiTheme="minorEastAsia" w:eastAsiaTheme="minorEastAsia" w:cstheme="minorEastAsia"/>
          <w:color w:val="auto"/>
          <w:kern w:val="0"/>
          <w:sz w:val="24"/>
          <w:szCs w:val="24"/>
          <w:highlight w:val="none"/>
        </w:rPr>
      </w:pPr>
    </w:p>
    <w:p>
      <w:pPr>
        <w:widowControl/>
        <w:spacing w:line="600" w:lineRule="exac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致：</w:t>
      </w:r>
      <w:r>
        <w:rPr>
          <w:rFonts w:hint="eastAsia" w:asciiTheme="minorEastAsia" w:hAnsiTheme="minorEastAsia" w:eastAsiaTheme="minorEastAsia" w:cstheme="minorEastAsia"/>
          <w:color w:val="auto"/>
          <w:sz w:val="24"/>
          <w:szCs w:val="24"/>
          <w:highlight w:val="none"/>
          <w:u w:val="single"/>
          <w:lang w:val="en-US" w:eastAsia="zh-CN"/>
        </w:rPr>
        <w:t>台州市中心医院（台州学院附属医院）、浙江五石中正工程咨询有限公司</w:t>
      </w:r>
    </w:p>
    <w:p>
      <w:pPr>
        <w:pStyle w:val="10"/>
        <w:spacing w:line="6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我公司参加</w:t>
      </w:r>
      <w:r>
        <w:rPr>
          <w:rFonts w:hint="eastAsia" w:asciiTheme="minorEastAsia" w:hAnsiTheme="minorEastAsia" w:eastAsiaTheme="minorEastAsia" w:cstheme="minorEastAsia"/>
          <w:color w:val="auto"/>
          <w:sz w:val="24"/>
          <w:szCs w:val="24"/>
          <w:highlight w:val="none"/>
          <w:u w:val="single"/>
          <w:lang w:val="en-US" w:eastAsia="zh-CN"/>
        </w:rPr>
        <w:t>多功能运动心肺评估系统采购项目</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sz w:val="24"/>
          <w:szCs w:val="24"/>
          <w:highlight w:val="none"/>
          <w:u w:val="single"/>
        </w:rPr>
        <w:t>编号为ZJWS2021-JJ303</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sz w:val="24"/>
          <w:szCs w:val="24"/>
          <w:highlight w:val="none"/>
        </w:rPr>
        <w:t>的投标活动，作如下承诺：</w:t>
      </w:r>
    </w:p>
    <w:p>
      <w:pPr>
        <w:pStyle w:val="10"/>
        <w:spacing w:line="6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我公司在参加本项目政府采购活动前，</w:t>
      </w:r>
      <w:r>
        <w:rPr>
          <w:rFonts w:hint="eastAsia" w:asciiTheme="minorEastAsia" w:hAnsiTheme="minorEastAsia" w:eastAsiaTheme="minorEastAsia" w:cstheme="minorEastAsia"/>
          <w:color w:val="auto"/>
          <w:kern w:val="0"/>
          <w:sz w:val="24"/>
          <w:szCs w:val="24"/>
          <w:highlight w:val="none"/>
        </w:rPr>
        <w:t>没有处于被责令停产、财产被接管、冻结或破产状态，具有足够的流动资金，有能力履行合同；我公司</w:t>
      </w:r>
      <w:r>
        <w:rPr>
          <w:rFonts w:hint="eastAsia" w:asciiTheme="minorEastAsia" w:hAnsiTheme="minorEastAsia" w:eastAsiaTheme="minorEastAsia" w:cstheme="minorEastAsia"/>
          <w:color w:val="auto"/>
          <w:sz w:val="24"/>
          <w:szCs w:val="24"/>
          <w:highlight w:val="none"/>
        </w:rPr>
        <w:t>具有良好的商业信誉和健全的财务会计制度。</w:t>
      </w:r>
    </w:p>
    <w:p>
      <w:pPr>
        <w:spacing w:line="6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如违反以上承诺，本公司愿承担一切法律责任。</w:t>
      </w:r>
    </w:p>
    <w:p>
      <w:pPr>
        <w:spacing w:line="360" w:lineRule="auto"/>
        <w:rPr>
          <w:rFonts w:hint="eastAsia" w:asciiTheme="minorEastAsia" w:hAnsiTheme="minorEastAsia" w:eastAsiaTheme="minorEastAsia" w:cstheme="minorEastAsia"/>
          <w:color w:val="auto"/>
          <w:sz w:val="24"/>
          <w:szCs w:val="24"/>
          <w:highlight w:val="none"/>
          <w:lang w:val="zh-CN"/>
        </w:rPr>
      </w:pPr>
    </w:p>
    <w:p>
      <w:pPr>
        <w:pStyle w:val="10"/>
        <w:rPr>
          <w:rFonts w:hint="eastAsia" w:asciiTheme="minorEastAsia" w:hAnsiTheme="minorEastAsia" w:eastAsiaTheme="minorEastAsia" w:cstheme="minorEastAsia"/>
          <w:color w:val="auto"/>
          <w:sz w:val="24"/>
          <w:szCs w:val="24"/>
          <w:highlight w:val="none"/>
          <w:lang w:val="zh-CN"/>
        </w:rPr>
      </w:pPr>
    </w:p>
    <w:p>
      <w:pPr>
        <w:pStyle w:val="10"/>
        <w:rPr>
          <w:rFonts w:hint="eastAsia" w:asciiTheme="minorEastAsia" w:hAnsiTheme="minorEastAsia" w:eastAsiaTheme="minorEastAsia" w:cstheme="minorEastAsia"/>
          <w:color w:val="auto"/>
          <w:sz w:val="24"/>
          <w:szCs w:val="24"/>
          <w:highlight w:val="none"/>
          <w:lang w:val="zh-CN"/>
        </w:rPr>
      </w:pPr>
    </w:p>
    <w:p>
      <w:pPr>
        <w:pStyle w:val="10"/>
        <w:rPr>
          <w:rFonts w:hint="eastAsia" w:asciiTheme="minorEastAsia" w:hAnsiTheme="minorEastAsia" w:eastAsiaTheme="minorEastAsia" w:cstheme="minorEastAsia"/>
          <w:color w:val="auto"/>
          <w:sz w:val="24"/>
          <w:szCs w:val="24"/>
          <w:highlight w:val="none"/>
          <w:lang w:val="zh-CN"/>
        </w:rPr>
      </w:pPr>
    </w:p>
    <w:p>
      <w:pPr>
        <w:widowControl/>
        <w:wordWrap w:val="0"/>
        <w:spacing w:line="360" w:lineRule="auto"/>
        <w:jc w:val="right"/>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投标人名称</w:t>
      </w:r>
      <w:r>
        <w:rPr>
          <w:rFonts w:hint="eastAsia" w:asciiTheme="minorEastAsia" w:hAnsiTheme="minorEastAsia" w:eastAsiaTheme="minorEastAsia" w:cstheme="minorEastAsia"/>
          <w:color w:val="auto"/>
          <w:kern w:val="0"/>
          <w:sz w:val="24"/>
          <w:szCs w:val="24"/>
          <w:highlight w:val="none"/>
        </w:rPr>
        <w:t>(公章)：</w:t>
      </w:r>
      <w:r>
        <w:rPr>
          <w:rFonts w:hint="eastAsia" w:asciiTheme="minorEastAsia" w:hAnsiTheme="minorEastAsia" w:eastAsiaTheme="minorEastAsia" w:cstheme="minorEastAsia"/>
          <w:color w:val="auto"/>
          <w:kern w:val="0"/>
          <w:sz w:val="24"/>
          <w:szCs w:val="24"/>
          <w:highlight w:val="none"/>
          <w:lang w:val="en-US" w:eastAsia="zh-CN"/>
        </w:rPr>
        <w:t xml:space="preserve">             </w:t>
      </w:r>
    </w:p>
    <w:p>
      <w:pPr>
        <w:widowControl/>
        <w:spacing w:line="360" w:lineRule="auto"/>
        <w:jc w:val="left"/>
        <w:rPr>
          <w:rFonts w:hint="eastAsia" w:asciiTheme="minorEastAsia" w:hAnsiTheme="minorEastAsia" w:eastAsiaTheme="minorEastAsia" w:cstheme="minorEastAsia"/>
          <w:color w:val="auto"/>
          <w:kern w:val="0"/>
          <w:sz w:val="24"/>
          <w:szCs w:val="24"/>
          <w:highlight w:val="none"/>
        </w:rPr>
      </w:pPr>
    </w:p>
    <w:p>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法定代表人(签字或盖章)或</w:t>
      </w:r>
      <w:r>
        <w:rPr>
          <w:rFonts w:hint="eastAsia" w:asciiTheme="minorEastAsia" w:hAnsiTheme="minorEastAsia" w:eastAsiaTheme="minorEastAsia" w:cstheme="minorEastAsia"/>
          <w:color w:val="auto"/>
          <w:kern w:val="0"/>
          <w:sz w:val="24"/>
          <w:szCs w:val="24"/>
          <w:highlight w:val="none"/>
          <w:lang w:eastAsia="zh-CN"/>
        </w:rPr>
        <w:t>授权委托代理人</w:t>
      </w:r>
      <w:r>
        <w:rPr>
          <w:rFonts w:hint="eastAsia" w:asciiTheme="minorEastAsia" w:hAnsiTheme="minorEastAsia" w:eastAsiaTheme="minorEastAsia" w:cstheme="minorEastAsia"/>
          <w:color w:val="auto"/>
          <w:kern w:val="0"/>
          <w:sz w:val="24"/>
          <w:szCs w:val="24"/>
          <w:highlight w:val="none"/>
        </w:rPr>
        <w:t>(签字)：</w:t>
      </w:r>
    </w:p>
    <w:p>
      <w:pPr>
        <w:widowControl/>
        <w:spacing w:line="360" w:lineRule="auto"/>
        <w:jc w:val="left"/>
        <w:rPr>
          <w:rFonts w:hint="eastAsia" w:asciiTheme="minorEastAsia" w:hAnsiTheme="minorEastAsia" w:eastAsiaTheme="minorEastAsia" w:cstheme="minorEastAsia"/>
          <w:color w:val="auto"/>
          <w:kern w:val="0"/>
          <w:sz w:val="24"/>
          <w:szCs w:val="24"/>
          <w:highlight w:val="none"/>
        </w:rPr>
      </w:pPr>
    </w:p>
    <w:p>
      <w:pPr>
        <w:spacing w:line="360" w:lineRule="auto"/>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日期：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lang w:val="zh-CN"/>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lang w:val="zh-CN"/>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lang w:val="zh-CN"/>
        </w:rPr>
        <w:t>日</w:t>
      </w:r>
    </w:p>
    <w:p>
      <w:pPr>
        <w:spacing w:line="360" w:lineRule="auto"/>
        <w:rPr>
          <w:rFonts w:hint="eastAsia" w:asciiTheme="minorEastAsia" w:hAnsiTheme="minorEastAsia" w:eastAsiaTheme="minorEastAsia" w:cstheme="minorEastAsia"/>
          <w:b/>
          <w:bCs/>
          <w:color w:val="auto"/>
          <w:spacing w:val="-6"/>
          <w:sz w:val="24"/>
          <w:szCs w:val="24"/>
          <w:highlight w:val="none"/>
        </w:rPr>
      </w:pPr>
    </w:p>
    <w:p>
      <w:pPr>
        <w:adjustRightInd w:val="0"/>
        <w:spacing w:line="360" w:lineRule="auto"/>
        <w:jc w:val="both"/>
        <w:rPr>
          <w:rFonts w:hint="eastAsia" w:ascii="宋体" w:hAnsi="宋体" w:eastAsia="宋体" w:cs="宋体"/>
          <w:b/>
          <w:color w:val="auto"/>
          <w:sz w:val="28"/>
          <w:highlight w:val="none"/>
        </w:rPr>
      </w:pPr>
      <w:r>
        <w:rPr>
          <w:rFonts w:hint="eastAsia" w:asciiTheme="minorEastAsia" w:hAnsiTheme="minorEastAsia" w:eastAsiaTheme="minorEastAsia" w:cstheme="minorEastAsia"/>
          <w:b/>
          <w:bCs/>
          <w:color w:val="auto"/>
          <w:spacing w:val="-6"/>
          <w:sz w:val="24"/>
          <w:szCs w:val="24"/>
          <w:highlight w:val="none"/>
        </w:rPr>
        <w:br w:type="page"/>
      </w:r>
    </w:p>
    <w:p>
      <w:pPr>
        <w:rPr>
          <w:rFonts w:hint="eastAsia" w:asciiTheme="minorEastAsia" w:hAnsiTheme="minorEastAsia" w:eastAsiaTheme="minorEastAsia" w:cstheme="minorEastAsia"/>
          <w:b/>
          <w:color w:val="auto"/>
          <w:sz w:val="24"/>
          <w:szCs w:val="24"/>
          <w:highlight w:val="none"/>
        </w:rPr>
      </w:pPr>
      <w:r>
        <w:rPr>
          <w:rFonts w:hint="eastAsia"/>
          <w:b/>
          <w:bCs/>
          <w:color w:val="auto"/>
          <w:sz w:val="28"/>
          <w:szCs w:val="28"/>
          <w:highlight w:val="none"/>
        </w:rPr>
        <w:t>附件</w:t>
      </w:r>
      <w:r>
        <w:rPr>
          <w:rFonts w:hint="eastAsia"/>
          <w:b/>
          <w:bCs/>
          <w:color w:val="auto"/>
          <w:sz w:val="28"/>
          <w:szCs w:val="28"/>
          <w:highlight w:val="none"/>
          <w:lang w:val="en-US" w:eastAsia="zh-CN"/>
        </w:rPr>
        <w:t>6</w:t>
      </w:r>
    </w:p>
    <w:p>
      <w:pPr>
        <w:spacing w:after="240" w:afterLines="100" w:line="48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zh-CN"/>
        </w:rPr>
        <w:t>无税收缴纳、社会保障等方面的失信记录的承诺函</w:t>
      </w:r>
    </w:p>
    <w:p>
      <w:pPr>
        <w:widowControl/>
        <w:spacing w:line="600" w:lineRule="exact"/>
        <w:rPr>
          <w:rFonts w:hint="eastAsia" w:asciiTheme="minorEastAsia" w:hAnsiTheme="minorEastAsia" w:eastAsiaTheme="minorEastAsia" w:cstheme="minorEastAsia"/>
          <w:color w:val="auto"/>
          <w:kern w:val="0"/>
          <w:sz w:val="24"/>
          <w:szCs w:val="24"/>
          <w:highlight w:val="none"/>
        </w:rPr>
      </w:pPr>
    </w:p>
    <w:p>
      <w:pPr>
        <w:widowControl/>
        <w:spacing w:line="600" w:lineRule="exac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rPr>
        <w:t>致：</w:t>
      </w:r>
      <w:r>
        <w:rPr>
          <w:rFonts w:hint="eastAsia" w:asciiTheme="minorEastAsia" w:hAnsiTheme="minorEastAsia" w:eastAsiaTheme="minorEastAsia" w:cstheme="minorEastAsia"/>
          <w:color w:val="auto"/>
          <w:sz w:val="24"/>
          <w:szCs w:val="24"/>
          <w:highlight w:val="none"/>
          <w:u w:val="single"/>
          <w:lang w:val="en-US" w:eastAsia="zh-CN"/>
        </w:rPr>
        <w:t>台州市中心医院（台州学院附属医院）、浙江五石中正工程咨询有限公司</w:t>
      </w:r>
    </w:p>
    <w:p>
      <w:pPr>
        <w:pStyle w:val="10"/>
        <w:spacing w:line="6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我公司参加</w:t>
      </w:r>
      <w:r>
        <w:rPr>
          <w:rFonts w:hint="eastAsia" w:asciiTheme="minorEastAsia" w:hAnsiTheme="minorEastAsia" w:eastAsiaTheme="minorEastAsia" w:cstheme="minorEastAsia"/>
          <w:color w:val="auto"/>
          <w:sz w:val="24"/>
          <w:szCs w:val="24"/>
          <w:highlight w:val="none"/>
          <w:u w:val="single"/>
          <w:lang w:val="en-US" w:eastAsia="zh-CN"/>
        </w:rPr>
        <w:t>多功能运动心肺评估系统采购项目</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sz w:val="24"/>
          <w:szCs w:val="24"/>
          <w:highlight w:val="none"/>
          <w:u w:val="single"/>
        </w:rPr>
        <w:t>编号为ZJWS2021-JJ303</w:t>
      </w:r>
      <w:r>
        <w:rPr>
          <w:rFonts w:hint="eastAsia" w:asciiTheme="minorEastAsia" w:hAnsiTheme="minorEastAsia" w:eastAsiaTheme="minorEastAsia" w:cstheme="minorEastAsia"/>
          <w:color w:val="auto"/>
          <w:sz w:val="24"/>
          <w:szCs w:val="24"/>
          <w:highlight w:val="none"/>
          <w:u w:val="single"/>
          <w:lang w:eastAsia="zh-CN"/>
        </w:rPr>
        <w:t>）</w:t>
      </w:r>
      <w:r>
        <w:rPr>
          <w:rFonts w:hint="eastAsia" w:asciiTheme="minorEastAsia" w:hAnsiTheme="minorEastAsia" w:eastAsiaTheme="minorEastAsia" w:cstheme="minorEastAsia"/>
          <w:color w:val="auto"/>
          <w:sz w:val="24"/>
          <w:szCs w:val="24"/>
          <w:highlight w:val="none"/>
        </w:rPr>
        <w:t>的投标活动，作如下承诺：</w:t>
      </w:r>
    </w:p>
    <w:p>
      <w:pPr>
        <w:pStyle w:val="10"/>
        <w:spacing w:line="6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pPr>
        <w:spacing w:line="600" w:lineRule="exact"/>
        <w:ind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如违反以上承诺，本公司愿承担一切法律责任。</w:t>
      </w:r>
    </w:p>
    <w:p>
      <w:pPr>
        <w:spacing w:line="360" w:lineRule="auto"/>
        <w:rPr>
          <w:rFonts w:hint="eastAsia" w:asciiTheme="minorEastAsia" w:hAnsiTheme="minorEastAsia" w:eastAsiaTheme="minorEastAsia" w:cstheme="minorEastAsia"/>
          <w:color w:val="auto"/>
          <w:sz w:val="24"/>
          <w:szCs w:val="24"/>
          <w:highlight w:val="none"/>
          <w:lang w:val="zh-CN"/>
        </w:rPr>
      </w:pPr>
    </w:p>
    <w:p>
      <w:pPr>
        <w:pStyle w:val="10"/>
        <w:rPr>
          <w:rFonts w:hint="eastAsia" w:asciiTheme="minorEastAsia" w:hAnsiTheme="minorEastAsia" w:eastAsiaTheme="minorEastAsia" w:cstheme="minorEastAsia"/>
          <w:color w:val="auto"/>
          <w:sz w:val="24"/>
          <w:szCs w:val="24"/>
          <w:highlight w:val="none"/>
          <w:lang w:val="zh-CN"/>
        </w:rPr>
      </w:pPr>
    </w:p>
    <w:p>
      <w:pPr>
        <w:pStyle w:val="10"/>
        <w:rPr>
          <w:rFonts w:hint="eastAsia" w:asciiTheme="minorEastAsia" w:hAnsiTheme="minorEastAsia" w:eastAsiaTheme="minorEastAsia" w:cstheme="minorEastAsia"/>
          <w:color w:val="auto"/>
          <w:sz w:val="24"/>
          <w:szCs w:val="24"/>
          <w:highlight w:val="none"/>
          <w:lang w:val="zh-CN"/>
        </w:rPr>
      </w:pPr>
    </w:p>
    <w:p>
      <w:pPr>
        <w:widowControl/>
        <w:wordWrap w:val="0"/>
        <w:spacing w:line="360" w:lineRule="auto"/>
        <w:jc w:val="right"/>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投标人名称</w:t>
      </w:r>
      <w:r>
        <w:rPr>
          <w:rFonts w:hint="eastAsia" w:asciiTheme="minorEastAsia" w:hAnsiTheme="minorEastAsia" w:eastAsiaTheme="minorEastAsia" w:cstheme="minorEastAsia"/>
          <w:color w:val="auto"/>
          <w:kern w:val="0"/>
          <w:sz w:val="24"/>
          <w:szCs w:val="24"/>
          <w:highlight w:val="none"/>
        </w:rPr>
        <w:t>(公章)：</w:t>
      </w:r>
      <w:r>
        <w:rPr>
          <w:rFonts w:hint="eastAsia" w:asciiTheme="minorEastAsia" w:hAnsiTheme="minorEastAsia" w:eastAsiaTheme="minorEastAsia" w:cstheme="minorEastAsia"/>
          <w:color w:val="auto"/>
          <w:kern w:val="0"/>
          <w:sz w:val="24"/>
          <w:szCs w:val="24"/>
          <w:highlight w:val="none"/>
          <w:lang w:val="en-US" w:eastAsia="zh-CN"/>
        </w:rPr>
        <w:t xml:space="preserve">             </w:t>
      </w:r>
    </w:p>
    <w:p>
      <w:pPr>
        <w:widowControl/>
        <w:spacing w:line="360" w:lineRule="auto"/>
        <w:jc w:val="left"/>
        <w:rPr>
          <w:rFonts w:hint="eastAsia" w:asciiTheme="minorEastAsia" w:hAnsiTheme="minorEastAsia" w:eastAsiaTheme="minorEastAsia" w:cstheme="minorEastAsia"/>
          <w:color w:val="auto"/>
          <w:kern w:val="0"/>
          <w:sz w:val="24"/>
          <w:szCs w:val="24"/>
          <w:highlight w:val="none"/>
        </w:rPr>
      </w:pPr>
    </w:p>
    <w:p>
      <w:pPr>
        <w:widowControl/>
        <w:spacing w:line="360" w:lineRule="auto"/>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法定代表人(签字或盖章)或</w:t>
      </w:r>
      <w:r>
        <w:rPr>
          <w:rFonts w:hint="eastAsia" w:asciiTheme="minorEastAsia" w:hAnsiTheme="minorEastAsia" w:eastAsiaTheme="minorEastAsia" w:cstheme="minorEastAsia"/>
          <w:color w:val="auto"/>
          <w:kern w:val="0"/>
          <w:sz w:val="24"/>
          <w:szCs w:val="24"/>
          <w:highlight w:val="none"/>
          <w:lang w:eastAsia="zh-CN"/>
        </w:rPr>
        <w:t>授权委托代理人</w:t>
      </w:r>
      <w:r>
        <w:rPr>
          <w:rFonts w:hint="eastAsia" w:asciiTheme="minorEastAsia" w:hAnsiTheme="minorEastAsia" w:eastAsiaTheme="minorEastAsia" w:cstheme="minorEastAsia"/>
          <w:color w:val="auto"/>
          <w:kern w:val="0"/>
          <w:sz w:val="24"/>
          <w:szCs w:val="24"/>
          <w:highlight w:val="none"/>
        </w:rPr>
        <w:t>(签字)：</w:t>
      </w:r>
    </w:p>
    <w:p>
      <w:pPr>
        <w:widowControl/>
        <w:spacing w:line="360" w:lineRule="auto"/>
        <w:jc w:val="left"/>
        <w:rPr>
          <w:rFonts w:hint="eastAsia" w:asciiTheme="minorEastAsia" w:hAnsiTheme="minorEastAsia" w:eastAsiaTheme="minorEastAsia" w:cstheme="minorEastAsia"/>
          <w:color w:val="auto"/>
          <w:kern w:val="0"/>
          <w:sz w:val="24"/>
          <w:szCs w:val="24"/>
          <w:highlight w:val="none"/>
        </w:rPr>
      </w:pPr>
    </w:p>
    <w:p>
      <w:pPr>
        <w:spacing w:line="360" w:lineRule="auto"/>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日期：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lang w:val="zh-CN"/>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lang w:val="zh-CN"/>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lang w:val="zh-CN"/>
        </w:rPr>
        <w:t>日</w:t>
      </w:r>
    </w:p>
    <w:p>
      <w:pPr>
        <w:pStyle w:val="64"/>
        <w:shd w:val="clear" w:color="auto" w:fill="FFFFFF"/>
        <w:spacing w:before="0" w:beforeAutospacing="0" w:after="0" w:afterAutospacing="0" w:line="360" w:lineRule="auto"/>
        <w:rPr>
          <w:rFonts w:hint="eastAsia" w:asciiTheme="minorEastAsia" w:hAnsiTheme="minorEastAsia" w:eastAsiaTheme="minorEastAsia" w:cstheme="minorEastAsia"/>
          <w:b/>
          <w:color w:val="auto"/>
          <w:sz w:val="24"/>
          <w:szCs w:val="24"/>
          <w:highlight w:val="none"/>
        </w:rPr>
      </w:pPr>
    </w:p>
    <w:p>
      <w:pPr>
        <w:spacing w:line="360" w:lineRule="auto"/>
        <w:rPr>
          <w:rFonts w:hint="eastAsia" w:asciiTheme="minorEastAsia" w:hAnsiTheme="minorEastAsia" w:eastAsiaTheme="minorEastAsia" w:cstheme="minorEastAsia"/>
          <w:b/>
          <w:color w:val="auto"/>
          <w:sz w:val="24"/>
          <w:szCs w:val="24"/>
          <w:highlight w:val="none"/>
        </w:rPr>
      </w:pPr>
    </w:p>
    <w:p>
      <w:pPr>
        <w:adjustRightInd w:val="0"/>
        <w:snapToGrid w:val="0"/>
        <w:spacing w:line="360" w:lineRule="auto"/>
        <w:ind w:right="480"/>
        <w:jc w:val="both"/>
        <w:rPr>
          <w:rFonts w:hint="eastAsia" w:ascii="宋体" w:hAnsi="宋体" w:eastAsia="宋体" w:cs="宋体"/>
          <w:b/>
          <w:color w:val="auto"/>
          <w:sz w:val="28"/>
          <w:highlight w:val="none"/>
        </w:rPr>
      </w:pPr>
    </w:p>
    <w:p>
      <w:pPr>
        <w:adjustRightInd w:val="0"/>
        <w:snapToGrid w:val="0"/>
        <w:spacing w:line="360" w:lineRule="auto"/>
        <w:ind w:right="480"/>
        <w:jc w:val="both"/>
        <w:rPr>
          <w:rFonts w:hint="eastAsia" w:ascii="宋体" w:hAnsi="宋体" w:eastAsia="宋体" w:cs="宋体"/>
          <w:b/>
          <w:color w:val="auto"/>
          <w:sz w:val="28"/>
          <w:highlight w:val="none"/>
        </w:rPr>
      </w:pPr>
    </w:p>
    <w:p>
      <w:pPr>
        <w:adjustRightInd w:val="0"/>
        <w:snapToGrid w:val="0"/>
        <w:spacing w:line="360" w:lineRule="auto"/>
        <w:ind w:right="480"/>
        <w:jc w:val="both"/>
        <w:rPr>
          <w:rFonts w:hint="eastAsia" w:ascii="宋体" w:hAnsi="宋体" w:eastAsia="宋体" w:cs="宋体"/>
          <w:b/>
          <w:color w:val="auto"/>
          <w:sz w:val="28"/>
          <w:highlight w:val="none"/>
        </w:rPr>
      </w:pPr>
    </w:p>
    <w:p>
      <w:pPr>
        <w:adjustRightInd w:val="0"/>
        <w:snapToGrid w:val="0"/>
        <w:spacing w:line="360" w:lineRule="auto"/>
        <w:ind w:right="480"/>
        <w:jc w:val="both"/>
        <w:rPr>
          <w:rFonts w:hint="eastAsia" w:ascii="宋体" w:hAnsi="宋体" w:eastAsia="宋体" w:cs="宋体"/>
          <w:b/>
          <w:color w:val="auto"/>
          <w:sz w:val="28"/>
          <w:highlight w:val="none"/>
        </w:rPr>
      </w:pPr>
    </w:p>
    <w:p>
      <w:pPr>
        <w:adjustRightInd w:val="0"/>
        <w:snapToGrid w:val="0"/>
        <w:spacing w:line="360" w:lineRule="auto"/>
        <w:ind w:right="480"/>
        <w:jc w:val="both"/>
        <w:rPr>
          <w:rFonts w:hint="eastAsia" w:ascii="宋体" w:hAnsi="宋体" w:eastAsia="宋体" w:cs="宋体"/>
          <w:b/>
          <w:color w:val="auto"/>
          <w:sz w:val="28"/>
          <w:highlight w:val="none"/>
        </w:rPr>
      </w:pPr>
    </w:p>
    <w:p>
      <w:pPr>
        <w:pStyle w:val="2"/>
        <w:rPr>
          <w:rFonts w:hint="eastAsia"/>
          <w:color w:val="auto"/>
          <w:highlight w:val="none"/>
        </w:rPr>
      </w:pPr>
    </w:p>
    <w:p>
      <w:pPr>
        <w:rPr>
          <w:rFonts w:hint="eastAsia"/>
          <w:b/>
          <w:bCs/>
          <w:color w:val="auto"/>
          <w:sz w:val="28"/>
          <w:szCs w:val="28"/>
          <w:highlight w:val="none"/>
          <w:lang w:val="en-US" w:eastAsia="zh-CN"/>
        </w:rPr>
      </w:pPr>
      <w:r>
        <w:rPr>
          <w:rFonts w:hint="eastAsia"/>
          <w:b/>
          <w:bCs/>
          <w:color w:val="auto"/>
          <w:sz w:val="28"/>
          <w:szCs w:val="28"/>
          <w:highlight w:val="none"/>
        </w:rPr>
        <w:t>附件</w:t>
      </w:r>
      <w:r>
        <w:rPr>
          <w:rFonts w:hint="eastAsia"/>
          <w:b/>
          <w:bCs/>
          <w:color w:val="auto"/>
          <w:sz w:val="28"/>
          <w:szCs w:val="28"/>
          <w:highlight w:val="none"/>
          <w:lang w:val="en-US" w:eastAsia="zh-CN"/>
        </w:rPr>
        <w:t>7</w:t>
      </w:r>
    </w:p>
    <w:p>
      <w:pPr>
        <w:widowControl/>
        <w:spacing w:line="360" w:lineRule="auto"/>
        <w:jc w:val="center"/>
        <w:outlineLvl w:val="2"/>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b/>
          <w:color w:val="auto"/>
          <w:spacing w:val="-6"/>
          <w:sz w:val="24"/>
          <w:szCs w:val="24"/>
          <w:highlight w:val="none"/>
        </w:rPr>
        <w:t>参加政府采购活动前3年内在经营活动中没有重大违法记录的书面声明</w:t>
      </w:r>
    </w:p>
    <w:p>
      <w:pPr>
        <w:pStyle w:val="20"/>
        <w:spacing w:line="360" w:lineRule="auto"/>
        <w:ind w:left="169" w:hanging="169" w:hangingChars="74"/>
        <w:jc w:val="center"/>
        <w:rPr>
          <w:rFonts w:hint="eastAsia" w:asciiTheme="minorEastAsia" w:hAnsiTheme="minorEastAsia" w:eastAsiaTheme="minorEastAsia" w:cstheme="minorEastAsia"/>
          <w:b/>
          <w:color w:val="auto"/>
          <w:spacing w:val="-6"/>
          <w:sz w:val="24"/>
          <w:szCs w:val="24"/>
          <w:highlight w:val="none"/>
        </w:rPr>
      </w:pPr>
      <w:r>
        <w:rPr>
          <w:rFonts w:hint="eastAsia" w:asciiTheme="minorEastAsia" w:hAnsiTheme="minorEastAsia" w:eastAsiaTheme="minorEastAsia" w:cstheme="minorEastAsia"/>
          <w:b/>
          <w:color w:val="auto"/>
          <w:spacing w:val="-6"/>
          <w:sz w:val="24"/>
          <w:szCs w:val="24"/>
          <w:highlight w:val="none"/>
        </w:rPr>
        <w:t>声明函</w:t>
      </w:r>
    </w:p>
    <w:p>
      <w:pPr>
        <w:spacing w:line="360" w:lineRule="auto"/>
        <w:rPr>
          <w:rFonts w:hint="eastAsia" w:asciiTheme="minorEastAsia" w:hAnsiTheme="minorEastAsia" w:eastAsiaTheme="minorEastAsia" w:cstheme="minorEastAsia"/>
          <w:color w:val="auto"/>
          <w:spacing w:val="-6"/>
          <w:sz w:val="24"/>
          <w:szCs w:val="24"/>
          <w:highlight w:val="none"/>
          <w:lang w:val="en-US" w:eastAsia="zh-CN"/>
        </w:rPr>
      </w:pPr>
      <w:r>
        <w:rPr>
          <w:rFonts w:hint="eastAsia" w:asciiTheme="minorEastAsia" w:hAnsiTheme="minorEastAsia" w:eastAsiaTheme="minorEastAsia" w:cstheme="minorEastAsia"/>
          <w:color w:val="auto"/>
          <w:spacing w:val="-6"/>
          <w:sz w:val="24"/>
          <w:szCs w:val="24"/>
          <w:highlight w:val="none"/>
        </w:rPr>
        <w:t>致：</w:t>
      </w:r>
      <w:r>
        <w:rPr>
          <w:rFonts w:hint="eastAsia" w:asciiTheme="minorEastAsia" w:hAnsiTheme="minorEastAsia" w:eastAsiaTheme="minorEastAsia" w:cstheme="minorEastAsia"/>
          <w:color w:val="auto"/>
          <w:spacing w:val="-6"/>
          <w:sz w:val="24"/>
          <w:szCs w:val="24"/>
          <w:highlight w:val="none"/>
          <w:u w:val="single"/>
          <w:lang w:val="en-US" w:eastAsia="zh-CN"/>
        </w:rPr>
        <w:t>台州市中心医院（台州学院附属医院）、浙江五石中正工程咨询有限公司</w:t>
      </w:r>
    </w:p>
    <w:p>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我公司郑重承诺在参加本项目政府采购活动前三年内，在经营活动中</w:t>
      </w:r>
      <w:r>
        <w:rPr>
          <w:rFonts w:hint="eastAsia" w:asciiTheme="minorEastAsia" w:hAnsiTheme="minorEastAsia" w:eastAsiaTheme="minorEastAsia" w:cstheme="minorEastAsia"/>
          <w:b/>
          <w:color w:val="auto"/>
          <w:spacing w:val="-6"/>
          <w:sz w:val="24"/>
          <w:szCs w:val="24"/>
          <w:highlight w:val="none"/>
          <w:u w:val="single"/>
        </w:rPr>
        <w:t xml:space="preserve">     </w:t>
      </w:r>
      <w:r>
        <w:rPr>
          <w:rFonts w:hint="eastAsia" w:asciiTheme="minorEastAsia" w:hAnsiTheme="minorEastAsia" w:eastAsiaTheme="minorEastAsia" w:cstheme="minorEastAsia"/>
          <w:b/>
          <w:color w:val="auto"/>
          <w:spacing w:val="-6"/>
          <w:sz w:val="24"/>
          <w:szCs w:val="24"/>
          <w:highlight w:val="none"/>
        </w:rPr>
        <w:t>（填写“有”或“没有”，如实填写，如不填写视同未提供本声明函）</w:t>
      </w:r>
      <w:r>
        <w:rPr>
          <w:rFonts w:hint="eastAsia" w:asciiTheme="minorEastAsia" w:hAnsiTheme="minorEastAsia" w:eastAsiaTheme="minorEastAsia" w:cstheme="minorEastAsia"/>
          <w:color w:val="auto"/>
          <w:spacing w:val="-6"/>
          <w:sz w:val="24"/>
          <w:szCs w:val="24"/>
          <w:highlight w:val="none"/>
        </w:rPr>
        <w:t>重大违法记录，重大违法记录是指供应商因违法经营受到刑事处罚或者责令停产停业、吊销许可证或者执照、较大数额罚款等行政处罚。</w:t>
      </w:r>
    </w:p>
    <w:p>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以上事项如有虚假或隐瞒，我方愿意承担一切后果和责任。</w:t>
      </w:r>
    </w:p>
    <w:p>
      <w:pPr>
        <w:spacing w:line="360" w:lineRule="auto"/>
        <w:ind w:firstLine="456"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特此声明。</w:t>
      </w:r>
    </w:p>
    <w:p>
      <w:pPr>
        <w:spacing w:line="360" w:lineRule="auto"/>
        <w:rPr>
          <w:rFonts w:hint="eastAsia" w:asciiTheme="minorEastAsia" w:hAnsiTheme="minorEastAsia" w:eastAsiaTheme="minorEastAsia" w:cstheme="minorEastAsia"/>
          <w:color w:val="auto"/>
          <w:spacing w:val="-6"/>
          <w:sz w:val="24"/>
          <w:szCs w:val="24"/>
          <w:highlight w:val="none"/>
        </w:rPr>
      </w:pPr>
    </w:p>
    <w:p>
      <w:pPr>
        <w:pStyle w:val="85"/>
        <w:spacing w:line="360" w:lineRule="auto"/>
        <w:rPr>
          <w:rFonts w:hint="eastAsia" w:asciiTheme="minorEastAsia" w:hAnsiTheme="minorEastAsia" w:eastAsiaTheme="minorEastAsia" w:cstheme="minorEastAsia"/>
          <w:color w:val="auto"/>
          <w:spacing w:val="-6"/>
          <w:sz w:val="24"/>
          <w:szCs w:val="24"/>
          <w:highlight w:val="none"/>
        </w:rPr>
      </w:pPr>
    </w:p>
    <w:p>
      <w:pPr>
        <w:pStyle w:val="86"/>
        <w:spacing w:line="360" w:lineRule="auto"/>
        <w:ind w:left="0"/>
        <w:rPr>
          <w:rFonts w:hint="eastAsia" w:asciiTheme="minorEastAsia" w:hAnsiTheme="minorEastAsia" w:eastAsiaTheme="minorEastAsia" w:cstheme="minorEastAsia"/>
          <w:color w:val="auto"/>
          <w:sz w:val="24"/>
          <w:szCs w:val="24"/>
          <w:highlight w:val="none"/>
        </w:rPr>
      </w:pPr>
    </w:p>
    <w:p>
      <w:pPr>
        <w:spacing w:line="360"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供应商名称（盖章）：</w:t>
      </w:r>
    </w:p>
    <w:p>
      <w:pPr>
        <w:spacing w:line="360"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供应商授权代表签字：</w:t>
      </w:r>
    </w:p>
    <w:p>
      <w:pPr>
        <w:widowControl/>
        <w:tabs>
          <w:tab w:val="left" w:pos="3225"/>
        </w:tabs>
        <w:spacing w:line="360" w:lineRule="auto"/>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日期：     年   月   日</w:t>
      </w:r>
    </w:p>
    <w:p>
      <w:pPr>
        <w:snapToGrid w:val="0"/>
        <w:spacing w:line="360" w:lineRule="auto"/>
        <w:ind w:firstLine="2160" w:firstLineChars="900"/>
        <w:rPr>
          <w:rFonts w:hint="eastAsia" w:asciiTheme="minorEastAsia" w:hAnsiTheme="minorEastAsia" w:eastAsiaTheme="minorEastAsia" w:cstheme="minorEastAsia"/>
          <w:color w:val="auto"/>
          <w:sz w:val="24"/>
          <w:szCs w:val="24"/>
          <w:highlight w:val="none"/>
          <w:lang w:val="zh-CN"/>
        </w:rPr>
      </w:pPr>
    </w:p>
    <w:p>
      <w:pPr>
        <w:spacing w:line="360" w:lineRule="auto"/>
        <w:rPr>
          <w:rFonts w:hint="eastAsia" w:ascii="宋体" w:hAnsi="宋体" w:eastAsia="宋体" w:cs="宋体"/>
          <w:color w:val="auto"/>
          <w:sz w:val="24"/>
          <w:szCs w:val="32"/>
          <w:highlight w:val="none"/>
        </w:rPr>
      </w:pPr>
    </w:p>
    <w:p>
      <w:pPr>
        <w:pStyle w:val="2"/>
        <w:rPr>
          <w:rFonts w:hint="eastAsia"/>
          <w:color w:val="auto"/>
          <w:highlight w:val="none"/>
        </w:rPr>
      </w:pPr>
    </w:p>
    <w:p>
      <w:pPr>
        <w:rPr>
          <w:rFonts w:hint="eastAsia" w:ascii="宋体" w:hAnsi="宋体" w:eastAsia="宋体" w:cs="宋体"/>
          <w:color w:val="auto"/>
          <w:sz w:val="24"/>
          <w:szCs w:val="32"/>
          <w:highlight w:val="none"/>
        </w:rPr>
      </w:pPr>
    </w:p>
    <w:p>
      <w:pPr>
        <w:pStyle w:val="2"/>
        <w:rPr>
          <w:rFonts w:hint="eastAsia"/>
          <w:color w:val="auto"/>
          <w:highlight w:val="none"/>
        </w:rPr>
      </w:pPr>
    </w:p>
    <w:p>
      <w:pPr>
        <w:rPr>
          <w:rFonts w:hint="eastAsia" w:ascii="宋体" w:hAnsi="宋体" w:eastAsia="宋体" w:cs="宋体"/>
          <w:color w:val="auto"/>
          <w:sz w:val="24"/>
          <w:szCs w:val="32"/>
          <w:highlight w:val="none"/>
        </w:rPr>
      </w:pPr>
    </w:p>
    <w:p>
      <w:pPr>
        <w:pStyle w:val="2"/>
        <w:rPr>
          <w:rFonts w:hint="eastAsia"/>
          <w:color w:val="auto"/>
          <w:highlight w:val="none"/>
        </w:rPr>
      </w:pPr>
    </w:p>
    <w:p>
      <w:pPr>
        <w:rPr>
          <w:rFonts w:hint="eastAsia" w:ascii="宋体" w:hAnsi="宋体" w:eastAsia="宋体" w:cs="宋体"/>
          <w:color w:val="auto"/>
          <w:sz w:val="24"/>
          <w:szCs w:val="32"/>
          <w:highlight w:val="none"/>
        </w:rPr>
      </w:pPr>
    </w:p>
    <w:p>
      <w:pPr>
        <w:rPr>
          <w:rFonts w:hint="eastAsia" w:ascii="宋体" w:hAnsi="宋体" w:eastAsia="宋体" w:cs="宋体"/>
          <w:b/>
          <w:bCs/>
          <w:color w:val="auto"/>
          <w:sz w:val="28"/>
          <w:szCs w:val="36"/>
          <w:highlight w:val="none"/>
        </w:rPr>
      </w:pPr>
    </w:p>
    <w:p>
      <w:pP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附件</w:t>
      </w:r>
      <w:r>
        <w:rPr>
          <w:rFonts w:hint="eastAsia" w:ascii="宋体" w:hAnsi="宋体" w:cs="宋体"/>
          <w:b/>
          <w:bCs/>
          <w:color w:val="auto"/>
          <w:sz w:val="28"/>
          <w:szCs w:val="36"/>
          <w:highlight w:val="none"/>
          <w:lang w:val="en-US" w:eastAsia="zh-CN"/>
        </w:rPr>
        <w:t>8</w:t>
      </w:r>
      <w:r>
        <w:rPr>
          <w:rFonts w:hint="eastAsia" w:ascii="宋体" w:hAnsi="宋体" w:eastAsia="宋体" w:cs="宋体"/>
          <w:b/>
          <w:bCs/>
          <w:color w:val="auto"/>
          <w:sz w:val="28"/>
          <w:szCs w:val="36"/>
          <w:highlight w:val="none"/>
        </w:rPr>
        <w:t>　</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u w:val="single"/>
        </w:rPr>
        <w:t xml:space="preserve">   </w:t>
      </w:r>
      <w:r>
        <w:rPr>
          <w:rFonts w:hint="eastAsia" w:ascii="宋体" w:hAnsi="宋体" w:eastAsia="宋体" w:cs="宋体"/>
          <w:bCs/>
          <w:color w:val="auto"/>
          <w:sz w:val="24"/>
          <w:highlight w:val="none"/>
        </w:rPr>
        <w:t>本</w:t>
      </w:r>
    </w:p>
    <w:p>
      <w:pPr>
        <w:spacing w:line="360" w:lineRule="auto"/>
        <w:rPr>
          <w:rFonts w:hint="eastAsia" w:ascii="宋体" w:hAnsi="宋体" w:eastAsia="宋体" w:cs="宋体"/>
          <w:color w:val="auto"/>
          <w:sz w:val="24"/>
          <w:szCs w:val="32"/>
          <w:highlight w:val="none"/>
        </w:rPr>
      </w:pPr>
    </w:p>
    <w:p>
      <w:pPr>
        <w:spacing w:line="360" w:lineRule="auto"/>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pPr>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项目编号：（标段）</w:t>
      </w:r>
    </w:p>
    <w:p>
      <w:pPr>
        <w:autoSpaceDE w:val="0"/>
        <w:autoSpaceDN w:val="0"/>
        <w:adjustRightInd w:val="0"/>
        <w:spacing w:line="360" w:lineRule="auto"/>
        <w:jc w:val="center"/>
        <w:rPr>
          <w:rFonts w:hint="eastAsia" w:ascii="宋体" w:hAnsi="宋体" w:eastAsia="宋体" w:cs="宋体"/>
          <w:color w:val="auto"/>
          <w:sz w:val="84"/>
          <w:szCs w:val="84"/>
          <w:highlight w:val="none"/>
          <w:lang w:val="zh-CN"/>
        </w:rPr>
      </w:pPr>
    </w:p>
    <w:p>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pPr>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pP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pPr>
        <w:autoSpaceDE w:val="0"/>
        <w:autoSpaceDN w:val="0"/>
        <w:adjustRightInd w:val="0"/>
        <w:spacing w:line="360" w:lineRule="auto"/>
        <w:jc w:val="center"/>
        <w:rPr>
          <w:rFonts w:hint="eastAsia" w:ascii="宋体" w:hAnsi="宋体" w:eastAsia="宋体" w:cs="宋体"/>
          <w:color w:val="auto"/>
          <w:spacing w:val="40"/>
          <w:sz w:val="28"/>
          <w:szCs w:val="28"/>
          <w:highlight w:val="none"/>
        </w:rPr>
      </w:pPr>
      <w:r>
        <w:rPr>
          <w:rFonts w:hint="eastAsia" w:ascii="宋体" w:hAnsi="宋体" w:eastAsia="宋体" w:cs="宋体"/>
          <w:color w:val="auto"/>
          <w:sz w:val="28"/>
          <w:szCs w:val="28"/>
          <w:highlight w:val="none"/>
          <w:lang w:val="zh-CN"/>
        </w:rPr>
        <w:t>（商务与技术文件</w:t>
      </w:r>
      <w:r>
        <w:rPr>
          <w:rFonts w:hint="eastAsia" w:ascii="宋体" w:hAnsi="宋体" w:eastAsia="宋体" w:cs="宋体"/>
          <w:color w:val="auto"/>
          <w:spacing w:val="40"/>
          <w:sz w:val="28"/>
          <w:szCs w:val="28"/>
          <w:highlight w:val="none"/>
        </w:rPr>
        <w:t>）</w:t>
      </w:r>
    </w:p>
    <w:p>
      <w:pPr>
        <w:autoSpaceDE w:val="0"/>
        <w:autoSpaceDN w:val="0"/>
        <w:adjustRightInd w:val="0"/>
        <w:spacing w:line="360" w:lineRule="auto"/>
        <w:rPr>
          <w:rFonts w:hint="eastAsia" w:ascii="宋体" w:hAnsi="宋体" w:eastAsia="宋体" w:cs="宋体"/>
          <w:color w:val="auto"/>
          <w:sz w:val="36"/>
          <w:szCs w:val="36"/>
          <w:highlight w:val="none"/>
        </w:rPr>
      </w:pPr>
    </w:p>
    <w:p>
      <w:pPr>
        <w:autoSpaceDE w:val="0"/>
        <w:autoSpaceDN w:val="0"/>
        <w:adjustRightInd w:val="0"/>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pPr>
        <w:autoSpaceDE w:val="0"/>
        <w:autoSpaceDN w:val="0"/>
        <w:adjustRightInd w:val="0"/>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pPr>
        <w:autoSpaceDE w:val="0"/>
        <w:autoSpaceDN w:val="0"/>
        <w:adjustRightInd w:val="0"/>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pStyle w:val="23"/>
        <w:rPr>
          <w:rFonts w:hint="eastAsia" w:ascii="宋体" w:hAnsi="宋体" w:eastAsia="宋体" w:cs="宋体"/>
          <w:color w:val="auto"/>
          <w:highlight w:val="none"/>
        </w:rPr>
      </w:pPr>
    </w:p>
    <w:p>
      <w:pPr>
        <w:spacing w:line="360" w:lineRule="auto"/>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lang w:val="zh-CN"/>
        </w:rPr>
        <w:t>商务与技术文件</w:t>
      </w:r>
      <w:r>
        <w:rPr>
          <w:rFonts w:hint="eastAsia" w:ascii="宋体" w:hAnsi="宋体" w:eastAsia="宋体" w:cs="宋体"/>
          <w:b/>
          <w:bCs/>
          <w:color w:val="auto"/>
          <w:sz w:val="32"/>
          <w:szCs w:val="40"/>
          <w:highlight w:val="none"/>
        </w:rPr>
        <w:t>目录</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（1）投标人情况介绍。</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（2）投标方案描述：</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B.项目组织实施方案（包括项目工期、确保项目供货的措施或方案、项目实施进度安排、项目实施人员及项目负责人的资质、类似经验及社保证明等）。</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C.安装、调试及验收方案（包括项目验收标准和验收方法等）和措施。</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（3）投标产品描述及相关资料：</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A.设备配置清单</w:t>
      </w:r>
      <w:r>
        <w:rPr>
          <w:rFonts w:hint="eastAsia" w:ascii="宋体" w:hAnsi="宋体" w:eastAsia="宋体" w:cs="宋体"/>
          <w:b/>
          <w:bCs/>
          <w:color w:val="auto"/>
          <w:sz w:val="24"/>
          <w:szCs w:val="32"/>
          <w:highlight w:val="none"/>
        </w:rPr>
        <w:t>（均不含报价）</w:t>
      </w:r>
      <w:r>
        <w:rPr>
          <w:rFonts w:hint="eastAsia" w:ascii="宋体" w:hAnsi="宋体" w:eastAsia="宋体" w:cs="宋体"/>
          <w:color w:val="auto"/>
          <w:sz w:val="24"/>
          <w:szCs w:val="32"/>
          <w:highlight w:val="none"/>
        </w:rPr>
        <w:t>。</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B.产品品牌及型号、技术参数指标、性能特点、图片资料以及所遵循的技术规范、产品质保期、出厂标准、产品质量相关检测报告等内容。</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C.商务及技术响应表。</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【特别提示：节能和环境标志产品最新一期政府采购清单，可在“中国政府采购网”中查看】</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（4）投标人通过的质量管理和质量保证体系、环保体系、自主创新相关证书、软件著作权证等等与本项目相关的认证证书或文件；</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（5）近三年来类似项目的成功案例（投标人类似项目实施情况一览表、合同复印件及其相应的发票、用户验收报告等）；</w:t>
      </w:r>
    </w:p>
    <w:p>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rPr>
        <w:t>（6）投标人认为需要提供的其他资料（包括可能影响投标人商务与技术文件评分的各类证明材料）；</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（7）售后服务描述及承诺：</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A.距采购人最近的服务网点详细介绍（包括地理位置、资质资格、技术力量、工作业绩、服务内容及联系电话等）。</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B.针对本项目的售后服务措施及承诺（售后技术服务方案、人员配备、故障响应时间、技术培训方案等）。</w:t>
      </w: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pStyle w:val="2"/>
        <w:rPr>
          <w:rFonts w:hint="eastAsia"/>
          <w:color w:val="auto"/>
          <w:highlight w:val="none"/>
        </w:rPr>
      </w:pPr>
    </w:p>
    <w:p>
      <w:pPr>
        <w:rPr>
          <w:rFonts w:hint="eastAsia" w:ascii="宋体" w:hAnsi="宋体" w:eastAsia="宋体" w:cs="宋体"/>
          <w:color w:val="auto"/>
          <w:sz w:val="24"/>
          <w:szCs w:val="32"/>
          <w:highlight w:val="none"/>
        </w:rPr>
      </w:pPr>
    </w:p>
    <w:p>
      <w:pPr>
        <w:pStyle w:val="2"/>
        <w:rPr>
          <w:rFonts w:hint="eastAsia"/>
          <w:color w:val="auto"/>
          <w:highlight w:val="none"/>
        </w:rPr>
      </w:pPr>
    </w:p>
    <w:p>
      <w:pPr>
        <w:rPr>
          <w:rFonts w:hint="eastAsia" w:ascii="宋体" w:hAnsi="宋体" w:eastAsia="宋体" w:cs="宋体"/>
          <w:color w:val="auto"/>
          <w:sz w:val="24"/>
          <w:szCs w:val="32"/>
          <w:highlight w:val="none"/>
        </w:rPr>
      </w:pPr>
    </w:p>
    <w:p>
      <w:pPr>
        <w:pStyle w:val="2"/>
        <w:rPr>
          <w:rFonts w:hint="eastAsia"/>
          <w:color w:val="auto"/>
          <w:highlight w:val="none"/>
        </w:rPr>
      </w:pPr>
    </w:p>
    <w:p>
      <w:pPr>
        <w:rPr>
          <w:rFonts w:hint="eastAsia" w:ascii="宋体" w:hAnsi="宋体" w:eastAsia="宋体" w:cs="宋体"/>
          <w:color w:val="auto"/>
          <w:sz w:val="24"/>
          <w:szCs w:val="32"/>
          <w:highlight w:val="none"/>
        </w:rPr>
      </w:pPr>
    </w:p>
    <w:p>
      <w:pPr>
        <w:pStyle w:val="2"/>
        <w:rPr>
          <w:rFonts w:hint="eastAsia"/>
          <w:color w:val="auto"/>
          <w:highlight w:val="none"/>
        </w:rPr>
      </w:pPr>
    </w:p>
    <w:p>
      <w:pPr>
        <w:rPr>
          <w:rFonts w:hint="eastAsia" w:ascii="宋体" w:hAnsi="宋体" w:eastAsia="宋体" w:cs="宋体"/>
          <w:color w:val="auto"/>
          <w:sz w:val="24"/>
          <w:szCs w:val="32"/>
          <w:highlight w:val="none"/>
        </w:rPr>
      </w:pPr>
    </w:p>
    <w:p>
      <w:pPr>
        <w:pStyle w:val="2"/>
        <w:rPr>
          <w:rFonts w:hint="eastAsia"/>
          <w:color w:val="auto"/>
          <w:highlight w:val="none"/>
        </w:rPr>
      </w:pPr>
    </w:p>
    <w:p>
      <w:pPr>
        <w:rPr>
          <w:rFonts w:hint="eastAsia" w:ascii="宋体" w:hAnsi="宋体" w:eastAsia="宋体" w:cs="宋体"/>
          <w:color w:val="auto"/>
          <w:sz w:val="24"/>
          <w:szCs w:val="32"/>
          <w:highlight w:val="none"/>
        </w:rPr>
      </w:pPr>
    </w:p>
    <w:p>
      <w:pPr>
        <w:rPr>
          <w:rFonts w:hint="eastAsia" w:ascii="宋体" w:hAnsi="宋体" w:eastAsia="宋体" w:cs="宋体"/>
          <w:b/>
          <w:bCs/>
          <w:color w:val="auto"/>
          <w:sz w:val="28"/>
          <w:szCs w:val="36"/>
          <w:highlight w:val="none"/>
          <w:lang w:val="zh-CN"/>
        </w:rPr>
      </w:pPr>
    </w:p>
    <w:p>
      <w:pPr>
        <w:pStyle w:val="2"/>
        <w:rPr>
          <w:rFonts w:hint="eastAsia"/>
          <w:color w:val="auto"/>
          <w:highlight w:val="none"/>
          <w:lang w:val="zh-CN"/>
        </w:rPr>
      </w:pPr>
    </w:p>
    <w:p>
      <w:pPr>
        <w:rPr>
          <w:rFonts w:hint="eastAsia" w:ascii="宋体" w:hAnsi="宋体" w:eastAsia="宋体" w:cs="宋体"/>
          <w:b/>
          <w:bCs/>
          <w:color w:val="auto"/>
          <w:sz w:val="28"/>
          <w:szCs w:val="36"/>
          <w:highlight w:val="none"/>
          <w:lang w:val="zh-CN"/>
        </w:rPr>
      </w:pPr>
    </w:p>
    <w:p>
      <w:pPr>
        <w:rPr>
          <w:rFonts w:hint="eastAsia" w:ascii="宋体" w:hAnsi="宋体" w:eastAsia="宋体" w:cs="宋体"/>
          <w:b/>
          <w:bCs/>
          <w:color w:val="auto"/>
          <w:sz w:val="28"/>
          <w:szCs w:val="36"/>
          <w:highlight w:val="none"/>
          <w:lang w:val="zh-CN" w:eastAsia="zh-CN"/>
        </w:rPr>
      </w:pPr>
      <w:r>
        <w:rPr>
          <w:rFonts w:hint="eastAsia" w:ascii="宋体" w:hAnsi="宋体" w:eastAsia="宋体" w:cs="宋体"/>
          <w:b/>
          <w:bCs/>
          <w:color w:val="auto"/>
          <w:sz w:val="28"/>
          <w:szCs w:val="36"/>
          <w:highlight w:val="none"/>
          <w:lang w:val="zh-CN"/>
        </w:rPr>
        <w:t>附件</w:t>
      </w:r>
      <w:r>
        <w:rPr>
          <w:rFonts w:hint="eastAsia" w:ascii="宋体" w:hAnsi="宋体" w:cs="宋体"/>
          <w:b/>
          <w:bCs/>
          <w:color w:val="auto"/>
          <w:sz w:val="28"/>
          <w:szCs w:val="36"/>
          <w:highlight w:val="none"/>
          <w:lang w:val="en-US" w:eastAsia="zh-CN"/>
        </w:rPr>
        <w:t>9</w:t>
      </w:r>
    </w:p>
    <w:p>
      <w:pPr>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投标人基本情况表</w:t>
      </w:r>
    </w:p>
    <w:tbl>
      <w:tblPr>
        <w:tblStyle w:val="26"/>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0" w:type="dxa"/>
            <w:vAlign w:val="center"/>
          </w:tcPr>
          <w:p>
            <w:pPr>
              <w:pStyle w:val="64"/>
              <w:shd w:val="clear" w:color="auto" w:fill="FFFFFF"/>
              <w:spacing w:line="360" w:lineRule="auto"/>
              <w:jc w:val="both"/>
              <w:rPr>
                <w:rFonts w:hint="eastAsia" w:ascii="宋体" w:hAnsi="宋体" w:eastAsia="宋体" w:cs="宋体"/>
                <w:bCs/>
                <w:color w:val="auto"/>
                <w:highlight w:val="none"/>
              </w:rPr>
            </w:pPr>
            <w:r>
              <w:rPr>
                <w:rFonts w:hint="eastAsia" w:ascii="宋体" w:hAnsi="宋体" w:eastAsia="宋体" w:cs="宋体"/>
                <w:bCs/>
                <w:color w:val="auto"/>
                <w:spacing w:val="27"/>
                <w:highlight w:val="none"/>
              </w:rPr>
              <w:t>企业名称</w:t>
            </w:r>
          </w:p>
        </w:tc>
        <w:tc>
          <w:tcPr>
            <w:tcW w:w="3765" w:type="dxa"/>
            <w:gridSpan w:val="6"/>
            <w:vAlign w:val="center"/>
          </w:tcPr>
          <w:p>
            <w:pPr>
              <w:pStyle w:val="64"/>
              <w:shd w:val="clear" w:color="auto" w:fill="FFFFFF"/>
              <w:spacing w:line="360" w:lineRule="auto"/>
              <w:jc w:val="both"/>
              <w:rPr>
                <w:rFonts w:hint="eastAsia" w:ascii="宋体" w:hAnsi="宋体" w:eastAsia="宋体" w:cs="宋体"/>
                <w:bCs/>
                <w:color w:val="auto"/>
                <w:highlight w:val="none"/>
              </w:rPr>
            </w:pPr>
          </w:p>
        </w:tc>
        <w:tc>
          <w:tcPr>
            <w:tcW w:w="1560" w:type="dxa"/>
            <w:vAlign w:val="center"/>
          </w:tcPr>
          <w:p>
            <w:pPr>
              <w:pStyle w:val="64"/>
              <w:shd w:val="clear" w:color="auto" w:fill="FFFFFF"/>
              <w:spacing w:line="360" w:lineRule="auto"/>
              <w:jc w:val="center"/>
              <w:rPr>
                <w:rFonts w:hint="eastAsia" w:ascii="宋体" w:hAnsi="宋体" w:eastAsia="宋体" w:cs="宋体"/>
                <w:bCs/>
                <w:color w:val="auto"/>
                <w:highlight w:val="none"/>
              </w:rPr>
            </w:pPr>
            <w:r>
              <w:rPr>
                <w:rFonts w:hint="eastAsia" w:ascii="宋体" w:hAnsi="宋体" w:eastAsia="宋体" w:cs="宋体"/>
                <w:bCs/>
                <w:color w:val="auto"/>
                <w:spacing w:val="16"/>
                <w:highlight w:val="none"/>
              </w:rPr>
              <w:t>法人代表</w:t>
            </w:r>
          </w:p>
        </w:tc>
        <w:tc>
          <w:tcPr>
            <w:tcW w:w="2608" w:type="dxa"/>
            <w:gridSpan w:val="3"/>
            <w:vAlign w:val="center"/>
          </w:tcPr>
          <w:p>
            <w:pPr>
              <w:pStyle w:val="64"/>
              <w:shd w:val="clear" w:color="auto" w:fill="FFFFFF"/>
              <w:spacing w:line="360" w:lineRule="auto"/>
              <w:jc w:val="both"/>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vAlign w:val="center"/>
          </w:tcPr>
          <w:p>
            <w:pPr>
              <w:pStyle w:val="64"/>
              <w:shd w:val="clear" w:color="auto" w:fill="FFFFFF"/>
              <w:spacing w:line="360" w:lineRule="auto"/>
              <w:jc w:val="both"/>
              <w:rPr>
                <w:rFonts w:hint="eastAsia" w:ascii="宋体" w:hAnsi="宋体" w:eastAsia="宋体" w:cs="宋体"/>
                <w:bCs/>
                <w:color w:val="auto"/>
                <w:spacing w:val="16"/>
                <w:highlight w:val="none"/>
              </w:rPr>
            </w:pPr>
            <w:r>
              <w:rPr>
                <w:rFonts w:hint="eastAsia" w:ascii="宋体" w:hAnsi="宋体" w:eastAsia="宋体" w:cs="宋体"/>
                <w:bCs/>
                <w:color w:val="auto"/>
                <w:spacing w:val="27"/>
                <w:highlight w:val="none"/>
              </w:rPr>
              <w:t>地址</w:t>
            </w:r>
          </w:p>
        </w:tc>
        <w:tc>
          <w:tcPr>
            <w:tcW w:w="3765" w:type="dxa"/>
            <w:gridSpan w:val="6"/>
            <w:vAlign w:val="center"/>
          </w:tcPr>
          <w:p>
            <w:pPr>
              <w:pStyle w:val="64"/>
              <w:shd w:val="clear" w:color="auto" w:fill="FFFFFF"/>
              <w:spacing w:line="360" w:lineRule="auto"/>
              <w:jc w:val="both"/>
              <w:rPr>
                <w:rFonts w:hint="eastAsia" w:ascii="宋体" w:hAnsi="宋体" w:eastAsia="宋体" w:cs="宋体"/>
                <w:bCs/>
                <w:color w:val="auto"/>
                <w:spacing w:val="16"/>
                <w:highlight w:val="none"/>
              </w:rPr>
            </w:pPr>
          </w:p>
        </w:tc>
        <w:tc>
          <w:tcPr>
            <w:tcW w:w="1560" w:type="dxa"/>
            <w:vAlign w:val="center"/>
          </w:tcPr>
          <w:p>
            <w:pPr>
              <w:pStyle w:val="64"/>
              <w:shd w:val="clear" w:color="auto" w:fill="FFFFFF"/>
              <w:spacing w:line="360" w:lineRule="auto"/>
              <w:jc w:val="center"/>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企业性质</w:t>
            </w:r>
          </w:p>
        </w:tc>
        <w:tc>
          <w:tcPr>
            <w:tcW w:w="2608" w:type="dxa"/>
            <w:gridSpan w:val="3"/>
            <w:vAlign w:val="center"/>
          </w:tcPr>
          <w:p>
            <w:pPr>
              <w:pStyle w:val="64"/>
              <w:shd w:val="clear" w:color="auto" w:fill="FFFFFF"/>
              <w:spacing w:line="360" w:lineRule="auto"/>
              <w:jc w:val="both"/>
              <w:rPr>
                <w:rFonts w:hint="eastAsia" w:ascii="宋体" w:hAnsi="宋体" w:eastAsia="宋体" w:cs="宋体"/>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0" w:type="dxa"/>
            <w:vAlign w:val="center"/>
          </w:tcPr>
          <w:p>
            <w:pPr>
              <w:pStyle w:val="64"/>
              <w:shd w:val="clear" w:color="auto" w:fill="FFFFFF"/>
              <w:spacing w:line="360" w:lineRule="auto"/>
              <w:jc w:val="both"/>
              <w:rPr>
                <w:rFonts w:hint="eastAsia" w:ascii="宋体" w:hAnsi="宋体" w:eastAsia="宋体" w:cs="宋体"/>
                <w:bCs/>
                <w:color w:val="auto"/>
                <w:spacing w:val="16"/>
                <w:highlight w:val="none"/>
              </w:rPr>
            </w:pPr>
            <w:r>
              <w:rPr>
                <w:rFonts w:hint="eastAsia" w:ascii="宋体" w:hAnsi="宋体" w:eastAsia="宋体" w:cs="宋体"/>
                <w:bCs/>
                <w:color w:val="auto"/>
                <w:spacing w:val="27"/>
                <w:highlight w:val="none"/>
              </w:rPr>
              <w:t>股东姓名</w:t>
            </w:r>
          </w:p>
        </w:tc>
        <w:tc>
          <w:tcPr>
            <w:tcW w:w="690" w:type="dxa"/>
            <w:vAlign w:val="center"/>
          </w:tcPr>
          <w:p>
            <w:pPr>
              <w:pStyle w:val="64"/>
              <w:shd w:val="clear" w:color="auto" w:fill="FFFFFF"/>
              <w:spacing w:before="0" w:beforeAutospacing="0" w:after="0" w:afterAutospacing="0" w:line="360" w:lineRule="auto"/>
              <w:jc w:val="both"/>
              <w:rPr>
                <w:rFonts w:hint="eastAsia" w:ascii="宋体" w:hAnsi="宋体" w:eastAsia="宋体" w:cs="宋体"/>
                <w:bCs/>
                <w:color w:val="auto"/>
                <w:spacing w:val="16"/>
                <w:highlight w:val="none"/>
              </w:rPr>
            </w:pPr>
          </w:p>
        </w:tc>
        <w:tc>
          <w:tcPr>
            <w:tcW w:w="960" w:type="dxa"/>
            <w:gridSpan w:val="2"/>
            <w:vAlign w:val="center"/>
          </w:tcPr>
          <w:p>
            <w:pPr>
              <w:pStyle w:val="64"/>
              <w:shd w:val="clear" w:color="auto" w:fill="FFFFFF"/>
              <w:spacing w:line="360" w:lineRule="auto"/>
              <w:jc w:val="both"/>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股权结构（%）</w:t>
            </w:r>
          </w:p>
        </w:tc>
        <w:tc>
          <w:tcPr>
            <w:tcW w:w="2115" w:type="dxa"/>
            <w:gridSpan w:val="3"/>
            <w:vAlign w:val="center"/>
          </w:tcPr>
          <w:p>
            <w:pPr>
              <w:widowControl/>
              <w:spacing w:line="360" w:lineRule="auto"/>
              <w:rPr>
                <w:rFonts w:hint="eastAsia" w:ascii="宋体" w:hAnsi="宋体" w:eastAsia="宋体" w:cs="宋体"/>
                <w:bCs/>
                <w:color w:val="auto"/>
                <w:spacing w:val="16"/>
                <w:kern w:val="0"/>
                <w:sz w:val="24"/>
                <w:highlight w:val="none"/>
              </w:rPr>
            </w:pPr>
          </w:p>
          <w:p>
            <w:pPr>
              <w:pStyle w:val="64"/>
              <w:shd w:val="clear" w:color="auto" w:fill="FFFFFF"/>
              <w:spacing w:line="360" w:lineRule="auto"/>
              <w:jc w:val="both"/>
              <w:rPr>
                <w:rFonts w:hint="eastAsia" w:ascii="宋体" w:hAnsi="宋体" w:eastAsia="宋体" w:cs="宋体"/>
                <w:bCs/>
                <w:color w:val="auto"/>
                <w:spacing w:val="16"/>
                <w:highlight w:val="none"/>
              </w:rPr>
            </w:pPr>
          </w:p>
        </w:tc>
        <w:tc>
          <w:tcPr>
            <w:tcW w:w="1560" w:type="dxa"/>
            <w:vAlign w:val="center"/>
          </w:tcPr>
          <w:p>
            <w:pPr>
              <w:pStyle w:val="64"/>
              <w:shd w:val="clear" w:color="auto" w:fill="FFFFFF"/>
              <w:spacing w:line="360" w:lineRule="auto"/>
              <w:ind w:left="107"/>
              <w:jc w:val="center"/>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股东关系</w:t>
            </w:r>
          </w:p>
        </w:tc>
        <w:tc>
          <w:tcPr>
            <w:tcW w:w="2608" w:type="dxa"/>
            <w:gridSpan w:val="3"/>
            <w:vAlign w:val="center"/>
          </w:tcPr>
          <w:p>
            <w:pPr>
              <w:pStyle w:val="64"/>
              <w:shd w:val="clear" w:color="auto" w:fill="FFFFFF"/>
              <w:spacing w:line="360" w:lineRule="auto"/>
              <w:ind w:left="107"/>
              <w:jc w:val="both"/>
              <w:rPr>
                <w:rFonts w:hint="eastAsia" w:ascii="宋体" w:hAnsi="宋体" w:eastAsia="宋体" w:cs="宋体"/>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vAlign w:val="center"/>
          </w:tcPr>
          <w:p>
            <w:pPr>
              <w:pStyle w:val="64"/>
              <w:shd w:val="clear" w:color="auto" w:fill="FFFFFF"/>
              <w:spacing w:line="360" w:lineRule="auto"/>
              <w:jc w:val="both"/>
              <w:rPr>
                <w:rFonts w:hint="eastAsia" w:ascii="宋体" w:hAnsi="宋体" w:eastAsia="宋体" w:cs="宋体"/>
                <w:bCs/>
                <w:color w:val="auto"/>
                <w:spacing w:val="16"/>
                <w:highlight w:val="none"/>
              </w:rPr>
            </w:pPr>
            <w:r>
              <w:rPr>
                <w:rFonts w:hint="eastAsia" w:ascii="宋体" w:hAnsi="宋体" w:eastAsia="宋体" w:cs="宋体"/>
                <w:bCs/>
                <w:color w:val="auto"/>
                <w:spacing w:val="12"/>
                <w:highlight w:val="none"/>
              </w:rPr>
              <w:t>联系人</w:t>
            </w:r>
            <w:r>
              <w:rPr>
                <w:rFonts w:hint="eastAsia" w:ascii="宋体" w:hAnsi="宋体" w:eastAsia="宋体" w:cs="宋体"/>
                <w:bCs/>
                <w:color w:val="auto"/>
                <w:spacing w:val="27"/>
                <w:highlight w:val="none"/>
              </w:rPr>
              <w:t>姓名</w:t>
            </w:r>
          </w:p>
        </w:tc>
        <w:tc>
          <w:tcPr>
            <w:tcW w:w="690" w:type="dxa"/>
            <w:vMerge w:val="restart"/>
            <w:tcBorders>
              <w:top w:val="nil"/>
            </w:tcBorders>
            <w:vAlign w:val="center"/>
          </w:tcPr>
          <w:p>
            <w:pPr>
              <w:pStyle w:val="64"/>
              <w:shd w:val="clear" w:color="auto" w:fill="FFFFFF"/>
              <w:spacing w:line="360" w:lineRule="auto"/>
              <w:jc w:val="both"/>
              <w:rPr>
                <w:rFonts w:hint="eastAsia" w:ascii="宋体" w:hAnsi="宋体" w:eastAsia="宋体" w:cs="宋体"/>
                <w:bCs/>
                <w:color w:val="auto"/>
                <w:spacing w:val="16"/>
                <w:highlight w:val="none"/>
              </w:rPr>
            </w:pPr>
          </w:p>
        </w:tc>
        <w:tc>
          <w:tcPr>
            <w:tcW w:w="960" w:type="dxa"/>
            <w:gridSpan w:val="2"/>
            <w:tcBorders>
              <w:top w:val="nil"/>
            </w:tcBorders>
            <w:vAlign w:val="center"/>
          </w:tcPr>
          <w:p>
            <w:pPr>
              <w:pStyle w:val="64"/>
              <w:shd w:val="clear" w:color="auto" w:fill="FFFFFF"/>
              <w:spacing w:line="360" w:lineRule="auto"/>
              <w:jc w:val="both"/>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固定电话</w:t>
            </w:r>
          </w:p>
        </w:tc>
        <w:tc>
          <w:tcPr>
            <w:tcW w:w="2115" w:type="dxa"/>
            <w:gridSpan w:val="3"/>
            <w:tcBorders>
              <w:top w:val="nil"/>
            </w:tcBorders>
            <w:vAlign w:val="center"/>
          </w:tcPr>
          <w:p>
            <w:pPr>
              <w:widowControl/>
              <w:spacing w:line="360" w:lineRule="auto"/>
              <w:rPr>
                <w:rFonts w:hint="eastAsia" w:ascii="宋体" w:hAnsi="宋体" w:eastAsia="宋体" w:cs="宋体"/>
                <w:bCs/>
                <w:color w:val="auto"/>
                <w:spacing w:val="16"/>
                <w:kern w:val="0"/>
                <w:sz w:val="24"/>
                <w:highlight w:val="none"/>
              </w:rPr>
            </w:pPr>
          </w:p>
          <w:p>
            <w:pPr>
              <w:pStyle w:val="64"/>
              <w:shd w:val="clear" w:color="auto" w:fill="FFFFFF"/>
              <w:spacing w:line="360" w:lineRule="auto"/>
              <w:jc w:val="both"/>
              <w:rPr>
                <w:rFonts w:hint="eastAsia" w:ascii="宋体" w:hAnsi="宋体" w:eastAsia="宋体" w:cs="宋体"/>
                <w:bCs/>
                <w:color w:val="auto"/>
                <w:spacing w:val="16"/>
                <w:highlight w:val="none"/>
              </w:rPr>
            </w:pPr>
          </w:p>
        </w:tc>
        <w:tc>
          <w:tcPr>
            <w:tcW w:w="1560" w:type="dxa"/>
            <w:vMerge w:val="restart"/>
            <w:vAlign w:val="center"/>
          </w:tcPr>
          <w:p>
            <w:pPr>
              <w:pStyle w:val="64"/>
              <w:shd w:val="clear" w:color="auto" w:fill="FFFFFF"/>
              <w:spacing w:before="0" w:beforeAutospacing="0" w:after="0" w:afterAutospacing="0" w:line="360" w:lineRule="auto"/>
              <w:jc w:val="center"/>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传真</w:t>
            </w:r>
          </w:p>
        </w:tc>
        <w:tc>
          <w:tcPr>
            <w:tcW w:w="2608" w:type="dxa"/>
            <w:gridSpan w:val="3"/>
            <w:vMerge w:val="restart"/>
            <w:vAlign w:val="center"/>
          </w:tcPr>
          <w:p>
            <w:pPr>
              <w:pStyle w:val="64"/>
              <w:shd w:val="clear" w:color="auto" w:fill="FFFFFF"/>
              <w:spacing w:line="360" w:lineRule="auto"/>
              <w:jc w:val="both"/>
              <w:rPr>
                <w:rFonts w:hint="eastAsia" w:ascii="宋体" w:hAnsi="宋体" w:eastAsia="宋体" w:cs="宋体"/>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vAlign w:val="center"/>
          </w:tcPr>
          <w:p>
            <w:pPr>
              <w:pStyle w:val="64"/>
              <w:shd w:val="clear" w:color="auto" w:fill="FFFFFF"/>
              <w:spacing w:line="360" w:lineRule="auto"/>
              <w:ind w:left="107"/>
              <w:jc w:val="both"/>
              <w:rPr>
                <w:rFonts w:hint="eastAsia" w:ascii="宋体" w:hAnsi="宋体" w:eastAsia="宋体" w:cs="宋体"/>
                <w:bCs/>
                <w:color w:val="auto"/>
                <w:highlight w:val="none"/>
              </w:rPr>
            </w:pPr>
          </w:p>
        </w:tc>
        <w:tc>
          <w:tcPr>
            <w:tcW w:w="690" w:type="dxa"/>
            <w:vMerge w:val="continue"/>
            <w:vAlign w:val="center"/>
          </w:tcPr>
          <w:p>
            <w:pPr>
              <w:pStyle w:val="64"/>
              <w:shd w:val="clear" w:color="auto" w:fill="FFFFFF"/>
              <w:spacing w:line="360" w:lineRule="auto"/>
              <w:jc w:val="both"/>
              <w:rPr>
                <w:rFonts w:hint="eastAsia" w:ascii="宋体" w:hAnsi="宋体" w:eastAsia="宋体" w:cs="宋体"/>
                <w:bCs/>
                <w:color w:val="auto"/>
                <w:spacing w:val="16"/>
                <w:highlight w:val="none"/>
              </w:rPr>
            </w:pPr>
          </w:p>
        </w:tc>
        <w:tc>
          <w:tcPr>
            <w:tcW w:w="960" w:type="dxa"/>
            <w:gridSpan w:val="2"/>
            <w:vAlign w:val="center"/>
          </w:tcPr>
          <w:p>
            <w:pPr>
              <w:pStyle w:val="64"/>
              <w:shd w:val="clear" w:color="auto" w:fill="FFFFFF"/>
              <w:spacing w:line="360" w:lineRule="auto"/>
              <w:jc w:val="both"/>
              <w:rPr>
                <w:rFonts w:hint="eastAsia" w:ascii="宋体" w:hAnsi="宋体" w:eastAsia="宋体" w:cs="宋体"/>
                <w:bCs/>
                <w:color w:val="auto"/>
                <w:spacing w:val="16"/>
                <w:highlight w:val="none"/>
              </w:rPr>
            </w:pPr>
            <w:r>
              <w:rPr>
                <w:rFonts w:hint="eastAsia" w:ascii="宋体" w:hAnsi="宋体" w:eastAsia="宋体" w:cs="宋体"/>
                <w:bCs/>
                <w:color w:val="auto"/>
                <w:spacing w:val="27"/>
                <w:highlight w:val="none"/>
              </w:rPr>
              <w:t>手机</w:t>
            </w:r>
          </w:p>
        </w:tc>
        <w:tc>
          <w:tcPr>
            <w:tcW w:w="2115" w:type="dxa"/>
            <w:gridSpan w:val="3"/>
            <w:vAlign w:val="center"/>
          </w:tcPr>
          <w:p>
            <w:pPr>
              <w:pStyle w:val="64"/>
              <w:shd w:val="clear" w:color="auto" w:fill="FFFFFF"/>
              <w:spacing w:line="360" w:lineRule="auto"/>
              <w:jc w:val="both"/>
              <w:rPr>
                <w:rFonts w:hint="eastAsia" w:ascii="宋体" w:hAnsi="宋体" w:eastAsia="宋体" w:cs="宋体"/>
                <w:bCs/>
                <w:color w:val="auto"/>
                <w:spacing w:val="16"/>
                <w:highlight w:val="none"/>
              </w:rPr>
            </w:pPr>
          </w:p>
        </w:tc>
        <w:tc>
          <w:tcPr>
            <w:tcW w:w="1560" w:type="dxa"/>
            <w:vMerge w:val="continue"/>
            <w:vAlign w:val="center"/>
          </w:tcPr>
          <w:p>
            <w:pPr>
              <w:pStyle w:val="64"/>
              <w:shd w:val="clear" w:color="auto" w:fill="FFFFFF"/>
              <w:spacing w:line="360" w:lineRule="auto"/>
              <w:jc w:val="center"/>
              <w:rPr>
                <w:rFonts w:hint="eastAsia" w:ascii="宋体" w:hAnsi="宋体" w:eastAsia="宋体" w:cs="宋体"/>
                <w:bCs/>
                <w:color w:val="auto"/>
                <w:spacing w:val="16"/>
                <w:highlight w:val="none"/>
              </w:rPr>
            </w:pPr>
          </w:p>
        </w:tc>
        <w:tc>
          <w:tcPr>
            <w:tcW w:w="2608" w:type="dxa"/>
            <w:gridSpan w:val="3"/>
            <w:vMerge w:val="continue"/>
            <w:vAlign w:val="center"/>
          </w:tcPr>
          <w:p>
            <w:pPr>
              <w:pStyle w:val="64"/>
              <w:shd w:val="clear" w:color="auto" w:fill="FFFFFF"/>
              <w:spacing w:line="360" w:lineRule="auto"/>
              <w:jc w:val="both"/>
              <w:rPr>
                <w:rFonts w:hint="eastAsia" w:ascii="宋体" w:hAnsi="宋体" w:eastAsia="宋体" w:cs="宋体"/>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0" w:type="dxa"/>
            <w:vMerge w:val="restart"/>
            <w:vAlign w:val="center"/>
          </w:tcPr>
          <w:p>
            <w:pPr>
              <w:pStyle w:val="64"/>
              <w:shd w:val="clear" w:color="auto" w:fill="FFFFFF"/>
              <w:spacing w:line="360" w:lineRule="auto"/>
              <w:ind w:left="107"/>
              <w:jc w:val="both"/>
              <w:rPr>
                <w:rFonts w:hint="eastAsia" w:ascii="宋体" w:hAnsi="宋体" w:eastAsia="宋体" w:cs="宋体"/>
                <w:bCs/>
                <w:color w:val="auto"/>
                <w:highlight w:val="none"/>
              </w:rPr>
            </w:pPr>
            <w:r>
              <w:rPr>
                <w:rFonts w:hint="eastAsia" w:ascii="宋体" w:hAnsi="宋体" w:eastAsia="宋体" w:cs="宋体"/>
                <w:bCs/>
                <w:color w:val="auto"/>
                <w:highlight w:val="none"/>
              </w:rPr>
              <w:t>1.</w:t>
            </w:r>
          </w:p>
          <w:p>
            <w:pPr>
              <w:pStyle w:val="64"/>
              <w:shd w:val="clear" w:color="auto" w:fill="FFFFFF"/>
              <w:spacing w:line="360" w:lineRule="auto"/>
              <w:ind w:left="107"/>
              <w:jc w:val="both"/>
              <w:rPr>
                <w:rFonts w:hint="eastAsia" w:ascii="宋体" w:hAnsi="宋体" w:eastAsia="宋体" w:cs="宋体"/>
                <w:bCs/>
                <w:color w:val="auto"/>
                <w:highlight w:val="none"/>
              </w:rPr>
            </w:pPr>
            <w:r>
              <w:rPr>
                <w:rFonts w:hint="eastAsia" w:ascii="宋体" w:hAnsi="宋体" w:eastAsia="宋体" w:cs="宋体"/>
                <w:bCs/>
                <w:color w:val="auto"/>
                <w:highlight w:val="none"/>
              </w:rPr>
              <w:t>企</w:t>
            </w:r>
          </w:p>
          <w:p>
            <w:pPr>
              <w:pStyle w:val="64"/>
              <w:shd w:val="clear" w:color="auto" w:fill="FFFFFF"/>
              <w:spacing w:line="360" w:lineRule="auto"/>
              <w:ind w:left="107"/>
              <w:jc w:val="both"/>
              <w:rPr>
                <w:rFonts w:hint="eastAsia" w:ascii="宋体" w:hAnsi="宋体" w:eastAsia="宋体" w:cs="宋体"/>
                <w:bCs/>
                <w:color w:val="auto"/>
                <w:highlight w:val="none"/>
              </w:rPr>
            </w:pPr>
            <w:r>
              <w:rPr>
                <w:rFonts w:hint="eastAsia" w:ascii="宋体" w:hAnsi="宋体" w:eastAsia="宋体" w:cs="宋体"/>
                <w:bCs/>
                <w:color w:val="auto"/>
                <w:highlight w:val="none"/>
              </w:rPr>
              <w:t>业</w:t>
            </w:r>
          </w:p>
          <w:p>
            <w:pPr>
              <w:pStyle w:val="64"/>
              <w:shd w:val="clear" w:color="auto" w:fill="FFFFFF"/>
              <w:spacing w:line="360" w:lineRule="auto"/>
              <w:ind w:left="107"/>
              <w:jc w:val="both"/>
              <w:rPr>
                <w:rFonts w:hint="eastAsia" w:ascii="宋体" w:hAnsi="宋体" w:eastAsia="宋体" w:cs="宋体"/>
                <w:bCs/>
                <w:color w:val="auto"/>
                <w:spacing w:val="27"/>
                <w:highlight w:val="none"/>
              </w:rPr>
            </w:pPr>
            <w:r>
              <w:rPr>
                <w:rFonts w:hint="eastAsia" w:ascii="宋体" w:hAnsi="宋体" w:eastAsia="宋体" w:cs="宋体"/>
                <w:bCs/>
                <w:color w:val="auto"/>
                <w:spacing w:val="27"/>
                <w:highlight w:val="none"/>
              </w:rPr>
              <w:t>概</w:t>
            </w:r>
          </w:p>
          <w:p>
            <w:pPr>
              <w:pStyle w:val="64"/>
              <w:shd w:val="clear" w:color="auto" w:fill="FFFFFF"/>
              <w:spacing w:line="360" w:lineRule="auto"/>
              <w:ind w:left="107"/>
              <w:jc w:val="both"/>
              <w:rPr>
                <w:rFonts w:hint="eastAsia" w:ascii="宋体" w:hAnsi="宋体" w:eastAsia="宋体" w:cs="宋体"/>
                <w:bCs/>
                <w:color w:val="auto"/>
                <w:highlight w:val="none"/>
              </w:rPr>
            </w:pPr>
            <w:r>
              <w:rPr>
                <w:rFonts w:hint="eastAsia" w:ascii="宋体" w:hAnsi="宋体" w:eastAsia="宋体" w:cs="宋体"/>
                <w:bCs/>
                <w:color w:val="auto"/>
                <w:spacing w:val="27"/>
                <w:highlight w:val="none"/>
              </w:rPr>
              <w:t>况</w:t>
            </w:r>
          </w:p>
        </w:tc>
        <w:tc>
          <w:tcPr>
            <w:tcW w:w="690" w:type="dxa"/>
            <w:tcBorders>
              <w:top w:val="nil"/>
            </w:tcBorders>
            <w:vAlign w:val="center"/>
          </w:tcPr>
          <w:p>
            <w:pPr>
              <w:pStyle w:val="64"/>
              <w:shd w:val="clear" w:color="auto" w:fill="FFFFFF"/>
              <w:spacing w:line="360" w:lineRule="auto"/>
              <w:jc w:val="both"/>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职工人数</w:t>
            </w:r>
          </w:p>
        </w:tc>
        <w:tc>
          <w:tcPr>
            <w:tcW w:w="960" w:type="dxa"/>
            <w:gridSpan w:val="2"/>
            <w:tcBorders>
              <w:top w:val="nil"/>
            </w:tcBorders>
            <w:vAlign w:val="center"/>
          </w:tcPr>
          <w:p>
            <w:pPr>
              <w:pStyle w:val="64"/>
              <w:shd w:val="clear" w:color="auto" w:fill="FFFFFF"/>
              <w:spacing w:line="360" w:lineRule="auto"/>
              <w:jc w:val="both"/>
              <w:rPr>
                <w:rFonts w:hint="eastAsia" w:ascii="宋体" w:hAnsi="宋体" w:eastAsia="宋体" w:cs="宋体"/>
                <w:bCs/>
                <w:color w:val="auto"/>
                <w:spacing w:val="16"/>
                <w:highlight w:val="none"/>
              </w:rPr>
            </w:pPr>
          </w:p>
        </w:tc>
        <w:tc>
          <w:tcPr>
            <w:tcW w:w="926" w:type="dxa"/>
            <w:tcBorders>
              <w:top w:val="nil"/>
            </w:tcBorders>
            <w:vAlign w:val="center"/>
          </w:tcPr>
          <w:p>
            <w:pPr>
              <w:pStyle w:val="64"/>
              <w:shd w:val="clear" w:color="auto" w:fill="FFFFFF"/>
              <w:spacing w:before="0" w:beforeAutospacing="0" w:after="0" w:afterAutospacing="0" w:line="360" w:lineRule="auto"/>
              <w:jc w:val="both"/>
              <w:rPr>
                <w:rFonts w:hint="eastAsia" w:ascii="宋体" w:hAnsi="宋体" w:eastAsia="宋体" w:cs="宋体"/>
                <w:bCs/>
                <w:color w:val="auto"/>
                <w:highlight w:val="none"/>
              </w:rPr>
            </w:pPr>
            <w:r>
              <w:rPr>
                <w:rFonts w:hint="eastAsia" w:ascii="宋体" w:hAnsi="宋体" w:eastAsia="宋体" w:cs="宋体"/>
                <w:bCs/>
                <w:color w:val="auto"/>
                <w:spacing w:val="18"/>
                <w:highlight w:val="none"/>
              </w:rPr>
              <w:t>具备大专以</w:t>
            </w:r>
            <w:r>
              <w:rPr>
                <w:rFonts w:hint="eastAsia" w:ascii="宋体" w:hAnsi="宋体" w:eastAsia="宋体" w:cs="宋体"/>
                <w:bCs/>
                <w:color w:val="auto"/>
                <w:spacing w:val="12"/>
                <w:highlight w:val="none"/>
              </w:rPr>
              <w:t>上学历人数</w:t>
            </w:r>
          </w:p>
        </w:tc>
        <w:tc>
          <w:tcPr>
            <w:tcW w:w="1189" w:type="dxa"/>
            <w:gridSpan w:val="2"/>
            <w:tcBorders>
              <w:top w:val="nil"/>
            </w:tcBorders>
            <w:vAlign w:val="center"/>
          </w:tcPr>
          <w:p>
            <w:pPr>
              <w:widowControl/>
              <w:spacing w:line="360" w:lineRule="auto"/>
              <w:rPr>
                <w:rFonts w:hint="eastAsia" w:ascii="宋体" w:hAnsi="宋体" w:eastAsia="宋体" w:cs="宋体"/>
                <w:bCs/>
                <w:color w:val="auto"/>
                <w:spacing w:val="16"/>
                <w:kern w:val="0"/>
                <w:sz w:val="24"/>
                <w:highlight w:val="none"/>
              </w:rPr>
            </w:pPr>
          </w:p>
          <w:p>
            <w:pPr>
              <w:widowControl/>
              <w:spacing w:line="360" w:lineRule="auto"/>
              <w:rPr>
                <w:rFonts w:hint="eastAsia" w:ascii="宋体" w:hAnsi="宋体" w:eastAsia="宋体" w:cs="宋体"/>
                <w:bCs/>
                <w:color w:val="auto"/>
                <w:spacing w:val="16"/>
                <w:kern w:val="0"/>
                <w:sz w:val="24"/>
                <w:highlight w:val="none"/>
              </w:rPr>
            </w:pPr>
          </w:p>
          <w:p>
            <w:pPr>
              <w:pStyle w:val="64"/>
              <w:shd w:val="clear" w:color="auto" w:fill="FFFFFF"/>
              <w:spacing w:line="360" w:lineRule="auto"/>
              <w:jc w:val="both"/>
              <w:rPr>
                <w:rFonts w:hint="eastAsia" w:ascii="宋体" w:hAnsi="宋体" w:eastAsia="宋体" w:cs="宋体"/>
                <w:bCs/>
                <w:color w:val="auto"/>
                <w:spacing w:val="16"/>
                <w:highlight w:val="none"/>
              </w:rPr>
            </w:pPr>
          </w:p>
        </w:tc>
        <w:tc>
          <w:tcPr>
            <w:tcW w:w="1560" w:type="dxa"/>
            <w:vAlign w:val="center"/>
          </w:tcPr>
          <w:p>
            <w:pPr>
              <w:pStyle w:val="64"/>
              <w:shd w:val="clear" w:color="auto" w:fill="FFFFFF"/>
              <w:spacing w:line="360" w:lineRule="auto"/>
              <w:jc w:val="center"/>
              <w:rPr>
                <w:rFonts w:hint="eastAsia" w:ascii="宋体" w:hAnsi="宋体" w:eastAsia="宋体" w:cs="宋体"/>
                <w:bCs/>
                <w:color w:val="auto"/>
                <w:spacing w:val="16"/>
                <w:highlight w:val="none"/>
              </w:rPr>
            </w:pPr>
            <w:r>
              <w:rPr>
                <w:rFonts w:hint="eastAsia" w:ascii="宋体" w:hAnsi="宋体" w:eastAsia="宋体" w:cs="宋体"/>
                <w:bCs/>
                <w:color w:val="auto"/>
                <w:spacing w:val="65"/>
                <w:highlight w:val="none"/>
              </w:rPr>
              <w:t>国家授予技</w:t>
            </w:r>
            <w:r>
              <w:rPr>
                <w:rFonts w:hint="eastAsia" w:ascii="宋体" w:hAnsi="宋体" w:eastAsia="宋体" w:cs="宋体"/>
                <w:bCs/>
                <w:color w:val="auto"/>
                <w:spacing w:val="12"/>
                <w:highlight w:val="none"/>
              </w:rPr>
              <w:t>术职称人数</w:t>
            </w:r>
          </w:p>
        </w:tc>
        <w:tc>
          <w:tcPr>
            <w:tcW w:w="2608" w:type="dxa"/>
            <w:gridSpan w:val="3"/>
            <w:vAlign w:val="center"/>
          </w:tcPr>
          <w:p>
            <w:pPr>
              <w:widowControl/>
              <w:spacing w:line="360" w:lineRule="auto"/>
              <w:rPr>
                <w:rFonts w:hint="eastAsia" w:ascii="宋体" w:hAnsi="宋体" w:eastAsia="宋体" w:cs="宋体"/>
                <w:bCs/>
                <w:color w:val="auto"/>
                <w:spacing w:val="16"/>
                <w:kern w:val="0"/>
                <w:sz w:val="24"/>
                <w:highlight w:val="none"/>
              </w:rPr>
            </w:pPr>
          </w:p>
          <w:p>
            <w:pPr>
              <w:pStyle w:val="64"/>
              <w:shd w:val="clear" w:color="auto" w:fill="FFFFFF"/>
              <w:spacing w:line="360" w:lineRule="auto"/>
              <w:jc w:val="both"/>
              <w:rPr>
                <w:rFonts w:hint="eastAsia" w:ascii="宋体" w:hAnsi="宋体" w:eastAsia="宋体" w:cs="宋体"/>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vAlign w:val="center"/>
          </w:tcPr>
          <w:p>
            <w:pPr>
              <w:pStyle w:val="64"/>
              <w:shd w:val="clear" w:color="auto" w:fill="FFFFFF"/>
              <w:spacing w:line="360" w:lineRule="auto"/>
              <w:ind w:left="107"/>
              <w:jc w:val="both"/>
              <w:rPr>
                <w:rFonts w:hint="eastAsia" w:ascii="宋体" w:hAnsi="宋体" w:eastAsia="宋体" w:cs="宋体"/>
                <w:bCs/>
                <w:color w:val="auto"/>
                <w:highlight w:val="none"/>
              </w:rPr>
            </w:pPr>
          </w:p>
        </w:tc>
        <w:tc>
          <w:tcPr>
            <w:tcW w:w="690" w:type="dxa"/>
            <w:vAlign w:val="center"/>
          </w:tcPr>
          <w:p>
            <w:pPr>
              <w:pStyle w:val="64"/>
              <w:shd w:val="clear" w:color="auto" w:fill="FFFFFF"/>
              <w:spacing w:line="360" w:lineRule="auto"/>
              <w:jc w:val="both"/>
              <w:rPr>
                <w:rFonts w:hint="eastAsia" w:ascii="宋体" w:hAnsi="宋体" w:eastAsia="宋体" w:cs="宋体"/>
                <w:bCs/>
                <w:color w:val="auto"/>
                <w:highlight w:val="none"/>
              </w:rPr>
            </w:pPr>
            <w:r>
              <w:rPr>
                <w:rFonts w:hint="eastAsia" w:ascii="宋体" w:hAnsi="宋体" w:eastAsia="宋体" w:cs="宋体"/>
                <w:bCs/>
                <w:color w:val="auto"/>
                <w:spacing w:val="16"/>
                <w:highlight w:val="none"/>
              </w:rPr>
              <w:t>占地面积</w:t>
            </w:r>
          </w:p>
        </w:tc>
        <w:tc>
          <w:tcPr>
            <w:tcW w:w="960" w:type="dxa"/>
            <w:gridSpan w:val="2"/>
            <w:vAlign w:val="center"/>
          </w:tcPr>
          <w:p>
            <w:pPr>
              <w:pStyle w:val="64"/>
              <w:shd w:val="clear" w:color="auto" w:fill="FFFFFF"/>
              <w:spacing w:line="360" w:lineRule="auto"/>
              <w:jc w:val="both"/>
              <w:rPr>
                <w:rFonts w:hint="eastAsia" w:ascii="宋体" w:hAnsi="宋体" w:eastAsia="宋体" w:cs="宋体"/>
                <w:bCs/>
                <w:color w:val="auto"/>
                <w:highlight w:val="none"/>
              </w:rPr>
            </w:pPr>
          </w:p>
        </w:tc>
        <w:tc>
          <w:tcPr>
            <w:tcW w:w="926" w:type="dxa"/>
            <w:vAlign w:val="center"/>
          </w:tcPr>
          <w:p>
            <w:pPr>
              <w:pStyle w:val="64"/>
              <w:shd w:val="clear" w:color="auto" w:fill="FFFFFF"/>
              <w:spacing w:line="360" w:lineRule="auto"/>
              <w:jc w:val="both"/>
              <w:rPr>
                <w:rFonts w:hint="eastAsia" w:ascii="宋体" w:hAnsi="宋体" w:eastAsia="宋体" w:cs="宋体"/>
                <w:bCs/>
                <w:color w:val="auto"/>
                <w:highlight w:val="none"/>
              </w:rPr>
            </w:pPr>
            <w:r>
              <w:rPr>
                <w:rFonts w:hint="eastAsia" w:ascii="宋体" w:hAnsi="宋体" w:eastAsia="宋体" w:cs="宋体"/>
                <w:bCs/>
                <w:color w:val="auto"/>
                <w:spacing w:val="16"/>
                <w:highlight w:val="none"/>
              </w:rPr>
              <w:t>建筑面积</w:t>
            </w:r>
          </w:p>
        </w:tc>
        <w:tc>
          <w:tcPr>
            <w:tcW w:w="1189" w:type="dxa"/>
            <w:gridSpan w:val="2"/>
            <w:vAlign w:val="center"/>
          </w:tcPr>
          <w:p>
            <w:pPr>
              <w:pStyle w:val="64"/>
              <w:shd w:val="clear" w:color="auto" w:fill="FFFFFF"/>
              <w:spacing w:line="360" w:lineRule="auto"/>
              <w:jc w:val="both"/>
              <w:rPr>
                <w:rFonts w:hint="eastAsia" w:ascii="宋体" w:hAnsi="宋体" w:eastAsia="宋体" w:cs="宋体"/>
                <w:bCs/>
                <w:color w:val="auto"/>
                <w:highlight w:val="none"/>
              </w:rPr>
            </w:pPr>
            <w:r>
              <w:rPr>
                <w:rFonts w:hint="eastAsia" w:ascii="宋体" w:hAnsi="宋体" w:eastAsia="宋体" w:cs="宋体"/>
                <w:bCs/>
                <w:color w:val="auto"/>
                <w:highlight w:val="none"/>
              </w:rPr>
              <w:t>平方米</w:t>
            </w:r>
          </w:p>
          <w:p>
            <w:pPr>
              <w:pStyle w:val="64"/>
              <w:shd w:val="clear" w:color="auto" w:fill="FFFFFF"/>
              <w:spacing w:line="360" w:lineRule="auto"/>
              <w:jc w:val="both"/>
              <w:rPr>
                <w:rFonts w:hint="eastAsia" w:ascii="宋体" w:hAnsi="宋体" w:eastAsia="宋体" w:cs="宋体"/>
                <w:bCs/>
                <w:color w:val="auto"/>
                <w:highlight w:val="none"/>
              </w:rPr>
            </w:pPr>
            <w:r>
              <w:rPr>
                <w:rFonts w:hint="eastAsia" w:ascii="宋体" w:hAnsi="宋体" w:eastAsia="宋体" w:cs="宋体"/>
                <w:bCs/>
                <w:color w:val="auto"/>
                <w:spacing w:val="16"/>
                <w:highlight w:val="none"/>
              </w:rPr>
              <w:t>□自有□租赁</w:t>
            </w:r>
          </w:p>
        </w:tc>
        <w:tc>
          <w:tcPr>
            <w:tcW w:w="1560" w:type="dxa"/>
            <w:vAlign w:val="center"/>
          </w:tcPr>
          <w:p>
            <w:pPr>
              <w:pStyle w:val="64"/>
              <w:shd w:val="clear" w:color="auto" w:fill="FFFFFF"/>
              <w:spacing w:line="360" w:lineRule="auto"/>
              <w:jc w:val="center"/>
              <w:rPr>
                <w:rFonts w:hint="eastAsia" w:ascii="宋体" w:hAnsi="宋体" w:eastAsia="宋体" w:cs="宋体"/>
                <w:bCs/>
                <w:color w:val="auto"/>
                <w:highlight w:val="none"/>
              </w:rPr>
            </w:pPr>
            <w:r>
              <w:rPr>
                <w:rFonts w:hint="eastAsia" w:ascii="宋体" w:hAnsi="宋体" w:eastAsia="宋体" w:cs="宋体"/>
                <w:bCs/>
                <w:color w:val="auto"/>
                <w:spacing w:val="16"/>
                <w:highlight w:val="none"/>
              </w:rPr>
              <w:t>生产经营场所及场所的设施与设备</w:t>
            </w:r>
          </w:p>
        </w:tc>
        <w:tc>
          <w:tcPr>
            <w:tcW w:w="2608" w:type="dxa"/>
            <w:gridSpan w:val="3"/>
            <w:vAlign w:val="center"/>
          </w:tcPr>
          <w:p>
            <w:pPr>
              <w:pStyle w:val="64"/>
              <w:shd w:val="clear" w:color="auto" w:fill="FFFFFF"/>
              <w:spacing w:before="0" w:beforeAutospacing="0" w:after="0" w:afterAutospacing="0" w:line="360" w:lineRule="auto"/>
              <w:jc w:val="both"/>
              <w:rPr>
                <w:rFonts w:hint="eastAsia" w:ascii="宋体" w:hAnsi="宋体" w:eastAsia="宋体" w:cs="宋体"/>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0" w:type="dxa"/>
            <w:vMerge w:val="continue"/>
            <w:vAlign w:val="center"/>
          </w:tcPr>
          <w:p>
            <w:pPr>
              <w:pStyle w:val="64"/>
              <w:shd w:val="clear" w:color="auto" w:fill="FFFFFF"/>
              <w:spacing w:line="360" w:lineRule="auto"/>
              <w:ind w:left="107"/>
              <w:jc w:val="both"/>
              <w:rPr>
                <w:rFonts w:hint="eastAsia" w:ascii="宋体" w:hAnsi="宋体" w:eastAsia="宋体" w:cs="宋体"/>
                <w:bCs/>
                <w:color w:val="auto"/>
                <w:highlight w:val="none"/>
              </w:rPr>
            </w:pPr>
          </w:p>
        </w:tc>
        <w:tc>
          <w:tcPr>
            <w:tcW w:w="690" w:type="dxa"/>
            <w:vAlign w:val="center"/>
          </w:tcPr>
          <w:p>
            <w:pPr>
              <w:pStyle w:val="64"/>
              <w:shd w:val="clear" w:color="auto" w:fill="FFFFFF"/>
              <w:spacing w:line="360" w:lineRule="auto"/>
              <w:ind w:left="2"/>
              <w:jc w:val="both"/>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注册资金</w:t>
            </w:r>
          </w:p>
        </w:tc>
        <w:tc>
          <w:tcPr>
            <w:tcW w:w="960" w:type="dxa"/>
            <w:gridSpan w:val="2"/>
            <w:vAlign w:val="center"/>
          </w:tcPr>
          <w:p>
            <w:pPr>
              <w:pStyle w:val="64"/>
              <w:shd w:val="clear" w:color="auto" w:fill="FFFFFF"/>
              <w:spacing w:line="360" w:lineRule="auto"/>
              <w:ind w:left="2"/>
              <w:jc w:val="both"/>
              <w:rPr>
                <w:rFonts w:hint="eastAsia" w:ascii="宋体" w:hAnsi="宋体" w:eastAsia="宋体" w:cs="宋体"/>
                <w:bCs/>
                <w:color w:val="auto"/>
                <w:highlight w:val="none"/>
              </w:rPr>
            </w:pPr>
          </w:p>
        </w:tc>
        <w:tc>
          <w:tcPr>
            <w:tcW w:w="926" w:type="dxa"/>
            <w:vAlign w:val="center"/>
          </w:tcPr>
          <w:p>
            <w:pPr>
              <w:pStyle w:val="64"/>
              <w:shd w:val="clear" w:color="auto" w:fill="FFFFFF"/>
              <w:spacing w:line="360" w:lineRule="auto"/>
              <w:ind w:left="107"/>
              <w:jc w:val="both"/>
              <w:rPr>
                <w:rFonts w:hint="eastAsia" w:ascii="宋体" w:hAnsi="宋体" w:eastAsia="宋体" w:cs="宋体"/>
                <w:bCs/>
                <w:color w:val="auto"/>
                <w:highlight w:val="none"/>
              </w:rPr>
            </w:pPr>
            <w:r>
              <w:rPr>
                <w:rFonts w:hint="eastAsia" w:ascii="宋体" w:hAnsi="宋体" w:eastAsia="宋体" w:cs="宋体"/>
                <w:bCs/>
                <w:color w:val="auto"/>
                <w:spacing w:val="16"/>
                <w:highlight w:val="none"/>
              </w:rPr>
              <w:t>注册发证</w:t>
            </w:r>
            <w:r>
              <w:rPr>
                <w:rFonts w:hint="eastAsia" w:ascii="宋体" w:hAnsi="宋体" w:eastAsia="宋体" w:cs="宋体"/>
                <w:bCs/>
                <w:color w:val="auto"/>
                <w:spacing w:val="27"/>
                <w:highlight w:val="none"/>
              </w:rPr>
              <w:t>机关</w:t>
            </w:r>
          </w:p>
        </w:tc>
        <w:tc>
          <w:tcPr>
            <w:tcW w:w="2749" w:type="dxa"/>
            <w:gridSpan w:val="3"/>
            <w:vAlign w:val="center"/>
          </w:tcPr>
          <w:p>
            <w:pPr>
              <w:widowControl/>
              <w:spacing w:line="360" w:lineRule="auto"/>
              <w:rPr>
                <w:rFonts w:hint="eastAsia" w:ascii="宋体" w:hAnsi="宋体" w:eastAsia="宋体" w:cs="宋体"/>
                <w:bCs/>
                <w:color w:val="auto"/>
                <w:kern w:val="0"/>
                <w:sz w:val="24"/>
                <w:highlight w:val="none"/>
              </w:rPr>
            </w:pPr>
          </w:p>
          <w:p>
            <w:pPr>
              <w:pStyle w:val="64"/>
              <w:shd w:val="clear" w:color="auto" w:fill="FFFFFF"/>
              <w:spacing w:line="360" w:lineRule="auto"/>
              <w:ind w:left="107"/>
              <w:jc w:val="both"/>
              <w:rPr>
                <w:rFonts w:hint="eastAsia" w:ascii="宋体" w:hAnsi="宋体" w:eastAsia="宋体" w:cs="宋体"/>
                <w:bCs/>
                <w:color w:val="auto"/>
                <w:highlight w:val="none"/>
              </w:rPr>
            </w:pPr>
          </w:p>
        </w:tc>
        <w:tc>
          <w:tcPr>
            <w:tcW w:w="1675" w:type="dxa"/>
            <w:gridSpan w:val="2"/>
            <w:vAlign w:val="center"/>
          </w:tcPr>
          <w:p>
            <w:pPr>
              <w:pStyle w:val="64"/>
              <w:shd w:val="clear" w:color="auto" w:fill="FFFFFF"/>
              <w:spacing w:line="360" w:lineRule="auto"/>
              <w:ind w:left="107"/>
              <w:jc w:val="both"/>
              <w:rPr>
                <w:rFonts w:hint="eastAsia" w:ascii="宋体" w:hAnsi="宋体" w:eastAsia="宋体" w:cs="宋体"/>
                <w:bCs/>
                <w:color w:val="auto"/>
                <w:highlight w:val="none"/>
              </w:rPr>
            </w:pPr>
            <w:r>
              <w:rPr>
                <w:rFonts w:hint="eastAsia" w:ascii="宋体" w:hAnsi="宋体" w:eastAsia="宋体" w:cs="宋体"/>
                <w:bCs/>
                <w:color w:val="auto"/>
                <w:highlight w:val="none"/>
              </w:rPr>
              <w:t>公司成</w:t>
            </w:r>
            <w:r>
              <w:rPr>
                <w:rFonts w:hint="eastAsia" w:ascii="宋体" w:hAnsi="宋体" w:eastAsia="宋体" w:cs="宋体"/>
                <w:bCs/>
                <w:color w:val="auto"/>
                <w:spacing w:val="12"/>
                <w:highlight w:val="none"/>
              </w:rPr>
              <w:t>立时间</w:t>
            </w:r>
          </w:p>
        </w:tc>
        <w:tc>
          <w:tcPr>
            <w:tcW w:w="933" w:type="dxa"/>
            <w:vAlign w:val="center"/>
          </w:tcPr>
          <w:p>
            <w:pPr>
              <w:pStyle w:val="64"/>
              <w:shd w:val="clear" w:color="auto" w:fill="FFFFFF"/>
              <w:spacing w:line="360" w:lineRule="auto"/>
              <w:ind w:left="107"/>
              <w:jc w:val="both"/>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vAlign w:val="center"/>
          </w:tcPr>
          <w:p>
            <w:pPr>
              <w:pStyle w:val="64"/>
              <w:shd w:val="clear" w:color="auto" w:fill="FFFFFF"/>
              <w:spacing w:line="360" w:lineRule="auto"/>
              <w:ind w:left="107"/>
              <w:jc w:val="both"/>
              <w:rPr>
                <w:rFonts w:hint="eastAsia" w:ascii="宋体" w:hAnsi="宋体" w:eastAsia="宋体" w:cs="宋体"/>
                <w:bCs/>
                <w:color w:val="auto"/>
                <w:highlight w:val="none"/>
              </w:rPr>
            </w:pPr>
          </w:p>
        </w:tc>
        <w:tc>
          <w:tcPr>
            <w:tcW w:w="690" w:type="dxa"/>
            <w:vAlign w:val="center"/>
          </w:tcPr>
          <w:p>
            <w:pPr>
              <w:pStyle w:val="64"/>
              <w:shd w:val="clear" w:color="auto" w:fill="FFFFFF"/>
              <w:spacing w:line="360" w:lineRule="auto"/>
              <w:ind w:left="2"/>
              <w:jc w:val="both"/>
              <w:rPr>
                <w:rFonts w:hint="eastAsia" w:ascii="宋体" w:hAnsi="宋体" w:eastAsia="宋体" w:cs="宋体"/>
                <w:bCs/>
                <w:color w:val="auto"/>
                <w:highlight w:val="none"/>
              </w:rPr>
            </w:pPr>
            <w:r>
              <w:rPr>
                <w:rFonts w:hint="eastAsia" w:ascii="宋体" w:hAnsi="宋体" w:eastAsia="宋体" w:cs="宋体"/>
                <w:bCs/>
                <w:color w:val="auto"/>
                <w:highlight w:val="none"/>
              </w:rPr>
              <w:t>核准经营范围</w:t>
            </w:r>
          </w:p>
        </w:tc>
        <w:tc>
          <w:tcPr>
            <w:tcW w:w="7243" w:type="dxa"/>
            <w:gridSpan w:val="9"/>
            <w:vAlign w:val="center"/>
          </w:tcPr>
          <w:p>
            <w:pPr>
              <w:pStyle w:val="64"/>
              <w:shd w:val="clear" w:color="auto" w:fill="FFFFFF"/>
              <w:spacing w:line="360" w:lineRule="auto"/>
              <w:ind w:left="107"/>
              <w:jc w:val="both"/>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vAlign w:val="center"/>
          </w:tcPr>
          <w:p>
            <w:pPr>
              <w:pStyle w:val="64"/>
              <w:shd w:val="clear" w:color="auto" w:fill="FFFFFF"/>
              <w:spacing w:line="360" w:lineRule="auto"/>
              <w:ind w:left="107"/>
              <w:jc w:val="both"/>
              <w:rPr>
                <w:rFonts w:hint="eastAsia" w:ascii="宋体" w:hAnsi="宋体" w:eastAsia="宋体" w:cs="宋体"/>
                <w:bCs/>
                <w:color w:val="auto"/>
                <w:highlight w:val="none"/>
              </w:rPr>
            </w:pPr>
          </w:p>
        </w:tc>
        <w:tc>
          <w:tcPr>
            <w:tcW w:w="7933" w:type="dxa"/>
            <w:gridSpan w:val="10"/>
            <w:vAlign w:val="center"/>
          </w:tcPr>
          <w:p>
            <w:pPr>
              <w:pStyle w:val="64"/>
              <w:shd w:val="clear" w:color="auto" w:fill="FFFFFF"/>
              <w:spacing w:line="360" w:lineRule="auto"/>
              <w:jc w:val="both"/>
              <w:rPr>
                <w:rFonts w:hint="eastAsia" w:ascii="宋体" w:hAnsi="宋体" w:eastAsia="宋体" w:cs="宋体"/>
                <w:bCs/>
                <w:color w:val="auto"/>
                <w:spacing w:val="13"/>
                <w:highlight w:val="none"/>
              </w:rPr>
            </w:pPr>
            <w:r>
              <w:rPr>
                <w:rFonts w:hint="eastAsia" w:ascii="宋体" w:hAnsi="宋体" w:eastAsia="宋体" w:cs="宋体"/>
                <w:bCs/>
                <w:color w:val="auto"/>
                <w:spacing w:val="13"/>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vAlign w:val="center"/>
          </w:tcPr>
          <w:p>
            <w:pPr>
              <w:pStyle w:val="64"/>
              <w:shd w:val="clear" w:color="auto" w:fill="FFFFFF"/>
              <w:spacing w:line="360" w:lineRule="auto"/>
              <w:ind w:left="107"/>
              <w:jc w:val="both"/>
              <w:rPr>
                <w:rFonts w:hint="eastAsia" w:ascii="宋体" w:hAnsi="宋体" w:eastAsia="宋体" w:cs="宋体"/>
                <w:bCs/>
                <w:color w:val="auto"/>
                <w:highlight w:val="none"/>
              </w:rPr>
            </w:pPr>
            <w:r>
              <w:rPr>
                <w:rFonts w:hint="eastAsia" w:ascii="宋体" w:hAnsi="宋体" w:eastAsia="宋体" w:cs="宋体"/>
                <w:bCs/>
                <w:color w:val="auto"/>
                <w:highlight w:val="none"/>
              </w:rPr>
              <w:t>2．</w:t>
            </w:r>
          </w:p>
          <w:p>
            <w:pPr>
              <w:pStyle w:val="64"/>
              <w:shd w:val="clear" w:color="auto" w:fill="FFFFFF"/>
              <w:spacing w:line="360" w:lineRule="auto"/>
              <w:ind w:left="107"/>
              <w:jc w:val="both"/>
              <w:rPr>
                <w:rFonts w:hint="eastAsia" w:ascii="宋体" w:hAnsi="宋体" w:eastAsia="宋体" w:cs="宋体"/>
                <w:bCs/>
                <w:color w:val="auto"/>
                <w:spacing w:val="16"/>
                <w:highlight w:val="none"/>
              </w:rPr>
            </w:pPr>
            <w:r>
              <w:rPr>
                <w:rFonts w:hint="eastAsia" w:ascii="宋体" w:hAnsi="宋体" w:eastAsia="宋体" w:cs="宋体"/>
                <w:bCs/>
                <w:color w:val="auto"/>
                <w:highlight w:val="none"/>
              </w:rPr>
              <w:t>企</w:t>
            </w:r>
            <w:r>
              <w:rPr>
                <w:rFonts w:hint="eastAsia" w:ascii="宋体" w:hAnsi="宋体" w:eastAsia="宋体" w:cs="宋体"/>
                <w:bCs/>
                <w:color w:val="auto"/>
                <w:spacing w:val="12"/>
                <w:highlight w:val="none"/>
              </w:rPr>
              <w:t>业有关资质获证情况</w:t>
            </w:r>
          </w:p>
        </w:tc>
        <w:tc>
          <w:tcPr>
            <w:tcW w:w="1355" w:type="dxa"/>
            <w:gridSpan w:val="2"/>
            <w:vMerge w:val="restart"/>
            <w:vAlign w:val="center"/>
          </w:tcPr>
          <w:p>
            <w:pPr>
              <w:pStyle w:val="64"/>
              <w:shd w:val="clear" w:color="auto" w:fill="FFFFFF"/>
              <w:spacing w:before="0" w:beforeAutospacing="0" w:after="0" w:afterAutospacing="0" w:line="360" w:lineRule="auto"/>
              <w:jc w:val="both"/>
              <w:rPr>
                <w:rFonts w:hint="eastAsia" w:ascii="宋体" w:hAnsi="宋体" w:eastAsia="宋体" w:cs="宋体"/>
                <w:bCs/>
                <w:color w:val="auto"/>
                <w:spacing w:val="16"/>
                <w:highlight w:val="none"/>
              </w:rPr>
            </w:pPr>
            <w:r>
              <w:rPr>
                <w:rFonts w:hint="eastAsia" w:ascii="宋体" w:hAnsi="宋体" w:eastAsia="宋体" w:cs="宋体"/>
                <w:bCs/>
                <w:color w:val="auto"/>
                <w:spacing w:val="12"/>
                <w:highlight w:val="none"/>
              </w:rPr>
              <w:t>产品生产许可证情况</w:t>
            </w:r>
            <w:r>
              <w:rPr>
                <w:rFonts w:hint="eastAsia" w:ascii="宋体" w:hAnsi="宋体" w:eastAsia="宋体" w:cs="宋体"/>
                <w:bCs/>
                <w:color w:val="auto"/>
                <w:spacing w:val="41"/>
                <w:highlight w:val="none"/>
              </w:rPr>
              <w:t>（对需获得生产许可证的</w:t>
            </w:r>
            <w:r>
              <w:rPr>
                <w:rFonts w:hint="eastAsia" w:ascii="宋体" w:hAnsi="宋体" w:eastAsia="宋体" w:cs="宋体"/>
                <w:bCs/>
                <w:color w:val="auto"/>
                <w:spacing w:val="11"/>
                <w:highlight w:val="none"/>
              </w:rPr>
              <w:t>产品要填写此栏）</w:t>
            </w:r>
          </w:p>
        </w:tc>
        <w:tc>
          <w:tcPr>
            <w:tcW w:w="1333" w:type="dxa"/>
            <w:gridSpan w:val="3"/>
            <w:vAlign w:val="center"/>
          </w:tcPr>
          <w:p>
            <w:pPr>
              <w:pStyle w:val="64"/>
              <w:shd w:val="clear" w:color="auto" w:fill="FFFFFF"/>
              <w:spacing w:line="360" w:lineRule="auto"/>
              <w:ind w:right="-78" w:rightChars="-37"/>
              <w:jc w:val="both"/>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产品名称</w:t>
            </w:r>
          </w:p>
        </w:tc>
        <w:tc>
          <w:tcPr>
            <w:tcW w:w="1077" w:type="dxa"/>
            <w:vAlign w:val="center"/>
          </w:tcPr>
          <w:p>
            <w:pPr>
              <w:pStyle w:val="64"/>
              <w:shd w:val="clear" w:color="auto" w:fill="FFFFFF"/>
              <w:spacing w:before="0" w:beforeAutospacing="0" w:after="0" w:afterAutospacing="0" w:line="360" w:lineRule="auto"/>
              <w:jc w:val="both"/>
              <w:rPr>
                <w:rFonts w:hint="eastAsia" w:ascii="宋体" w:hAnsi="宋体" w:eastAsia="宋体" w:cs="宋体"/>
                <w:bCs/>
                <w:color w:val="auto"/>
                <w:highlight w:val="none"/>
              </w:rPr>
            </w:pPr>
            <w:r>
              <w:rPr>
                <w:rFonts w:hint="eastAsia" w:ascii="宋体" w:hAnsi="宋体" w:eastAsia="宋体" w:cs="宋体"/>
                <w:bCs/>
                <w:color w:val="auto"/>
                <w:spacing w:val="16"/>
                <w:highlight w:val="none"/>
              </w:rPr>
              <w:t>发证机关</w:t>
            </w:r>
          </w:p>
        </w:tc>
        <w:tc>
          <w:tcPr>
            <w:tcW w:w="1617" w:type="dxa"/>
            <w:gridSpan w:val="2"/>
            <w:vAlign w:val="center"/>
          </w:tcPr>
          <w:p>
            <w:pPr>
              <w:pStyle w:val="64"/>
              <w:shd w:val="clear" w:color="auto" w:fill="FFFFFF"/>
              <w:spacing w:line="360" w:lineRule="auto"/>
              <w:jc w:val="both"/>
              <w:rPr>
                <w:rFonts w:hint="eastAsia" w:ascii="宋体" w:hAnsi="宋体" w:eastAsia="宋体" w:cs="宋体"/>
                <w:bCs/>
                <w:color w:val="auto"/>
                <w:highlight w:val="none"/>
              </w:rPr>
            </w:pPr>
            <w:r>
              <w:rPr>
                <w:rFonts w:hint="eastAsia" w:ascii="宋体" w:hAnsi="宋体" w:eastAsia="宋体" w:cs="宋体"/>
                <w:bCs/>
                <w:color w:val="auto"/>
                <w:spacing w:val="27"/>
                <w:highlight w:val="none"/>
              </w:rPr>
              <w:t>编号</w:t>
            </w:r>
          </w:p>
        </w:tc>
        <w:tc>
          <w:tcPr>
            <w:tcW w:w="1618" w:type="dxa"/>
            <w:vAlign w:val="center"/>
          </w:tcPr>
          <w:p>
            <w:pPr>
              <w:pStyle w:val="64"/>
              <w:shd w:val="clear" w:color="auto" w:fill="FFFFFF"/>
              <w:spacing w:line="360" w:lineRule="auto"/>
              <w:jc w:val="both"/>
              <w:rPr>
                <w:rFonts w:hint="eastAsia" w:ascii="宋体" w:hAnsi="宋体" w:eastAsia="宋体" w:cs="宋体"/>
                <w:bCs/>
                <w:color w:val="auto"/>
                <w:highlight w:val="none"/>
              </w:rPr>
            </w:pPr>
            <w:r>
              <w:rPr>
                <w:rFonts w:hint="eastAsia" w:ascii="宋体" w:hAnsi="宋体" w:eastAsia="宋体" w:cs="宋体"/>
                <w:bCs/>
                <w:color w:val="auto"/>
                <w:spacing w:val="16"/>
                <w:highlight w:val="none"/>
              </w:rPr>
              <w:t>发证时间</w:t>
            </w:r>
          </w:p>
        </w:tc>
        <w:tc>
          <w:tcPr>
            <w:tcW w:w="933" w:type="dxa"/>
            <w:vAlign w:val="center"/>
          </w:tcPr>
          <w:p>
            <w:pPr>
              <w:pStyle w:val="64"/>
              <w:shd w:val="clear" w:color="auto" w:fill="FFFFFF"/>
              <w:spacing w:before="0" w:beforeAutospacing="0" w:after="0" w:afterAutospacing="0" w:line="360" w:lineRule="auto"/>
              <w:jc w:val="both"/>
              <w:rPr>
                <w:rFonts w:hint="eastAsia" w:ascii="宋体" w:hAnsi="宋体" w:eastAsia="宋体" w:cs="宋体"/>
                <w:bCs/>
                <w:color w:val="auto"/>
                <w:highlight w:val="none"/>
              </w:rPr>
            </w:pPr>
            <w:r>
              <w:rPr>
                <w:rFonts w:hint="eastAsia" w:ascii="宋体" w:hAnsi="宋体" w:eastAsia="宋体" w:cs="宋体"/>
                <w:bCs/>
                <w:color w:val="auto"/>
                <w:spacing w:val="27"/>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vAlign w:val="center"/>
          </w:tcPr>
          <w:p>
            <w:pPr>
              <w:pStyle w:val="64"/>
              <w:shd w:val="clear" w:color="auto" w:fill="FFFFFF"/>
              <w:spacing w:line="360" w:lineRule="auto"/>
              <w:ind w:left="107"/>
              <w:jc w:val="both"/>
              <w:rPr>
                <w:rFonts w:hint="eastAsia" w:ascii="宋体" w:hAnsi="宋体" w:eastAsia="宋体" w:cs="宋体"/>
                <w:bCs/>
                <w:color w:val="auto"/>
                <w:highlight w:val="none"/>
              </w:rPr>
            </w:pPr>
          </w:p>
        </w:tc>
        <w:tc>
          <w:tcPr>
            <w:tcW w:w="1355" w:type="dxa"/>
            <w:gridSpan w:val="2"/>
            <w:vMerge w:val="continue"/>
            <w:vAlign w:val="center"/>
          </w:tcPr>
          <w:p>
            <w:pPr>
              <w:pStyle w:val="64"/>
              <w:shd w:val="clear" w:color="auto" w:fill="FFFFFF"/>
              <w:spacing w:line="360" w:lineRule="auto"/>
              <w:jc w:val="both"/>
              <w:rPr>
                <w:rFonts w:hint="eastAsia" w:ascii="宋体" w:hAnsi="宋体" w:eastAsia="宋体" w:cs="宋体"/>
                <w:bCs/>
                <w:color w:val="auto"/>
                <w:highlight w:val="none"/>
              </w:rPr>
            </w:pPr>
          </w:p>
        </w:tc>
        <w:tc>
          <w:tcPr>
            <w:tcW w:w="1333" w:type="dxa"/>
            <w:gridSpan w:val="3"/>
            <w:vAlign w:val="center"/>
          </w:tcPr>
          <w:p>
            <w:pPr>
              <w:pStyle w:val="64"/>
              <w:shd w:val="clear" w:color="auto" w:fill="FFFFFF"/>
              <w:spacing w:line="360" w:lineRule="auto"/>
              <w:jc w:val="both"/>
              <w:rPr>
                <w:rFonts w:hint="eastAsia" w:ascii="宋体" w:hAnsi="宋体" w:eastAsia="宋体" w:cs="宋体"/>
                <w:bCs/>
                <w:color w:val="auto"/>
                <w:highlight w:val="none"/>
              </w:rPr>
            </w:pPr>
          </w:p>
        </w:tc>
        <w:tc>
          <w:tcPr>
            <w:tcW w:w="1077" w:type="dxa"/>
            <w:vAlign w:val="center"/>
          </w:tcPr>
          <w:p>
            <w:pPr>
              <w:pStyle w:val="64"/>
              <w:shd w:val="clear" w:color="auto" w:fill="FFFFFF"/>
              <w:spacing w:line="360" w:lineRule="auto"/>
              <w:jc w:val="both"/>
              <w:rPr>
                <w:rFonts w:hint="eastAsia" w:ascii="宋体" w:hAnsi="宋体" w:eastAsia="宋体" w:cs="宋体"/>
                <w:bCs/>
                <w:color w:val="auto"/>
                <w:highlight w:val="none"/>
              </w:rPr>
            </w:pPr>
          </w:p>
        </w:tc>
        <w:tc>
          <w:tcPr>
            <w:tcW w:w="1617" w:type="dxa"/>
            <w:gridSpan w:val="2"/>
            <w:vAlign w:val="center"/>
          </w:tcPr>
          <w:p>
            <w:pPr>
              <w:pStyle w:val="64"/>
              <w:shd w:val="clear" w:color="auto" w:fill="FFFFFF"/>
              <w:spacing w:line="360" w:lineRule="auto"/>
              <w:jc w:val="both"/>
              <w:rPr>
                <w:rFonts w:hint="eastAsia" w:ascii="宋体" w:hAnsi="宋体" w:eastAsia="宋体" w:cs="宋体"/>
                <w:bCs/>
                <w:color w:val="auto"/>
                <w:highlight w:val="none"/>
              </w:rPr>
            </w:pPr>
          </w:p>
        </w:tc>
        <w:tc>
          <w:tcPr>
            <w:tcW w:w="2551" w:type="dxa"/>
            <w:gridSpan w:val="2"/>
            <w:vAlign w:val="center"/>
          </w:tcPr>
          <w:p>
            <w:pPr>
              <w:pStyle w:val="64"/>
              <w:shd w:val="clear" w:color="auto" w:fill="FFFFFF"/>
              <w:spacing w:line="360" w:lineRule="auto"/>
              <w:jc w:val="both"/>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vAlign w:val="center"/>
          </w:tcPr>
          <w:p>
            <w:pPr>
              <w:pStyle w:val="64"/>
              <w:shd w:val="clear" w:color="auto" w:fill="FFFFFF"/>
              <w:spacing w:line="360" w:lineRule="auto"/>
              <w:ind w:left="107"/>
              <w:jc w:val="both"/>
              <w:rPr>
                <w:rFonts w:hint="eastAsia" w:ascii="宋体" w:hAnsi="宋体" w:eastAsia="宋体" w:cs="宋体"/>
                <w:bCs/>
                <w:color w:val="auto"/>
                <w:spacing w:val="16"/>
                <w:highlight w:val="none"/>
              </w:rPr>
            </w:pPr>
          </w:p>
        </w:tc>
        <w:tc>
          <w:tcPr>
            <w:tcW w:w="1355" w:type="dxa"/>
            <w:gridSpan w:val="2"/>
            <w:vAlign w:val="center"/>
          </w:tcPr>
          <w:p>
            <w:pPr>
              <w:pStyle w:val="64"/>
              <w:shd w:val="clear" w:color="auto" w:fill="FFFFFF"/>
              <w:spacing w:before="0" w:beforeAutospacing="0" w:after="0" w:afterAutospacing="0" w:line="360" w:lineRule="auto"/>
              <w:ind w:right="-107" w:rightChars="-51"/>
              <w:jc w:val="both"/>
              <w:rPr>
                <w:rFonts w:hint="eastAsia" w:ascii="宋体" w:hAnsi="宋体" w:eastAsia="宋体" w:cs="宋体"/>
                <w:bCs/>
                <w:color w:val="auto"/>
                <w:spacing w:val="41"/>
                <w:highlight w:val="none"/>
              </w:rPr>
            </w:pPr>
            <w:r>
              <w:rPr>
                <w:rFonts w:hint="eastAsia" w:ascii="宋体" w:hAnsi="宋体" w:eastAsia="宋体" w:cs="宋体"/>
                <w:bCs/>
                <w:color w:val="auto"/>
                <w:spacing w:val="41"/>
                <w:highlight w:val="none"/>
              </w:rPr>
              <w:t>企业通过质量体系、环保</w:t>
            </w:r>
            <w:r>
              <w:rPr>
                <w:rFonts w:hint="eastAsia" w:ascii="宋体" w:hAnsi="宋体" w:eastAsia="宋体" w:cs="宋体"/>
                <w:bCs/>
                <w:color w:val="auto"/>
                <w:spacing w:val="11"/>
                <w:highlight w:val="none"/>
              </w:rPr>
              <w:t>体系、计量等认证情况</w:t>
            </w:r>
          </w:p>
        </w:tc>
        <w:tc>
          <w:tcPr>
            <w:tcW w:w="6578" w:type="dxa"/>
            <w:gridSpan w:val="8"/>
            <w:vAlign w:val="center"/>
          </w:tcPr>
          <w:p>
            <w:pPr>
              <w:pStyle w:val="64"/>
              <w:shd w:val="clear" w:color="auto" w:fill="FFFFFF"/>
              <w:spacing w:line="360" w:lineRule="auto"/>
              <w:jc w:val="both"/>
              <w:rPr>
                <w:rFonts w:hint="eastAsia" w:ascii="宋体" w:hAnsi="宋体" w:eastAsia="宋体" w:cs="宋体"/>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vAlign w:val="center"/>
          </w:tcPr>
          <w:p>
            <w:pPr>
              <w:pStyle w:val="64"/>
              <w:shd w:val="clear" w:color="auto" w:fill="FFFFFF"/>
              <w:spacing w:line="360" w:lineRule="auto"/>
              <w:ind w:left="107"/>
              <w:jc w:val="both"/>
              <w:rPr>
                <w:rFonts w:hint="eastAsia" w:ascii="宋体" w:hAnsi="宋体" w:eastAsia="宋体" w:cs="宋体"/>
                <w:bCs/>
                <w:color w:val="auto"/>
                <w:spacing w:val="27"/>
                <w:highlight w:val="none"/>
              </w:rPr>
            </w:pPr>
          </w:p>
        </w:tc>
        <w:tc>
          <w:tcPr>
            <w:tcW w:w="1355" w:type="dxa"/>
            <w:gridSpan w:val="2"/>
            <w:vAlign w:val="center"/>
          </w:tcPr>
          <w:p>
            <w:pPr>
              <w:pStyle w:val="64"/>
              <w:shd w:val="clear" w:color="auto" w:fill="FFFFFF"/>
              <w:spacing w:line="360" w:lineRule="auto"/>
              <w:jc w:val="both"/>
              <w:rPr>
                <w:rFonts w:hint="eastAsia" w:ascii="宋体" w:hAnsi="宋体" w:eastAsia="宋体" w:cs="宋体"/>
                <w:bCs/>
                <w:color w:val="auto"/>
                <w:spacing w:val="16"/>
                <w:highlight w:val="none"/>
              </w:rPr>
            </w:pPr>
            <w:r>
              <w:rPr>
                <w:rFonts w:hint="eastAsia" w:ascii="宋体" w:hAnsi="宋体" w:eastAsia="宋体" w:cs="宋体"/>
                <w:bCs/>
                <w:color w:val="auto"/>
                <w:spacing w:val="10"/>
                <w:highlight w:val="none"/>
              </w:rPr>
              <w:t>企业获得专利情况</w:t>
            </w:r>
          </w:p>
        </w:tc>
        <w:tc>
          <w:tcPr>
            <w:tcW w:w="6578" w:type="dxa"/>
            <w:gridSpan w:val="8"/>
            <w:vAlign w:val="center"/>
          </w:tcPr>
          <w:p>
            <w:pPr>
              <w:pStyle w:val="64"/>
              <w:shd w:val="clear" w:color="auto" w:fill="FFFFFF"/>
              <w:spacing w:line="360" w:lineRule="auto"/>
              <w:jc w:val="both"/>
              <w:rPr>
                <w:rFonts w:hint="eastAsia" w:ascii="宋体" w:hAnsi="宋体" w:eastAsia="宋体" w:cs="宋体"/>
                <w:bCs/>
                <w:color w:val="auto"/>
                <w:spacing w:val="16"/>
                <w:highlight w:val="none"/>
              </w:rPr>
            </w:pPr>
          </w:p>
        </w:tc>
      </w:tr>
    </w:tbl>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要求：</w:t>
      </w:r>
    </w:p>
    <w:p>
      <w:pP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1.姓名栏必须将所有股东都统计在内，若非股份公司此行（第三行）无需填写；</w:t>
      </w:r>
    </w:p>
    <w:p>
      <w:pPr>
        <w:spacing w:line="360" w:lineRule="auto"/>
        <w:rPr>
          <w:rFonts w:hint="eastAsia" w:ascii="宋体" w:hAnsi="宋体" w:eastAsia="宋体" w:cs="宋体"/>
          <w:color w:val="auto"/>
          <w:sz w:val="24"/>
          <w:szCs w:val="32"/>
          <w:highlight w:val="none"/>
        </w:rPr>
      </w:pPr>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r>
        <w:rPr>
          <w:rFonts w:hint="eastAsia" w:ascii="宋体" w:hAnsi="宋体" w:eastAsia="宋体" w:cs="宋体"/>
          <w:color w:val="auto"/>
          <w:sz w:val="24"/>
          <w:highlight w:val="none"/>
          <w:u w:val="single"/>
        </w:rPr>
        <w:t xml:space="preserve">                         </w:t>
      </w:r>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授权委托代理人签字或盖章：</w:t>
      </w:r>
      <w:r>
        <w:rPr>
          <w:rFonts w:hint="eastAsia" w:ascii="宋体" w:hAnsi="宋体" w:eastAsia="宋体" w:cs="宋体"/>
          <w:color w:val="auto"/>
          <w:sz w:val="24"/>
          <w:highlight w:val="none"/>
          <w:u w:val="single"/>
        </w:rPr>
        <w:t xml:space="preserve">                   </w:t>
      </w:r>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b/>
          <w:color w:val="auto"/>
          <w:sz w:val="28"/>
          <w:highlight w:val="none"/>
        </w:rPr>
      </w:pPr>
    </w:p>
    <w:p>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10</w:t>
      </w:r>
    </w:p>
    <w:p>
      <w:pPr>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项目实施人员一览表（标段）</w:t>
      </w:r>
    </w:p>
    <w:p>
      <w:pPr>
        <w:spacing w:line="360" w:lineRule="auto"/>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（主要从业人员及其技术资格）</w:t>
      </w:r>
    </w:p>
    <w:tbl>
      <w:tblPr>
        <w:tblStyle w:val="26"/>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461" w:type="dxa"/>
            <w:tcBorders>
              <w:top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eastAsia="宋体" w:cs="宋体"/>
                <w:b/>
                <w:bCs/>
                <w:color w:val="auto"/>
                <w:sz w:val="24"/>
                <w:szCs w:val="20"/>
                <w:highlight w:val="none"/>
              </w:rPr>
            </w:pPr>
            <w:r>
              <w:rPr>
                <w:rFonts w:hint="eastAsia" w:ascii="宋体" w:hAnsi="宋体" w:eastAsia="宋体" w:cs="宋体"/>
                <w:b/>
                <w:bCs/>
                <w:color w:val="auto"/>
                <w:sz w:val="24"/>
                <w:highlight w:val="none"/>
              </w:rPr>
              <w:t>参加本单位工作时间</w:t>
            </w:r>
          </w:p>
        </w:tc>
        <w:tc>
          <w:tcPr>
            <w:tcW w:w="2126" w:type="dxa"/>
            <w:tcBorders>
              <w:top w:val="single" w:color="auto" w:sz="4" w:space="0"/>
              <w:left w:val="single" w:color="auto" w:sz="4" w:space="0"/>
              <w:bottom w:val="single" w:color="auto" w:sz="4" w:space="0"/>
            </w:tcBorders>
            <w:vAlign w:val="center"/>
          </w:tcPr>
          <w:p>
            <w:pPr>
              <w:snapToGrid w:val="0"/>
              <w:spacing w:beforeLines="50" w:after="50" w:line="360" w:lineRule="auto"/>
              <w:jc w:val="center"/>
              <w:rPr>
                <w:rFonts w:hint="eastAsia" w:ascii="宋体" w:hAnsi="宋体" w:eastAsia="宋体" w:cs="宋体"/>
                <w:b/>
                <w:bCs/>
                <w:color w:val="auto"/>
                <w:sz w:val="24"/>
                <w:szCs w:val="20"/>
                <w:highlight w:val="none"/>
              </w:rPr>
            </w:pPr>
            <w:r>
              <w:rPr>
                <w:rFonts w:hint="eastAsia" w:ascii="宋体" w:hAnsi="宋体" w:eastAsia="宋体" w:cs="宋体"/>
                <w:b/>
                <w:color w:val="auto"/>
                <w:sz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pStyle w:val="16"/>
              <w:snapToGrid w:val="0"/>
              <w:spacing w:beforeLines="50" w:after="50" w:line="360" w:lineRule="auto"/>
              <w:ind w:left="31680"/>
              <w:rPr>
                <w:rFonts w:hint="eastAsia" w:ascii="宋体" w:hAnsi="宋体" w:eastAsia="宋体" w:cs="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pPr>
              <w:pStyle w:val="16"/>
              <w:snapToGrid w:val="0"/>
              <w:spacing w:beforeLines="50" w:after="50" w:line="360" w:lineRule="auto"/>
              <w:ind w:left="31680"/>
              <w:rPr>
                <w:rFonts w:hint="eastAsia" w:ascii="宋体" w:hAnsi="宋体" w:eastAsia="宋体" w:cs="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pPr>
              <w:pStyle w:val="16"/>
              <w:spacing w:line="360" w:lineRule="auto"/>
              <w:ind w:left="31680"/>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color w:val="auto"/>
                <w:sz w:val="24"/>
                <w:szCs w:val="20"/>
                <w:highlight w:val="none"/>
              </w:rPr>
            </w:pPr>
          </w:p>
        </w:tc>
        <w:tc>
          <w:tcPr>
            <w:tcW w:w="2126" w:type="dxa"/>
            <w:tcBorders>
              <w:top w:val="single" w:color="auto" w:sz="4" w:space="0"/>
              <w:left w:val="single" w:color="auto" w:sz="4" w:space="0"/>
              <w:bottom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tcBorders>
          </w:tcPr>
          <w:p>
            <w:pPr>
              <w:snapToGrid w:val="0"/>
              <w:spacing w:beforeLines="50" w:after="50" w:line="360" w:lineRule="auto"/>
              <w:rPr>
                <w:rFonts w:hint="eastAsia" w:ascii="宋体" w:hAnsi="宋体" w:eastAsia="宋体" w:cs="宋体"/>
                <w:b/>
                <w:color w:val="auto"/>
                <w:kern w:val="44"/>
                <w:sz w:val="24"/>
                <w:szCs w:val="20"/>
                <w:highlight w:val="none"/>
              </w:rPr>
            </w:pPr>
          </w:p>
        </w:tc>
      </w:tr>
    </w:tbl>
    <w:p>
      <w:pPr>
        <w:spacing w:line="360" w:lineRule="auto"/>
        <w:jc w:val="left"/>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要求：</w:t>
      </w:r>
    </w:p>
    <w:p>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1.在填写时，如本表格不适合投标单位的实际情况，可根据本表格式自行划表填写。</w:t>
      </w:r>
    </w:p>
    <w:p>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2.附人员证书复印件；</w:t>
      </w:r>
    </w:p>
    <w:p>
      <w:pPr>
        <w:spacing w:line="360" w:lineRule="auto"/>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3.出具上述人员在本单位服务的外部证明，如：投标截止日之前六个月以内的代缴个税税单、参加社会保险的《投保单》或《社会保险参保人员证明》等。</w:t>
      </w: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授权委托代理人签字或盖章：</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b/>
          <w:color w:val="auto"/>
          <w:sz w:val="28"/>
          <w:highlight w:val="none"/>
        </w:rPr>
      </w:pPr>
    </w:p>
    <w:p>
      <w:pPr>
        <w:spacing w:line="360" w:lineRule="auto"/>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11</w:t>
      </w:r>
    </w:p>
    <w:p>
      <w:pPr>
        <w:spacing w:beforeLines="50" w:afterLines="50" w:line="360" w:lineRule="auto"/>
        <w:ind w:right="-1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项目负责人资格情况表</w:t>
      </w:r>
    </w:p>
    <w:p>
      <w:pP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采购项目：                                        采购编号：</w:t>
      </w:r>
    </w:p>
    <w:tbl>
      <w:tblPr>
        <w:tblStyle w:val="26"/>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tcBorders>
            <w:vAlign w:val="center"/>
          </w:tcPr>
          <w:p>
            <w:pPr>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姓名</w:t>
            </w:r>
          </w:p>
        </w:tc>
        <w:tc>
          <w:tcPr>
            <w:tcW w:w="2967" w:type="dxa"/>
            <w:tcBorders>
              <w:top w:val="single" w:color="auto" w:sz="12" w:space="0"/>
            </w:tcBorders>
            <w:vAlign w:val="center"/>
          </w:tcPr>
          <w:p>
            <w:pPr>
              <w:jc w:val="center"/>
              <w:rPr>
                <w:rFonts w:hint="eastAsia" w:ascii="宋体" w:hAnsi="宋体" w:eastAsia="宋体" w:cs="宋体"/>
                <w:b/>
                <w:bCs/>
                <w:color w:val="auto"/>
                <w:sz w:val="24"/>
                <w:highlight w:val="none"/>
                <w:lang w:val="zh-CN"/>
              </w:rPr>
            </w:pPr>
          </w:p>
        </w:tc>
        <w:tc>
          <w:tcPr>
            <w:tcW w:w="3685" w:type="dxa"/>
            <w:tcBorders>
              <w:top w:val="single" w:color="auto" w:sz="12" w:space="0"/>
              <w:right w:val="single" w:color="auto" w:sz="12" w:space="0"/>
            </w:tcBorders>
            <w:vAlign w:val="center"/>
          </w:tcPr>
          <w:p>
            <w:pPr>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性别</w:t>
            </w:r>
          </w:p>
        </w:tc>
        <w:tc>
          <w:tcPr>
            <w:tcW w:w="2967" w:type="dxa"/>
            <w:vAlign w:val="center"/>
          </w:tcPr>
          <w:p>
            <w:pPr>
              <w:jc w:val="center"/>
              <w:rPr>
                <w:rFonts w:hint="eastAsia" w:ascii="宋体" w:hAnsi="宋体" w:eastAsia="宋体" w:cs="宋体"/>
                <w:b/>
                <w:bCs/>
                <w:color w:val="auto"/>
                <w:sz w:val="24"/>
                <w:highlight w:val="none"/>
                <w:lang w:val="zh-CN"/>
              </w:rPr>
            </w:pPr>
          </w:p>
        </w:tc>
        <w:tc>
          <w:tcPr>
            <w:tcW w:w="3685" w:type="dxa"/>
            <w:vMerge w:val="restart"/>
            <w:tcBorders>
              <w:right w:val="single" w:color="auto" w:sz="12" w:space="0"/>
            </w:tcBorders>
            <w:vAlign w:val="center"/>
          </w:tcPr>
          <w:p>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注：业绩证明应提供旁证材料</w:t>
            </w:r>
          </w:p>
          <w:p>
            <w:pPr>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年龄</w:t>
            </w:r>
          </w:p>
        </w:tc>
        <w:tc>
          <w:tcPr>
            <w:tcW w:w="2967" w:type="dxa"/>
            <w:vAlign w:val="center"/>
          </w:tcPr>
          <w:p>
            <w:pPr>
              <w:jc w:val="center"/>
              <w:rPr>
                <w:rFonts w:hint="eastAsia" w:ascii="宋体" w:hAnsi="宋体" w:eastAsia="宋体" w:cs="宋体"/>
                <w:b/>
                <w:bCs/>
                <w:color w:val="auto"/>
                <w:sz w:val="24"/>
                <w:highlight w:val="none"/>
                <w:lang w:val="zh-CN"/>
              </w:rPr>
            </w:pPr>
          </w:p>
        </w:tc>
        <w:tc>
          <w:tcPr>
            <w:tcW w:w="3685" w:type="dxa"/>
            <w:vMerge w:val="continue"/>
            <w:tcBorders>
              <w:right w:val="single" w:color="auto" w:sz="12" w:space="0"/>
            </w:tcBorders>
            <w:vAlign w:val="center"/>
          </w:tcPr>
          <w:p>
            <w:pPr>
              <w:jc w:val="center"/>
              <w:rPr>
                <w:rFonts w:hint="eastAsia" w:ascii="宋体" w:hAnsi="宋体" w:eastAsia="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职称</w:t>
            </w:r>
          </w:p>
        </w:tc>
        <w:tc>
          <w:tcPr>
            <w:tcW w:w="2967" w:type="dxa"/>
            <w:vAlign w:val="center"/>
          </w:tcPr>
          <w:p>
            <w:pPr>
              <w:jc w:val="center"/>
              <w:rPr>
                <w:rFonts w:hint="eastAsia" w:ascii="宋体" w:hAnsi="宋体" w:eastAsia="宋体" w:cs="宋体"/>
                <w:b/>
                <w:bCs/>
                <w:color w:val="auto"/>
                <w:sz w:val="24"/>
                <w:highlight w:val="none"/>
                <w:lang w:val="zh-CN"/>
              </w:rPr>
            </w:pPr>
          </w:p>
        </w:tc>
        <w:tc>
          <w:tcPr>
            <w:tcW w:w="3685" w:type="dxa"/>
            <w:vMerge w:val="continue"/>
            <w:tcBorders>
              <w:right w:val="single" w:color="auto" w:sz="12" w:space="0"/>
            </w:tcBorders>
            <w:vAlign w:val="center"/>
          </w:tcPr>
          <w:p>
            <w:pPr>
              <w:jc w:val="center"/>
              <w:rPr>
                <w:rFonts w:hint="eastAsia" w:ascii="宋体" w:hAnsi="宋体" w:eastAsia="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毕业时间</w:t>
            </w:r>
          </w:p>
        </w:tc>
        <w:tc>
          <w:tcPr>
            <w:tcW w:w="2967" w:type="dxa"/>
            <w:vAlign w:val="center"/>
          </w:tcPr>
          <w:p>
            <w:pPr>
              <w:jc w:val="center"/>
              <w:rPr>
                <w:rFonts w:hint="eastAsia" w:ascii="宋体" w:hAnsi="宋体" w:eastAsia="宋体" w:cs="宋体"/>
                <w:b/>
                <w:bCs/>
                <w:color w:val="auto"/>
                <w:sz w:val="24"/>
                <w:highlight w:val="none"/>
                <w:lang w:val="zh-CN"/>
              </w:rPr>
            </w:pPr>
          </w:p>
        </w:tc>
        <w:tc>
          <w:tcPr>
            <w:tcW w:w="3685" w:type="dxa"/>
            <w:vMerge w:val="continue"/>
            <w:tcBorders>
              <w:right w:val="single" w:color="auto" w:sz="12" w:space="0"/>
            </w:tcBorders>
            <w:vAlign w:val="center"/>
          </w:tcPr>
          <w:p>
            <w:pPr>
              <w:jc w:val="center"/>
              <w:rPr>
                <w:rFonts w:hint="eastAsia" w:ascii="宋体" w:hAnsi="宋体" w:eastAsia="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学校专业</w:t>
            </w:r>
          </w:p>
        </w:tc>
        <w:tc>
          <w:tcPr>
            <w:tcW w:w="2967" w:type="dxa"/>
            <w:vAlign w:val="center"/>
          </w:tcPr>
          <w:p>
            <w:pPr>
              <w:jc w:val="center"/>
              <w:rPr>
                <w:rFonts w:hint="eastAsia" w:ascii="宋体" w:hAnsi="宋体" w:eastAsia="宋体" w:cs="宋体"/>
                <w:b/>
                <w:bCs/>
                <w:color w:val="auto"/>
                <w:sz w:val="24"/>
                <w:highlight w:val="none"/>
                <w:lang w:val="zh-CN"/>
              </w:rPr>
            </w:pPr>
          </w:p>
        </w:tc>
        <w:tc>
          <w:tcPr>
            <w:tcW w:w="3685" w:type="dxa"/>
            <w:vMerge w:val="continue"/>
            <w:tcBorders>
              <w:right w:val="single" w:color="auto" w:sz="12" w:space="0"/>
            </w:tcBorders>
            <w:vAlign w:val="center"/>
          </w:tcPr>
          <w:p>
            <w:pPr>
              <w:jc w:val="center"/>
              <w:rPr>
                <w:rFonts w:hint="eastAsia" w:ascii="宋体" w:hAnsi="宋体" w:eastAsia="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联系电话</w:t>
            </w:r>
          </w:p>
        </w:tc>
        <w:tc>
          <w:tcPr>
            <w:tcW w:w="2967" w:type="dxa"/>
            <w:vAlign w:val="center"/>
          </w:tcPr>
          <w:p>
            <w:pPr>
              <w:jc w:val="center"/>
              <w:rPr>
                <w:rFonts w:hint="eastAsia" w:ascii="宋体" w:hAnsi="宋体" w:eastAsia="宋体" w:cs="宋体"/>
                <w:b/>
                <w:bCs/>
                <w:color w:val="auto"/>
                <w:sz w:val="24"/>
                <w:highlight w:val="none"/>
                <w:lang w:val="zh-CN"/>
              </w:rPr>
            </w:pPr>
          </w:p>
        </w:tc>
        <w:tc>
          <w:tcPr>
            <w:tcW w:w="3685" w:type="dxa"/>
            <w:vMerge w:val="continue"/>
            <w:tcBorders>
              <w:right w:val="single" w:color="auto" w:sz="12" w:space="0"/>
            </w:tcBorders>
            <w:vAlign w:val="center"/>
          </w:tcPr>
          <w:p>
            <w:pPr>
              <w:jc w:val="center"/>
              <w:rPr>
                <w:rFonts w:hint="eastAsia" w:ascii="宋体" w:hAnsi="宋体" w:eastAsia="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left w:val="single" w:color="auto" w:sz="12" w:space="0"/>
            </w:tcBorders>
            <w:vAlign w:val="center"/>
          </w:tcPr>
          <w:p>
            <w:pPr>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rPr>
              <w:t>最近一年工作状况</w:t>
            </w:r>
          </w:p>
        </w:tc>
        <w:tc>
          <w:tcPr>
            <w:tcW w:w="2967" w:type="dxa"/>
            <w:vAlign w:val="center"/>
          </w:tcPr>
          <w:p>
            <w:pPr>
              <w:jc w:val="center"/>
              <w:rPr>
                <w:rFonts w:hint="eastAsia" w:ascii="宋体" w:hAnsi="宋体" w:eastAsia="宋体" w:cs="宋体"/>
                <w:b/>
                <w:bCs/>
                <w:color w:val="auto"/>
                <w:sz w:val="24"/>
                <w:highlight w:val="none"/>
                <w:lang w:val="zh-CN"/>
              </w:rPr>
            </w:pPr>
          </w:p>
        </w:tc>
        <w:tc>
          <w:tcPr>
            <w:tcW w:w="3685" w:type="dxa"/>
            <w:vMerge w:val="continue"/>
            <w:tcBorders>
              <w:right w:val="single" w:color="auto" w:sz="12" w:space="0"/>
            </w:tcBorders>
            <w:vAlign w:val="center"/>
          </w:tcPr>
          <w:p>
            <w:pPr>
              <w:jc w:val="center"/>
              <w:rPr>
                <w:rFonts w:hint="eastAsia" w:ascii="宋体" w:hAnsi="宋体" w:eastAsia="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left w:val="single" w:color="auto" w:sz="12" w:space="0"/>
              <w:bottom w:val="single" w:color="auto" w:sz="12" w:space="0"/>
            </w:tcBorders>
            <w:vAlign w:val="center"/>
          </w:tcPr>
          <w:p>
            <w:pPr>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拟在本项目中担任主要工作</w:t>
            </w:r>
          </w:p>
        </w:tc>
        <w:tc>
          <w:tcPr>
            <w:tcW w:w="6652" w:type="dxa"/>
            <w:gridSpan w:val="2"/>
            <w:tcBorders>
              <w:bottom w:val="single" w:color="auto" w:sz="12" w:space="0"/>
              <w:right w:val="single" w:color="auto" w:sz="12" w:space="0"/>
            </w:tcBorders>
            <w:vAlign w:val="center"/>
          </w:tcPr>
          <w:p>
            <w:pPr>
              <w:jc w:val="center"/>
              <w:rPr>
                <w:rFonts w:hint="eastAsia" w:ascii="宋体" w:hAnsi="宋体" w:eastAsia="宋体" w:cs="宋体"/>
                <w:b/>
                <w:bCs/>
                <w:color w:val="auto"/>
                <w:sz w:val="24"/>
                <w:highlight w:val="none"/>
                <w:lang w:val="zh-CN"/>
              </w:rPr>
            </w:pPr>
          </w:p>
        </w:tc>
      </w:tr>
    </w:tbl>
    <w:p>
      <w:pPr>
        <w:spacing w:line="360" w:lineRule="auto"/>
        <w:rPr>
          <w:rFonts w:hint="eastAsia" w:ascii="宋体" w:hAnsi="宋体" w:eastAsia="宋体" w:cs="宋体"/>
          <w:color w:val="auto"/>
          <w:sz w:val="24"/>
          <w:highlight w:val="none"/>
        </w:rPr>
      </w:pPr>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r>
        <w:rPr>
          <w:rFonts w:hint="eastAsia" w:ascii="宋体" w:hAnsi="宋体" w:eastAsia="宋体" w:cs="宋体"/>
          <w:color w:val="auto"/>
          <w:sz w:val="24"/>
          <w:highlight w:val="none"/>
          <w:u w:val="single"/>
        </w:rPr>
        <w:t xml:space="preserve">                         </w:t>
      </w:r>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授权委托代理人签字或盖章：</w:t>
      </w:r>
      <w:r>
        <w:rPr>
          <w:rFonts w:hint="eastAsia" w:ascii="宋体" w:hAnsi="宋体" w:eastAsia="宋体" w:cs="宋体"/>
          <w:color w:val="auto"/>
          <w:sz w:val="24"/>
          <w:highlight w:val="none"/>
          <w:u w:val="single"/>
        </w:rPr>
        <w:t xml:space="preserve">                   </w:t>
      </w:r>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480" w:lineRule="exact"/>
        <w:jc w:val="left"/>
        <w:rPr>
          <w:rFonts w:hint="eastAsia" w:ascii="宋体" w:hAnsi="宋体" w:eastAsia="宋体" w:cs="宋体"/>
          <w:b/>
          <w:bCs/>
          <w:color w:val="auto"/>
          <w:sz w:val="28"/>
          <w:szCs w:val="36"/>
          <w:highlight w:val="none"/>
          <w:lang w:val="zh-CN"/>
        </w:rPr>
      </w:pPr>
    </w:p>
    <w:p>
      <w:pPr>
        <w:spacing w:line="480" w:lineRule="exact"/>
        <w:jc w:val="left"/>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w:t>
      </w:r>
      <w:r>
        <w:rPr>
          <w:rFonts w:hint="eastAsia" w:ascii="宋体" w:hAnsi="宋体" w:cs="宋体"/>
          <w:b/>
          <w:bCs/>
          <w:color w:val="auto"/>
          <w:sz w:val="28"/>
          <w:szCs w:val="36"/>
          <w:highlight w:val="none"/>
          <w:lang w:val="en-US" w:eastAsia="zh-CN"/>
        </w:rPr>
        <w:t>12</w:t>
      </w:r>
    </w:p>
    <w:p>
      <w:pPr>
        <w:spacing w:line="480" w:lineRule="exact"/>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供货清单 （第 标）</w:t>
      </w:r>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bl>
      <w:tblPr>
        <w:tblStyle w:val="26"/>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169" w:type="dxa"/>
            <w:vAlign w:val="center"/>
          </w:tcPr>
          <w:p>
            <w:pPr>
              <w:tabs>
                <w:tab w:val="left" w:pos="8280"/>
              </w:tabs>
              <w:autoSpaceDE w:val="0"/>
              <w:autoSpaceDN w:val="0"/>
              <w:adjustRightInd w:val="0"/>
              <w:ind w:right="25"/>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34" w:type="dxa"/>
            <w:vAlign w:val="center"/>
          </w:tcPr>
          <w:p>
            <w:pPr>
              <w:tabs>
                <w:tab w:val="left" w:pos="8280"/>
              </w:tabs>
              <w:autoSpaceDE w:val="0"/>
              <w:autoSpaceDN w:val="0"/>
              <w:adjustRightInd w:val="0"/>
              <w:ind w:right="25"/>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w:t>
            </w:r>
          </w:p>
        </w:tc>
        <w:tc>
          <w:tcPr>
            <w:tcW w:w="1842" w:type="dxa"/>
            <w:vAlign w:val="center"/>
          </w:tcPr>
          <w:p>
            <w:pPr>
              <w:tabs>
                <w:tab w:val="left" w:pos="8280"/>
              </w:tabs>
              <w:autoSpaceDE w:val="0"/>
              <w:autoSpaceDN w:val="0"/>
              <w:adjustRightInd w:val="0"/>
              <w:ind w:right="25"/>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993" w:type="dxa"/>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产地</w:t>
            </w:r>
          </w:p>
        </w:tc>
        <w:tc>
          <w:tcPr>
            <w:tcW w:w="1559" w:type="dxa"/>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hint="eastAsia" w:ascii="宋体" w:hAnsi="宋体" w:eastAsia="宋体" w:cs="宋体"/>
                <w:color w:val="auto"/>
                <w:sz w:val="24"/>
                <w:highlight w:val="none"/>
              </w:rPr>
            </w:pPr>
          </w:p>
        </w:tc>
        <w:tc>
          <w:tcPr>
            <w:tcW w:w="2169" w:type="dxa"/>
            <w:vAlign w:val="center"/>
          </w:tcPr>
          <w:p>
            <w:pPr>
              <w:jc w:val="center"/>
              <w:rPr>
                <w:rFonts w:hint="eastAsia" w:ascii="宋体" w:hAnsi="宋体" w:eastAsia="宋体" w:cs="宋体"/>
                <w:color w:val="auto"/>
                <w:sz w:val="24"/>
                <w:highlight w:val="none"/>
              </w:rPr>
            </w:pPr>
          </w:p>
        </w:tc>
        <w:tc>
          <w:tcPr>
            <w:tcW w:w="1134" w:type="dxa"/>
            <w:vAlign w:val="center"/>
          </w:tcPr>
          <w:p>
            <w:pPr>
              <w:jc w:val="center"/>
              <w:rPr>
                <w:rFonts w:hint="eastAsia" w:ascii="宋体" w:hAnsi="宋体" w:eastAsia="宋体" w:cs="宋体"/>
                <w:color w:val="auto"/>
                <w:sz w:val="24"/>
                <w:highlight w:val="none"/>
              </w:rPr>
            </w:pPr>
          </w:p>
        </w:tc>
        <w:tc>
          <w:tcPr>
            <w:tcW w:w="1842" w:type="dxa"/>
            <w:vAlign w:val="center"/>
          </w:tcPr>
          <w:p>
            <w:pPr>
              <w:jc w:val="center"/>
              <w:rPr>
                <w:rFonts w:hint="eastAsia" w:ascii="宋体" w:hAnsi="宋体" w:eastAsia="宋体" w:cs="宋体"/>
                <w:color w:val="auto"/>
                <w:sz w:val="24"/>
                <w:highlight w:val="none"/>
              </w:rPr>
            </w:pPr>
          </w:p>
        </w:tc>
        <w:tc>
          <w:tcPr>
            <w:tcW w:w="993" w:type="dxa"/>
            <w:vAlign w:val="center"/>
          </w:tcPr>
          <w:p>
            <w:pPr>
              <w:jc w:val="center"/>
              <w:rPr>
                <w:rFonts w:hint="eastAsia" w:ascii="宋体" w:hAnsi="宋体" w:eastAsia="宋体" w:cs="宋体"/>
                <w:color w:val="auto"/>
                <w:sz w:val="24"/>
                <w:highlight w:val="none"/>
              </w:rPr>
            </w:pPr>
          </w:p>
        </w:tc>
        <w:tc>
          <w:tcPr>
            <w:tcW w:w="1559"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hint="eastAsia" w:ascii="宋体" w:hAnsi="宋体" w:eastAsia="宋体" w:cs="宋体"/>
                <w:color w:val="auto"/>
                <w:sz w:val="24"/>
                <w:highlight w:val="none"/>
              </w:rPr>
            </w:pPr>
          </w:p>
        </w:tc>
        <w:tc>
          <w:tcPr>
            <w:tcW w:w="2169" w:type="dxa"/>
            <w:vAlign w:val="center"/>
          </w:tcPr>
          <w:p>
            <w:pPr>
              <w:jc w:val="center"/>
              <w:rPr>
                <w:rFonts w:hint="eastAsia" w:ascii="宋体" w:hAnsi="宋体" w:eastAsia="宋体" w:cs="宋体"/>
                <w:color w:val="auto"/>
                <w:sz w:val="24"/>
                <w:highlight w:val="none"/>
              </w:rPr>
            </w:pPr>
          </w:p>
        </w:tc>
        <w:tc>
          <w:tcPr>
            <w:tcW w:w="1134" w:type="dxa"/>
            <w:vAlign w:val="center"/>
          </w:tcPr>
          <w:p>
            <w:pPr>
              <w:jc w:val="center"/>
              <w:rPr>
                <w:rFonts w:hint="eastAsia" w:ascii="宋体" w:hAnsi="宋体" w:eastAsia="宋体" w:cs="宋体"/>
                <w:color w:val="auto"/>
                <w:sz w:val="24"/>
                <w:highlight w:val="none"/>
              </w:rPr>
            </w:pPr>
          </w:p>
        </w:tc>
        <w:tc>
          <w:tcPr>
            <w:tcW w:w="1842" w:type="dxa"/>
            <w:vAlign w:val="center"/>
          </w:tcPr>
          <w:p>
            <w:pPr>
              <w:jc w:val="center"/>
              <w:rPr>
                <w:rFonts w:hint="eastAsia" w:ascii="宋体" w:hAnsi="宋体" w:eastAsia="宋体" w:cs="宋体"/>
                <w:color w:val="auto"/>
                <w:sz w:val="24"/>
                <w:highlight w:val="none"/>
              </w:rPr>
            </w:pPr>
          </w:p>
        </w:tc>
        <w:tc>
          <w:tcPr>
            <w:tcW w:w="993" w:type="dxa"/>
            <w:vAlign w:val="center"/>
          </w:tcPr>
          <w:p>
            <w:pPr>
              <w:jc w:val="center"/>
              <w:rPr>
                <w:rFonts w:hint="eastAsia" w:ascii="宋体" w:hAnsi="宋体" w:eastAsia="宋体" w:cs="宋体"/>
                <w:color w:val="auto"/>
                <w:sz w:val="24"/>
                <w:highlight w:val="none"/>
              </w:rPr>
            </w:pPr>
          </w:p>
        </w:tc>
        <w:tc>
          <w:tcPr>
            <w:tcW w:w="1559"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hint="eastAsia" w:ascii="宋体" w:hAnsi="宋体" w:eastAsia="宋体" w:cs="宋体"/>
                <w:color w:val="auto"/>
                <w:sz w:val="24"/>
                <w:highlight w:val="none"/>
              </w:rPr>
            </w:pPr>
          </w:p>
        </w:tc>
        <w:tc>
          <w:tcPr>
            <w:tcW w:w="2169" w:type="dxa"/>
            <w:vAlign w:val="center"/>
          </w:tcPr>
          <w:p>
            <w:pPr>
              <w:jc w:val="center"/>
              <w:rPr>
                <w:rFonts w:hint="eastAsia" w:ascii="宋体" w:hAnsi="宋体" w:eastAsia="宋体" w:cs="宋体"/>
                <w:color w:val="auto"/>
                <w:sz w:val="24"/>
                <w:highlight w:val="none"/>
              </w:rPr>
            </w:pPr>
          </w:p>
        </w:tc>
        <w:tc>
          <w:tcPr>
            <w:tcW w:w="1134" w:type="dxa"/>
            <w:vAlign w:val="center"/>
          </w:tcPr>
          <w:p>
            <w:pPr>
              <w:jc w:val="center"/>
              <w:rPr>
                <w:rFonts w:hint="eastAsia" w:ascii="宋体" w:hAnsi="宋体" w:eastAsia="宋体" w:cs="宋体"/>
                <w:color w:val="auto"/>
                <w:sz w:val="24"/>
                <w:highlight w:val="none"/>
              </w:rPr>
            </w:pPr>
          </w:p>
        </w:tc>
        <w:tc>
          <w:tcPr>
            <w:tcW w:w="1842" w:type="dxa"/>
            <w:vAlign w:val="center"/>
          </w:tcPr>
          <w:p>
            <w:pPr>
              <w:jc w:val="center"/>
              <w:rPr>
                <w:rFonts w:hint="eastAsia" w:ascii="宋体" w:hAnsi="宋体" w:eastAsia="宋体" w:cs="宋体"/>
                <w:color w:val="auto"/>
                <w:sz w:val="24"/>
                <w:highlight w:val="none"/>
              </w:rPr>
            </w:pPr>
          </w:p>
        </w:tc>
        <w:tc>
          <w:tcPr>
            <w:tcW w:w="993" w:type="dxa"/>
            <w:vAlign w:val="center"/>
          </w:tcPr>
          <w:p>
            <w:pPr>
              <w:jc w:val="center"/>
              <w:rPr>
                <w:rFonts w:hint="eastAsia" w:ascii="宋体" w:hAnsi="宋体" w:eastAsia="宋体" w:cs="宋体"/>
                <w:color w:val="auto"/>
                <w:sz w:val="24"/>
                <w:highlight w:val="none"/>
              </w:rPr>
            </w:pPr>
          </w:p>
        </w:tc>
        <w:tc>
          <w:tcPr>
            <w:tcW w:w="1559"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hint="eastAsia" w:ascii="宋体" w:hAnsi="宋体" w:eastAsia="宋体" w:cs="宋体"/>
                <w:color w:val="auto"/>
                <w:sz w:val="24"/>
                <w:highlight w:val="none"/>
              </w:rPr>
            </w:pPr>
          </w:p>
        </w:tc>
        <w:tc>
          <w:tcPr>
            <w:tcW w:w="2169" w:type="dxa"/>
            <w:vAlign w:val="center"/>
          </w:tcPr>
          <w:p>
            <w:pPr>
              <w:jc w:val="center"/>
              <w:rPr>
                <w:rFonts w:hint="eastAsia" w:ascii="宋体" w:hAnsi="宋体" w:eastAsia="宋体" w:cs="宋体"/>
                <w:color w:val="auto"/>
                <w:sz w:val="24"/>
                <w:highlight w:val="none"/>
              </w:rPr>
            </w:pPr>
          </w:p>
        </w:tc>
        <w:tc>
          <w:tcPr>
            <w:tcW w:w="1134" w:type="dxa"/>
            <w:vAlign w:val="center"/>
          </w:tcPr>
          <w:p>
            <w:pPr>
              <w:jc w:val="center"/>
              <w:rPr>
                <w:rFonts w:hint="eastAsia" w:ascii="宋体" w:hAnsi="宋体" w:eastAsia="宋体" w:cs="宋体"/>
                <w:color w:val="auto"/>
                <w:sz w:val="24"/>
                <w:highlight w:val="none"/>
              </w:rPr>
            </w:pPr>
          </w:p>
        </w:tc>
        <w:tc>
          <w:tcPr>
            <w:tcW w:w="1842" w:type="dxa"/>
            <w:vAlign w:val="center"/>
          </w:tcPr>
          <w:p>
            <w:pPr>
              <w:jc w:val="center"/>
              <w:rPr>
                <w:rFonts w:hint="eastAsia" w:ascii="宋体" w:hAnsi="宋体" w:eastAsia="宋体" w:cs="宋体"/>
                <w:color w:val="auto"/>
                <w:sz w:val="24"/>
                <w:highlight w:val="none"/>
              </w:rPr>
            </w:pPr>
          </w:p>
        </w:tc>
        <w:tc>
          <w:tcPr>
            <w:tcW w:w="993" w:type="dxa"/>
            <w:vAlign w:val="center"/>
          </w:tcPr>
          <w:p>
            <w:pPr>
              <w:jc w:val="center"/>
              <w:rPr>
                <w:rFonts w:hint="eastAsia" w:ascii="宋体" w:hAnsi="宋体" w:eastAsia="宋体" w:cs="宋体"/>
                <w:color w:val="auto"/>
                <w:sz w:val="24"/>
                <w:highlight w:val="none"/>
              </w:rPr>
            </w:pPr>
          </w:p>
        </w:tc>
        <w:tc>
          <w:tcPr>
            <w:tcW w:w="1559"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hint="eastAsia" w:ascii="宋体" w:hAnsi="宋体" w:eastAsia="宋体" w:cs="宋体"/>
                <w:color w:val="auto"/>
                <w:sz w:val="24"/>
                <w:highlight w:val="none"/>
              </w:rPr>
            </w:pPr>
          </w:p>
        </w:tc>
        <w:tc>
          <w:tcPr>
            <w:tcW w:w="2169" w:type="dxa"/>
            <w:vAlign w:val="center"/>
          </w:tcPr>
          <w:p>
            <w:pPr>
              <w:jc w:val="center"/>
              <w:rPr>
                <w:rFonts w:hint="eastAsia" w:ascii="宋体" w:hAnsi="宋体" w:eastAsia="宋体" w:cs="宋体"/>
                <w:color w:val="auto"/>
                <w:sz w:val="24"/>
                <w:highlight w:val="none"/>
              </w:rPr>
            </w:pPr>
          </w:p>
        </w:tc>
        <w:tc>
          <w:tcPr>
            <w:tcW w:w="1134" w:type="dxa"/>
            <w:vAlign w:val="center"/>
          </w:tcPr>
          <w:p>
            <w:pPr>
              <w:jc w:val="center"/>
              <w:rPr>
                <w:rFonts w:hint="eastAsia" w:ascii="宋体" w:hAnsi="宋体" w:eastAsia="宋体" w:cs="宋体"/>
                <w:color w:val="auto"/>
                <w:sz w:val="24"/>
                <w:highlight w:val="none"/>
              </w:rPr>
            </w:pPr>
          </w:p>
        </w:tc>
        <w:tc>
          <w:tcPr>
            <w:tcW w:w="1842" w:type="dxa"/>
            <w:vAlign w:val="center"/>
          </w:tcPr>
          <w:p>
            <w:pPr>
              <w:jc w:val="center"/>
              <w:rPr>
                <w:rFonts w:hint="eastAsia" w:ascii="宋体" w:hAnsi="宋体" w:eastAsia="宋体" w:cs="宋体"/>
                <w:color w:val="auto"/>
                <w:sz w:val="24"/>
                <w:highlight w:val="none"/>
              </w:rPr>
            </w:pPr>
          </w:p>
        </w:tc>
        <w:tc>
          <w:tcPr>
            <w:tcW w:w="993" w:type="dxa"/>
            <w:vAlign w:val="center"/>
          </w:tcPr>
          <w:p>
            <w:pPr>
              <w:jc w:val="center"/>
              <w:rPr>
                <w:rFonts w:hint="eastAsia" w:ascii="宋体" w:hAnsi="宋体" w:eastAsia="宋体" w:cs="宋体"/>
                <w:color w:val="auto"/>
                <w:sz w:val="24"/>
                <w:highlight w:val="none"/>
              </w:rPr>
            </w:pPr>
          </w:p>
        </w:tc>
        <w:tc>
          <w:tcPr>
            <w:tcW w:w="1559"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hint="eastAsia" w:ascii="宋体" w:hAnsi="宋体" w:eastAsia="宋体" w:cs="宋体"/>
                <w:color w:val="auto"/>
                <w:sz w:val="24"/>
                <w:highlight w:val="none"/>
              </w:rPr>
            </w:pPr>
          </w:p>
        </w:tc>
        <w:tc>
          <w:tcPr>
            <w:tcW w:w="2169" w:type="dxa"/>
            <w:vAlign w:val="center"/>
          </w:tcPr>
          <w:p>
            <w:pPr>
              <w:jc w:val="center"/>
              <w:rPr>
                <w:rFonts w:hint="eastAsia" w:ascii="宋体" w:hAnsi="宋体" w:eastAsia="宋体" w:cs="宋体"/>
                <w:color w:val="auto"/>
                <w:sz w:val="24"/>
                <w:highlight w:val="none"/>
              </w:rPr>
            </w:pPr>
          </w:p>
        </w:tc>
        <w:tc>
          <w:tcPr>
            <w:tcW w:w="1134" w:type="dxa"/>
            <w:vAlign w:val="center"/>
          </w:tcPr>
          <w:p>
            <w:pPr>
              <w:jc w:val="center"/>
              <w:rPr>
                <w:rFonts w:hint="eastAsia" w:ascii="宋体" w:hAnsi="宋体" w:eastAsia="宋体" w:cs="宋体"/>
                <w:color w:val="auto"/>
                <w:sz w:val="24"/>
                <w:highlight w:val="none"/>
              </w:rPr>
            </w:pPr>
          </w:p>
        </w:tc>
        <w:tc>
          <w:tcPr>
            <w:tcW w:w="1842" w:type="dxa"/>
            <w:vAlign w:val="center"/>
          </w:tcPr>
          <w:p>
            <w:pPr>
              <w:jc w:val="center"/>
              <w:rPr>
                <w:rFonts w:hint="eastAsia" w:ascii="宋体" w:hAnsi="宋体" w:eastAsia="宋体" w:cs="宋体"/>
                <w:color w:val="auto"/>
                <w:sz w:val="24"/>
                <w:highlight w:val="none"/>
              </w:rPr>
            </w:pPr>
          </w:p>
        </w:tc>
        <w:tc>
          <w:tcPr>
            <w:tcW w:w="993" w:type="dxa"/>
            <w:vAlign w:val="center"/>
          </w:tcPr>
          <w:p>
            <w:pPr>
              <w:jc w:val="center"/>
              <w:rPr>
                <w:rFonts w:hint="eastAsia" w:ascii="宋体" w:hAnsi="宋体" w:eastAsia="宋体" w:cs="宋体"/>
                <w:color w:val="auto"/>
                <w:sz w:val="24"/>
                <w:highlight w:val="none"/>
              </w:rPr>
            </w:pPr>
          </w:p>
        </w:tc>
        <w:tc>
          <w:tcPr>
            <w:tcW w:w="1559" w:type="dxa"/>
            <w:vAlign w:val="center"/>
          </w:tcPr>
          <w:p>
            <w:pP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891" w:type="dxa"/>
            <w:vAlign w:val="center"/>
          </w:tcPr>
          <w:p>
            <w:pPr>
              <w:jc w:val="center"/>
              <w:rPr>
                <w:rFonts w:hint="eastAsia" w:ascii="宋体" w:hAnsi="宋体" w:eastAsia="宋体" w:cs="宋体"/>
                <w:color w:val="auto"/>
                <w:sz w:val="24"/>
                <w:highlight w:val="none"/>
              </w:rPr>
            </w:pPr>
          </w:p>
        </w:tc>
        <w:tc>
          <w:tcPr>
            <w:tcW w:w="2169" w:type="dxa"/>
            <w:vAlign w:val="center"/>
          </w:tcPr>
          <w:p>
            <w:pPr>
              <w:jc w:val="center"/>
              <w:rPr>
                <w:rFonts w:hint="eastAsia" w:ascii="宋体" w:hAnsi="宋体" w:eastAsia="宋体" w:cs="宋体"/>
                <w:color w:val="auto"/>
                <w:sz w:val="24"/>
                <w:highlight w:val="none"/>
              </w:rPr>
            </w:pPr>
          </w:p>
        </w:tc>
        <w:tc>
          <w:tcPr>
            <w:tcW w:w="1134" w:type="dxa"/>
            <w:vAlign w:val="center"/>
          </w:tcPr>
          <w:p>
            <w:pPr>
              <w:jc w:val="center"/>
              <w:rPr>
                <w:rFonts w:hint="eastAsia" w:ascii="宋体" w:hAnsi="宋体" w:eastAsia="宋体" w:cs="宋体"/>
                <w:color w:val="auto"/>
                <w:sz w:val="24"/>
                <w:highlight w:val="none"/>
              </w:rPr>
            </w:pPr>
          </w:p>
        </w:tc>
        <w:tc>
          <w:tcPr>
            <w:tcW w:w="1842" w:type="dxa"/>
            <w:vAlign w:val="center"/>
          </w:tcPr>
          <w:p>
            <w:pPr>
              <w:jc w:val="center"/>
              <w:rPr>
                <w:rFonts w:hint="eastAsia" w:ascii="宋体" w:hAnsi="宋体" w:eastAsia="宋体" w:cs="宋体"/>
                <w:color w:val="auto"/>
                <w:sz w:val="24"/>
                <w:highlight w:val="none"/>
              </w:rPr>
            </w:pPr>
          </w:p>
        </w:tc>
        <w:tc>
          <w:tcPr>
            <w:tcW w:w="993" w:type="dxa"/>
            <w:vAlign w:val="center"/>
          </w:tcPr>
          <w:p>
            <w:pPr>
              <w:jc w:val="center"/>
              <w:rPr>
                <w:rFonts w:hint="eastAsia" w:ascii="宋体" w:hAnsi="宋体" w:eastAsia="宋体" w:cs="宋体"/>
                <w:color w:val="auto"/>
                <w:sz w:val="24"/>
                <w:highlight w:val="none"/>
              </w:rPr>
            </w:pPr>
          </w:p>
        </w:tc>
        <w:tc>
          <w:tcPr>
            <w:tcW w:w="1559" w:type="dxa"/>
            <w:vAlign w:val="center"/>
          </w:tcPr>
          <w:p>
            <w:pPr>
              <w:jc w:val="center"/>
              <w:rPr>
                <w:rFonts w:hint="eastAsia" w:ascii="宋体" w:hAnsi="宋体" w:eastAsia="宋体" w:cs="宋体"/>
                <w:color w:val="auto"/>
                <w:sz w:val="24"/>
                <w:highlight w:val="none"/>
              </w:rPr>
            </w:pPr>
          </w:p>
        </w:tc>
      </w:tr>
    </w:tbl>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1.本表中的名称、数量应与报价明细表中相对应的报价名称、数量一致。</w:t>
      </w:r>
    </w:p>
    <w:p>
      <w:pPr>
        <w:spacing w:line="360" w:lineRule="auto"/>
        <w:rPr>
          <w:rFonts w:hint="eastAsia" w:ascii="宋体" w:hAnsi="宋体" w:eastAsia="宋体" w:cs="宋体"/>
          <w:color w:val="auto"/>
          <w:sz w:val="24"/>
          <w:highlight w:val="none"/>
        </w:rPr>
      </w:pPr>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r>
        <w:rPr>
          <w:rFonts w:hint="eastAsia" w:ascii="宋体" w:hAnsi="宋体" w:eastAsia="宋体" w:cs="宋体"/>
          <w:color w:val="auto"/>
          <w:sz w:val="24"/>
          <w:highlight w:val="none"/>
          <w:u w:val="single"/>
        </w:rPr>
        <w:t xml:space="preserve">                         </w:t>
      </w:r>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授权委托代理人签字或盖章：</w:t>
      </w:r>
      <w:r>
        <w:rPr>
          <w:rFonts w:hint="eastAsia" w:ascii="宋体" w:hAnsi="宋体" w:eastAsia="宋体" w:cs="宋体"/>
          <w:color w:val="auto"/>
          <w:sz w:val="24"/>
          <w:highlight w:val="none"/>
          <w:u w:val="single"/>
        </w:rPr>
        <w:t xml:space="preserve">                   </w:t>
      </w:r>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jc w:val="left"/>
        <w:rPr>
          <w:rFonts w:hint="eastAsia" w:ascii="宋体" w:hAnsi="宋体" w:eastAsia="宋体" w:cs="宋体"/>
          <w:b/>
          <w:bCs/>
          <w:color w:val="auto"/>
          <w:sz w:val="28"/>
          <w:szCs w:val="36"/>
          <w:highlight w:val="none"/>
          <w:lang w:val="zh-CN"/>
        </w:rPr>
      </w:pPr>
    </w:p>
    <w:p>
      <w:pPr>
        <w:spacing w:line="360" w:lineRule="auto"/>
        <w:jc w:val="left"/>
        <w:rPr>
          <w:rFonts w:hint="default"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w:t>
      </w:r>
      <w:r>
        <w:rPr>
          <w:rFonts w:hint="eastAsia" w:ascii="宋体" w:hAnsi="宋体" w:cs="宋体"/>
          <w:b/>
          <w:bCs/>
          <w:color w:val="auto"/>
          <w:sz w:val="28"/>
          <w:szCs w:val="36"/>
          <w:highlight w:val="none"/>
          <w:lang w:val="en-US" w:eastAsia="zh-CN"/>
        </w:rPr>
        <w:t>13</w:t>
      </w:r>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kern w:val="0"/>
          <w:sz w:val="32"/>
          <w:szCs w:val="32"/>
          <w:highlight w:val="none"/>
        </w:rPr>
        <w:t>技术需求响应表</w:t>
      </w:r>
    </w:p>
    <w:p>
      <w:pPr>
        <w:spacing w:line="360" w:lineRule="auto"/>
        <w:rPr>
          <w:rFonts w:hint="eastAsia" w:ascii="宋体" w:hAnsi="宋体" w:eastAsia="宋体" w:cs="宋体"/>
          <w:color w:val="auto"/>
          <w:sz w:val="24"/>
          <w:highlight w:val="none"/>
        </w:rPr>
      </w:pPr>
    </w:p>
    <w:tbl>
      <w:tblPr>
        <w:tblStyle w:val="26"/>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785" w:type="dxa"/>
            <w:vAlign w:val="center"/>
          </w:tcPr>
          <w:p>
            <w:pPr>
              <w:spacing w:line="360" w:lineRule="auto"/>
              <w:ind w:left="13" w:leftChars="6"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449" w:type="dxa"/>
            <w:vAlign w:val="center"/>
          </w:tcPr>
          <w:p>
            <w:pPr>
              <w:spacing w:line="360" w:lineRule="auto"/>
              <w:ind w:left="5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1560" w:type="dxa"/>
            <w:vAlign w:val="center"/>
          </w:tcPr>
          <w:p>
            <w:pPr>
              <w:spacing w:line="360" w:lineRule="auto"/>
              <w:ind w:left="15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招标参数</w:t>
            </w:r>
          </w:p>
        </w:tc>
        <w:tc>
          <w:tcPr>
            <w:tcW w:w="1401" w:type="dxa"/>
            <w:vAlign w:val="center"/>
          </w:tcPr>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投标参数</w:t>
            </w:r>
          </w:p>
        </w:tc>
        <w:tc>
          <w:tcPr>
            <w:tcW w:w="1365" w:type="dxa"/>
            <w:vAlign w:val="center"/>
          </w:tcPr>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hint="eastAsia" w:ascii="宋体" w:hAnsi="宋体" w:eastAsia="宋体" w:cs="宋体"/>
                <w:color w:val="auto"/>
                <w:sz w:val="24"/>
                <w:highlight w:val="none"/>
              </w:rPr>
            </w:pPr>
          </w:p>
        </w:tc>
        <w:tc>
          <w:tcPr>
            <w:tcW w:w="1785" w:type="dxa"/>
            <w:vAlign w:val="center"/>
          </w:tcPr>
          <w:p>
            <w:pPr>
              <w:spacing w:line="360" w:lineRule="auto"/>
              <w:rPr>
                <w:rFonts w:hint="eastAsia" w:ascii="宋体" w:hAnsi="宋体" w:eastAsia="宋体" w:cs="宋体"/>
                <w:color w:val="auto"/>
                <w:sz w:val="24"/>
                <w:highlight w:val="none"/>
              </w:rPr>
            </w:pPr>
          </w:p>
        </w:tc>
        <w:tc>
          <w:tcPr>
            <w:tcW w:w="1449" w:type="dxa"/>
            <w:vAlign w:val="center"/>
          </w:tcPr>
          <w:p>
            <w:pPr>
              <w:spacing w:line="360" w:lineRule="auto"/>
              <w:rPr>
                <w:rFonts w:hint="eastAsia" w:ascii="宋体" w:hAnsi="宋体" w:eastAsia="宋体" w:cs="宋体"/>
                <w:color w:val="auto"/>
                <w:sz w:val="24"/>
                <w:highlight w:val="none"/>
              </w:rPr>
            </w:pPr>
          </w:p>
        </w:tc>
        <w:tc>
          <w:tcPr>
            <w:tcW w:w="1560" w:type="dxa"/>
            <w:vAlign w:val="center"/>
          </w:tcPr>
          <w:p>
            <w:pPr>
              <w:spacing w:line="360" w:lineRule="auto"/>
              <w:rPr>
                <w:rFonts w:hint="eastAsia" w:ascii="宋体" w:hAnsi="宋体" w:eastAsia="宋体" w:cs="宋体"/>
                <w:color w:val="auto"/>
                <w:sz w:val="24"/>
                <w:highlight w:val="none"/>
              </w:rPr>
            </w:pPr>
          </w:p>
        </w:tc>
        <w:tc>
          <w:tcPr>
            <w:tcW w:w="1401" w:type="dxa"/>
            <w:vAlign w:val="center"/>
          </w:tcPr>
          <w:p>
            <w:pPr>
              <w:spacing w:line="360" w:lineRule="auto"/>
              <w:rPr>
                <w:rFonts w:hint="eastAsia" w:ascii="宋体" w:hAnsi="宋体" w:eastAsia="宋体" w:cs="宋体"/>
                <w:color w:val="auto"/>
                <w:sz w:val="24"/>
                <w:highlight w:val="none"/>
              </w:rPr>
            </w:pPr>
          </w:p>
        </w:tc>
        <w:tc>
          <w:tcPr>
            <w:tcW w:w="1365" w:type="dxa"/>
            <w:vAlign w:val="center"/>
          </w:tcPr>
          <w:p>
            <w:pP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hint="eastAsia" w:ascii="宋体" w:hAnsi="宋体" w:eastAsia="宋体" w:cs="宋体"/>
                <w:color w:val="auto"/>
                <w:sz w:val="24"/>
                <w:highlight w:val="none"/>
              </w:rPr>
            </w:pPr>
          </w:p>
        </w:tc>
        <w:tc>
          <w:tcPr>
            <w:tcW w:w="1785" w:type="dxa"/>
            <w:vAlign w:val="center"/>
          </w:tcPr>
          <w:p>
            <w:pPr>
              <w:spacing w:line="360" w:lineRule="auto"/>
              <w:rPr>
                <w:rFonts w:hint="eastAsia" w:ascii="宋体" w:hAnsi="宋体" w:eastAsia="宋体" w:cs="宋体"/>
                <w:color w:val="auto"/>
                <w:sz w:val="24"/>
                <w:highlight w:val="none"/>
              </w:rPr>
            </w:pPr>
          </w:p>
        </w:tc>
        <w:tc>
          <w:tcPr>
            <w:tcW w:w="1449" w:type="dxa"/>
            <w:vAlign w:val="center"/>
          </w:tcPr>
          <w:p>
            <w:pPr>
              <w:spacing w:line="360" w:lineRule="auto"/>
              <w:rPr>
                <w:rFonts w:hint="eastAsia" w:ascii="宋体" w:hAnsi="宋体" w:eastAsia="宋体" w:cs="宋体"/>
                <w:color w:val="auto"/>
                <w:sz w:val="24"/>
                <w:highlight w:val="none"/>
              </w:rPr>
            </w:pPr>
          </w:p>
        </w:tc>
        <w:tc>
          <w:tcPr>
            <w:tcW w:w="1560" w:type="dxa"/>
            <w:vAlign w:val="center"/>
          </w:tcPr>
          <w:p>
            <w:pPr>
              <w:spacing w:line="360" w:lineRule="auto"/>
              <w:rPr>
                <w:rFonts w:hint="eastAsia" w:ascii="宋体" w:hAnsi="宋体" w:eastAsia="宋体" w:cs="宋体"/>
                <w:color w:val="auto"/>
                <w:sz w:val="24"/>
                <w:highlight w:val="none"/>
              </w:rPr>
            </w:pPr>
          </w:p>
        </w:tc>
        <w:tc>
          <w:tcPr>
            <w:tcW w:w="1401" w:type="dxa"/>
            <w:vAlign w:val="center"/>
          </w:tcPr>
          <w:p>
            <w:pPr>
              <w:spacing w:line="360" w:lineRule="auto"/>
              <w:rPr>
                <w:rFonts w:hint="eastAsia" w:ascii="宋体" w:hAnsi="宋体" w:eastAsia="宋体" w:cs="宋体"/>
                <w:color w:val="auto"/>
                <w:sz w:val="24"/>
                <w:highlight w:val="none"/>
              </w:rPr>
            </w:pPr>
          </w:p>
        </w:tc>
        <w:tc>
          <w:tcPr>
            <w:tcW w:w="1365" w:type="dxa"/>
            <w:vAlign w:val="center"/>
          </w:tcPr>
          <w:p>
            <w:pP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hint="eastAsia" w:ascii="宋体" w:hAnsi="宋体" w:eastAsia="宋体" w:cs="宋体"/>
                <w:color w:val="auto"/>
                <w:sz w:val="24"/>
                <w:highlight w:val="none"/>
              </w:rPr>
            </w:pPr>
          </w:p>
        </w:tc>
        <w:tc>
          <w:tcPr>
            <w:tcW w:w="1785" w:type="dxa"/>
            <w:vAlign w:val="center"/>
          </w:tcPr>
          <w:p>
            <w:pPr>
              <w:spacing w:line="360" w:lineRule="auto"/>
              <w:rPr>
                <w:rFonts w:hint="eastAsia" w:ascii="宋体" w:hAnsi="宋体" w:eastAsia="宋体" w:cs="宋体"/>
                <w:color w:val="auto"/>
                <w:sz w:val="24"/>
                <w:highlight w:val="none"/>
              </w:rPr>
            </w:pPr>
          </w:p>
        </w:tc>
        <w:tc>
          <w:tcPr>
            <w:tcW w:w="1449" w:type="dxa"/>
            <w:vAlign w:val="center"/>
          </w:tcPr>
          <w:p>
            <w:pPr>
              <w:spacing w:line="360" w:lineRule="auto"/>
              <w:rPr>
                <w:rFonts w:hint="eastAsia" w:ascii="宋体" w:hAnsi="宋体" w:eastAsia="宋体" w:cs="宋体"/>
                <w:color w:val="auto"/>
                <w:sz w:val="24"/>
                <w:highlight w:val="none"/>
              </w:rPr>
            </w:pPr>
          </w:p>
        </w:tc>
        <w:tc>
          <w:tcPr>
            <w:tcW w:w="1560" w:type="dxa"/>
            <w:vAlign w:val="center"/>
          </w:tcPr>
          <w:p>
            <w:pPr>
              <w:spacing w:line="360" w:lineRule="auto"/>
              <w:rPr>
                <w:rFonts w:hint="eastAsia" w:ascii="宋体" w:hAnsi="宋体" w:eastAsia="宋体" w:cs="宋体"/>
                <w:color w:val="auto"/>
                <w:sz w:val="24"/>
                <w:highlight w:val="none"/>
              </w:rPr>
            </w:pPr>
          </w:p>
        </w:tc>
        <w:tc>
          <w:tcPr>
            <w:tcW w:w="1401" w:type="dxa"/>
            <w:vAlign w:val="center"/>
          </w:tcPr>
          <w:p>
            <w:pPr>
              <w:spacing w:line="360" w:lineRule="auto"/>
              <w:rPr>
                <w:rFonts w:hint="eastAsia" w:ascii="宋体" w:hAnsi="宋体" w:eastAsia="宋体" w:cs="宋体"/>
                <w:color w:val="auto"/>
                <w:sz w:val="24"/>
                <w:highlight w:val="none"/>
              </w:rPr>
            </w:pPr>
          </w:p>
        </w:tc>
        <w:tc>
          <w:tcPr>
            <w:tcW w:w="1365" w:type="dxa"/>
            <w:vAlign w:val="center"/>
          </w:tcPr>
          <w:p>
            <w:pP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hint="eastAsia" w:ascii="宋体" w:hAnsi="宋体" w:eastAsia="宋体" w:cs="宋体"/>
                <w:color w:val="auto"/>
                <w:sz w:val="24"/>
                <w:highlight w:val="none"/>
              </w:rPr>
            </w:pPr>
          </w:p>
        </w:tc>
        <w:tc>
          <w:tcPr>
            <w:tcW w:w="1785" w:type="dxa"/>
            <w:vAlign w:val="center"/>
          </w:tcPr>
          <w:p>
            <w:pPr>
              <w:spacing w:line="360" w:lineRule="auto"/>
              <w:rPr>
                <w:rFonts w:hint="eastAsia" w:ascii="宋体" w:hAnsi="宋体" w:eastAsia="宋体" w:cs="宋体"/>
                <w:color w:val="auto"/>
                <w:sz w:val="24"/>
                <w:highlight w:val="none"/>
              </w:rPr>
            </w:pPr>
          </w:p>
        </w:tc>
        <w:tc>
          <w:tcPr>
            <w:tcW w:w="1449" w:type="dxa"/>
            <w:vAlign w:val="center"/>
          </w:tcPr>
          <w:p>
            <w:pPr>
              <w:spacing w:line="360" w:lineRule="auto"/>
              <w:rPr>
                <w:rFonts w:hint="eastAsia" w:ascii="宋体" w:hAnsi="宋体" w:eastAsia="宋体" w:cs="宋体"/>
                <w:color w:val="auto"/>
                <w:sz w:val="24"/>
                <w:highlight w:val="none"/>
              </w:rPr>
            </w:pPr>
          </w:p>
        </w:tc>
        <w:tc>
          <w:tcPr>
            <w:tcW w:w="1560" w:type="dxa"/>
            <w:vAlign w:val="center"/>
          </w:tcPr>
          <w:p>
            <w:pPr>
              <w:spacing w:line="360" w:lineRule="auto"/>
              <w:rPr>
                <w:rFonts w:hint="eastAsia" w:ascii="宋体" w:hAnsi="宋体" w:eastAsia="宋体" w:cs="宋体"/>
                <w:color w:val="auto"/>
                <w:sz w:val="24"/>
                <w:highlight w:val="none"/>
              </w:rPr>
            </w:pPr>
          </w:p>
        </w:tc>
        <w:tc>
          <w:tcPr>
            <w:tcW w:w="1401" w:type="dxa"/>
            <w:vAlign w:val="center"/>
          </w:tcPr>
          <w:p>
            <w:pPr>
              <w:spacing w:line="360" w:lineRule="auto"/>
              <w:rPr>
                <w:rFonts w:hint="eastAsia" w:ascii="宋体" w:hAnsi="宋体" w:eastAsia="宋体" w:cs="宋体"/>
                <w:color w:val="auto"/>
                <w:sz w:val="24"/>
                <w:highlight w:val="none"/>
              </w:rPr>
            </w:pPr>
          </w:p>
        </w:tc>
        <w:tc>
          <w:tcPr>
            <w:tcW w:w="1365" w:type="dxa"/>
            <w:vAlign w:val="center"/>
          </w:tcPr>
          <w:p>
            <w:pP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pPr>
              <w:spacing w:line="360" w:lineRule="auto"/>
              <w:rPr>
                <w:rFonts w:hint="eastAsia" w:ascii="宋体" w:hAnsi="宋体" w:eastAsia="宋体" w:cs="宋体"/>
                <w:color w:val="auto"/>
                <w:sz w:val="24"/>
                <w:highlight w:val="none"/>
              </w:rPr>
            </w:pPr>
          </w:p>
        </w:tc>
        <w:tc>
          <w:tcPr>
            <w:tcW w:w="1785" w:type="dxa"/>
            <w:vAlign w:val="center"/>
          </w:tcPr>
          <w:p>
            <w:pPr>
              <w:spacing w:line="360" w:lineRule="auto"/>
              <w:rPr>
                <w:rFonts w:hint="eastAsia" w:ascii="宋体" w:hAnsi="宋体" w:eastAsia="宋体" w:cs="宋体"/>
                <w:color w:val="auto"/>
                <w:sz w:val="24"/>
                <w:highlight w:val="none"/>
              </w:rPr>
            </w:pPr>
          </w:p>
        </w:tc>
        <w:tc>
          <w:tcPr>
            <w:tcW w:w="1449" w:type="dxa"/>
            <w:vAlign w:val="center"/>
          </w:tcPr>
          <w:p>
            <w:pPr>
              <w:spacing w:line="360" w:lineRule="auto"/>
              <w:rPr>
                <w:rFonts w:hint="eastAsia" w:ascii="宋体" w:hAnsi="宋体" w:eastAsia="宋体" w:cs="宋体"/>
                <w:color w:val="auto"/>
                <w:sz w:val="24"/>
                <w:highlight w:val="none"/>
              </w:rPr>
            </w:pPr>
          </w:p>
        </w:tc>
        <w:tc>
          <w:tcPr>
            <w:tcW w:w="1560" w:type="dxa"/>
            <w:vAlign w:val="center"/>
          </w:tcPr>
          <w:p>
            <w:pPr>
              <w:spacing w:line="360" w:lineRule="auto"/>
              <w:rPr>
                <w:rFonts w:hint="eastAsia" w:ascii="宋体" w:hAnsi="宋体" w:eastAsia="宋体" w:cs="宋体"/>
                <w:color w:val="auto"/>
                <w:sz w:val="24"/>
                <w:highlight w:val="none"/>
              </w:rPr>
            </w:pPr>
          </w:p>
        </w:tc>
        <w:tc>
          <w:tcPr>
            <w:tcW w:w="1401" w:type="dxa"/>
            <w:vAlign w:val="center"/>
          </w:tcPr>
          <w:p>
            <w:pPr>
              <w:spacing w:line="360" w:lineRule="auto"/>
              <w:rPr>
                <w:rFonts w:hint="eastAsia" w:ascii="宋体" w:hAnsi="宋体" w:eastAsia="宋体" w:cs="宋体"/>
                <w:color w:val="auto"/>
                <w:sz w:val="24"/>
                <w:highlight w:val="none"/>
              </w:rPr>
            </w:pPr>
          </w:p>
        </w:tc>
        <w:tc>
          <w:tcPr>
            <w:tcW w:w="1365" w:type="dxa"/>
            <w:vAlign w:val="center"/>
          </w:tcPr>
          <w:p>
            <w:pP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hint="eastAsia" w:ascii="宋体" w:hAnsi="宋体" w:eastAsia="宋体" w:cs="宋体"/>
                <w:color w:val="auto"/>
                <w:sz w:val="24"/>
                <w:highlight w:val="none"/>
              </w:rPr>
            </w:pPr>
          </w:p>
        </w:tc>
        <w:tc>
          <w:tcPr>
            <w:tcW w:w="1785" w:type="dxa"/>
            <w:vAlign w:val="center"/>
          </w:tcPr>
          <w:p>
            <w:pPr>
              <w:spacing w:line="360" w:lineRule="auto"/>
              <w:rPr>
                <w:rFonts w:hint="eastAsia" w:ascii="宋体" w:hAnsi="宋体" w:eastAsia="宋体" w:cs="宋体"/>
                <w:color w:val="auto"/>
                <w:sz w:val="24"/>
                <w:highlight w:val="none"/>
              </w:rPr>
            </w:pPr>
          </w:p>
        </w:tc>
        <w:tc>
          <w:tcPr>
            <w:tcW w:w="1449" w:type="dxa"/>
            <w:vAlign w:val="center"/>
          </w:tcPr>
          <w:p>
            <w:pPr>
              <w:spacing w:line="360" w:lineRule="auto"/>
              <w:rPr>
                <w:rFonts w:hint="eastAsia" w:ascii="宋体" w:hAnsi="宋体" w:eastAsia="宋体" w:cs="宋体"/>
                <w:color w:val="auto"/>
                <w:sz w:val="24"/>
                <w:highlight w:val="none"/>
              </w:rPr>
            </w:pPr>
          </w:p>
        </w:tc>
        <w:tc>
          <w:tcPr>
            <w:tcW w:w="1560" w:type="dxa"/>
            <w:vAlign w:val="center"/>
          </w:tcPr>
          <w:p>
            <w:pPr>
              <w:spacing w:line="360" w:lineRule="auto"/>
              <w:rPr>
                <w:rFonts w:hint="eastAsia" w:ascii="宋体" w:hAnsi="宋体" w:eastAsia="宋体" w:cs="宋体"/>
                <w:color w:val="auto"/>
                <w:sz w:val="24"/>
                <w:highlight w:val="none"/>
              </w:rPr>
            </w:pPr>
          </w:p>
        </w:tc>
        <w:tc>
          <w:tcPr>
            <w:tcW w:w="1401" w:type="dxa"/>
            <w:vAlign w:val="center"/>
          </w:tcPr>
          <w:p>
            <w:pPr>
              <w:spacing w:line="360" w:lineRule="auto"/>
              <w:rPr>
                <w:rFonts w:hint="eastAsia" w:ascii="宋体" w:hAnsi="宋体" w:eastAsia="宋体" w:cs="宋体"/>
                <w:color w:val="auto"/>
                <w:sz w:val="24"/>
                <w:highlight w:val="none"/>
              </w:rPr>
            </w:pPr>
          </w:p>
        </w:tc>
        <w:tc>
          <w:tcPr>
            <w:tcW w:w="1365" w:type="dxa"/>
            <w:vAlign w:val="center"/>
          </w:tcPr>
          <w:p>
            <w:pP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hint="eastAsia" w:ascii="宋体" w:hAnsi="宋体" w:eastAsia="宋体" w:cs="宋体"/>
                <w:color w:val="auto"/>
                <w:sz w:val="24"/>
                <w:highlight w:val="none"/>
              </w:rPr>
            </w:pPr>
          </w:p>
        </w:tc>
        <w:tc>
          <w:tcPr>
            <w:tcW w:w="1785" w:type="dxa"/>
            <w:vAlign w:val="center"/>
          </w:tcPr>
          <w:p>
            <w:pPr>
              <w:spacing w:line="360" w:lineRule="auto"/>
              <w:rPr>
                <w:rFonts w:hint="eastAsia" w:ascii="宋体" w:hAnsi="宋体" w:eastAsia="宋体" w:cs="宋体"/>
                <w:color w:val="auto"/>
                <w:sz w:val="24"/>
                <w:highlight w:val="none"/>
              </w:rPr>
            </w:pPr>
          </w:p>
        </w:tc>
        <w:tc>
          <w:tcPr>
            <w:tcW w:w="1449" w:type="dxa"/>
            <w:vAlign w:val="center"/>
          </w:tcPr>
          <w:p>
            <w:pPr>
              <w:spacing w:line="360" w:lineRule="auto"/>
              <w:rPr>
                <w:rFonts w:hint="eastAsia" w:ascii="宋体" w:hAnsi="宋体" w:eastAsia="宋体" w:cs="宋体"/>
                <w:color w:val="auto"/>
                <w:sz w:val="24"/>
                <w:highlight w:val="none"/>
              </w:rPr>
            </w:pPr>
          </w:p>
        </w:tc>
        <w:tc>
          <w:tcPr>
            <w:tcW w:w="1560" w:type="dxa"/>
            <w:vAlign w:val="center"/>
          </w:tcPr>
          <w:p>
            <w:pPr>
              <w:spacing w:line="360" w:lineRule="auto"/>
              <w:rPr>
                <w:rFonts w:hint="eastAsia" w:ascii="宋体" w:hAnsi="宋体" w:eastAsia="宋体" w:cs="宋体"/>
                <w:color w:val="auto"/>
                <w:sz w:val="24"/>
                <w:highlight w:val="none"/>
              </w:rPr>
            </w:pPr>
          </w:p>
        </w:tc>
        <w:tc>
          <w:tcPr>
            <w:tcW w:w="1401" w:type="dxa"/>
            <w:vAlign w:val="center"/>
          </w:tcPr>
          <w:p>
            <w:pPr>
              <w:spacing w:line="360" w:lineRule="auto"/>
              <w:rPr>
                <w:rFonts w:hint="eastAsia" w:ascii="宋体" w:hAnsi="宋体" w:eastAsia="宋体" w:cs="宋体"/>
                <w:color w:val="auto"/>
                <w:sz w:val="24"/>
                <w:highlight w:val="none"/>
              </w:rPr>
            </w:pPr>
          </w:p>
        </w:tc>
        <w:tc>
          <w:tcPr>
            <w:tcW w:w="1365" w:type="dxa"/>
            <w:vAlign w:val="center"/>
          </w:tcPr>
          <w:p>
            <w:pPr>
              <w:spacing w:line="360" w:lineRule="auto"/>
              <w:rPr>
                <w:rFonts w:hint="eastAsia" w:ascii="宋体" w:hAnsi="宋体" w:eastAsia="宋体" w:cs="宋体"/>
                <w:color w:val="auto"/>
                <w:sz w:val="24"/>
                <w:highlight w:val="none"/>
              </w:rPr>
            </w:pPr>
          </w:p>
        </w:tc>
      </w:tr>
    </w:tbl>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1.本表的名称须与《报价明细表》一致。</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2.本表参照本招标文件第四章“公开招标需求”内容填制，投标人应根据投标设备的性能指标、服务指标，对照招标文件要求在“偏离情况”栏注明“正偏离”、“负偏离”或“无偏离”。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hint="eastAsia" w:ascii="宋体" w:hAnsi="宋体" w:eastAsia="宋体" w:cs="宋体"/>
          <w:color w:val="auto"/>
          <w:sz w:val="24"/>
          <w:highlight w:val="none"/>
        </w:rPr>
      </w:pPr>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r>
        <w:rPr>
          <w:rFonts w:hint="eastAsia" w:ascii="宋体" w:hAnsi="宋体" w:eastAsia="宋体" w:cs="宋体"/>
          <w:color w:val="auto"/>
          <w:sz w:val="24"/>
          <w:highlight w:val="none"/>
          <w:u w:val="single"/>
        </w:rPr>
        <w:t xml:space="preserve">                         </w:t>
      </w:r>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授权委托代理人签字或盖章：</w:t>
      </w:r>
      <w:r>
        <w:rPr>
          <w:rFonts w:hint="eastAsia" w:ascii="宋体" w:hAnsi="宋体" w:eastAsia="宋体" w:cs="宋体"/>
          <w:color w:val="auto"/>
          <w:sz w:val="24"/>
          <w:highlight w:val="none"/>
          <w:u w:val="single"/>
        </w:rPr>
        <w:t xml:space="preserve">                   </w:t>
      </w:r>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p>
    <w:p>
      <w:pPr>
        <w:spacing w:line="360" w:lineRule="auto"/>
        <w:jc w:val="left"/>
        <w:rPr>
          <w:rFonts w:hint="eastAsia" w:ascii="宋体" w:hAnsi="宋体" w:eastAsia="宋体" w:cs="宋体"/>
          <w:b/>
          <w:bCs/>
          <w:color w:val="auto"/>
          <w:sz w:val="28"/>
          <w:szCs w:val="36"/>
          <w:highlight w:val="none"/>
          <w:lang w:val="zh-CN"/>
        </w:rPr>
      </w:pPr>
    </w:p>
    <w:p>
      <w:pPr>
        <w:spacing w:line="360" w:lineRule="auto"/>
        <w:jc w:val="left"/>
        <w:rPr>
          <w:rFonts w:hint="eastAsia" w:ascii="宋体" w:hAnsi="宋体" w:eastAsia="宋体" w:cs="宋体"/>
          <w:b/>
          <w:bCs/>
          <w:color w:val="auto"/>
          <w:sz w:val="28"/>
          <w:szCs w:val="36"/>
          <w:highlight w:val="none"/>
          <w:lang w:eastAsia="zh-CN"/>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rPr>
        <w:t>1</w:t>
      </w:r>
      <w:r>
        <w:rPr>
          <w:rFonts w:hint="eastAsia" w:ascii="宋体" w:hAnsi="宋体" w:cs="宋体"/>
          <w:b/>
          <w:bCs/>
          <w:color w:val="auto"/>
          <w:sz w:val="28"/>
          <w:szCs w:val="36"/>
          <w:highlight w:val="none"/>
          <w:lang w:val="en-US" w:eastAsia="zh-CN"/>
        </w:rPr>
        <w:t>4</w:t>
      </w:r>
    </w:p>
    <w:p>
      <w:pPr>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证书一览表</w:t>
      </w:r>
    </w:p>
    <w:p>
      <w:pPr>
        <w:spacing w:line="360" w:lineRule="auto"/>
        <w:jc w:val="left"/>
        <w:rPr>
          <w:rFonts w:hint="eastAsia" w:ascii="宋体" w:hAnsi="宋体" w:eastAsia="宋体" w:cs="宋体"/>
          <w:b/>
          <w:bCs/>
          <w:color w:val="auto"/>
          <w:sz w:val="24"/>
          <w:szCs w:val="32"/>
          <w:highlight w:val="none"/>
          <w:lang w:val="zh-CN"/>
        </w:rPr>
      </w:pPr>
    </w:p>
    <w:tbl>
      <w:tblPr>
        <w:tblStyle w:val="26"/>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pPr>
              <w:pStyle w:val="68"/>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证书名称</w:t>
            </w:r>
          </w:p>
        </w:tc>
        <w:tc>
          <w:tcPr>
            <w:tcW w:w="2258" w:type="dxa"/>
            <w:tcBorders>
              <w:top w:val="double" w:color="auto" w:sz="4" w:space="0"/>
            </w:tcBorders>
          </w:tcPr>
          <w:p>
            <w:pPr>
              <w:pStyle w:val="68"/>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发证单位</w:t>
            </w:r>
          </w:p>
        </w:tc>
        <w:tc>
          <w:tcPr>
            <w:tcW w:w="2260" w:type="dxa"/>
            <w:tcBorders>
              <w:top w:val="double" w:color="auto" w:sz="4" w:space="0"/>
            </w:tcBorders>
          </w:tcPr>
          <w:p>
            <w:pPr>
              <w:pStyle w:val="68"/>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证书等级</w:t>
            </w:r>
          </w:p>
        </w:tc>
        <w:tc>
          <w:tcPr>
            <w:tcW w:w="2047" w:type="dxa"/>
            <w:tcBorders>
              <w:top w:val="double" w:color="auto" w:sz="4" w:space="0"/>
              <w:right w:val="single" w:color="auto" w:sz="4" w:space="0"/>
            </w:tcBorders>
          </w:tcPr>
          <w:p>
            <w:pPr>
              <w:pStyle w:val="68"/>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8"/>
              <w:spacing w:line="360" w:lineRule="auto"/>
              <w:jc w:val="center"/>
              <w:rPr>
                <w:rFonts w:hint="eastAsia" w:ascii="宋体" w:hAnsi="宋体" w:eastAsia="宋体" w:cs="宋体"/>
                <w:color w:val="auto"/>
                <w:szCs w:val="21"/>
                <w:highlight w:val="none"/>
              </w:rPr>
            </w:pPr>
          </w:p>
        </w:tc>
        <w:tc>
          <w:tcPr>
            <w:tcW w:w="2258" w:type="dxa"/>
          </w:tcPr>
          <w:p>
            <w:pPr>
              <w:pStyle w:val="68"/>
              <w:spacing w:line="360" w:lineRule="auto"/>
              <w:jc w:val="center"/>
              <w:rPr>
                <w:rFonts w:hint="eastAsia" w:ascii="宋体" w:hAnsi="宋体" w:eastAsia="宋体" w:cs="宋体"/>
                <w:color w:val="auto"/>
                <w:szCs w:val="21"/>
                <w:highlight w:val="none"/>
              </w:rPr>
            </w:pPr>
          </w:p>
        </w:tc>
        <w:tc>
          <w:tcPr>
            <w:tcW w:w="2260" w:type="dxa"/>
          </w:tcPr>
          <w:p>
            <w:pPr>
              <w:pStyle w:val="68"/>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tcPr>
          <w:p>
            <w:pPr>
              <w:pStyle w:val="68"/>
              <w:spacing w:line="360" w:lineRule="auto"/>
              <w:jc w:val="center"/>
              <w:rPr>
                <w:rFonts w:hint="eastAsia" w:ascii="宋体" w:hAnsi="宋体" w:eastAsia="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8"/>
              <w:spacing w:line="360" w:lineRule="auto"/>
              <w:jc w:val="center"/>
              <w:rPr>
                <w:rFonts w:hint="eastAsia" w:ascii="宋体" w:hAnsi="宋体" w:eastAsia="宋体" w:cs="宋体"/>
                <w:color w:val="auto"/>
                <w:szCs w:val="21"/>
                <w:highlight w:val="none"/>
              </w:rPr>
            </w:pPr>
          </w:p>
        </w:tc>
        <w:tc>
          <w:tcPr>
            <w:tcW w:w="2258" w:type="dxa"/>
          </w:tcPr>
          <w:p>
            <w:pPr>
              <w:pStyle w:val="68"/>
              <w:spacing w:line="360" w:lineRule="auto"/>
              <w:jc w:val="center"/>
              <w:rPr>
                <w:rFonts w:hint="eastAsia" w:ascii="宋体" w:hAnsi="宋体" w:eastAsia="宋体" w:cs="宋体"/>
                <w:color w:val="auto"/>
                <w:szCs w:val="21"/>
                <w:highlight w:val="none"/>
              </w:rPr>
            </w:pPr>
          </w:p>
        </w:tc>
        <w:tc>
          <w:tcPr>
            <w:tcW w:w="2260" w:type="dxa"/>
          </w:tcPr>
          <w:p>
            <w:pPr>
              <w:pStyle w:val="68"/>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tcPr>
          <w:p>
            <w:pPr>
              <w:pStyle w:val="68"/>
              <w:spacing w:line="360" w:lineRule="auto"/>
              <w:jc w:val="center"/>
              <w:rPr>
                <w:rFonts w:hint="eastAsia" w:ascii="宋体" w:hAnsi="宋体" w:eastAsia="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8"/>
              <w:spacing w:line="360" w:lineRule="auto"/>
              <w:jc w:val="center"/>
              <w:rPr>
                <w:rFonts w:hint="eastAsia" w:ascii="宋体" w:hAnsi="宋体" w:eastAsia="宋体" w:cs="宋体"/>
                <w:color w:val="auto"/>
                <w:szCs w:val="21"/>
                <w:highlight w:val="none"/>
              </w:rPr>
            </w:pPr>
          </w:p>
        </w:tc>
        <w:tc>
          <w:tcPr>
            <w:tcW w:w="2258" w:type="dxa"/>
          </w:tcPr>
          <w:p>
            <w:pPr>
              <w:pStyle w:val="68"/>
              <w:spacing w:line="360" w:lineRule="auto"/>
              <w:jc w:val="center"/>
              <w:rPr>
                <w:rFonts w:hint="eastAsia" w:ascii="宋体" w:hAnsi="宋体" w:eastAsia="宋体" w:cs="宋体"/>
                <w:color w:val="auto"/>
                <w:szCs w:val="21"/>
                <w:highlight w:val="none"/>
              </w:rPr>
            </w:pPr>
          </w:p>
        </w:tc>
        <w:tc>
          <w:tcPr>
            <w:tcW w:w="2260" w:type="dxa"/>
          </w:tcPr>
          <w:p>
            <w:pPr>
              <w:pStyle w:val="68"/>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tcPr>
          <w:p>
            <w:pPr>
              <w:pStyle w:val="68"/>
              <w:spacing w:line="360" w:lineRule="auto"/>
              <w:jc w:val="center"/>
              <w:rPr>
                <w:rFonts w:hint="eastAsia" w:ascii="宋体" w:hAnsi="宋体" w:eastAsia="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8"/>
              <w:spacing w:line="360" w:lineRule="auto"/>
              <w:jc w:val="center"/>
              <w:rPr>
                <w:rFonts w:hint="eastAsia" w:ascii="宋体" w:hAnsi="宋体" w:eastAsia="宋体" w:cs="宋体"/>
                <w:color w:val="auto"/>
                <w:szCs w:val="21"/>
                <w:highlight w:val="none"/>
              </w:rPr>
            </w:pPr>
          </w:p>
        </w:tc>
        <w:tc>
          <w:tcPr>
            <w:tcW w:w="2258" w:type="dxa"/>
          </w:tcPr>
          <w:p>
            <w:pPr>
              <w:pStyle w:val="68"/>
              <w:spacing w:line="360" w:lineRule="auto"/>
              <w:jc w:val="center"/>
              <w:rPr>
                <w:rFonts w:hint="eastAsia" w:ascii="宋体" w:hAnsi="宋体" w:eastAsia="宋体" w:cs="宋体"/>
                <w:color w:val="auto"/>
                <w:szCs w:val="21"/>
                <w:highlight w:val="none"/>
              </w:rPr>
            </w:pPr>
          </w:p>
        </w:tc>
        <w:tc>
          <w:tcPr>
            <w:tcW w:w="2260" w:type="dxa"/>
          </w:tcPr>
          <w:p>
            <w:pPr>
              <w:pStyle w:val="68"/>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tcPr>
          <w:p>
            <w:pPr>
              <w:pStyle w:val="68"/>
              <w:spacing w:line="360" w:lineRule="auto"/>
              <w:jc w:val="center"/>
              <w:rPr>
                <w:rFonts w:hint="eastAsia" w:ascii="宋体" w:hAnsi="宋体" w:eastAsia="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8"/>
              <w:spacing w:line="360" w:lineRule="auto"/>
              <w:jc w:val="center"/>
              <w:rPr>
                <w:rFonts w:hint="eastAsia" w:ascii="宋体" w:hAnsi="宋体" w:eastAsia="宋体" w:cs="宋体"/>
                <w:color w:val="auto"/>
                <w:szCs w:val="21"/>
                <w:highlight w:val="none"/>
              </w:rPr>
            </w:pPr>
          </w:p>
        </w:tc>
        <w:tc>
          <w:tcPr>
            <w:tcW w:w="2258" w:type="dxa"/>
          </w:tcPr>
          <w:p>
            <w:pPr>
              <w:pStyle w:val="68"/>
              <w:spacing w:line="360" w:lineRule="auto"/>
              <w:jc w:val="center"/>
              <w:rPr>
                <w:rFonts w:hint="eastAsia" w:ascii="宋体" w:hAnsi="宋体" w:eastAsia="宋体" w:cs="宋体"/>
                <w:color w:val="auto"/>
                <w:szCs w:val="21"/>
                <w:highlight w:val="none"/>
              </w:rPr>
            </w:pPr>
          </w:p>
        </w:tc>
        <w:tc>
          <w:tcPr>
            <w:tcW w:w="2260" w:type="dxa"/>
          </w:tcPr>
          <w:p>
            <w:pPr>
              <w:pStyle w:val="68"/>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tcPr>
          <w:p>
            <w:pPr>
              <w:pStyle w:val="68"/>
              <w:spacing w:line="360" w:lineRule="auto"/>
              <w:jc w:val="center"/>
              <w:rPr>
                <w:rFonts w:hint="eastAsia" w:ascii="宋体" w:hAnsi="宋体" w:eastAsia="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pPr>
              <w:pStyle w:val="68"/>
              <w:spacing w:line="360" w:lineRule="auto"/>
              <w:jc w:val="center"/>
              <w:rPr>
                <w:rFonts w:hint="eastAsia" w:ascii="宋体" w:hAnsi="宋体" w:eastAsia="宋体" w:cs="宋体"/>
                <w:color w:val="auto"/>
                <w:szCs w:val="21"/>
                <w:highlight w:val="none"/>
              </w:rPr>
            </w:pPr>
          </w:p>
        </w:tc>
        <w:tc>
          <w:tcPr>
            <w:tcW w:w="2258" w:type="dxa"/>
          </w:tcPr>
          <w:p>
            <w:pPr>
              <w:pStyle w:val="68"/>
              <w:spacing w:line="360" w:lineRule="auto"/>
              <w:jc w:val="center"/>
              <w:rPr>
                <w:rFonts w:hint="eastAsia" w:ascii="宋体" w:hAnsi="宋体" w:eastAsia="宋体" w:cs="宋体"/>
                <w:color w:val="auto"/>
                <w:szCs w:val="21"/>
                <w:highlight w:val="none"/>
              </w:rPr>
            </w:pPr>
          </w:p>
        </w:tc>
        <w:tc>
          <w:tcPr>
            <w:tcW w:w="2260" w:type="dxa"/>
          </w:tcPr>
          <w:p>
            <w:pPr>
              <w:pStyle w:val="68"/>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tcPr>
          <w:p>
            <w:pPr>
              <w:pStyle w:val="68"/>
              <w:spacing w:line="360" w:lineRule="auto"/>
              <w:jc w:val="center"/>
              <w:rPr>
                <w:rFonts w:hint="eastAsia" w:ascii="宋体" w:hAnsi="宋体" w:eastAsia="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pPr>
              <w:pStyle w:val="68"/>
              <w:spacing w:line="360" w:lineRule="auto"/>
              <w:jc w:val="center"/>
              <w:rPr>
                <w:rFonts w:hint="eastAsia" w:ascii="宋体" w:hAnsi="宋体" w:eastAsia="宋体" w:cs="宋体"/>
                <w:color w:val="auto"/>
                <w:szCs w:val="21"/>
                <w:highlight w:val="none"/>
              </w:rPr>
            </w:pPr>
          </w:p>
        </w:tc>
        <w:tc>
          <w:tcPr>
            <w:tcW w:w="2258" w:type="dxa"/>
            <w:tcBorders>
              <w:bottom w:val="double" w:color="auto" w:sz="4" w:space="0"/>
            </w:tcBorders>
          </w:tcPr>
          <w:p>
            <w:pPr>
              <w:pStyle w:val="68"/>
              <w:spacing w:line="360" w:lineRule="auto"/>
              <w:jc w:val="center"/>
              <w:rPr>
                <w:rFonts w:hint="eastAsia" w:ascii="宋体" w:hAnsi="宋体" w:eastAsia="宋体" w:cs="宋体"/>
                <w:color w:val="auto"/>
                <w:szCs w:val="21"/>
                <w:highlight w:val="none"/>
              </w:rPr>
            </w:pPr>
          </w:p>
        </w:tc>
        <w:tc>
          <w:tcPr>
            <w:tcW w:w="2260" w:type="dxa"/>
            <w:tcBorders>
              <w:bottom w:val="double" w:color="auto" w:sz="4" w:space="0"/>
            </w:tcBorders>
          </w:tcPr>
          <w:p>
            <w:pPr>
              <w:pStyle w:val="68"/>
              <w:spacing w:line="360" w:lineRule="auto"/>
              <w:jc w:val="center"/>
              <w:rPr>
                <w:rFonts w:hint="eastAsia" w:ascii="宋体" w:hAnsi="宋体" w:eastAsia="宋体" w:cs="宋体"/>
                <w:color w:val="auto"/>
                <w:szCs w:val="21"/>
                <w:highlight w:val="none"/>
              </w:rPr>
            </w:pPr>
          </w:p>
        </w:tc>
        <w:tc>
          <w:tcPr>
            <w:tcW w:w="2047" w:type="dxa"/>
            <w:tcBorders>
              <w:bottom w:val="double" w:color="auto" w:sz="4" w:space="0"/>
              <w:right w:val="single" w:color="auto" w:sz="4" w:space="0"/>
            </w:tcBorders>
          </w:tcPr>
          <w:p>
            <w:pPr>
              <w:pStyle w:val="68"/>
              <w:spacing w:line="360" w:lineRule="auto"/>
              <w:jc w:val="center"/>
              <w:rPr>
                <w:rFonts w:hint="eastAsia" w:ascii="宋体" w:hAnsi="宋体" w:eastAsia="宋体" w:cs="宋体"/>
                <w:color w:val="auto"/>
                <w:szCs w:val="21"/>
                <w:highlight w:val="none"/>
              </w:rPr>
            </w:pPr>
          </w:p>
        </w:tc>
      </w:tr>
    </w:tbl>
    <w:p>
      <w:pPr>
        <w:spacing w:line="360" w:lineRule="auto"/>
        <w:jc w:val="left"/>
        <w:rPr>
          <w:rFonts w:hint="eastAsia" w:ascii="宋体" w:hAnsi="宋体" w:eastAsia="宋体" w:cs="宋体"/>
          <w:b/>
          <w:bCs/>
          <w:color w:val="auto"/>
          <w:sz w:val="24"/>
          <w:szCs w:val="32"/>
          <w:highlight w:val="none"/>
          <w:lang w:val="zh-CN"/>
        </w:rPr>
      </w:pP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1.填写投标人获得资质、认证或企业信誉证书；</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2.附所列证书复印件或其他证明材料。</w:t>
      </w:r>
    </w:p>
    <w:p>
      <w:pPr>
        <w:spacing w:line="360" w:lineRule="auto"/>
        <w:jc w:val="left"/>
        <w:rPr>
          <w:rFonts w:hint="eastAsia" w:ascii="宋体" w:hAnsi="宋体" w:eastAsia="宋体" w:cs="宋体"/>
          <w:b/>
          <w:bCs/>
          <w:color w:val="auto"/>
          <w:sz w:val="24"/>
          <w:szCs w:val="32"/>
          <w:highlight w:val="none"/>
          <w:lang w:val="zh-CN"/>
        </w:rPr>
      </w:pPr>
    </w:p>
    <w:p>
      <w:pPr>
        <w:spacing w:line="360" w:lineRule="auto"/>
        <w:jc w:val="left"/>
        <w:rPr>
          <w:rFonts w:hint="eastAsia" w:ascii="宋体" w:hAnsi="宋体" w:eastAsia="宋体" w:cs="宋体"/>
          <w:b/>
          <w:bCs/>
          <w:color w:val="auto"/>
          <w:sz w:val="24"/>
          <w:szCs w:val="32"/>
          <w:highlight w:val="none"/>
          <w:lang w:val="zh-CN"/>
        </w:rPr>
      </w:pPr>
    </w:p>
    <w:p>
      <w:pPr>
        <w:spacing w:line="360" w:lineRule="auto"/>
        <w:jc w:val="left"/>
        <w:rPr>
          <w:rFonts w:hint="eastAsia" w:ascii="宋体" w:hAnsi="宋体" w:eastAsia="宋体" w:cs="宋体"/>
          <w:b/>
          <w:bCs/>
          <w:color w:val="auto"/>
          <w:sz w:val="24"/>
          <w:szCs w:val="32"/>
          <w:highlight w:val="none"/>
          <w:lang w:val="zh-CN"/>
        </w:rPr>
      </w:pPr>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r>
        <w:rPr>
          <w:rFonts w:hint="eastAsia" w:ascii="宋体" w:hAnsi="宋体" w:eastAsia="宋体" w:cs="宋体"/>
          <w:color w:val="auto"/>
          <w:sz w:val="24"/>
          <w:highlight w:val="none"/>
          <w:u w:val="single"/>
        </w:rPr>
        <w:t xml:space="preserve">                         </w:t>
      </w:r>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授权委托代理人签字或盖章：</w:t>
      </w:r>
      <w:r>
        <w:rPr>
          <w:rFonts w:hint="eastAsia" w:ascii="宋体" w:hAnsi="宋体" w:eastAsia="宋体" w:cs="宋体"/>
          <w:color w:val="auto"/>
          <w:sz w:val="24"/>
          <w:highlight w:val="none"/>
          <w:u w:val="single"/>
        </w:rPr>
        <w:t xml:space="preserve">                   </w:t>
      </w:r>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b/>
          <w:bCs/>
          <w:color w:val="auto"/>
          <w:sz w:val="24"/>
          <w:highlight w:val="none"/>
        </w:rPr>
      </w:pPr>
    </w:p>
    <w:p>
      <w:pPr>
        <w:spacing w:line="360" w:lineRule="auto"/>
        <w:rPr>
          <w:rFonts w:hint="eastAsia" w:ascii="宋体" w:hAnsi="宋体" w:eastAsia="宋体" w:cs="宋体"/>
          <w:b/>
          <w:bCs/>
          <w:color w:val="auto"/>
          <w:sz w:val="24"/>
          <w:highlight w:val="none"/>
        </w:rPr>
      </w:pPr>
    </w:p>
    <w:p>
      <w:pPr>
        <w:spacing w:line="360" w:lineRule="auto"/>
        <w:rPr>
          <w:rFonts w:hint="eastAsia" w:ascii="宋体" w:hAnsi="宋体" w:eastAsia="宋体" w:cs="宋体"/>
          <w:b/>
          <w:bCs/>
          <w:color w:val="auto"/>
          <w:sz w:val="24"/>
          <w:highlight w:val="none"/>
        </w:rPr>
      </w:pPr>
    </w:p>
    <w:p>
      <w:pPr>
        <w:spacing w:line="360" w:lineRule="auto"/>
        <w:rPr>
          <w:rFonts w:hint="eastAsia" w:ascii="宋体" w:hAnsi="宋体" w:eastAsia="宋体" w:cs="宋体"/>
          <w:b/>
          <w:bCs/>
          <w:color w:val="auto"/>
          <w:sz w:val="24"/>
          <w:highlight w:val="none"/>
        </w:rPr>
      </w:pPr>
    </w:p>
    <w:p>
      <w:pPr>
        <w:spacing w:line="360" w:lineRule="auto"/>
        <w:rPr>
          <w:rFonts w:hint="eastAsia" w:ascii="宋体" w:hAnsi="宋体" w:eastAsia="宋体" w:cs="宋体"/>
          <w:b/>
          <w:bCs/>
          <w:color w:val="auto"/>
          <w:sz w:val="24"/>
          <w:highlight w:val="none"/>
        </w:rPr>
      </w:pPr>
    </w:p>
    <w:p>
      <w:pPr>
        <w:spacing w:line="360" w:lineRule="auto"/>
        <w:rPr>
          <w:rFonts w:hint="eastAsia" w:ascii="宋体" w:hAnsi="宋体" w:eastAsia="宋体" w:cs="宋体"/>
          <w:b/>
          <w:bCs/>
          <w:color w:val="auto"/>
          <w:sz w:val="24"/>
          <w:highlight w:val="none"/>
        </w:rPr>
      </w:pPr>
    </w:p>
    <w:p>
      <w:pPr>
        <w:spacing w:line="360" w:lineRule="auto"/>
        <w:jc w:val="left"/>
        <w:rPr>
          <w:rFonts w:hint="eastAsia" w:ascii="宋体" w:hAnsi="宋体" w:eastAsia="宋体" w:cs="宋体"/>
          <w:b/>
          <w:bCs/>
          <w:color w:val="auto"/>
          <w:sz w:val="28"/>
          <w:szCs w:val="36"/>
          <w:highlight w:val="none"/>
          <w:lang w:val="zh-CN"/>
        </w:rPr>
      </w:pPr>
    </w:p>
    <w:p>
      <w:pPr>
        <w:spacing w:line="360" w:lineRule="auto"/>
        <w:jc w:val="left"/>
        <w:rPr>
          <w:rFonts w:hint="eastAsia" w:ascii="宋体" w:hAnsi="宋体" w:eastAsia="宋体" w:cs="宋体"/>
          <w:b/>
          <w:bCs/>
          <w:color w:val="auto"/>
          <w:sz w:val="28"/>
          <w:szCs w:val="36"/>
          <w:highlight w:val="none"/>
          <w:lang w:eastAsia="zh-CN"/>
        </w:rPr>
      </w:pPr>
      <w:r>
        <w:rPr>
          <w:rFonts w:hint="eastAsia" w:ascii="宋体" w:hAnsi="宋体" w:eastAsia="宋体" w:cs="宋体"/>
          <w:b/>
          <w:bCs/>
          <w:color w:val="auto"/>
          <w:sz w:val="28"/>
          <w:szCs w:val="36"/>
          <w:highlight w:val="none"/>
          <w:lang w:val="zh-CN"/>
        </w:rPr>
        <w:t>附件1</w:t>
      </w:r>
      <w:r>
        <w:rPr>
          <w:rFonts w:hint="eastAsia" w:ascii="宋体" w:hAnsi="宋体" w:cs="宋体"/>
          <w:b/>
          <w:bCs/>
          <w:color w:val="auto"/>
          <w:sz w:val="28"/>
          <w:szCs w:val="36"/>
          <w:highlight w:val="none"/>
          <w:lang w:val="en-US" w:eastAsia="zh-CN"/>
        </w:rPr>
        <w:t>5</w:t>
      </w:r>
    </w:p>
    <w:p>
      <w:pPr>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投标人类似项目实施情况一览表</w:t>
      </w:r>
    </w:p>
    <w:p>
      <w:pPr>
        <w:spacing w:line="360" w:lineRule="auto"/>
        <w:rPr>
          <w:rFonts w:hint="eastAsia" w:ascii="宋体" w:hAnsi="宋体" w:eastAsia="宋体" w:cs="宋体"/>
          <w:b/>
          <w:bCs/>
          <w:color w:val="auto"/>
          <w:sz w:val="24"/>
          <w:highlight w:val="none"/>
        </w:rPr>
      </w:pPr>
    </w:p>
    <w:tbl>
      <w:tblPr>
        <w:tblStyle w:val="26"/>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63"/>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63"/>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63"/>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63"/>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63"/>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63"/>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63"/>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3"/>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pPr>
              <w:pStyle w:val="63"/>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63"/>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63"/>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63"/>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63"/>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63"/>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3"/>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pPr>
              <w:pStyle w:val="63"/>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63"/>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63"/>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63"/>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63"/>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63"/>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3"/>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pPr>
              <w:pStyle w:val="63"/>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63"/>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63"/>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63"/>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63"/>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63"/>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3"/>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pPr>
              <w:pStyle w:val="63"/>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63"/>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63"/>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63"/>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63"/>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63"/>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3"/>
              <w:spacing w:line="360" w:lineRule="auto"/>
              <w:rPr>
                <w:rFonts w:hint="eastAsia" w:ascii="宋体" w:hAnsi="宋体" w:eastAsia="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63"/>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63"/>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63"/>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63"/>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63"/>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63"/>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3"/>
              <w:spacing w:line="360" w:lineRule="auto"/>
              <w:rPr>
                <w:rFonts w:hint="eastAsia" w:ascii="宋体" w:hAnsi="宋体" w:eastAsia="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63"/>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63"/>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63"/>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63"/>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63"/>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63"/>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63"/>
              <w:spacing w:line="360" w:lineRule="auto"/>
              <w:rPr>
                <w:rFonts w:hint="eastAsia" w:ascii="宋体" w:hAnsi="宋体" w:eastAsia="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pPr>
              <w:pStyle w:val="63"/>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pPr>
              <w:pStyle w:val="63"/>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pStyle w:val="63"/>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pPr>
              <w:pStyle w:val="63"/>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pPr>
              <w:pStyle w:val="63"/>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pPr>
              <w:pStyle w:val="63"/>
              <w:spacing w:line="360" w:lineRule="auto"/>
              <w:rPr>
                <w:rFonts w:hint="eastAsia" w:ascii="宋体" w:hAnsi="宋体" w:eastAsia="宋体" w:cs="宋体"/>
                <w:color w:val="auto"/>
                <w:sz w:val="24"/>
                <w:highlight w:val="none"/>
              </w:rPr>
            </w:pPr>
          </w:p>
        </w:tc>
      </w:tr>
    </w:tbl>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要求：</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1.业绩证明应提供证明材料（合同复印件可只提供首页、含金额页、盖章页并加盖投标人公章）；</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2.报价供应商可按此表格式复制。</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r>
        <w:rPr>
          <w:rFonts w:hint="eastAsia" w:ascii="宋体" w:hAnsi="宋体" w:eastAsia="宋体" w:cs="宋体"/>
          <w:color w:val="auto"/>
          <w:sz w:val="24"/>
          <w:highlight w:val="none"/>
          <w:u w:val="single"/>
        </w:rPr>
        <w:t xml:space="preserve">                         </w:t>
      </w:r>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授权委托代理人签字或盖章：</w:t>
      </w:r>
      <w:r>
        <w:rPr>
          <w:rFonts w:hint="eastAsia" w:ascii="宋体" w:hAnsi="宋体" w:eastAsia="宋体" w:cs="宋体"/>
          <w:color w:val="auto"/>
          <w:sz w:val="24"/>
          <w:highlight w:val="none"/>
          <w:u w:val="single"/>
        </w:rPr>
        <w:t xml:space="preserve">                   </w:t>
      </w:r>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pacing w:line="360" w:lineRule="auto"/>
        <w:ind w:firstLine="480" w:firstLineChars="200"/>
        <w:rPr>
          <w:rFonts w:hint="eastAsia" w:ascii="宋体" w:hAnsi="宋体" w:eastAsia="宋体" w:cs="宋体"/>
          <w:color w:val="auto"/>
          <w:sz w:val="24"/>
          <w:highlight w:val="none"/>
        </w:rPr>
      </w:pPr>
    </w:p>
    <w:p>
      <w:pPr>
        <w:spacing w:line="360" w:lineRule="auto"/>
        <w:jc w:val="left"/>
        <w:rPr>
          <w:rFonts w:hint="eastAsia" w:ascii="宋体" w:hAnsi="宋体" w:eastAsia="宋体" w:cs="宋体"/>
          <w:b/>
          <w:bCs/>
          <w:color w:val="auto"/>
          <w:sz w:val="28"/>
          <w:szCs w:val="36"/>
          <w:highlight w:val="none"/>
          <w:lang w:val="zh-CN"/>
        </w:rPr>
      </w:pPr>
    </w:p>
    <w:p>
      <w:pPr>
        <w:spacing w:line="360" w:lineRule="auto"/>
        <w:jc w:val="left"/>
        <w:rPr>
          <w:rFonts w:hint="eastAsia" w:ascii="宋体" w:hAnsi="宋体" w:eastAsia="宋体" w:cs="宋体"/>
          <w:b/>
          <w:bCs/>
          <w:color w:val="auto"/>
          <w:sz w:val="28"/>
          <w:szCs w:val="36"/>
          <w:highlight w:val="none"/>
          <w:lang w:eastAsia="zh-CN"/>
        </w:rPr>
      </w:pPr>
      <w:r>
        <w:rPr>
          <w:rFonts w:hint="eastAsia" w:ascii="宋体" w:hAnsi="宋体" w:eastAsia="宋体" w:cs="宋体"/>
          <w:b/>
          <w:bCs/>
          <w:color w:val="auto"/>
          <w:sz w:val="28"/>
          <w:szCs w:val="36"/>
          <w:highlight w:val="none"/>
          <w:lang w:val="zh-CN"/>
        </w:rPr>
        <w:t>附件1</w:t>
      </w:r>
      <w:r>
        <w:rPr>
          <w:rFonts w:hint="eastAsia" w:ascii="宋体" w:hAnsi="宋体" w:cs="宋体"/>
          <w:b/>
          <w:bCs/>
          <w:color w:val="auto"/>
          <w:sz w:val="28"/>
          <w:szCs w:val="36"/>
          <w:highlight w:val="none"/>
          <w:lang w:val="en-US" w:eastAsia="zh-CN"/>
        </w:rPr>
        <w:t>6</w:t>
      </w:r>
    </w:p>
    <w:p>
      <w:pPr>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资信及商务需求响应表</w:t>
      </w:r>
    </w:p>
    <w:p>
      <w:pPr>
        <w:spacing w:line="360" w:lineRule="auto"/>
        <w:rPr>
          <w:rFonts w:hint="eastAsia" w:ascii="宋体" w:hAnsi="宋体" w:eastAsia="宋体" w:cs="宋体"/>
          <w:b/>
          <w:color w:val="auto"/>
          <w:sz w:val="24"/>
          <w:highlight w:val="none"/>
        </w:rPr>
      </w:pPr>
    </w:p>
    <w:tbl>
      <w:tblPr>
        <w:tblStyle w:val="26"/>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785" w:type="dxa"/>
            <w:vAlign w:val="center"/>
          </w:tcPr>
          <w:p>
            <w:pP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内容</w:t>
            </w:r>
          </w:p>
        </w:tc>
        <w:tc>
          <w:tcPr>
            <w:tcW w:w="1785" w:type="dxa"/>
            <w:vAlign w:val="center"/>
          </w:tcPr>
          <w:p>
            <w:pPr>
              <w:ind w:left="53" w:leftChars="25"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招标需求</w:t>
            </w:r>
          </w:p>
        </w:tc>
        <w:tc>
          <w:tcPr>
            <w:tcW w:w="1365" w:type="dxa"/>
            <w:vAlign w:val="center"/>
          </w:tcPr>
          <w:p>
            <w:pPr>
              <w:ind w:left="15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是否响应</w:t>
            </w:r>
          </w:p>
        </w:tc>
        <w:tc>
          <w:tcPr>
            <w:tcW w:w="2625" w:type="dxa"/>
            <w:vAlign w:val="center"/>
          </w:tcPr>
          <w:p>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rPr>
                <w:rFonts w:hint="eastAsia" w:ascii="宋体" w:hAnsi="宋体" w:eastAsia="宋体" w:cs="宋体"/>
                <w:color w:val="auto"/>
                <w:sz w:val="24"/>
                <w:highlight w:val="none"/>
              </w:rPr>
            </w:pPr>
          </w:p>
        </w:tc>
        <w:tc>
          <w:tcPr>
            <w:tcW w:w="1785" w:type="dxa"/>
            <w:vAlign w:val="center"/>
          </w:tcPr>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售后服务保障要求</w:t>
            </w:r>
          </w:p>
        </w:tc>
        <w:tc>
          <w:tcPr>
            <w:tcW w:w="1785" w:type="dxa"/>
            <w:vAlign w:val="center"/>
          </w:tcPr>
          <w:p>
            <w:pPr>
              <w:rPr>
                <w:rFonts w:hint="eastAsia" w:ascii="宋体" w:hAnsi="宋体" w:eastAsia="宋体" w:cs="宋体"/>
                <w:color w:val="auto"/>
                <w:sz w:val="24"/>
                <w:highlight w:val="none"/>
              </w:rPr>
            </w:pPr>
          </w:p>
        </w:tc>
        <w:tc>
          <w:tcPr>
            <w:tcW w:w="1365" w:type="dxa"/>
            <w:vAlign w:val="center"/>
          </w:tcPr>
          <w:p>
            <w:pPr>
              <w:rPr>
                <w:rFonts w:hint="eastAsia" w:ascii="宋体" w:hAnsi="宋体" w:eastAsia="宋体" w:cs="宋体"/>
                <w:color w:val="auto"/>
                <w:sz w:val="24"/>
                <w:highlight w:val="none"/>
              </w:rPr>
            </w:pPr>
          </w:p>
        </w:tc>
        <w:tc>
          <w:tcPr>
            <w:tcW w:w="2625" w:type="dxa"/>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pPr>
              <w:rPr>
                <w:rFonts w:hint="eastAsia" w:ascii="宋体" w:hAnsi="宋体" w:eastAsia="宋体" w:cs="宋体"/>
                <w:color w:val="auto"/>
                <w:sz w:val="24"/>
                <w:highlight w:val="none"/>
              </w:rPr>
            </w:pPr>
          </w:p>
        </w:tc>
        <w:tc>
          <w:tcPr>
            <w:tcW w:w="1785" w:type="dxa"/>
            <w:vAlign w:val="center"/>
          </w:tcPr>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备品备件及耗材等要求</w:t>
            </w:r>
          </w:p>
        </w:tc>
        <w:tc>
          <w:tcPr>
            <w:tcW w:w="1785" w:type="dxa"/>
            <w:vAlign w:val="center"/>
          </w:tcPr>
          <w:p>
            <w:pPr>
              <w:rPr>
                <w:rFonts w:hint="eastAsia" w:ascii="宋体" w:hAnsi="宋体" w:eastAsia="宋体" w:cs="宋体"/>
                <w:color w:val="auto"/>
                <w:sz w:val="24"/>
                <w:highlight w:val="none"/>
              </w:rPr>
            </w:pPr>
          </w:p>
        </w:tc>
        <w:tc>
          <w:tcPr>
            <w:tcW w:w="1365" w:type="dxa"/>
            <w:vAlign w:val="center"/>
          </w:tcPr>
          <w:p>
            <w:pPr>
              <w:rPr>
                <w:rFonts w:hint="eastAsia" w:ascii="宋体" w:hAnsi="宋体" w:eastAsia="宋体" w:cs="宋体"/>
                <w:color w:val="auto"/>
                <w:sz w:val="24"/>
                <w:highlight w:val="none"/>
              </w:rPr>
            </w:pPr>
          </w:p>
        </w:tc>
        <w:tc>
          <w:tcPr>
            <w:tcW w:w="2625" w:type="dxa"/>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hint="eastAsia" w:ascii="宋体" w:hAnsi="宋体" w:eastAsia="宋体" w:cs="宋体"/>
                <w:color w:val="auto"/>
                <w:sz w:val="24"/>
                <w:highlight w:val="none"/>
              </w:rPr>
            </w:pPr>
          </w:p>
        </w:tc>
        <w:tc>
          <w:tcPr>
            <w:tcW w:w="1785" w:type="dxa"/>
            <w:vAlign w:val="center"/>
          </w:tcPr>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质保期</w:t>
            </w:r>
          </w:p>
        </w:tc>
        <w:tc>
          <w:tcPr>
            <w:tcW w:w="1785" w:type="dxa"/>
            <w:vAlign w:val="center"/>
          </w:tcPr>
          <w:p>
            <w:pPr>
              <w:rPr>
                <w:rFonts w:hint="eastAsia" w:ascii="宋体" w:hAnsi="宋体" w:eastAsia="宋体" w:cs="宋体"/>
                <w:color w:val="auto"/>
                <w:sz w:val="24"/>
                <w:highlight w:val="none"/>
              </w:rPr>
            </w:pPr>
          </w:p>
        </w:tc>
        <w:tc>
          <w:tcPr>
            <w:tcW w:w="1365" w:type="dxa"/>
            <w:vAlign w:val="center"/>
          </w:tcPr>
          <w:p>
            <w:pPr>
              <w:rPr>
                <w:rFonts w:hint="eastAsia" w:ascii="宋体" w:hAnsi="宋体" w:eastAsia="宋体" w:cs="宋体"/>
                <w:color w:val="auto"/>
                <w:sz w:val="24"/>
                <w:highlight w:val="none"/>
              </w:rPr>
            </w:pPr>
          </w:p>
        </w:tc>
        <w:tc>
          <w:tcPr>
            <w:tcW w:w="2625" w:type="dxa"/>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hint="eastAsia" w:ascii="宋体" w:hAnsi="宋体" w:eastAsia="宋体" w:cs="宋体"/>
                <w:color w:val="auto"/>
                <w:sz w:val="24"/>
                <w:highlight w:val="none"/>
              </w:rPr>
            </w:pPr>
          </w:p>
        </w:tc>
        <w:tc>
          <w:tcPr>
            <w:tcW w:w="1785" w:type="dxa"/>
            <w:vAlign w:val="center"/>
          </w:tcPr>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交货和服务</w:t>
            </w:r>
          </w:p>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时间及地点</w:t>
            </w:r>
          </w:p>
        </w:tc>
        <w:tc>
          <w:tcPr>
            <w:tcW w:w="1785" w:type="dxa"/>
            <w:vAlign w:val="center"/>
          </w:tcPr>
          <w:p>
            <w:pPr>
              <w:rPr>
                <w:rFonts w:hint="eastAsia" w:ascii="宋体" w:hAnsi="宋体" w:eastAsia="宋体" w:cs="宋体"/>
                <w:color w:val="auto"/>
                <w:sz w:val="24"/>
                <w:highlight w:val="none"/>
              </w:rPr>
            </w:pPr>
          </w:p>
        </w:tc>
        <w:tc>
          <w:tcPr>
            <w:tcW w:w="1365" w:type="dxa"/>
            <w:vAlign w:val="center"/>
          </w:tcPr>
          <w:p>
            <w:pPr>
              <w:rPr>
                <w:rFonts w:hint="eastAsia" w:ascii="宋体" w:hAnsi="宋体" w:eastAsia="宋体" w:cs="宋体"/>
                <w:color w:val="auto"/>
                <w:sz w:val="24"/>
                <w:highlight w:val="none"/>
              </w:rPr>
            </w:pPr>
          </w:p>
        </w:tc>
        <w:tc>
          <w:tcPr>
            <w:tcW w:w="2625" w:type="dxa"/>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hint="eastAsia" w:ascii="宋体" w:hAnsi="宋体" w:eastAsia="宋体" w:cs="宋体"/>
                <w:color w:val="auto"/>
                <w:sz w:val="24"/>
                <w:highlight w:val="none"/>
              </w:rPr>
            </w:pPr>
          </w:p>
        </w:tc>
        <w:tc>
          <w:tcPr>
            <w:tcW w:w="1785" w:type="dxa"/>
            <w:vAlign w:val="center"/>
          </w:tcPr>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付款条件</w:t>
            </w:r>
          </w:p>
        </w:tc>
        <w:tc>
          <w:tcPr>
            <w:tcW w:w="1785" w:type="dxa"/>
            <w:vAlign w:val="center"/>
          </w:tcPr>
          <w:p>
            <w:pPr>
              <w:rPr>
                <w:rFonts w:hint="eastAsia" w:ascii="宋体" w:hAnsi="宋体" w:eastAsia="宋体" w:cs="宋体"/>
                <w:color w:val="auto"/>
                <w:sz w:val="24"/>
                <w:highlight w:val="none"/>
              </w:rPr>
            </w:pPr>
          </w:p>
        </w:tc>
        <w:tc>
          <w:tcPr>
            <w:tcW w:w="1365" w:type="dxa"/>
            <w:vAlign w:val="center"/>
          </w:tcPr>
          <w:p>
            <w:pPr>
              <w:rPr>
                <w:rFonts w:hint="eastAsia" w:ascii="宋体" w:hAnsi="宋体" w:eastAsia="宋体" w:cs="宋体"/>
                <w:color w:val="auto"/>
                <w:sz w:val="24"/>
                <w:highlight w:val="none"/>
              </w:rPr>
            </w:pPr>
          </w:p>
        </w:tc>
        <w:tc>
          <w:tcPr>
            <w:tcW w:w="2625" w:type="dxa"/>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hint="eastAsia" w:ascii="宋体" w:hAnsi="宋体" w:eastAsia="宋体" w:cs="宋体"/>
                <w:color w:val="auto"/>
                <w:sz w:val="24"/>
                <w:highlight w:val="none"/>
              </w:rPr>
            </w:pPr>
          </w:p>
        </w:tc>
        <w:tc>
          <w:tcPr>
            <w:tcW w:w="1785" w:type="dxa"/>
            <w:vAlign w:val="center"/>
          </w:tcPr>
          <w:p>
            <w:pPr>
              <w:snapToGrid w:val="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785" w:type="dxa"/>
            <w:vAlign w:val="center"/>
          </w:tcPr>
          <w:p>
            <w:pPr>
              <w:rPr>
                <w:rFonts w:hint="eastAsia" w:ascii="宋体" w:hAnsi="宋体" w:eastAsia="宋体" w:cs="宋体"/>
                <w:color w:val="auto"/>
                <w:sz w:val="24"/>
                <w:highlight w:val="none"/>
              </w:rPr>
            </w:pPr>
          </w:p>
        </w:tc>
        <w:tc>
          <w:tcPr>
            <w:tcW w:w="1365" w:type="dxa"/>
            <w:vAlign w:val="center"/>
          </w:tcPr>
          <w:p>
            <w:pPr>
              <w:rPr>
                <w:rFonts w:hint="eastAsia" w:ascii="宋体" w:hAnsi="宋体" w:eastAsia="宋体" w:cs="宋体"/>
                <w:color w:val="auto"/>
                <w:sz w:val="24"/>
                <w:highlight w:val="none"/>
              </w:rPr>
            </w:pPr>
          </w:p>
        </w:tc>
        <w:tc>
          <w:tcPr>
            <w:tcW w:w="2625" w:type="dxa"/>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hint="eastAsia" w:ascii="宋体" w:hAnsi="宋体" w:eastAsia="宋体" w:cs="宋体"/>
                <w:color w:val="auto"/>
                <w:sz w:val="24"/>
                <w:highlight w:val="none"/>
              </w:rPr>
            </w:pPr>
          </w:p>
        </w:tc>
        <w:tc>
          <w:tcPr>
            <w:tcW w:w="1785" w:type="dxa"/>
          </w:tcPr>
          <w:p>
            <w:pPr>
              <w:snapToGrid w:val="0"/>
              <w:rPr>
                <w:rFonts w:hint="eastAsia" w:ascii="宋体" w:hAnsi="宋体" w:eastAsia="宋体" w:cs="宋体"/>
                <w:color w:val="auto"/>
                <w:sz w:val="24"/>
                <w:highlight w:val="none"/>
              </w:rPr>
            </w:pPr>
          </w:p>
        </w:tc>
        <w:tc>
          <w:tcPr>
            <w:tcW w:w="1785" w:type="dxa"/>
            <w:vAlign w:val="center"/>
          </w:tcPr>
          <w:p>
            <w:pPr>
              <w:rPr>
                <w:rFonts w:hint="eastAsia" w:ascii="宋体" w:hAnsi="宋体" w:eastAsia="宋体" w:cs="宋体"/>
                <w:color w:val="auto"/>
                <w:sz w:val="24"/>
                <w:highlight w:val="none"/>
              </w:rPr>
            </w:pPr>
          </w:p>
        </w:tc>
        <w:tc>
          <w:tcPr>
            <w:tcW w:w="1365" w:type="dxa"/>
            <w:vAlign w:val="center"/>
          </w:tcPr>
          <w:p>
            <w:pPr>
              <w:rPr>
                <w:rFonts w:hint="eastAsia" w:ascii="宋体" w:hAnsi="宋体" w:eastAsia="宋体" w:cs="宋体"/>
                <w:color w:val="auto"/>
                <w:sz w:val="24"/>
                <w:highlight w:val="none"/>
              </w:rPr>
            </w:pPr>
          </w:p>
        </w:tc>
        <w:tc>
          <w:tcPr>
            <w:tcW w:w="2625" w:type="dxa"/>
            <w:vAlign w:val="center"/>
          </w:tcPr>
          <w:p>
            <w:pP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hint="eastAsia" w:ascii="宋体" w:hAnsi="宋体" w:eastAsia="宋体" w:cs="宋体"/>
                <w:color w:val="auto"/>
                <w:sz w:val="24"/>
                <w:highlight w:val="none"/>
              </w:rPr>
            </w:pPr>
          </w:p>
        </w:tc>
        <w:tc>
          <w:tcPr>
            <w:tcW w:w="1785" w:type="dxa"/>
          </w:tcPr>
          <w:p>
            <w:pPr>
              <w:snapToGrid w:val="0"/>
              <w:rPr>
                <w:rFonts w:hint="eastAsia" w:ascii="宋体" w:hAnsi="宋体" w:eastAsia="宋体" w:cs="宋体"/>
                <w:color w:val="auto"/>
                <w:sz w:val="24"/>
                <w:highlight w:val="none"/>
              </w:rPr>
            </w:pPr>
          </w:p>
        </w:tc>
        <w:tc>
          <w:tcPr>
            <w:tcW w:w="1785" w:type="dxa"/>
            <w:vAlign w:val="center"/>
          </w:tcPr>
          <w:p>
            <w:pPr>
              <w:rPr>
                <w:rFonts w:hint="eastAsia" w:ascii="宋体" w:hAnsi="宋体" w:eastAsia="宋体" w:cs="宋体"/>
                <w:color w:val="auto"/>
                <w:sz w:val="24"/>
                <w:highlight w:val="none"/>
              </w:rPr>
            </w:pPr>
          </w:p>
        </w:tc>
        <w:tc>
          <w:tcPr>
            <w:tcW w:w="1365" w:type="dxa"/>
            <w:vAlign w:val="center"/>
          </w:tcPr>
          <w:p>
            <w:pPr>
              <w:rPr>
                <w:rFonts w:hint="eastAsia" w:ascii="宋体" w:hAnsi="宋体" w:eastAsia="宋体" w:cs="宋体"/>
                <w:color w:val="auto"/>
                <w:sz w:val="24"/>
                <w:highlight w:val="none"/>
              </w:rPr>
            </w:pPr>
          </w:p>
        </w:tc>
        <w:tc>
          <w:tcPr>
            <w:tcW w:w="2625" w:type="dxa"/>
            <w:vAlign w:val="center"/>
          </w:tcPr>
          <w:p>
            <w:pPr>
              <w:rPr>
                <w:rFonts w:hint="eastAsia" w:ascii="宋体" w:hAnsi="宋体" w:eastAsia="宋体" w:cs="宋体"/>
                <w:color w:val="auto"/>
                <w:sz w:val="24"/>
                <w:highlight w:val="none"/>
              </w:rPr>
            </w:pPr>
          </w:p>
        </w:tc>
      </w:tr>
    </w:tbl>
    <w:p>
      <w:pPr>
        <w:spacing w:line="360" w:lineRule="auto"/>
        <w:rPr>
          <w:rFonts w:hint="eastAsia" w:ascii="宋体" w:hAnsi="宋体" w:eastAsia="宋体" w:cs="宋体"/>
          <w:b/>
          <w:color w:val="auto"/>
          <w:sz w:val="24"/>
          <w:highlight w:val="none"/>
        </w:rPr>
      </w:pPr>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r>
        <w:rPr>
          <w:rFonts w:hint="eastAsia" w:ascii="宋体" w:hAnsi="宋体" w:eastAsia="宋体" w:cs="宋体"/>
          <w:color w:val="auto"/>
          <w:sz w:val="24"/>
          <w:highlight w:val="none"/>
          <w:u w:val="single"/>
        </w:rPr>
        <w:t xml:space="preserve">                         </w:t>
      </w:r>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授权委托代理人签字或盖章：</w:t>
      </w:r>
      <w:r>
        <w:rPr>
          <w:rFonts w:hint="eastAsia" w:ascii="宋体" w:hAnsi="宋体" w:eastAsia="宋体" w:cs="宋体"/>
          <w:color w:val="auto"/>
          <w:sz w:val="24"/>
          <w:highlight w:val="none"/>
          <w:u w:val="single"/>
        </w:rPr>
        <w:t xml:space="preserve">                   </w:t>
      </w:r>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tabs>
          <w:tab w:val="left" w:pos="2460"/>
        </w:tabs>
        <w:spacing w:line="360" w:lineRule="auto"/>
        <w:rPr>
          <w:rFonts w:hint="eastAsia" w:ascii="宋体" w:hAnsi="宋体" w:eastAsia="宋体" w:cs="宋体"/>
          <w:b/>
          <w:color w:val="auto"/>
          <w:sz w:val="28"/>
          <w:highlight w:val="none"/>
        </w:rPr>
      </w:pPr>
    </w:p>
    <w:p>
      <w:pPr>
        <w:tabs>
          <w:tab w:val="left" w:pos="2460"/>
        </w:tabs>
        <w:spacing w:line="360" w:lineRule="auto"/>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7</w:t>
      </w:r>
    </w:p>
    <w:p>
      <w:pPr>
        <w:spacing w:line="48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pPr>
        <w:spacing w:line="360" w:lineRule="auto"/>
        <w:rPr>
          <w:rFonts w:hint="eastAsia" w:ascii="宋体" w:hAnsi="宋体" w:eastAsia="宋体" w:cs="宋体"/>
          <w:b/>
          <w:color w:val="auto"/>
          <w:sz w:val="24"/>
          <w:highlight w:val="none"/>
        </w:rPr>
      </w:pPr>
    </w:p>
    <w:tbl>
      <w:tblPr>
        <w:tblStyle w:val="26"/>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pPr>
              <w:pStyle w:val="57"/>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2355" w:type="dxa"/>
            <w:tcBorders>
              <w:top w:val="single" w:color="auto" w:sz="4" w:space="0"/>
            </w:tcBorders>
            <w:vAlign w:val="center"/>
          </w:tcPr>
          <w:p>
            <w:pPr>
              <w:pStyle w:val="57"/>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w:t>
            </w:r>
          </w:p>
        </w:tc>
        <w:tc>
          <w:tcPr>
            <w:tcW w:w="4061" w:type="dxa"/>
            <w:tcBorders>
              <w:top w:val="single" w:color="auto" w:sz="4" w:space="0"/>
            </w:tcBorders>
            <w:vAlign w:val="center"/>
          </w:tcPr>
          <w:p>
            <w:pPr>
              <w:pStyle w:val="57"/>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投标人情况</w:t>
            </w:r>
          </w:p>
        </w:tc>
        <w:tc>
          <w:tcPr>
            <w:tcW w:w="1373" w:type="dxa"/>
            <w:tcBorders>
              <w:top w:val="single" w:color="auto" w:sz="4" w:space="0"/>
            </w:tcBorders>
            <w:vAlign w:val="center"/>
          </w:tcPr>
          <w:p>
            <w:pPr>
              <w:pStyle w:val="57"/>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57"/>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2355" w:type="dxa"/>
            <w:vMerge w:val="restart"/>
            <w:vAlign w:val="center"/>
          </w:tcPr>
          <w:p>
            <w:pPr>
              <w:pStyle w:val="57"/>
              <w:widowControl/>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保修期内售后服务情况(服务方式、服务网点、售后服务的内容和措施等等，可用附页和宣传材料)</w:t>
            </w:r>
          </w:p>
        </w:tc>
        <w:tc>
          <w:tcPr>
            <w:tcW w:w="4061" w:type="dxa"/>
          </w:tcPr>
          <w:p>
            <w:pPr>
              <w:pStyle w:val="57"/>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生产厂商售后服务情况：</w:t>
            </w:r>
          </w:p>
        </w:tc>
        <w:tc>
          <w:tcPr>
            <w:tcW w:w="1373" w:type="dxa"/>
          </w:tcPr>
          <w:p>
            <w:pPr>
              <w:pStyle w:val="57"/>
              <w:spacing w:line="360" w:lineRule="auto"/>
              <w:rPr>
                <w:rFonts w:hint="eastAsia" w:ascii="宋体" w:hAnsi="宋体" w:eastAsia="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57"/>
              <w:widowControl/>
              <w:spacing w:line="360" w:lineRule="auto"/>
              <w:jc w:val="left"/>
              <w:rPr>
                <w:rFonts w:hint="eastAsia" w:ascii="宋体" w:hAnsi="宋体" w:eastAsia="宋体" w:cs="宋体"/>
                <w:bCs/>
                <w:color w:val="auto"/>
                <w:sz w:val="24"/>
                <w:highlight w:val="none"/>
              </w:rPr>
            </w:pPr>
          </w:p>
        </w:tc>
        <w:tc>
          <w:tcPr>
            <w:tcW w:w="2355" w:type="dxa"/>
            <w:vMerge w:val="continue"/>
            <w:vAlign w:val="center"/>
          </w:tcPr>
          <w:p>
            <w:pPr>
              <w:pStyle w:val="57"/>
              <w:widowControl/>
              <w:spacing w:line="360" w:lineRule="auto"/>
              <w:jc w:val="left"/>
              <w:rPr>
                <w:rFonts w:hint="eastAsia" w:ascii="宋体" w:hAnsi="宋体" w:eastAsia="宋体" w:cs="宋体"/>
                <w:bCs/>
                <w:color w:val="auto"/>
                <w:sz w:val="24"/>
                <w:highlight w:val="none"/>
              </w:rPr>
            </w:pPr>
          </w:p>
        </w:tc>
        <w:tc>
          <w:tcPr>
            <w:tcW w:w="4061" w:type="dxa"/>
          </w:tcPr>
          <w:p>
            <w:pPr>
              <w:pStyle w:val="57"/>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投标人售后服务情况：</w:t>
            </w:r>
          </w:p>
        </w:tc>
        <w:tc>
          <w:tcPr>
            <w:tcW w:w="1373" w:type="dxa"/>
          </w:tcPr>
          <w:p>
            <w:pPr>
              <w:pStyle w:val="57"/>
              <w:spacing w:line="360" w:lineRule="auto"/>
              <w:jc w:val="left"/>
              <w:rPr>
                <w:rFonts w:hint="eastAsia" w:ascii="宋体" w:hAnsi="宋体" w:eastAsia="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pPr>
              <w:pStyle w:val="57"/>
              <w:spacing w:line="36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p>
        </w:tc>
        <w:tc>
          <w:tcPr>
            <w:tcW w:w="2355" w:type="dxa"/>
            <w:vAlign w:val="center"/>
          </w:tcPr>
          <w:p>
            <w:pPr>
              <w:pStyle w:val="57"/>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保修期后售后服务</w:t>
            </w:r>
          </w:p>
        </w:tc>
        <w:tc>
          <w:tcPr>
            <w:tcW w:w="4061" w:type="dxa"/>
          </w:tcPr>
          <w:p>
            <w:pPr>
              <w:pStyle w:val="57"/>
              <w:widowControl/>
              <w:spacing w:line="360" w:lineRule="auto"/>
              <w:jc w:val="left"/>
              <w:rPr>
                <w:rFonts w:hint="eastAsia" w:ascii="宋体" w:hAnsi="宋体" w:eastAsia="宋体" w:cs="宋体"/>
                <w:bCs/>
                <w:color w:val="auto"/>
                <w:sz w:val="24"/>
                <w:highlight w:val="none"/>
              </w:rPr>
            </w:pPr>
          </w:p>
          <w:p>
            <w:pPr>
              <w:pStyle w:val="57"/>
              <w:widowControl/>
              <w:spacing w:line="360" w:lineRule="auto"/>
              <w:jc w:val="left"/>
              <w:rPr>
                <w:rFonts w:hint="eastAsia" w:ascii="宋体" w:hAnsi="宋体" w:eastAsia="宋体" w:cs="宋体"/>
                <w:bCs/>
                <w:color w:val="auto"/>
                <w:sz w:val="24"/>
                <w:highlight w:val="none"/>
              </w:rPr>
            </w:pPr>
          </w:p>
          <w:p>
            <w:pPr>
              <w:pStyle w:val="57"/>
              <w:spacing w:line="360" w:lineRule="auto"/>
              <w:rPr>
                <w:rFonts w:hint="eastAsia" w:ascii="宋体" w:hAnsi="宋体" w:eastAsia="宋体" w:cs="宋体"/>
                <w:bCs/>
                <w:color w:val="auto"/>
                <w:sz w:val="24"/>
                <w:highlight w:val="none"/>
              </w:rPr>
            </w:pPr>
          </w:p>
        </w:tc>
        <w:tc>
          <w:tcPr>
            <w:tcW w:w="1373" w:type="dxa"/>
          </w:tcPr>
          <w:p>
            <w:pPr>
              <w:pStyle w:val="57"/>
              <w:widowControl/>
              <w:spacing w:line="360" w:lineRule="auto"/>
              <w:jc w:val="left"/>
              <w:rPr>
                <w:rFonts w:hint="eastAsia" w:ascii="宋体" w:hAnsi="宋体" w:eastAsia="宋体" w:cs="宋体"/>
                <w:bCs/>
                <w:color w:val="auto"/>
                <w:sz w:val="24"/>
                <w:highlight w:val="none"/>
              </w:rPr>
            </w:pPr>
          </w:p>
          <w:p>
            <w:pPr>
              <w:pStyle w:val="57"/>
              <w:widowControl/>
              <w:spacing w:line="360" w:lineRule="auto"/>
              <w:jc w:val="left"/>
              <w:rPr>
                <w:rFonts w:hint="eastAsia" w:ascii="宋体" w:hAnsi="宋体" w:eastAsia="宋体" w:cs="宋体"/>
                <w:bCs/>
                <w:color w:val="auto"/>
                <w:sz w:val="24"/>
                <w:highlight w:val="none"/>
              </w:rPr>
            </w:pPr>
          </w:p>
          <w:p>
            <w:pPr>
              <w:pStyle w:val="57"/>
              <w:spacing w:line="360" w:lineRule="auto"/>
              <w:rPr>
                <w:rFonts w:hint="eastAsia" w:ascii="宋体" w:hAnsi="宋体" w:eastAsia="宋体" w:cs="宋体"/>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pPr>
              <w:pStyle w:val="57"/>
              <w:widowControl/>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 3</w:t>
            </w:r>
          </w:p>
        </w:tc>
        <w:tc>
          <w:tcPr>
            <w:tcW w:w="2355" w:type="dxa"/>
            <w:vAlign w:val="center"/>
          </w:tcPr>
          <w:p>
            <w:pPr>
              <w:pStyle w:val="57"/>
              <w:widowControl/>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培训方案（可用附页）</w:t>
            </w:r>
          </w:p>
        </w:tc>
        <w:tc>
          <w:tcPr>
            <w:tcW w:w="4061" w:type="dxa"/>
          </w:tcPr>
          <w:p>
            <w:pPr>
              <w:pStyle w:val="57"/>
              <w:widowControl/>
              <w:spacing w:line="360" w:lineRule="auto"/>
              <w:jc w:val="left"/>
              <w:rPr>
                <w:rFonts w:hint="eastAsia" w:ascii="宋体" w:hAnsi="宋体" w:eastAsia="宋体" w:cs="宋体"/>
                <w:bCs/>
                <w:i/>
                <w:color w:val="auto"/>
                <w:sz w:val="24"/>
                <w:highlight w:val="none"/>
              </w:rPr>
            </w:pPr>
          </w:p>
          <w:p>
            <w:pPr>
              <w:pStyle w:val="57"/>
              <w:widowControl/>
              <w:spacing w:line="360" w:lineRule="auto"/>
              <w:jc w:val="left"/>
              <w:rPr>
                <w:rFonts w:hint="eastAsia" w:ascii="宋体" w:hAnsi="宋体" w:eastAsia="宋体" w:cs="宋体"/>
                <w:bCs/>
                <w:i/>
                <w:color w:val="auto"/>
                <w:sz w:val="24"/>
                <w:highlight w:val="none"/>
              </w:rPr>
            </w:pPr>
          </w:p>
        </w:tc>
        <w:tc>
          <w:tcPr>
            <w:tcW w:w="1373" w:type="dxa"/>
          </w:tcPr>
          <w:p>
            <w:pPr>
              <w:pStyle w:val="57"/>
              <w:widowControl/>
              <w:spacing w:line="360" w:lineRule="auto"/>
              <w:jc w:val="left"/>
              <w:rPr>
                <w:rFonts w:hint="eastAsia" w:ascii="宋体" w:hAnsi="宋体" w:eastAsia="宋体" w:cs="宋体"/>
                <w:bCs/>
                <w:i/>
                <w:color w:val="auto"/>
                <w:sz w:val="24"/>
                <w:highlight w:val="none"/>
              </w:rPr>
            </w:pPr>
          </w:p>
          <w:p>
            <w:pPr>
              <w:pStyle w:val="57"/>
              <w:widowControl/>
              <w:spacing w:line="360" w:lineRule="auto"/>
              <w:jc w:val="left"/>
              <w:rPr>
                <w:rFonts w:hint="eastAsia" w:ascii="宋体" w:hAnsi="宋体" w:eastAsia="宋体" w:cs="宋体"/>
                <w:bCs/>
                <w:i/>
                <w:color w:val="auto"/>
                <w:sz w:val="24"/>
                <w:highlight w:val="none"/>
              </w:rPr>
            </w:pPr>
          </w:p>
          <w:p>
            <w:pPr>
              <w:pStyle w:val="57"/>
              <w:widowControl/>
              <w:spacing w:line="360" w:lineRule="auto"/>
              <w:jc w:val="left"/>
              <w:rPr>
                <w:rFonts w:hint="eastAsia" w:ascii="宋体" w:hAnsi="宋体" w:eastAsia="宋体" w:cs="宋体"/>
                <w:bCs/>
                <w:i/>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pPr>
              <w:pStyle w:val="57"/>
              <w:widowControl/>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tc>
        <w:tc>
          <w:tcPr>
            <w:tcW w:w="2355" w:type="dxa"/>
            <w:tcBorders>
              <w:bottom w:val="single" w:color="auto" w:sz="4" w:space="0"/>
            </w:tcBorders>
            <w:vAlign w:val="center"/>
          </w:tcPr>
          <w:p>
            <w:pPr>
              <w:pStyle w:val="57"/>
              <w:widowControl/>
              <w:spacing w:line="360" w:lineRule="auto"/>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tc>
        <w:tc>
          <w:tcPr>
            <w:tcW w:w="4061" w:type="dxa"/>
            <w:tcBorders>
              <w:bottom w:val="single" w:color="auto" w:sz="4" w:space="0"/>
            </w:tcBorders>
          </w:tcPr>
          <w:p>
            <w:pPr>
              <w:pStyle w:val="57"/>
              <w:widowControl/>
              <w:spacing w:line="360" w:lineRule="auto"/>
              <w:jc w:val="left"/>
              <w:rPr>
                <w:rFonts w:hint="eastAsia" w:ascii="宋体" w:hAnsi="宋体" w:eastAsia="宋体" w:cs="宋体"/>
                <w:bCs/>
                <w:color w:val="auto"/>
                <w:sz w:val="24"/>
                <w:highlight w:val="none"/>
              </w:rPr>
            </w:pPr>
          </w:p>
        </w:tc>
        <w:tc>
          <w:tcPr>
            <w:tcW w:w="1373" w:type="dxa"/>
            <w:tcBorders>
              <w:bottom w:val="single" w:color="auto" w:sz="4" w:space="0"/>
            </w:tcBorders>
          </w:tcPr>
          <w:p>
            <w:pPr>
              <w:pStyle w:val="57"/>
              <w:widowControl/>
              <w:spacing w:line="360" w:lineRule="auto"/>
              <w:jc w:val="left"/>
              <w:rPr>
                <w:rFonts w:hint="eastAsia" w:ascii="宋体" w:hAnsi="宋体" w:eastAsia="宋体" w:cs="宋体"/>
                <w:bCs/>
                <w:color w:val="auto"/>
                <w:sz w:val="24"/>
                <w:highlight w:val="none"/>
              </w:rPr>
            </w:pPr>
          </w:p>
        </w:tc>
      </w:tr>
    </w:tbl>
    <w:p>
      <w:pPr>
        <w:spacing w:line="360" w:lineRule="auto"/>
        <w:ind w:left="31680" w:hanging="549" w:hangingChars="171"/>
        <w:jc w:val="center"/>
        <w:rPr>
          <w:rFonts w:hint="eastAsia" w:ascii="宋体" w:hAnsi="宋体" w:eastAsia="宋体" w:cs="宋体"/>
          <w:b/>
          <w:color w:val="auto"/>
          <w:sz w:val="32"/>
          <w:szCs w:val="32"/>
          <w:highlight w:val="none"/>
        </w:rPr>
      </w:pPr>
    </w:p>
    <w:p>
      <w:pPr>
        <w:spacing w:line="360" w:lineRule="auto"/>
        <w:rPr>
          <w:rFonts w:hint="eastAsia" w:ascii="宋体" w:hAnsi="宋体" w:eastAsia="宋体" w:cs="宋体"/>
          <w:color w:val="auto"/>
          <w:sz w:val="24"/>
          <w:highlight w:val="none"/>
        </w:rPr>
      </w:pPr>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r>
        <w:rPr>
          <w:rFonts w:hint="eastAsia" w:ascii="宋体" w:hAnsi="宋体" w:eastAsia="宋体" w:cs="宋体"/>
          <w:color w:val="auto"/>
          <w:sz w:val="24"/>
          <w:highlight w:val="none"/>
          <w:u w:val="single"/>
        </w:rPr>
        <w:t xml:space="preserve">                         </w:t>
      </w:r>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授权委托代理人签字或盖章：</w:t>
      </w:r>
      <w:r>
        <w:rPr>
          <w:rFonts w:hint="eastAsia" w:ascii="宋体" w:hAnsi="宋体" w:eastAsia="宋体" w:cs="宋体"/>
          <w:color w:val="auto"/>
          <w:sz w:val="24"/>
          <w:highlight w:val="none"/>
          <w:u w:val="single"/>
        </w:rPr>
        <w:t xml:space="preserve">                   </w:t>
      </w:r>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rPr>
          <w:rFonts w:hint="eastAsia" w:ascii="宋体" w:hAnsi="宋体" w:eastAsia="宋体" w:cs="宋体"/>
          <w:b/>
          <w:bCs/>
          <w:color w:val="auto"/>
          <w:sz w:val="28"/>
          <w:szCs w:val="36"/>
          <w:highlight w:val="none"/>
        </w:rPr>
      </w:pPr>
    </w:p>
    <w:p>
      <w:pP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附件1</w:t>
      </w:r>
      <w:r>
        <w:rPr>
          <w:rFonts w:hint="eastAsia" w:ascii="宋体" w:hAnsi="宋体" w:cs="宋体"/>
          <w:b/>
          <w:bCs/>
          <w:color w:val="auto"/>
          <w:sz w:val="28"/>
          <w:szCs w:val="36"/>
          <w:highlight w:val="none"/>
          <w:lang w:val="en-US" w:eastAsia="zh-CN"/>
        </w:rPr>
        <w:t>8</w:t>
      </w:r>
      <w:r>
        <w:rPr>
          <w:rFonts w:hint="eastAsia" w:ascii="宋体" w:hAnsi="宋体" w:eastAsia="宋体" w:cs="宋体"/>
          <w:b/>
          <w:bCs/>
          <w:color w:val="auto"/>
          <w:sz w:val="28"/>
          <w:szCs w:val="36"/>
          <w:highlight w:val="none"/>
        </w:rPr>
        <w:t>　</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u w:val="single"/>
        </w:rPr>
        <w:t xml:space="preserve">   </w:t>
      </w:r>
      <w:r>
        <w:rPr>
          <w:rFonts w:hint="eastAsia" w:ascii="宋体" w:hAnsi="宋体" w:eastAsia="宋体" w:cs="宋体"/>
          <w:bCs/>
          <w:color w:val="auto"/>
          <w:sz w:val="24"/>
          <w:highlight w:val="none"/>
        </w:rPr>
        <w:t>本</w:t>
      </w:r>
    </w:p>
    <w:p>
      <w:pPr>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pPr>
        <w:jc w:val="cente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项目编号：（标段）</w:t>
      </w:r>
    </w:p>
    <w:p>
      <w:pPr>
        <w:jc w:val="center"/>
        <w:rPr>
          <w:rFonts w:hint="eastAsia" w:ascii="宋体" w:hAnsi="宋体" w:eastAsia="宋体" w:cs="宋体"/>
          <w:b/>
          <w:color w:val="auto"/>
          <w:spacing w:val="40"/>
          <w:sz w:val="84"/>
          <w:szCs w:val="84"/>
          <w:highlight w:val="none"/>
        </w:rPr>
      </w:pPr>
    </w:p>
    <w:p>
      <w:pPr>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报</w:t>
      </w:r>
    </w:p>
    <w:p>
      <w:pPr>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价</w:t>
      </w:r>
    </w:p>
    <w:p>
      <w:pPr>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文</w:t>
      </w:r>
    </w:p>
    <w:p>
      <w:pPr>
        <w:jc w:val="center"/>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件</w:t>
      </w:r>
    </w:p>
    <w:p>
      <w:pPr>
        <w:jc w:val="center"/>
        <w:rPr>
          <w:rFonts w:hint="eastAsia" w:ascii="宋体" w:hAnsi="宋体" w:eastAsia="宋体" w:cs="宋体"/>
          <w:color w:val="auto"/>
          <w:sz w:val="36"/>
          <w:szCs w:val="36"/>
          <w:highlight w:val="none"/>
        </w:rPr>
      </w:pPr>
    </w:p>
    <w:p>
      <w:pPr>
        <w:jc w:val="center"/>
        <w:rPr>
          <w:rFonts w:hint="eastAsia" w:ascii="宋体" w:hAnsi="宋体" w:eastAsia="宋体" w:cs="宋体"/>
          <w:color w:val="auto"/>
          <w:sz w:val="36"/>
          <w:szCs w:val="36"/>
          <w:highlight w:val="none"/>
        </w:rPr>
      </w:pPr>
    </w:p>
    <w:p>
      <w:pPr>
        <w:spacing w:line="360" w:lineRule="auto"/>
        <w:ind w:right="532"/>
        <w:jc w:val="center"/>
        <w:rPr>
          <w:rFonts w:hint="eastAsia" w:ascii="宋体" w:hAnsi="宋体" w:eastAsia="宋体" w:cs="宋体"/>
          <w:color w:val="auto"/>
          <w:sz w:val="36"/>
          <w:szCs w:val="36"/>
          <w:highlight w:val="none"/>
        </w:rPr>
      </w:pPr>
    </w:p>
    <w:p>
      <w:pP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供应商全称（公章）：</w:t>
      </w:r>
    </w:p>
    <w:p>
      <w:pP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pPr>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jc w:val="center"/>
        <w:rPr>
          <w:rFonts w:hint="eastAsia" w:ascii="宋体" w:hAnsi="宋体" w:eastAsia="宋体" w:cs="宋体"/>
          <w:b/>
          <w:bCs/>
          <w:color w:val="auto"/>
          <w:sz w:val="32"/>
          <w:szCs w:val="40"/>
          <w:highlight w:val="none"/>
          <w:lang w:val="zh-CN"/>
        </w:rPr>
      </w:pPr>
    </w:p>
    <w:p>
      <w:pPr>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报价文件目录</w:t>
      </w:r>
    </w:p>
    <w:p>
      <w:pPr>
        <w:spacing w:line="360" w:lineRule="auto"/>
        <w:rPr>
          <w:rFonts w:hint="eastAsia" w:ascii="宋体" w:hAnsi="宋体" w:eastAsia="宋体" w:cs="宋体"/>
          <w:color w:val="auto"/>
          <w:sz w:val="24"/>
          <w:highlight w:val="none"/>
        </w:rPr>
      </w:pPr>
    </w:p>
    <w:p>
      <w:pPr>
        <w:spacing w:line="360" w:lineRule="auto"/>
        <w:jc w:val="left"/>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1、开标一览表（附件1</w:t>
      </w:r>
      <w:r>
        <w:rPr>
          <w:rFonts w:hint="eastAsia" w:ascii="宋体" w:hAnsi="宋体" w:cs="宋体"/>
          <w:color w:val="auto"/>
          <w:sz w:val="28"/>
          <w:szCs w:val="36"/>
          <w:highlight w:val="none"/>
          <w:lang w:val="en-US" w:eastAsia="zh-CN"/>
        </w:rPr>
        <w:t>9</w:t>
      </w:r>
      <w:r>
        <w:rPr>
          <w:rFonts w:hint="eastAsia" w:ascii="宋体" w:hAnsi="宋体" w:eastAsia="宋体" w:cs="宋体"/>
          <w:color w:val="auto"/>
          <w:sz w:val="28"/>
          <w:szCs w:val="36"/>
          <w:highlight w:val="none"/>
        </w:rPr>
        <w:t>）；</w:t>
      </w:r>
    </w:p>
    <w:p>
      <w:pPr>
        <w:spacing w:line="360" w:lineRule="auto"/>
        <w:jc w:val="left"/>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2、报价明细表（附件</w:t>
      </w:r>
      <w:r>
        <w:rPr>
          <w:rFonts w:hint="eastAsia" w:ascii="宋体" w:hAnsi="宋体" w:cs="宋体"/>
          <w:color w:val="auto"/>
          <w:sz w:val="28"/>
          <w:szCs w:val="36"/>
          <w:highlight w:val="none"/>
          <w:lang w:val="en-US" w:eastAsia="zh-CN"/>
        </w:rPr>
        <w:t>20</w:t>
      </w:r>
      <w:r>
        <w:rPr>
          <w:rFonts w:hint="eastAsia" w:ascii="宋体" w:hAnsi="宋体" w:eastAsia="宋体" w:cs="宋体"/>
          <w:color w:val="auto"/>
          <w:sz w:val="28"/>
          <w:szCs w:val="36"/>
          <w:highlight w:val="none"/>
        </w:rPr>
        <w:t>）；</w:t>
      </w:r>
    </w:p>
    <w:p>
      <w:pPr>
        <w:spacing w:line="360" w:lineRule="auto"/>
        <w:jc w:val="left"/>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3、针对报价投标人认为其他需要说明的；</w:t>
      </w:r>
    </w:p>
    <w:p>
      <w:pPr>
        <w:spacing w:line="360" w:lineRule="auto"/>
        <w:jc w:val="left"/>
        <w:rPr>
          <w:rFonts w:hint="eastAsia" w:ascii="宋体" w:hAnsi="宋体" w:eastAsia="宋体" w:cs="宋体"/>
          <w:color w:val="auto"/>
          <w:sz w:val="28"/>
          <w:szCs w:val="36"/>
          <w:highlight w:val="none"/>
        </w:rPr>
      </w:pPr>
      <w:r>
        <w:rPr>
          <w:rFonts w:hint="eastAsia" w:ascii="宋体" w:hAnsi="宋体" w:eastAsia="宋体" w:cs="宋体"/>
          <w:color w:val="auto"/>
          <w:sz w:val="28"/>
          <w:szCs w:val="36"/>
          <w:highlight w:val="none"/>
        </w:rPr>
        <w:t>4、小微企业等声明函（附件</w:t>
      </w:r>
      <w:r>
        <w:rPr>
          <w:rFonts w:hint="eastAsia" w:ascii="宋体" w:hAnsi="宋体" w:cs="宋体"/>
          <w:color w:val="auto"/>
          <w:sz w:val="28"/>
          <w:szCs w:val="36"/>
          <w:highlight w:val="none"/>
          <w:lang w:val="en-US" w:eastAsia="zh-CN"/>
        </w:rPr>
        <w:t>21</w:t>
      </w:r>
      <w:r>
        <w:rPr>
          <w:rFonts w:hint="eastAsia" w:ascii="宋体" w:hAnsi="宋体" w:eastAsia="宋体" w:cs="宋体"/>
          <w:color w:val="auto"/>
          <w:sz w:val="28"/>
          <w:szCs w:val="36"/>
          <w:highlight w:val="none"/>
        </w:rPr>
        <w:t>）；</w:t>
      </w:r>
    </w:p>
    <w:p>
      <w:pPr>
        <w:pStyle w:val="10"/>
        <w:rPr>
          <w:rFonts w:hint="eastAsia" w:ascii="宋体" w:hAnsi="宋体" w:eastAsia="宋体" w:cs="宋体"/>
          <w:color w:val="auto"/>
          <w:highlight w:val="none"/>
        </w:rPr>
      </w:pPr>
    </w:p>
    <w:p>
      <w:pPr>
        <w:pStyle w:val="10"/>
        <w:rPr>
          <w:rFonts w:hint="eastAsia" w:ascii="宋体" w:hAnsi="宋体" w:eastAsia="宋体" w:cs="宋体"/>
          <w:color w:val="auto"/>
          <w:highlight w:val="none"/>
        </w:rPr>
      </w:pPr>
      <w:r>
        <w:rPr>
          <w:rFonts w:hint="eastAsia" w:ascii="宋体" w:hAnsi="宋体" w:eastAsia="宋体" w:cs="宋体"/>
          <w:color w:val="auto"/>
          <w:highlight w:val="none"/>
        </w:rPr>
        <w:t>小微企业等声明函填表说明：</w:t>
      </w:r>
    </w:p>
    <w:p>
      <w:pPr>
        <w:pStyle w:val="10"/>
        <w:rPr>
          <w:rFonts w:hint="eastAsia" w:ascii="宋体" w:hAnsi="宋体" w:eastAsia="宋体" w:cs="宋体"/>
          <w:color w:val="auto"/>
          <w:highlight w:val="none"/>
        </w:rPr>
      </w:pPr>
      <w:r>
        <w:rPr>
          <w:rFonts w:hint="eastAsia" w:ascii="宋体" w:hAnsi="宋体" w:eastAsia="宋体" w:cs="宋体"/>
          <w:color w:val="auto"/>
          <w:highlight w:val="none"/>
        </w:rPr>
        <w:t>1、标的设备分别由不同制造商制造的，请按序号填写齐全所有标的货物制造商的信息。</w:t>
      </w:r>
    </w:p>
    <w:p>
      <w:pPr>
        <w:pStyle w:val="10"/>
        <w:rPr>
          <w:rFonts w:hint="eastAsia" w:ascii="宋体" w:hAnsi="宋体" w:eastAsia="宋体" w:cs="宋体"/>
          <w:color w:val="auto"/>
          <w:highlight w:val="none"/>
        </w:rPr>
      </w:pPr>
      <w:r>
        <w:rPr>
          <w:rFonts w:hint="eastAsia" w:ascii="宋体" w:hAnsi="宋体" w:eastAsia="宋体" w:cs="宋体"/>
          <w:color w:val="auto"/>
          <w:highlight w:val="none"/>
        </w:rPr>
        <w:t>2、从业人员、营业收入、资产总额填报上一年度数据，无上一年度数据的新成立企业可不填报。</w:t>
      </w:r>
    </w:p>
    <w:p>
      <w:pPr>
        <w:pStyle w:val="10"/>
        <w:rPr>
          <w:rFonts w:hint="eastAsia" w:ascii="宋体" w:hAnsi="宋体" w:eastAsia="宋体" w:cs="宋体"/>
          <w:color w:val="auto"/>
          <w:highlight w:val="none"/>
        </w:rPr>
      </w:pPr>
      <w:r>
        <w:rPr>
          <w:rFonts w:hint="eastAsia" w:ascii="宋体" w:hAnsi="宋体" w:eastAsia="宋体" w:cs="宋体"/>
          <w:color w:val="auto"/>
          <w:highlight w:val="none"/>
        </w:rPr>
        <w:t>3、为了更加准确判定制造商是否为小微企业，请供应商根据工业和信息化部官方网站---中小企业规模类型自测小程序来辨别制造商企业规模类型，中小企业规模类型自测小程序链接网址为</w:t>
      </w:r>
    </w:p>
    <w:p>
      <w:pPr>
        <w:pStyle w:val="10"/>
        <w:rPr>
          <w:rFonts w:hint="eastAsia" w:ascii="宋体" w:hAnsi="宋体" w:eastAsia="宋体" w:cs="宋体"/>
          <w:color w:val="auto"/>
          <w:highlight w:val="none"/>
        </w:rPr>
      </w:pPr>
      <w:r>
        <w:rPr>
          <w:rFonts w:hint="eastAsia" w:ascii="宋体" w:hAnsi="宋体" w:eastAsia="宋体" w:cs="宋体"/>
          <w:color w:val="auto"/>
          <w:highlight w:val="none"/>
        </w:rPr>
        <w:t>http://202.106.120.146/baosong/appweb/orgScale.html</w:t>
      </w:r>
    </w:p>
    <w:p>
      <w:pPr>
        <w:pStyle w:val="10"/>
        <w:rPr>
          <w:rFonts w:hint="eastAsia" w:ascii="宋体" w:hAnsi="宋体" w:eastAsia="宋体" w:cs="宋体"/>
          <w:color w:val="auto"/>
          <w:highlight w:val="none"/>
        </w:rPr>
      </w:pPr>
      <w:r>
        <w:rPr>
          <w:rFonts w:hint="eastAsia" w:ascii="宋体" w:hAnsi="宋体" w:eastAsia="宋体" w:cs="宋体"/>
          <w:color w:val="auto"/>
          <w:highlight w:val="none"/>
        </w:rPr>
        <w:t>4、供应商未提供《中小企业声明函》的、《中小企业声明函》中内容应填写而未进行填写或未如实填写的，将不给予供应商小微企业报价优惠扣除。</w:t>
      </w:r>
    </w:p>
    <w:p>
      <w:pPr>
        <w:pStyle w:val="10"/>
        <w:rPr>
          <w:rFonts w:hint="eastAsia" w:ascii="宋体" w:hAnsi="宋体" w:eastAsia="宋体" w:cs="宋体"/>
          <w:color w:val="auto"/>
          <w:highlight w:val="none"/>
        </w:rPr>
      </w:pPr>
      <w:r>
        <w:rPr>
          <w:rFonts w:hint="eastAsia" w:ascii="宋体" w:hAnsi="宋体" w:eastAsia="宋体" w:cs="宋体"/>
          <w:color w:val="auto"/>
          <w:highlight w:val="none"/>
        </w:rPr>
        <w:t>预成交供应商享受小微企业报价优惠扣除的，将按规定公开预成交供应商的《中小企业声明函》。</w:t>
      </w:r>
    </w:p>
    <w:p>
      <w:pPr>
        <w:pStyle w:val="10"/>
        <w:rPr>
          <w:rFonts w:hint="eastAsia" w:ascii="宋体" w:hAnsi="宋体" w:eastAsia="宋体" w:cs="宋体"/>
          <w:color w:val="auto"/>
          <w:highlight w:val="none"/>
        </w:rPr>
      </w:pPr>
      <w:r>
        <w:rPr>
          <w:rFonts w:hint="eastAsia" w:ascii="宋体" w:hAnsi="宋体" w:eastAsia="宋体" w:cs="宋体"/>
          <w:color w:val="auto"/>
          <w:highlight w:val="none"/>
        </w:rPr>
        <w:t>5、如国家对中小企业划型标准有新的规定的，从其规定。 </w:t>
      </w:r>
    </w:p>
    <w:p>
      <w:pPr>
        <w:spacing w:line="360" w:lineRule="auto"/>
        <w:rPr>
          <w:rFonts w:hint="eastAsia" w:ascii="宋体" w:hAnsi="宋体" w:eastAsia="宋体" w:cs="宋体"/>
          <w:color w:val="auto"/>
          <w:sz w:val="24"/>
          <w:szCs w:val="32"/>
          <w:highlight w:val="none"/>
        </w:rPr>
      </w:pPr>
    </w:p>
    <w:p>
      <w:pPr>
        <w:pStyle w:val="23"/>
        <w:rPr>
          <w:rFonts w:hint="eastAsia" w:ascii="宋体" w:hAnsi="宋体" w:eastAsia="宋体" w:cs="宋体"/>
          <w:color w:val="auto"/>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color w:val="auto"/>
          <w:sz w:val="24"/>
          <w:szCs w:val="32"/>
          <w:highlight w:val="none"/>
        </w:rPr>
      </w:pPr>
    </w:p>
    <w:p>
      <w:pPr>
        <w:spacing w:line="360" w:lineRule="auto"/>
        <w:rPr>
          <w:rFonts w:hint="eastAsia" w:ascii="宋体" w:hAnsi="宋体" w:eastAsia="宋体" w:cs="宋体"/>
          <w:b/>
          <w:color w:val="auto"/>
          <w:sz w:val="28"/>
          <w:highlight w:val="none"/>
        </w:rPr>
      </w:pPr>
    </w:p>
    <w:p>
      <w:pPr>
        <w:spacing w:line="360" w:lineRule="auto"/>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9</w:t>
      </w:r>
    </w:p>
    <w:p>
      <w:pPr>
        <w:spacing w:line="360" w:lineRule="auto"/>
        <w:ind w:left="-2" w:hanging="2"/>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开标一览表</w:t>
      </w:r>
    </w:p>
    <w:p>
      <w:pPr>
        <w:spacing w:line="360" w:lineRule="auto"/>
        <w:ind w:left="-2" w:hanging="2"/>
        <w:jc w:val="center"/>
        <w:rPr>
          <w:rFonts w:hint="eastAsia" w:ascii="宋体" w:hAnsi="宋体" w:eastAsia="宋体" w:cs="宋体"/>
          <w:b/>
          <w:color w:val="auto"/>
          <w:sz w:val="32"/>
          <w:szCs w:val="32"/>
          <w:highlight w:val="none"/>
        </w:rPr>
      </w:pPr>
    </w:p>
    <w:p>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项目名称：</w:t>
      </w:r>
    </w:p>
    <w:p>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项目编号：                                       [单位：人民币/元]</w:t>
      </w:r>
    </w:p>
    <w:tbl>
      <w:tblPr>
        <w:tblStyle w:val="26"/>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4" w:hRule="atLeast"/>
          <w:jc w:val="center"/>
        </w:trPr>
        <w:tc>
          <w:tcPr>
            <w:tcW w:w="2694" w:type="dxa"/>
            <w:vMerge w:val="restart"/>
            <w:vAlign w:val="center"/>
          </w:tcPr>
          <w:p>
            <w:pPr>
              <w:autoSpaceDE w:val="0"/>
              <w:autoSpaceDN w:val="0"/>
              <w:spacing w:line="450" w:lineRule="exact"/>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投标总报价(元)</w:t>
            </w:r>
          </w:p>
        </w:tc>
        <w:tc>
          <w:tcPr>
            <w:tcW w:w="1349" w:type="dxa"/>
            <w:vAlign w:val="center"/>
          </w:tcPr>
          <w:p>
            <w:pPr>
              <w:autoSpaceDE w:val="0"/>
              <w:autoSpaceDN w:val="0"/>
              <w:spacing w:line="450" w:lineRule="exact"/>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大写</w:t>
            </w:r>
          </w:p>
        </w:tc>
        <w:tc>
          <w:tcPr>
            <w:tcW w:w="4629" w:type="dxa"/>
            <w:vAlign w:val="center"/>
          </w:tcPr>
          <w:p>
            <w:pPr>
              <w:autoSpaceDE w:val="0"/>
              <w:autoSpaceDN w:val="0"/>
              <w:spacing w:line="450" w:lineRule="exact"/>
              <w:jc w:val="center"/>
              <w:textAlignment w:val="bottom"/>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00" w:hRule="atLeast"/>
          <w:jc w:val="center"/>
        </w:trPr>
        <w:tc>
          <w:tcPr>
            <w:tcW w:w="2694" w:type="dxa"/>
            <w:vMerge w:val="continue"/>
            <w:vAlign w:val="center"/>
          </w:tcPr>
          <w:p>
            <w:pPr>
              <w:rPr>
                <w:rFonts w:hint="eastAsia" w:ascii="宋体" w:hAnsi="宋体" w:eastAsia="宋体" w:cs="宋体"/>
                <w:color w:val="auto"/>
                <w:sz w:val="24"/>
                <w:highlight w:val="none"/>
              </w:rPr>
            </w:pPr>
          </w:p>
        </w:tc>
        <w:tc>
          <w:tcPr>
            <w:tcW w:w="1349" w:type="dxa"/>
            <w:vAlign w:val="center"/>
          </w:tcPr>
          <w:p>
            <w:pPr>
              <w:autoSpaceDE w:val="0"/>
              <w:autoSpaceDN w:val="0"/>
              <w:spacing w:line="450" w:lineRule="exact"/>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小写</w:t>
            </w:r>
          </w:p>
        </w:tc>
        <w:tc>
          <w:tcPr>
            <w:tcW w:w="4629" w:type="dxa"/>
            <w:vAlign w:val="center"/>
          </w:tcPr>
          <w:p>
            <w:pPr>
              <w:autoSpaceDE w:val="0"/>
              <w:autoSpaceDN w:val="0"/>
              <w:spacing w:line="450" w:lineRule="exact"/>
              <w:jc w:val="center"/>
              <w:textAlignment w:val="bottom"/>
              <w:rPr>
                <w:rFonts w:hint="eastAsia" w:ascii="宋体" w:hAnsi="宋体" w:eastAsia="宋体" w:cs="宋体"/>
                <w:color w:val="auto"/>
                <w:sz w:val="24"/>
                <w:highlight w:val="none"/>
              </w:rPr>
            </w:pPr>
          </w:p>
        </w:tc>
      </w:tr>
    </w:tbl>
    <w:p>
      <w:pPr>
        <w:spacing w:line="360" w:lineRule="auto"/>
        <w:ind w:firstLine="480" w:firstLineChars="200"/>
        <w:jc w:val="left"/>
        <w:rPr>
          <w:rFonts w:hint="eastAsia" w:ascii="宋体" w:hAnsi="宋体" w:eastAsia="宋体" w:cs="宋体"/>
          <w:color w:val="auto"/>
          <w:sz w:val="24"/>
          <w:szCs w:val="32"/>
          <w:highlight w:val="none"/>
        </w:rPr>
      </w:pPr>
    </w:p>
    <w:p>
      <w:pPr>
        <w:spacing w:line="360" w:lineRule="auto"/>
        <w:jc w:val="left"/>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填报要求：</w:t>
      </w:r>
    </w:p>
    <w:p>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1.投标总报价包括货款、标准附件、备品备件、专用工具、包装、运输、装卸、保险、税金、货到就位以及安装、调试、培训、保修、合同包含的所有风险责任等各项费用及不可预见费等所需的全部费用。</w:t>
      </w:r>
    </w:p>
    <w:p>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2.报价一经涂改，应在涂改处加盖单位公章，或者由法定代表人或授权委托代理人签字或盖章，否则其投标作无效标处理。</w:t>
      </w:r>
    </w:p>
    <w:p>
      <w:pPr>
        <w:spacing w:line="360" w:lineRule="auto"/>
        <w:rPr>
          <w:rFonts w:hint="eastAsia" w:ascii="宋体" w:hAnsi="宋体" w:eastAsia="宋体" w:cs="宋体"/>
          <w:color w:val="auto"/>
          <w:sz w:val="24"/>
          <w:highlight w:val="none"/>
        </w:rPr>
      </w:pPr>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r>
        <w:rPr>
          <w:rFonts w:hint="eastAsia" w:ascii="宋体" w:hAnsi="宋体" w:eastAsia="宋体" w:cs="宋体"/>
          <w:color w:val="auto"/>
          <w:sz w:val="24"/>
          <w:highlight w:val="none"/>
          <w:u w:val="single"/>
        </w:rPr>
        <w:t xml:space="preserve">                         </w:t>
      </w:r>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授权委托代理人签字或盖章：</w:t>
      </w:r>
      <w:r>
        <w:rPr>
          <w:rFonts w:hint="eastAsia" w:ascii="宋体" w:hAnsi="宋体" w:eastAsia="宋体" w:cs="宋体"/>
          <w:color w:val="auto"/>
          <w:sz w:val="24"/>
          <w:highlight w:val="none"/>
          <w:u w:val="single"/>
        </w:rPr>
        <w:t xml:space="preserve">                   </w:t>
      </w:r>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p>
    <w:p>
      <w:pPr>
        <w:spacing w:line="360" w:lineRule="auto"/>
        <w:jc w:val="left"/>
        <w:rPr>
          <w:rFonts w:hint="eastAsia" w:ascii="宋体" w:hAnsi="宋体" w:eastAsia="宋体" w:cs="宋体"/>
          <w:color w:val="auto"/>
          <w:sz w:val="24"/>
          <w:szCs w:val="32"/>
          <w:highlight w:val="none"/>
        </w:rPr>
      </w:pPr>
    </w:p>
    <w:p>
      <w:pPr>
        <w:spacing w:line="360" w:lineRule="auto"/>
        <w:ind w:firstLine="480" w:firstLineChars="200"/>
        <w:jc w:val="left"/>
        <w:rPr>
          <w:rFonts w:hint="eastAsia" w:ascii="宋体" w:hAnsi="宋体" w:eastAsia="宋体" w:cs="宋体"/>
          <w:color w:val="auto"/>
          <w:sz w:val="24"/>
          <w:szCs w:val="32"/>
          <w:highlight w:val="none"/>
        </w:rPr>
      </w:pPr>
    </w:p>
    <w:p>
      <w:pPr>
        <w:spacing w:line="360" w:lineRule="auto"/>
        <w:ind w:firstLine="480" w:firstLineChars="200"/>
        <w:jc w:val="left"/>
        <w:rPr>
          <w:rFonts w:hint="eastAsia" w:ascii="宋体" w:hAnsi="宋体" w:eastAsia="宋体" w:cs="宋体"/>
          <w:color w:val="auto"/>
          <w:sz w:val="24"/>
          <w:szCs w:val="32"/>
          <w:highlight w:val="none"/>
        </w:rPr>
      </w:pPr>
    </w:p>
    <w:p>
      <w:pPr>
        <w:spacing w:line="360" w:lineRule="auto"/>
        <w:ind w:firstLine="480" w:firstLineChars="200"/>
        <w:jc w:val="left"/>
        <w:rPr>
          <w:rFonts w:hint="eastAsia" w:ascii="宋体" w:hAnsi="宋体" w:eastAsia="宋体" w:cs="宋体"/>
          <w:color w:val="auto"/>
          <w:sz w:val="24"/>
          <w:szCs w:val="32"/>
          <w:highlight w:val="none"/>
        </w:rPr>
      </w:pPr>
    </w:p>
    <w:p>
      <w:pPr>
        <w:spacing w:line="360" w:lineRule="auto"/>
        <w:ind w:firstLine="480" w:firstLineChars="200"/>
        <w:jc w:val="left"/>
        <w:rPr>
          <w:rFonts w:hint="eastAsia" w:ascii="宋体" w:hAnsi="宋体" w:eastAsia="宋体" w:cs="宋体"/>
          <w:color w:val="auto"/>
          <w:sz w:val="24"/>
          <w:szCs w:val="32"/>
          <w:highlight w:val="none"/>
        </w:rPr>
      </w:pPr>
    </w:p>
    <w:p>
      <w:pPr>
        <w:spacing w:line="360" w:lineRule="auto"/>
        <w:ind w:firstLine="480" w:firstLineChars="200"/>
        <w:jc w:val="left"/>
        <w:rPr>
          <w:rFonts w:hint="eastAsia" w:ascii="宋体" w:hAnsi="宋体" w:eastAsia="宋体" w:cs="宋体"/>
          <w:color w:val="auto"/>
          <w:sz w:val="24"/>
          <w:szCs w:val="32"/>
          <w:highlight w:val="none"/>
        </w:rPr>
      </w:pPr>
    </w:p>
    <w:p>
      <w:pPr>
        <w:spacing w:line="360" w:lineRule="auto"/>
        <w:rPr>
          <w:rFonts w:hint="eastAsia" w:ascii="宋体" w:hAnsi="宋体" w:eastAsia="宋体" w:cs="宋体"/>
          <w:b/>
          <w:color w:val="auto"/>
          <w:sz w:val="28"/>
          <w:highlight w:val="none"/>
        </w:rPr>
      </w:pPr>
    </w:p>
    <w:p>
      <w:pPr>
        <w:spacing w:line="360" w:lineRule="auto"/>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20</w:t>
      </w:r>
    </w:p>
    <w:p>
      <w:pPr>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32"/>
          <w:szCs w:val="32"/>
          <w:highlight w:val="none"/>
        </w:rPr>
        <w:t>报价明细表</w:t>
      </w:r>
    </w:p>
    <w:p>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项目名称：</w:t>
      </w:r>
    </w:p>
    <w:p>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项目编号：                                       [单位：人民币/元]</w:t>
      </w:r>
    </w:p>
    <w:tbl>
      <w:tblPr>
        <w:tblStyle w:val="26"/>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525"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460" w:type="dxa"/>
            <w:vAlign w:val="center"/>
          </w:tcPr>
          <w:p>
            <w:pPr>
              <w:tabs>
                <w:tab w:val="left" w:pos="8280"/>
              </w:tabs>
              <w:autoSpaceDE w:val="0"/>
              <w:autoSpaceDN w:val="0"/>
              <w:adjustRightInd w:val="0"/>
              <w:spacing w:line="360" w:lineRule="auto"/>
              <w:ind w:right="25"/>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报价项目</w:t>
            </w:r>
          </w:p>
        </w:tc>
        <w:tc>
          <w:tcPr>
            <w:tcW w:w="1559" w:type="dxa"/>
            <w:vAlign w:val="center"/>
          </w:tcPr>
          <w:p>
            <w:pPr>
              <w:tabs>
                <w:tab w:val="left" w:pos="8280"/>
              </w:tabs>
              <w:autoSpaceDE w:val="0"/>
              <w:autoSpaceDN w:val="0"/>
              <w:adjustRightInd w:val="0"/>
              <w:spacing w:line="360" w:lineRule="auto"/>
              <w:ind w:right="25"/>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品牌、产地</w:t>
            </w:r>
          </w:p>
        </w:tc>
        <w:tc>
          <w:tcPr>
            <w:tcW w:w="1559" w:type="dxa"/>
            <w:vAlign w:val="center"/>
          </w:tcPr>
          <w:p>
            <w:pPr>
              <w:spacing w:line="360" w:lineRule="auto"/>
              <w:ind w:left="5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型号规格</w:t>
            </w:r>
          </w:p>
        </w:tc>
        <w:tc>
          <w:tcPr>
            <w:tcW w:w="851" w:type="dxa"/>
            <w:vAlign w:val="center"/>
          </w:tcPr>
          <w:p>
            <w:pPr>
              <w:spacing w:line="360" w:lineRule="auto"/>
              <w:ind w:left="152"/>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992"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992"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小计</w:t>
            </w:r>
          </w:p>
        </w:tc>
        <w:tc>
          <w:tcPr>
            <w:tcW w:w="709" w:type="dxa"/>
            <w:vAlign w:val="center"/>
          </w:tcPr>
          <w:p>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25" w:type="dxa"/>
            <w:vAlign w:val="center"/>
          </w:tcPr>
          <w:p>
            <w:pPr>
              <w:spacing w:line="360" w:lineRule="auto"/>
              <w:jc w:val="center"/>
              <w:rPr>
                <w:rFonts w:hint="eastAsia" w:ascii="宋体" w:hAnsi="宋体" w:eastAsia="宋体" w:cs="宋体"/>
                <w:color w:val="auto"/>
                <w:sz w:val="24"/>
                <w:highlight w:val="none"/>
              </w:rPr>
            </w:pPr>
          </w:p>
        </w:tc>
        <w:tc>
          <w:tcPr>
            <w:tcW w:w="1460" w:type="dxa"/>
            <w:vAlign w:val="center"/>
          </w:tcPr>
          <w:p>
            <w:pPr>
              <w:spacing w:line="360" w:lineRule="auto"/>
              <w:jc w:val="center"/>
              <w:rPr>
                <w:rFonts w:hint="eastAsia" w:ascii="宋体" w:hAnsi="宋体" w:eastAsia="宋体" w:cs="宋体"/>
                <w:color w:val="auto"/>
                <w:sz w:val="24"/>
                <w:highlight w:val="none"/>
              </w:rPr>
            </w:pPr>
          </w:p>
        </w:tc>
        <w:tc>
          <w:tcPr>
            <w:tcW w:w="1559" w:type="dxa"/>
            <w:vAlign w:val="center"/>
          </w:tcPr>
          <w:p>
            <w:pPr>
              <w:spacing w:line="360" w:lineRule="auto"/>
              <w:jc w:val="center"/>
              <w:rPr>
                <w:rFonts w:hint="eastAsia" w:ascii="宋体" w:hAnsi="宋体" w:eastAsia="宋体" w:cs="宋体"/>
                <w:color w:val="auto"/>
                <w:sz w:val="24"/>
                <w:highlight w:val="none"/>
              </w:rPr>
            </w:pPr>
          </w:p>
        </w:tc>
        <w:tc>
          <w:tcPr>
            <w:tcW w:w="1559" w:type="dxa"/>
            <w:vAlign w:val="center"/>
          </w:tcPr>
          <w:p>
            <w:pPr>
              <w:spacing w:line="360" w:lineRule="auto"/>
              <w:jc w:val="center"/>
              <w:rPr>
                <w:rFonts w:hint="eastAsia" w:ascii="宋体" w:hAnsi="宋体" w:eastAsia="宋体" w:cs="宋体"/>
                <w:color w:val="auto"/>
                <w:sz w:val="24"/>
                <w:highlight w:val="none"/>
              </w:rPr>
            </w:pPr>
          </w:p>
        </w:tc>
        <w:tc>
          <w:tcPr>
            <w:tcW w:w="851" w:type="dxa"/>
            <w:vAlign w:val="center"/>
          </w:tcPr>
          <w:p>
            <w:pPr>
              <w:spacing w:line="360" w:lineRule="auto"/>
              <w:jc w:val="center"/>
              <w:rPr>
                <w:rFonts w:hint="eastAsia" w:ascii="宋体" w:hAnsi="宋体" w:eastAsia="宋体" w:cs="宋体"/>
                <w:color w:val="auto"/>
                <w:sz w:val="24"/>
                <w:highlight w:val="none"/>
              </w:rPr>
            </w:pPr>
          </w:p>
        </w:tc>
        <w:tc>
          <w:tcPr>
            <w:tcW w:w="992" w:type="dxa"/>
            <w:vAlign w:val="center"/>
          </w:tcPr>
          <w:p>
            <w:pPr>
              <w:spacing w:line="360" w:lineRule="auto"/>
              <w:jc w:val="center"/>
              <w:rPr>
                <w:rFonts w:hint="eastAsia" w:ascii="宋体" w:hAnsi="宋体" w:eastAsia="宋体" w:cs="宋体"/>
                <w:color w:val="auto"/>
                <w:sz w:val="24"/>
                <w:highlight w:val="none"/>
              </w:rPr>
            </w:pPr>
          </w:p>
        </w:tc>
        <w:tc>
          <w:tcPr>
            <w:tcW w:w="992" w:type="dxa"/>
            <w:vAlign w:val="center"/>
          </w:tcPr>
          <w:p>
            <w:pPr>
              <w:spacing w:line="360" w:lineRule="auto"/>
              <w:jc w:val="center"/>
              <w:rPr>
                <w:rFonts w:hint="eastAsia" w:ascii="宋体" w:hAnsi="宋体" w:eastAsia="宋体" w:cs="宋体"/>
                <w:color w:val="auto"/>
                <w:sz w:val="24"/>
                <w:highlight w:val="none"/>
              </w:rPr>
            </w:pPr>
          </w:p>
        </w:tc>
        <w:tc>
          <w:tcPr>
            <w:tcW w:w="709"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525" w:type="dxa"/>
            <w:vAlign w:val="center"/>
          </w:tcPr>
          <w:p>
            <w:pPr>
              <w:spacing w:line="360" w:lineRule="auto"/>
              <w:jc w:val="center"/>
              <w:rPr>
                <w:rFonts w:hint="eastAsia" w:ascii="宋体" w:hAnsi="宋体" w:eastAsia="宋体" w:cs="宋体"/>
                <w:color w:val="auto"/>
                <w:sz w:val="24"/>
                <w:highlight w:val="none"/>
              </w:rPr>
            </w:pPr>
          </w:p>
        </w:tc>
        <w:tc>
          <w:tcPr>
            <w:tcW w:w="1460" w:type="dxa"/>
            <w:vAlign w:val="center"/>
          </w:tcPr>
          <w:p>
            <w:pPr>
              <w:spacing w:line="360" w:lineRule="auto"/>
              <w:jc w:val="center"/>
              <w:rPr>
                <w:rFonts w:hint="eastAsia" w:ascii="宋体" w:hAnsi="宋体" w:eastAsia="宋体" w:cs="宋体"/>
                <w:color w:val="auto"/>
                <w:sz w:val="24"/>
                <w:highlight w:val="none"/>
              </w:rPr>
            </w:pPr>
          </w:p>
        </w:tc>
        <w:tc>
          <w:tcPr>
            <w:tcW w:w="1559" w:type="dxa"/>
            <w:vAlign w:val="center"/>
          </w:tcPr>
          <w:p>
            <w:pPr>
              <w:spacing w:line="360" w:lineRule="auto"/>
              <w:jc w:val="center"/>
              <w:rPr>
                <w:rFonts w:hint="eastAsia" w:ascii="宋体" w:hAnsi="宋体" w:eastAsia="宋体" w:cs="宋体"/>
                <w:color w:val="auto"/>
                <w:sz w:val="24"/>
                <w:highlight w:val="none"/>
              </w:rPr>
            </w:pPr>
          </w:p>
        </w:tc>
        <w:tc>
          <w:tcPr>
            <w:tcW w:w="1559" w:type="dxa"/>
            <w:vAlign w:val="center"/>
          </w:tcPr>
          <w:p>
            <w:pPr>
              <w:spacing w:line="360" w:lineRule="auto"/>
              <w:jc w:val="center"/>
              <w:rPr>
                <w:rFonts w:hint="eastAsia" w:ascii="宋体" w:hAnsi="宋体" w:eastAsia="宋体" w:cs="宋体"/>
                <w:color w:val="auto"/>
                <w:sz w:val="24"/>
                <w:highlight w:val="none"/>
              </w:rPr>
            </w:pPr>
          </w:p>
        </w:tc>
        <w:tc>
          <w:tcPr>
            <w:tcW w:w="851" w:type="dxa"/>
            <w:vAlign w:val="center"/>
          </w:tcPr>
          <w:p>
            <w:pPr>
              <w:spacing w:line="360" w:lineRule="auto"/>
              <w:jc w:val="center"/>
              <w:rPr>
                <w:rFonts w:hint="eastAsia" w:ascii="宋体" w:hAnsi="宋体" w:eastAsia="宋体" w:cs="宋体"/>
                <w:color w:val="auto"/>
                <w:sz w:val="24"/>
                <w:highlight w:val="none"/>
              </w:rPr>
            </w:pPr>
          </w:p>
        </w:tc>
        <w:tc>
          <w:tcPr>
            <w:tcW w:w="992" w:type="dxa"/>
            <w:vAlign w:val="center"/>
          </w:tcPr>
          <w:p>
            <w:pPr>
              <w:spacing w:line="360" w:lineRule="auto"/>
              <w:jc w:val="center"/>
              <w:rPr>
                <w:rFonts w:hint="eastAsia" w:ascii="宋体" w:hAnsi="宋体" w:eastAsia="宋体" w:cs="宋体"/>
                <w:color w:val="auto"/>
                <w:sz w:val="24"/>
                <w:highlight w:val="none"/>
              </w:rPr>
            </w:pPr>
          </w:p>
        </w:tc>
        <w:tc>
          <w:tcPr>
            <w:tcW w:w="992" w:type="dxa"/>
            <w:vAlign w:val="center"/>
          </w:tcPr>
          <w:p>
            <w:pPr>
              <w:spacing w:line="360" w:lineRule="auto"/>
              <w:jc w:val="center"/>
              <w:rPr>
                <w:rFonts w:hint="eastAsia" w:ascii="宋体" w:hAnsi="宋体" w:eastAsia="宋体" w:cs="宋体"/>
                <w:color w:val="auto"/>
                <w:sz w:val="24"/>
                <w:highlight w:val="none"/>
              </w:rPr>
            </w:pPr>
          </w:p>
        </w:tc>
        <w:tc>
          <w:tcPr>
            <w:tcW w:w="709"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vAlign w:val="center"/>
          </w:tcPr>
          <w:p>
            <w:pPr>
              <w:spacing w:line="360" w:lineRule="auto"/>
              <w:jc w:val="center"/>
              <w:rPr>
                <w:rFonts w:hint="eastAsia" w:ascii="宋体" w:hAnsi="宋体" w:eastAsia="宋体" w:cs="宋体"/>
                <w:color w:val="auto"/>
                <w:sz w:val="24"/>
                <w:highlight w:val="none"/>
              </w:rPr>
            </w:pPr>
          </w:p>
        </w:tc>
        <w:tc>
          <w:tcPr>
            <w:tcW w:w="1460" w:type="dxa"/>
            <w:vAlign w:val="center"/>
          </w:tcPr>
          <w:p>
            <w:pPr>
              <w:spacing w:line="360" w:lineRule="auto"/>
              <w:jc w:val="center"/>
              <w:rPr>
                <w:rFonts w:hint="eastAsia" w:ascii="宋体" w:hAnsi="宋体" w:eastAsia="宋体" w:cs="宋体"/>
                <w:color w:val="auto"/>
                <w:sz w:val="24"/>
                <w:highlight w:val="none"/>
              </w:rPr>
            </w:pPr>
          </w:p>
        </w:tc>
        <w:tc>
          <w:tcPr>
            <w:tcW w:w="1559" w:type="dxa"/>
            <w:vAlign w:val="center"/>
          </w:tcPr>
          <w:p>
            <w:pPr>
              <w:spacing w:line="360" w:lineRule="auto"/>
              <w:jc w:val="center"/>
              <w:rPr>
                <w:rFonts w:hint="eastAsia" w:ascii="宋体" w:hAnsi="宋体" w:eastAsia="宋体" w:cs="宋体"/>
                <w:color w:val="auto"/>
                <w:sz w:val="24"/>
                <w:highlight w:val="none"/>
              </w:rPr>
            </w:pPr>
          </w:p>
        </w:tc>
        <w:tc>
          <w:tcPr>
            <w:tcW w:w="1559" w:type="dxa"/>
            <w:vAlign w:val="center"/>
          </w:tcPr>
          <w:p>
            <w:pPr>
              <w:spacing w:line="360" w:lineRule="auto"/>
              <w:jc w:val="center"/>
              <w:rPr>
                <w:rFonts w:hint="eastAsia" w:ascii="宋体" w:hAnsi="宋体" w:eastAsia="宋体" w:cs="宋体"/>
                <w:color w:val="auto"/>
                <w:sz w:val="24"/>
                <w:highlight w:val="none"/>
              </w:rPr>
            </w:pPr>
          </w:p>
        </w:tc>
        <w:tc>
          <w:tcPr>
            <w:tcW w:w="851" w:type="dxa"/>
            <w:vAlign w:val="center"/>
          </w:tcPr>
          <w:p>
            <w:pPr>
              <w:spacing w:line="360" w:lineRule="auto"/>
              <w:jc w:val="center"/>
              <w:rPr>
                <w:rFonts w:hint="eastAsia" w:ascii="宋体" w:hAnsi="宋体" w:eastAsia="宋体" w:cs="宋体"/>
                <w:color w:val="auto"/>
                <w:sz w:val="24"/>
                <w:highlight w:val="none"/>
              </w:rPr>
            </w:pPr>
          </w:p>
        </w:tc>
        <w:tc>
          <w:tcPr>
            <w:tcW w:w="992" w:type="dxa"/>
            <w:vAlign w:val="center"/>
          </w:tcPr>
          <w:p>
            <w:pPr>
              <w:spacing w:line="360" w:lineRule="auto"/>
              <w:jc w:val="center"/>
              <w:rPr>
                <w:rFonts w:hint="eastAsia" w:ascii="宋体" w:hAnsi="宋体" w:eastAsia="宋体" w:cs="宋体"/>
                <w:color w:val="auto"/>
                <w:sz w:val="24"/>
                <w:highlight w:val="none"/>
              </w:rPr>
            </w:pPr>
          </w:p>
        </w:tc>
        <w:tc>
          <w:tcPr>
            <w:tcW w:w="992" w:type="dxa"/>
            <w:vAlign w:val="center"/>
          </w:tcPr>
          <w:p>
            <w:pPr>
              <w:spacing w:line="360" w:lineRule="auto"/>
              <w:jc w:val="center"/>
              <w:rPr>
                <w:rFonts w:hint="eastAsia" w:ascii="宋体" w:hAnsi="宋体" w:eastAsia="宋体" w:cs="宋体"/>
                <w:color w:val="auto"/>
                <w:sz w:val="24"/>
                <w:highlight w:val="none"/>
              </w:rPr>
            </w:pPr>
          </w:p>
        </w:tc>
        <w:tc>
          <w:tcPr>
            <w:tcW w:w="709"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525" w:type="dxa"/>
            <w:vAlign w:val="center"/>
          </w:tcPr>
          <w:p>
            <w:pPr>
              <w:spacing w:line="360" w:lineRule="auto"/>
              <w:jc w:val="center"/>
              <w:rPr>
                <w:rFonts w:hint="eastAsia" w:ascii="宋体" w:hAnsi="宋体" w:eastAsia="宋体" w:cs="宋体"/>
                <w:color w:val="auto"/>
                <w:sz w:val="24"/>
                <w:highlight w:val="none"/>
              </w:rPr>
            </w:pPr>
          </w:p>
        </w:tc>
        <w:tc>
          <w:tcPr>
            <w:tcW w:w="1460" w:type="dxa"/>
            <w:vAlign w:val="center"/>
          </w:tcPr>
          <w:p>
            <w:pPr>
              <w:spacing w:line="360" w:lineRule="auto"/>
              <w:jc w:val="center"/>
              <w:rPr>
                <w:rFonts w:hint="eastAsia" w:ascii="宋体" w:hAnsi="宋体" w:eastAsia="宋体" w:cs="宋体"/>
                <w:color w:val="auto"/>
                <w:sz w:val="24"/>
                <w:highlight w:val="none"/>
              </w:rPr>
            </w:pPr>
          </w:p>
        </w:tc>
        <w:tc>
          <w:tcPr>
            <w:tcW w:w="1559" w:type="dxa"/>
            <w:vAlign w:val="center"/>
          </w:tcPr>
          <w:p>
            <w:pPr>
              <w:spacing w:line="360" w:lineRule="auto"/>
              <w:jc w:val="center"/>
              <w:rPr>
                <w:rFonts w:hint="eastAsia" w:ascii="宋体" w:hAnsi="宋体" w:eastAsia="宋体" w:cs="宋体"/>
                <w:color w:val="auto"/>
                <w:sz w:val="24"/>
                <w:highlight w:val="none"/>
              </w:rPr>
            </w:pPr>
          </w:p>
        </w:tc>
        <w:tc>
          <w:tcPr>
            <w:tcW w:w="1559" w:type="dxa"/>
            <w:vAlign w:val="center"/>
          </w:tcPr>
          <w:p>
            <w:pPr>
              <w:spacing w:line="360" w:lineRule="auto"/>
              <w:jc w:val="center"/>
              <w:rPr>
                <w:rFonts w:hint="eastAsia" w:ascii="宋体" w:hAnsi="宋体" w:eastAsia="宋体" w:cs="宋体"/>
                <w:color w:val="auto"/>
                <w:sz w:val="24"/>
                <w:highlight w:val="none"/>
              </w:rPr>
            </w:pPr>
          </w:p>
        </w:tc>
        <w:tc>
          <w:tcPr>
            <w:tcW w:w="851" w:type="dxa"/>
            <w:vAlign w:val="center"/>
          </w:tcPr>
          <w:p>
            <w:pPr>
              <w:spacing w:line="360" w:lineRule="auto"/>
              <w:jc w:val="center"/>
              <w:rPr>
                <w:rFonts w:hint="eastAsia" w:ascii="宋体" w:hAnsi="宋体" w:eastAsia="宋体" w:cs="宋体"/>
                <w:color w:val="auto"/>
                <w:sz w:val="24"/>
                <w:highlight w:val="none"/>
              </w:rPr>
            </w:pPr>
          </w:p>
        </w:tc>
        <w:tc>
          <w:tcPr>
            <w:tcW w:w="992" w:type="dxa"/>
            <w:vAlign w:val="center"/>
          </w:tcPr>
          <w:p>
            <w:pPr>
              <w:spacing w:line="360" w:lineRule="auto"/>
              <w:jc w:val="center"/>
              <w:rPr>
                <w:rFonts w:hint="eastAsia" w:ascii="宋体" w:hAnsi="宋体" w:eastAsia="宋体" w:cs="宋体"/>
                <w:color w:val="auto"/>
                <w:sz w:val="24"/>
                <w:highlight w:val="none"/>
              </w:rPr>
            </w:pPr>
          </w:p>
        </w:tc>
        <w:tc>
          <w:tcPr>
            <w:tcW w:w="992" w:type="dxa"/>
            <w:vAlign w:val="center"/>
          </w:tcPr>
          <w:p>
            <w:pPr>
              <w:spacing w:line="360" w:lineRule="auto"/>
              <w:jc w:val="center"/>
              <w:rPr>
                <w:rFonts w:hint="eastAsia" w:ascii="宋体" w:hAnsi="宋体" w:eastAsia="宋体" w:cs="宋体"/>
                <w:color w:val="auto"/>
                <w:sz w:val="24"/>
                <w:highlight w:val="none"/>
              </w:rPr>
            </w:pPr>
          </w:p>
        </w:tc>
        <w:tc>
          <w:tcPr>
            <w:tcW w:w="709"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525" w:type="dxa"/>
            <w:vAlign w:val="center"/>
          </w:tcPr>
          <w:p>
            <w:pPr>
              <w:spacing w:line="360" w:lineRule="auto"/>
              <w:jc w:val="center"/>
              <w:rPr>
                <w:rFonts w:hint="eastAsia" w:ascii="宋体" w:hAnsi="宋体" w:eastAsia="宋体" w:cs="宋体"/>
                <w:color w:val="auto"/>
                <w:sz w:val="24"/>
                <w:highlight w:val="none"/>
              </w:rPr>
            </w:pPr>
          </w:p>
        </w:tc>
        <w:tc>
          <w:tcPr>
            <w:tcW w:w="1460" w:type="dxa"/>
            <w:vAlign w:val="center"/>
          </w:tcPr>
          <w:p>
            <w:pPr>
              <w:spacing w:line="360" w:lineRule="auto"/>
              <w:jc w:val="center"/>
              <w:rPr>
                <w:rFonts w:hint="eastAsia" w:ascii="宋体" w:hAnsi="宋体" w:eastAsia="宋体" w:cs="宋体"/>
                <w:color w:val="auto"/>
                <w:sz w:val="24"/>
                <w:highlight w:val="none"/>
              </w:rPr>
            </w:pPr>
          </w:p>
        </w:tc>
        <w:tc>
          <w:tcPr>
            <w:tcW w:w="1559" w:type="dxa"/>
            <w:vAlign w:val="center"/>
          </w:tcPr>
          <w:p>
            <w:pPr>
              <w:spacing w:line="360" w:lineRule="auto"/>
              <w:jc w:val="center"/>
              <w:rPr>
                <w:rFonts w:hint="eastAsia" w:ascii="宋体" w:hAnsi="宋体" w:eastAsia="宋体" w:cs="宋体"/>
                <w:color w:val="auto"/>
                <w:sz w:val="24"/>
                <w:highlight w:val="none"/>
              </w:rPr>
            </w:pPr>
          </w:p>
        </w:tc>
        <w:tc>
          <w:tcPr>
            <w:tcW w:w="1559" w:type="dxa"/>
            <w:vAlign w:val="center"/>
          </w:tcPr>
          <w:p>
            <w:pPr>
              <w:spacing w:line="360" w:lineRule="auto"/>
              <w:jc w:val="center"/>
              <w:rPr>
                <w:rFonts w:hint="eastAsia" w:ascii="宋体" w:hAnsi="宋体" w:eastAsia="宋体" w:cs="宋体"/>
                <w:color w:val="auto"/>
                <w:sz w:val="24"/>
                <w:highlight w:val="none"/>
              </w:rPr>
            </w:pPr>
          </w:p>
        </w:tc>
        <w:tc>
          <w:tcPr>
            <w:tcW w:w="851" w:type="dxa"/>
            <w:vAlign w:val="center"/>
          </w:tcPr>
          <w:p>
            <w:pPr>
              <w:spacing w:line="360" w:lineRule="auto"/>
              <w:jc w:val="center"/>
              <w:rPr>
                <w:rFonts w:hint="eastAsia" w:ascii="宋体" w:hAnsi="宋体" w:eastAsia="宋体" w:cs="宋体"/>
                <w:color w:val="auto"/>
                <w:sz w:val="24"/>
                <w:highlight w:val="none"/>
              </w:rPr>
            </w:pPr>
          </w:p>
        </w:tc>
        <w:tc>
          <w:tcPr>
            <w:tcW w:w="992" w:type="dxa"/>
            <w:vAlign w:val="center"/>
          </w:tcPr>
          <w:p>
            <w:pPr>
              <w:spacing w:line="360" w:lineRule="auto"/>
              <w:jc w:val="center"/>
              <w:rPr>
                <w:rFonts w:hint="eastAsia" w:ascii="宋体" w:hAnsi="宋体" w:eastAsia="宋体" w:cs="宋体"/>
                <w:color w:val="auto"/>
                <w:sz w:val="24"/>
                <w:highlight w:val="none"/>
              </w:rPr>
            </w:pPr>
          </w:p>
        </w:tc>
        <w:tc>
          <w:tcPr>
            <w:tcW w:w="992" w:type="dxa"/>
            <w:vAlign w:val="center"/>
          </w:tcPr>
          <w:p>
            <w:pPr>
              <w:spacing w:line="360" w:lineRule="auto"/>
              <w:jc w:val="center"/>
              <w:rPr>
                <w:rFonts w:hint="eastAsia" w:ascii="宋体" w:hAnsi="宋体" w:eastAsia="宋体" w:cs="宋体"/>
                <w:color w:val="auto"/>
                <w:sz w:val="24"/>
                <w:highlight w:val="none"/>
              </w:rPr>
            </w:pPr>
          </w:p>
        </w:tc>
        <w:tc>
          <w:tcPr>
            <w:tcW w:w="709" w:type="dxa"/>
            <w:vAlign w:val="center"/>
          </w:tcPr>
          <w:p>
            <w:pP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8647" w:type="dxa"/>
            <w:gridSpan w:val="8"/>
            <w:vAlign w:val="center"/>
          </w:tcPr>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合计人民币：大写                               小写</w:t>
            </w:r>
          </w:p>
        </w:tc>
      </w:tr>
    </w:tbl>
    <w:p>
      <w:pPr>
        <w:spacing w:line="360" w:lineRule="auto"/>
        <w:jc w:val="left"/>
        <w:rPr>
          <w:rFonts w:hint="eastAsia" w:ascii="宋体" w:hAnsi="宋体" w:eastAsia="宋体" w:cs="宋体"/>
          <w:b/>
          <w:bCs/>
          <w:color w:val="auto"/>
          <w:sz w:val="24"/>
          <w:szCs w:val="32"/>
          <w:highlight w:val="none"/>
        </w:rPr>
      </w:pPr>
    </w:p>
    <w:p>
      <w:pPr>
        <w:spacing w:line="360" w:lineRule="auto"/>
        <w:jc w:val="left"/>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要求：</w:t>
      </w:r>
    </w:p>
    <w:p>
      <w:pP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1.本表为《开标一览表》的报价明细表，如有缺项、漏项，视为投标报价中已包含相关费用，采购人无需另外支付任何费用。</w:t>
      </w:r>
    </w:p>
    <w:p>
      <w:pP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rPr>
        <w:t>2.</w:t>
      </w:r>
      <w:r>
        <w:rPr>
          <w:rFonts w:hint="eastAsia" w:ascii="宋体" w:hAnsi="宋体" w:eastAsia="宋体" w:cs="宋体"/>
          <w:color w:val="auto"/>
          <w:sz w:val="24"/>
          <w:szCs w:val="32"/>
          <w:highlight w:val="none"/>
          <w:lang w:val="zh-CN"/>
        </w:rPr>
        <w:t>“报价明细表”中的报价合计应与“开标一览表”中的投标总报价相一致，不一致时，以开标一览表为准。</w:t>
      </w:r>
    </w:p>
    <w:p>
      <w:pP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rPr>
        <w:t>3.</w:t>
      </w:r>
      <w:r>
        <w:rPr>
          <w:rFonts w:hint="eastAsia" w:ascii="宋体" w:hAnsi="宋体" w:eastAsia="宋体" w:cs="宋体"/>
          <w:color w:val="auto"/>
          <w:sz w:val="24"/>
          <w:szCs w:val="32"/>
          <w:highlight w:val="none"/>
          <w:lang w:val="zh-CN"/>
        </w:rPr>
        <w:t>投标报价明细表所填内容按招标文件采购设备清单要求为准。如有漏报的，视同已包含在投标总价内或已作优惠处理。有重大缺项的将作无效标处理。</w:t>
      </w:r>
    </w:p>
    <w:p>
      <w:pP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4.本表中的型号规格必须明确，招标文件中明确要求定制的除外。</w:t>
      </w:r>
    </w:p>
    <w:p>
      <w:pPr>
        <w:spacing w:line="360" w:lineRule="auto"/>
        <w:ind w:firstLine="480" w:firstLineChars="200"/>
        <w:jc w:val="left"/>
        <w:rPr>
          <w:rFonts w:hint="eastAsia" w:ascii="宋体" w:hAnsi="宋体" w:eastAsia="宋体" w:cs="宋体"/>
          <w:color w:val="auto"/>
          <w:sz w:val="24"/>
          <w:szCs w:val="32"/>
          <w:highlight w:val="none"/>
        </w:rPr>
      </w:pPr>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投标人名称（盖章）：</w:t>
      </w:r>
      <w:r>
        <w:rPr>
          <w:rFonts w:hint="eastAsia" w:ascii="宋体" w:hAnsi="宋体" w:eastAsia="宋体" w:cs="宋体"/>
          <w:color w:val="auto"/>
          <w:sz w:val="24"/>
          <w:highlight w:val="none"/>
          <w:u w:val="single"/>
        </w:rPr>
        <w:t xml:space="preserve">                         </w:t>
      </w:r>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授权委托代理人签字或盖章：</w:t>
      </w:r>
      <w:r>
        <w:rPr>
          <w:rFonts w:hint="eastAsia" w:ascii="宋体" w:hAnsi="宋体" w:eastAsia="宋体" w:cs="宋体"/>
          <w:color w:val="auto"/>
          <w:sz w:val="24"/>
          <w:highlight w:val="none"/>
          <w:u w:val="single"/>
        </w:rPr>
        <w:t xml:space="preserve">                   </w:t>
      </w:r>
    </w:p>
    <w:p>
      <w:pP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p>
    <w:p>
      <w:pPr>
        <w:spacing w:line="360" w:lineRule="auto"/>
        <w:rPr>
          <w:rFonts w:hint="eastAsia" w:ascii="宋体" w:hAnsi="宋体" w:eastAsia="宋体" w:cs="宋体"/>
          <w:color w:val="auto"/>
          <w:sz w:val="24"/>
          <w:szCs w:val="32"/>
          <w:highlight w:val="none"/>
        </w:rPr>
      </w:pPr>
    </w:p>
    <w:p>
      <w:pPr>
        <w:tabs>
          <w:tab w:val="left" w:pos="2460"/>
        </w:tabs>
        <w:spacing w:line="360" w:lineRule="auto"/>
        <w:rPr>
          <w:rFonts w:hint="eastAsia" w:ascii="宋体" w:hAnsi="宋体" w:eastAsia="宋体" w:cs="宋体"/>
          <w:b/>
          <w:color w:val="auto"/>
          <w:sz w:val="28"/>
          <w:highlight w:val="none"/>
        </w:rPr>
      </w:pPr>
    </w:p>
    <w:p>
      <w:pPr>
        <w:tabs>
          <w:tab w:val="left" w:pos="2460"/>
        </w:tabs>
        <w:spacing w:line="360" w:lineRule="auto"/>
        <w:rPr>
          <w:rFonts w:hint="default"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21</w:t>
      </w: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中小企业声明函（货物）</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本公司郑重声明，根据《政府采购促进中小企业发展管理办法》（财库﹝2020﹞46 号）的规定，本公司参加</w:t>
      </w:r>
      <w:r>
        <w:rPr>
          <w:rFonts w:hint="eastAsia" w:ascii="宋体" w:hAnsi="宋体" w:eastAsia="宋体" w:cs="宋体"/>
          <w:bCs/>
          <w:color w:val="auto"/>
          <w:sz w:val="24"/>
          <w:highlight w:val="none"/>
          <w:u w:val="single"/>
        </w:rPr>
        <w:t>（单位名称）</w:t>
      </w:r>
      <w:r>
        <w:rPr>
          <w:rFonts w:hint="eastAsia" w:ascii="宋体" w:hAnsi="宋体" w:eastAsia="宋体" w:cs="宋体"/>
          <w:bCs/>
          <w:color w:val="auto"/>
          <w:sz w:val="24"/>
          <w:highlight w:val="none"/>
        </w:rPr>
        <w:t>的</w:t>
      </w:r>
      <w:r>
        <w:rPr>
          <w:rFonts w:hint="eastAsia" w:ascii="宋体" w:hAnsi="宋体" w:eastAsia="宋体" w:cs="宋体"/>
          <w:bCs/>
          <w:color w:val="auto"/>
          <w:sz w:val="24"/>
          <w:highlight w:val="none"/>
          <w:u w:val="single"/>
        </w:rPr>
        <w:t>（项目名称）</w:t>
      </w:r>
      <w:r>
        <w:rPr>
          <w:rFonts w:hint="eastAsia" w:ascii="宋体" w:hAnsi="宋体" w:eastAsia="宋体" w:cs="宋体"/>
          <w:bCs/>
          <w:color w:val="auto"/>
          <w:sz w:val="24"/>
          <w:highlight w:val="none"/>
        </w:rPr>
        <w:t xml:space="preserve">采购活动，提供的货物全部由符合政策要求的中小企业制造。相关企业的具体情况如下： </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u w:val="single"/>
        </w:rPr>
        <w:t>（标的名称）</w:t>
      </w:r>
      <w:r>
        <w:rPr>
          <w:rFonts w:hint="eastAsia" w:ascii="宋体" w:hAnsi="宋体" w:eastAsia="宋体" w:cs="宋体"/>
          <w:bCs/>
          <w:color w:val="auto"/>
          <w:sz w:val="24"/>
          <w:highlight w:val="none"/>
        </w:rPr>
        <w:t>，属于</w:t>
      </w:r>
      <w:r>
        <w:rPr>
          <w:rFonts w:hint="eastAsia" w:ascii="宋体" w:hAnsi="宋体" w:eastAsia="宋体" w:cs="宋体"/>
          <w:bCs/>
          <w:color w:val="auto"/>
          <w:sz w:val="24"/>
          <w:highlight w:val="none"/>
          <w:u w:val="single"/>
        </w:rPr>
        <w:t>（采购文件中明确的所属行业）</w:t>
      </w:r>
      <w:r>
        <w:rPr>
          <w:rFonts w:hint="eastAsia" w:ascii="宋体" w:hAnsi="宋体" w:eastAsia="宋体" w:cs="宋体"/>
          <w:bCs/>
          <w:color w:val="auto"/>
          <w:sz w:val="24"/>
          <w:highlight w:val="none"/>
        </w:rPr>
        <w:t>行业；制造商为</w:t>
      </w:r>
      <w:r>
        <w:rPr>
          <w:rFonts w:hint="eastAsia" w:ascii="宋体" w:hAnsi="宋体" w:eastAsia="宋体" w:cs="宋体"/>
          <w:bCs/>
          <w:color w:val="auto"/>
          <w:sz w:val="24"/>
          <w:highlight w:val="none"/>
          <w:u w:val="single"/>
        </w:rPr>
        <w:t>（企业名称）</w:t>
      </w:r>
      <w:r>
        <w:rPr>
          <w:rFonts w:hint="eastAsia" w:ascii="宋体" w:hAnsi="宋体" w:eastAsia="宋体" w:cs="宋体"/>
          <w:bCs/>
          <w:color w:val="auto"/>
          <w:sz w:val="24"/>
          <w:highlight w:val="none"/>
        </w:rPr>
        <w:t>，从业人员</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人，营业收入为</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万元，资产总额为</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万元</w:t>
      </w:r>
      <w:r>
        <w:rPr>
          <w:rStyle w:val="32"/>
          <w:rFonts w:hint="eastAsia" w:ascii="宋体" w:hAnsi="宋体" w:eastAsia="宋体" w:cs="宋体"/>
          <w:bCs/>
          <w:color w:val="auto"/>
          <w:sz w:val="24"/>
          <w:highlight w:val="none"/>
        </w:rPr>
        <w:footnoteReference w:id="0"/>
      </w:r>
      <w:r>
        <w:rPr>
          <w:rFonts w:hint="eastAsia" w:ascii="宋体" w:hAnsi="宋体" w:eastAsia="宋体" w:cs="宋体"/>
          <w:bCs/>
          <w:color w:val="auto"/>
          <w:sz w:val="24"/>
          <w:highlight w:val="none"/>
        </w:rPr>
        <w:t>，属于</w:t>
      </w:r>
      <w:r>
        <w:rPr>
          <w:rFonts w:hint="eastAsia" w:ascii="宋体" w:hAnsi="宋体" w:eastAsia="宋体" w:cs="宋体"/>
          <w:bCs/>
          <w:color w:val="auto"/>
          <w:sz w:val="24"/>
          <w:highlight w:val="none"/>
          <w:u w:val="single"/>
        </w:rPr>
        <w:t>（中型企业、小型企业、微型企业）</w:t>
      </w:r>
      <w:r>
        <w:rPr>
          <w:rFonts w:hint="eastAsia" w:ascii="宋体" w:hAnsi="宋体" w:eastAsia="宋体" w:cs="宋体"/>
          <w:bCs/>
          <w:color w:val="auto"/>
          <w:sz w:val="24"/>
          <w:highlight w:val="none"/>
        </w:rPr>
        <w:t>；</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r>
        <w:rPr>
          <w:rFonts w:hint="eastAsia" w:ascii="宋体" w:hAnsi="宋体" w:eastAsia="宋体" w:cs="宋体"/>
          <w:bCs/>
          <w:color w:val="auto"/>
          <w:sz w:val="24"/>
          <w:highlight w:val="none"/>
          <w:u w:val="single"/>
        </w:rPr>
        <w:t>（标的名称）</w:t>
      </w:r>
      <w:r>
        <w:rPr>
          <w:rFonts w:hint="eastAsia" w:ascii="宋体" w:hAnsi="宋体" w:eastAsia="宋体" w:cs="宋体"/>
          <w:bCs/>
          <w:color w:val="auto"/>
          <w:sz w:val="24"/>
          <w:highlight w:val="none"/>
        </w:rPr>
        <w:t>，属于</w:t>
      </w:r>
      <w:r>
        <w:rPr>
          <w:rFonts w:hint="eastAsia" w:ascii="宋体" w:hAnsi="宋体" w:eastAsia="宋体" w:cs="宋体"/>
          <w:bCs/>
          <w:color w:val="auto"/>
          <w:sz w:val="24"/>
          <w:highlight w:val="none"/>
          <w:u w:val="single"/>
        </w:rPr>
        <w:t>（采购文件中明确的所属行业）</w:t>
      </w:r>
      <w:r>
        <w:rPr>
          <w:rFonts w:hint="eastAsia" w:ascii="宋体" w:hAnsi="宋体" w:eastAsia="宋体" w:cs="宋体"/>
          <w:bCs/>
          <w:color w:val="auto"/>
          <w:sz w:val="24"/>
          <w:highlight w:val="none"/>
        </w:rPr>
        <w:t>行业；制造商为</w:t>
      </w:r>
      <w:r>
        <w:rPr>
          <w:rFonts w:hint="eastAsia" w:ascii="宋体" w:hAnsi="宋体" w:eastAsia="宋体" w:cs="宋体"/>
          <w:bCs/>
          <w:color w:val="auto"/>
          <w:sz w:val="24"/>
          <w:highlight w:val="none"/>
          <w:u w:val="single"/>
        </w:rPr>
        <w:t>（企业名称）</w:t>
      </w:r>
      <w:r>
        <w:rPr>
          <w:rFonts w:hint="eastAsia" w:ascii="宋体" w:hAnsi="宋体" w:eastAsia="宋体" w:cs="宋体"/>
          <w:bCs/>
          <w:color w:val="auto"/>
          <w:sz w:val="24"/>
          <w:highlight w:val="none"/>
        </w:rPr>
        <w:t>，从业人员</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人，营业收入为</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万元，资产总额为</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万元，属于</w:t>
      </w:r>
      <w:r>
        <w:rPr>
          <w:rFonts w:hint="eastAsia" w:ascii="宋体" w:hAnsi="宋体" w:eastAsia="宋体" w:cs="宋体"/>
          <w:bCs/>
          <w:color w:val="auto"/>
          <w:sz w:val="24"/>
          <w:highlight w:val="none"/>
          <w:u w:val="single"/>
        </w:rPr>
        <w:t>（中型企业、小型企业、微型企业）</w:t>
      </w:r>
      <w:r>
        <w:rPr>
          <w:rFonts w:hint="eastAsia" w:ascii="宋体" w:hAnsi="宋体" w:eastAsia="宋体" w:cs="宋体"/>
          <w:bCs/>
          <w:color w:val="auto"/>
          <w:sz w:val="24"/>
          <w:highlight w:val="none"/>
        </w:rPr>
        <w:t>；</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本企业对上述声明内容的真实性负责。如有虚假，将依法承担相应责任。 </w:t>
      </w:r>
    </w:p>
    <w:p>
      <w:pPr>
        <w:spacing w:line="360" w:lineRule="auto"/>
        <w:jc w:val="left"/>
        <w:rPr>
          <w:rFonts w:hint="eastAsia" w:ascii="宋体" w:hAnsi="宋体" w:eastAsia="宋体" w:cs="宋体"/>
          <w:bCs/>
          <w:color w:val="auto"/>
          <w:sz w:val="24"/>
          <w:highlight w:val="none"/>
        </w:rPr>
      </w:pPr>
    </w:p>
    <w:p>
      <w:pPr>
        <w:spacing w:line="360" w:lineRule="auto"/>
        <w:ind w:firstLine="4800" w:firstLineChars="20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企业名称（盖章）：</w:t>
      </w:r>
    </w:p>
    <w:p>
      <w:pPr>
        <w:spacing w:line="360" w:lineRule="auto"/>
        <w:ind w:firstLine="4800" w:firstLineChars="20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p>
    <w:p>
      <w:pPr>
        <w:spacing w:line="360" w:lineRule="auto"/>
        <w:jc w:val="left"/>
        <w:rPr>
          <w:rFonts w:hint="eastAsia" w:ascii="宋体" w:hAnsi="宋体" w:eastAsia="宋体" w:cs="宋体"/>
          <w:bCs/>
          <w:color w:val="auto"/>
          <w:sz w:val="24"/>
          <w:highlight w:val="none"/>
        </w:rPr>
      </w:pPr>
    </w:p>
    <w:p>
      <w:pPr>
        <w:spacing w:line="360" w:lineRule="auto"/>
        <w:jc w:val="left"/>
        <w:rPr>
          <w:rFonts w:hint="eastAsia" w:ascii="宋体" w:hAnsi="宋体" w:eastAsia="宋体" w:cs="宋体"/>
          <w:bCs/>
          <w:color w:val="auto"/>
          <w:sz w:val="24"/>
          <w:highlight w:val="none"/>
        </w:rPr>
      </w:pPr>
    </w:p>
    <w:p>
      <w:pPr>
        <w:spacing w:line="360" w:lineRule="auto"/>
        <w:jc w:val="left"/>
        <w:rPr>
          <w:rFonts w:hint="eastAsia" w:ascii="宋体" w:hAnsi="宋体" w:eastAsia="宋体" w:cs="宋体"/>
          <w:bCs/>
          <w:color w:val="auto"/>
          <w:sz w:val="24"/>
          <w:highlight w:val="none"/>
        </w:rPr>
      </w:pPr>
    </w:p>
    <w:p>
      <w:pPr>
        <w:spacing w:line="360" w:lineRule="auto"/>
        <w:jc w:val="left"/>
        <w:rPr>
          <w:rFonts w:hint="eastAsia" w:ascii="宋体" w:hAnsi="宋体" w:eastAsia="宋体" w:cs="宋体"/>
          <w:bCs/>
          <w:color w:val="auto"/>
          <w:sz w:val="24"/>
          <w:highlight w:val="none"/>
        </w:rPr>
      </w:pPr>
    </w:p>
    <w:p>
      <w:pPr>
        <w:spacing w:line="360" w:lineRule="auto"/>
        <w:jc w:val="left"/>
        <w:rPr>
          <w:rFonts w:hint="eastAsia" w:ascii="宋体" w:hAnsi="宋体" w:eastAsia="宋体" w:cs="宋体"/>
          <w:bCs/>
          <w:color w:val="auto"/>
          <w:sz w:val="24"/>
          <w:highlight w:val="none"/>
        </w:rPr>
      </w:pPr>
    </w:p>
    <w:p>
      <w:pPr>
        <w:spacing w:line="360" w:lineRule="auto"/>
        <w:jc w:val="left"/>
        <w:rPr>
          <w:rFonts w:hint="eastAsia" w:ascii="宋体" w:hAnsi="宋体" w:eastAsia="宋体" w:cs="宋体"/>
          <w:bCs/>
          <w:color w:val="auto"/>
          <w:sz w:val="24"/>
          <w:highlight w:val="none"/>
        </w:rPr>
      </w:pPr>
    </w:p>
    <w:p>
      <w:pPr>
        <w:spacing w:line="360" w:lineRule="auto"/>
        <w:jc w:val="left"/>
        <w:rPr>
          <w:rFonts w:hint="eastAsia" w:ascii="宋体" w:hAnsi="宋体" w:eastAsia="宋体" w:cs="宋体"/>
          <w:bCs/>
          <w:color w:val="auto"/>
          <w:sz w:val="24"/>
          <w:highlight w:val="none"/>
        </w:rPr>
      </w:pPr>
    </w:p>
    <w:p>
      <w:pPr>
        <w:spacing w:line="360" w:lineRule="auto"/>
        <w:jc w:val="left"/>
        <w:rPr>
          <w:rFonts w:hint="eastAsia" w:ascii="宋体" w:hAnsi="宋体" w:eastAsia="宋体" w:cs="宋体"/>
          <w:bCs/>
          <w:color w:val="auto"/>
          <w:sz w:val="24"/>
          <w:highlight w:val="none"/>
        </w:rPr>
      </w:pPr>
    </w:p>
    <w:p>
      <w:pPr>
        <w:spacing w:line="360" w:lineRule="auto"/>
        <w:jc w:val="left"/>
        <w:rPr>
          <w:rFonts w:hint="eastAsia" w:ascii="宋体" w:hAnsi="宋体" w:eastAsia="宋体" w:cs="宋体"/>
          <w:bCs/>
          <w:color w:val="auto"/>
          <w:sz w:val="24"/>
          <w:highlight w:val="non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中小企业声明函（工程、服务）</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本公司郑重声明，根据《政府采购促进中小企业发展管理办法》（财库﹝2020﹞46 号）的规定，本公司参加</w:t>
      </w:r>
      <w:r>
        <w:rPr>
          <w:rFonts w:hint="eastAsia" w:ascii="宋体" w:hAnsi="宋体" w:eastAsia="宋体" w:cs="宋体"/>
          <w:bCs/>
          <w:color w:val="auto"/>
          <w:sz w:val="24"/>
          <w:highlight w:val="none"/>
          <w:u w:val="single"/>
        </w:rPr>
        <w:t>（单位名称）</w:t>
      </w:r>
      <w:r>
        <w:rPr>
          <w:rFonts w:hint="eastAsia" w:ascii="宋体" w:hAnsi="宋体" w:eastAsia="宋体" w:cs="宋体"/>
          <w:bCs/>
          <w:color w:val="auto"/>
          <w:sz w:val="24"/>
          <w:highlight w:val="none"/>
        </w:rPr>
        <w:t>的</w:t>
      </w:r>
      <w:r>
        <w:rPr>
          <w:rFonts w:hint="eastAsia" w:ascii="宋体" w:hAnsi="宋体" w:eastAsia="宋体" w:cs="宋体"/>
          <w:bCs/>
          <w:color w:val="auto"/>
          <w:sz w:val="24"/>
          <w:highlight w:val="none"/>
          <w:u w:val="single"/>
        </w:rPr>
        <w:t>（项目名称）</w:t>
      </w:r>
      <w:r>
        <w:rPr>
          <w:rFonts w:hint="eastAsia" w:ascii="宋体" w:hAnsi="宋体" w:eastAsia="宋体" w:cs="宋体"/>
          <w:bCs/>
          <w:color w:val="auto"/>
          <w:sz w:val="24"/>
          <w:highlight w:val="none"/>
        </w:rPr>
        <w:t>采购活动，工程的施工单位全部为符合政策要求的中小企业（或者：服务全部由符合政策要求的中小企业承接）。相关企业的具体情况如下：</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u w:val="single"/>
        </w:rPr>
        <w:t>（标的名称）</w:t>
      </w:r>
      <w:r>
        <w:rPr>
          <w:rFonts w:hint="eastAsia" w:ascii="宋体" w:hAnsi="宋体" w:eastAsia="宋体" w:cs="宋体"/>
          <w:bCs/>
          <w:color w:val="auto"/>
          <w:sz w:val="24"/>
          <w:highlight w:val="none"/>
        </w:rPr>
        <w:t>，属于</w:t>
      </w:r>
      <w:r>
        <w:rPr>
          <w:rFonts w:hint="eastAsia" w:ascii="宋体" w:hAnsi="宋体" w:eastAsia="宋体" w:cs="宋体"/>
          <w:bCs/>
          <w:color w:val="auto"/>
          <w:sz w:val="24"/>
          <w:highlight w:val="none"/>
          <w:u w:val="single"/>
        </w:rPr>
        <w:t>（采购文件中明确的所属行业）</w:t>
      </w:r>
      <w:r>
        <w:rPr>
          <w:rFonts w:hint="eastAsia" w:ascii="宋体" w:hAnsi="宋体" w:eastAsia="宋体" w:cs="宋体"/>
          <w:bCs/>
          <w:color w:val="auto"/>
          <w:sz w:val="24"/>
          <w:highlight w:val="none"/>
        </w:rPr>
        <w:t>；承建（承接）企业为</w:t>
      </w:r>
      <w:r>
        <w:rPr>
          <w:rFonts w:hint="eastAsia" w:ascii="宋体" w:hAnsi="宋体" w:eastAsia="宋体" w:cs="宋体"/>
          <w:bCs/>
          <w:color w:val="auto"/>
          <w:sz w:val="24"/>
          <w:highlight w:val="none"/>
          <w:u w:val="single"/>
        </w:rPr>
        <w:t>（企业名称）</w:t>
      </w:r>
      <w:r>
        <w:rPr>
          <w:rFonts w:hint="eastAsia" w:ascii="宋体" w:hAnsi="宋体" w:eastAsia="宋体" w:cs="宋体"/>
          <w:bCs/>
          <w:color w:val="auto"/>
          <w:sz w:val="24"/>
          <w:highlight w:val="none"/>
        </w:rPr>
        <w:t>，从业人员</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人，营业收入为</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万元，资产总额为</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万元</w:t>
      </w:r>
      <w:r>
        <w:rPr>
          <w:rStyle w:val="32"/>
          <w:rFonts w:hint="eastAsia" w:ascii="宋体" w:hAnsi="宋体" w:eastAsia="宋体" w:cs="宋体"/>
          <w:bCs/>
          <w:color w:val="auto"/>
          <w:sz w:val="24"/>
          <w:highlight w:val="none"/>
        </w:rPr>
        <w:footnoteReference w:id="1"/>
      </w:r>
      <w:r>
        <w:rPr>
          <w:rFonts w:hint="eastAsia" w:ascii="宋体" w:hAnsi="宋体" w:eastAsia="宋体" w:cs="宋体"/>
          <w:bCs/>
          <w:color w:val="auto"/>
          <w:sz w:val="24"/>
          <w:highlight w:val="none"/>
        </w:rPr>
        <w:t>，属于</w:t>
      </w:r>
      <w:r>
        <w:rPr>
          <w:rFonts w:hint="eastAsia" w:ascii="宋体" w:hAnsi="宋体" w:eastAsia="宋体" w:cs="宋体"/>
          <w:bCs/>
          <w:color w:val="auto"/>
          <w:sz w:val="24"/>
          <w:highlight w:val="none"/>
          <w:u w:val="single"/>
        </w:rPr>
        <w:t>（中型企业、小型企业、微型企业）</w:t>
      </w:r>
      <w:r>
        <w:rPr>
          <w:rFonts w:hint="eastAsia" w:ascii="宋体" w:hAnsi="宋体" w:eastAsia="宋体" w:cs="宋体"/>
          <w:bCs/>
          <w:color w:val="auto"/>
          <w:sz w:val="24"/>
          <w:highlight w:val="none"/>
        </w:rPr>
        <w:t>；</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r>
        <w:rPr>
          <w:rFonts w:hint="eastAsia" w:ascii="宋体" w:hAnsi="宋体" w:eastAsia="宋体" w:cs="宋体"/>
          <w:bCs/>
          <w:color w:val="auto"/>
          <w:sz w:val="24"/>
          <w:highlight w:val="none"/>
          <w:u w:val="single"/>
        </w:rPr>
        <w:t>（标的名称）</w:t>
      </w:r>
      <w:r>
        <w:rPr>
          <w:rFonts w:hint="eastAsia" w:ascii="宋体" w:hAnsi="宋体" w:eastAsia="宋体" w:cs="宋体"/>
          <w:bCs/>
          <w:color w:val="auto"/>
          <w:sz w:val="24"/>
          <w:highlight w:val="none"/>
        </w:rPr>
        <w:t>，属于</w:t>
      </w:r>
      <w:r>
        <w:rPr>
          <w:rFonts w:hint="eastAsia" w:ascii="宋体" w:hAnsi="宋体" w:eastAsia="宋体" w:cs="宋体"/>
          <w:bCs/>
          <w:color w:val="auto"/>
          <w:sz w:val="24"/>
          <w:highlight w:val="none"/>
          <w:u w:val="single"/>
        </w:rPr>
        <w:t>（采购文件中明确的所属行业）</w:t>
      </w:r>
      <w:r>
        <w:rPr>
          <w:rFonts w:hint="eastAsia" w:ascii="宋体" w:hAnsi="宋体" w:eastAsia="宋体" w:cs="宋体"/>
          <w:bCs/>
          <w:color w:val="auto"/>
          <w:sz w:val="24"/>
          <w:highlight w:val="none"/>
        </w:rPr>
        <w:t>；承建（承接）企业为</w:t>
      </w:r>
      <w:r>
        <w:rPr>
          <w:rFonts w:hint="eastAsia" w:ascii="宋体" w:hAnsi="宋体" w:eastAsia="宋体" w:cs="宋体"/>
          <w:bCs/>
          <w:color w:val="auto"/>
          <w:sz w:val="24"/>
          <w:highlight w:val="none"/>
          <w:u w:val="single"/>
        </w:rPr>
        <w:t>（企业名称）</w:t>
      </w:r>
      <w:r>
        <w:rPr>
          <w:rFonts w:hint="eastAsia" w:ascii="宋体" w:hAnsi="宋体" w:eastAsia="宋体" w:cs="宋体"/>
          <w:bCs/>
          <w:color w:val="auto"/>
          <w:sz w:val="24"/>
          <w:highlight w:val="none"/>
        </w:rPr>
        <w:t>，从业人员</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人，营业收入为</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万元，资产总额为</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万元，属于</w:t>
      </w:r>
      <w:r>
        <w:rPr>
          <w:rFonts w:hint="eastAsia" w:ascii="宋体" w:hAnsi="宋体" w:eastAsia="宋体" w:cs="宋体"/>
          <w:bCs/>
          <w:color w:val="auto"/>
          <w:sz w:val="24"/>
          <w:highlight w:val="none"/>
          <w:u w:val="single"/>
        </w:rPr>
        <w:t>（中型企业、小型企业、微型企业）</w:t>
      </w:r>
      <w:r>
        <w:rPr>
          <w:rFonts w:hint="eastAsia" w:ascii="宋体" w:hAnsi="宋体" w:eastAsia="宋体" w:cs="宋体"/>
          <w:bCs/>
          <w:color w:val="auto"/>
          <w:sz w:val="24"/>
          <w:highlight w:val="none"/>
        </w:rPr>
        <w:t>；</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本企业对上述声明内容的真实性负责。如有虚假，将依法承担相应责任。 </w:t>
      </w:r>
    </w:p>
    <w:p>
      <w:pPr>
        <w:spacing w:line="360" w:lineRule="auto"/>
        <w:jc w:val="left"/>
        <w:rPr>
          <w:rFonts w:hint="eastAsia" w:ascii="宋体" w:hAnsi="宋体" w:eastAsia="宋体" w:cs="宋体"/>
          <w:bCs/>
          <w:color w:val="auto"/>
          <w:sz w:val="24"/>
          <w:highlight w:val="none"/>
        </w:rPr>
      </w:pPr>
    </w:p>
    <w:p>
      <w:pPr>
        <w:spacing w:line="360" w:lineRule="auto"/>
        <w:ind w:firstLine="4800" w:firstLineChars="20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企业名称（盖章）：</w:t>
      </w:r>
    </w:p>
    <w:p>
      <w:pPr>
        <w:spacing w:line="360" w:lineRule="auto"/>
        <w:ind w:firstLine="4800" w:firstLineChars="20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p>
    <w:p>
      <w:pPr>
        <w:spacing w:line="360" w:lineRule="auto"/>
        <w:jc w:val="left"/>
        <w:rPr>
          <w:rFonts w:hint="eastAsia" w:ascii="宋体" w:hAnsi="宋体" w:eastAsia="宋体" w:cs="宋体"/>
          <w:bCs/>
          <w:color w:val="auto"/>
          <w:sz w:val="24"/>
          <w:highlight w:val="none"/>
        </w:rPr>
      </w:pPr>
    </w:p>
    <w:p>
      <w:pPr>
        <w:spacing w:line="360" w:lineRule="auto"/>
        <w:jc w:val="left"/>
        <w:rPr>
          <w:rFonts w:hint="eastAsia" w:ascii="宋体" w:hAnsi="宋体" w:eastAsia="宋体" w:cs="宋体"/>
          <w:bCs/>
          <w:color w:val="auto"/>
          <w:sz w:val="24"/>
          <w:highlight w:val="none"/>
        </w:rPr>
      </w:pPr>
      <w:bookmarkStart w:id="9" w:name="_GoBack"/>
      <w:bookmarkEnd w:id="9"/>
    </w:p>
    <w:p>
      <w:pPr>
        <w:spacing w:line="360" w:lineRule="auto"/>
        <w:jc w:val="left"/>
        <w:rPr>
          <w:rFonts w:hint="eastAsia" w:ascii="宋体" w:hAnsi="宋体" w:eastAsia="宋体" w:cs="宋体"/>
          <w:bCs/>
          <w:color w:val="auto"/>
          <w:sz w:val="24"/>
          <w:highlight w:val="none"/>
        </w:rPr>
      </w:pPr>
    </w:p>
    <w:p>
      <w:pPr>
        <w:spacing w:line="360" w:lineRule="auto"/>
        <w:jc w:val="left"/>
        <w:rPr>
          <w:rFonts w:hint="eastAsia" w:ascii="宋体" w:hAnsi="宋体" w:eastAsia="宋体" w:cs="宋体"/>
          <w:bCs/>
          <w:color w:val="auto"/>
          <w:sz w:val="24"/>
          <w:highlight w:val="none"/>
        </w:rPr>
      </w:pPr>
    </w:p>
    <w:p>
      <w:pPr>
        <w:spacing w:line="360" w:lineRule="auto"/>
        <w:jc w:val="left"/>
        <w:rPr>
          <w:rFonts w:hint="eastAsia" w:ascii="宋体" w:hAnsi="宋体" w:eastAsia="宋体" w:cs="宋体"/>
          <w:bCs/>
          <w:color w:val="auto"/>
          <w:sz w:val="24"/>
          <w:highlight w:val="none"/>
        </w:rPr>
      </w:pPr>
    </w:p>
    <w:p>
      <w:pPr>
        <w:spacing w:line="360" w:lineRule="auto"/>
        <w:jc w:val="left"/>
        <w:rPr>
          <w:rFonts w:hint="eastAsia" w:ascii="宋体" w:hAnsi="宋体" w:eastAsia="宋体" w:cs="宋体"/>
          <w:bCs/>
          <w:color w:val="auto"/>
          <w:sz w:val="24"/>
          <w:highlight w:val="none"/>
        </w:rPr>
      </w:pPr>
    </w:p>
    <w:p>
      <w:pPr>
        <w:spacing w:line="360" w:lineRule="auto"/>
        <w:jc w:val="left"/>
        <w:rPr>
          <w:rFonts w:hint="eastAsia" w:ascii="宋体" w:hAnsi="宋体" w:eastAsia="宋体" w:cs="宋体"/>
          <w:bCs/>
          <w:color w:val="auto"/>
          <w:sz w:val="24"/>
          <w:highlight w:val="none"/>
        </w:rPr>
      </w:pPr>
    </w:p>
    <w:p>
      <w:pPr>
        <w:spacing w:line="360" w:lineRule="auto"/>
        <w:jc w:val="left"/>
        <w:rPr>
          <w:rFonts w:hint="eastAsia" w:ascii="宋体" w:hAnsi="宋体" w:eastAsia="宋体" w:cs="宋体"/>
          <w:bCs/>
          <w:color w:val="auto"/>
          <w:sz w:val="24"/>
          <w:highlight w:val="none"/>
        </w:rPr>
      </w:pPr>
    </w:p>
    <w:p>
      <w:pPr>
        <w:spacing w:line="360" w:lineRule="auto"/>
        <w:jc w:val="left"/>
        <w:rPr>
          <w:rFonts w:hint="eastAsia" w:ascii="宋体" w:hAnsi="宋体" w:eastAsia="宋体" w:cs="宋体"/>
          <w:bCs/>
          <w:color w:val="auto"/>
          <w:sz w:val="24"/>
          <w:highlight w:val="none"/>
        </w:rPr>
      </w:pPr>
    </w:p>
    <w:p>
      <w:pPr>
        <w:spacing w:line="360" w:lineRule="auto"/>
        <w:ind w:firstLine="4410" w:firstLineChars="2100"/>
        <w:rPr>
          <w:rFonts w:ascii="宋体"/>
          <w:color w:val="auto"/>
          <w:highlight w:val="none"/>
        </w:rPr>
      </w:pPr>
    </w:p>
    <w:sectPr>
      <w:headerReference r:id="rId4" w:type="default"/>
      <w:pgSz w:w="11906" w:h="16838"/>
      <w:pgMar w:top="1327" w:right="1587" w:bottom="132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书宋简体">
    <w:altName w:val="宋体"/>
    <w:panose1 w:val="00000000000000000000"/>
    <w:charset w:val="7A"/>
    <w:family w:val="script"/>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21"/>
      </w:pPr>
      <w:r>
        <w:rPr>
          <w:rStyle w:val="32"/>
        </w:rPr>
        <w:footnoteRef/>
      </w:r>
      <w:r>
        <w:t xml:space="preserve"> </w:t>
      </w:r>
      <w:r>
        <w:rPr>
          <w:rFonts w:hint="eastAsia" w:ascii="宋体" w:hAnsi="宋体"/>
          <w:bCs/>
          <w:sz w:val="24"/>
        </w:rPr>
        <w:t>从业人员、营业收入、资产总额填报上一年度数据，无上一年度数据的新成立企业可不填报。</w:t>
      </w:r>
    </w:p>
  </w:footnote>
  <w:footnote w:id="1">
    <w:p>
      <w:pPr>
        <w:pStyle w:val="21"/>
      </w:pPr>
      <w:r>
        <w:rPr>
          <w:rStyle w:val="32"/>
        </w:rPr>
        <w:footnoteRef/>
      </w:r>
      <w:r>
        <w:t xml:space="preserve"> </w:t>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bCs/>
        <w:color w:val="000000"/>
        <w:sz w:val="10"/>
        <w:szCs w:val="10"/>
        <w:u w:val="single"/>
      </w:rPr>
    </w:pPr>
    <w:r>
      <w:rPr>
        <w:rFonts w:hint="eastAsia" w:cs="宋体"/>
        <w:b/>
        <w:bCs/>
        <w:i/>
        <w:iCs/>
        <w:color w:val="000000"/>
        <w:kern w:val="0"/>
        <w:sz w:val="18"/>
        <w:szCs w:val="18"/>
        <w:u w:val="single"/>
      </w:rPr>
      <w:t>台州市路桥区政府采购招标文件</w:t>
    </w:r>
    <w:r>
      <w:rPr>
        <w:b/>
        <w:bCs/>
        <w:i/>
        <w:iCs/>
        <w:color w:val="000000"/>
        <w:kern w:val="0"/>
        <w:sz w:val="18"/>
        <w:szCs w:val="18"/>
        <w:u w:val="single"/>
      </w:rPr>
      <w:t xml:space="preserve">                                                     </w:t>
    </w:r>
    <w:r>
      <w:rPr>
        <w:rFonts w:hint="eastAsia" w:cs="宋体"/>
        <w:b/>
        <w:bCs/>
        <w:i/>
        <w:iCs/>
        <w:color w:val="000000"/>
        <w:spacing w:val="-20"/>
        <w:kern w:val="0"/>
        <w:sz w:val="18"/>
        <w:szCs w:val="18"/>
        <w:u w:val="single"/>
      </w:rPr>
      <w:t>第</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PAGE </w:instrText>
    </w:r>
    <w:r>
      <w:rPr>
        <w:b/>
        <w:bCs/>
        <w:i/>
        <w:iCs/>
        <w:color w:val="000000"/>
        <w:spacing w:val="-20"/>
        <w:kern w:val="0"/>
        <w:sz w:val="18"/>
        <w:szCs w:val="18"/>
        <w:u w:val="single"/>
      </w:rPr>
      <w:fldChar w:fldCharType="separate"/>
    </w:r>
    <w:r>
      <w:rPr>
        <w:b/>
        <w:bCs/>
        <w:i/>
        <w:iCs/>
        <w:color w:val="000000"/>
        <w:spacing w:val="-20"/>
        <w:kern w:val="0"/>
        <w:sz w:val="18"/>
        <w:szCs w:val="18"/>
        <w:u w:val="single"/>
      </w:rPr>
      <w:t>31</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页共</w:t>
    </w:r>
    <w:r>
      <w:rPr>
        <w:b/>
        <w:bCs/>
        <w:i/>
        <w:iCs/>
        <w:color w:val="000000"/>
        <w:spacing w:val="-20"/>
        <w:kern w:val="0"/>
        <w:sz w:val="18"/>
        <w:szCs w:val="18"/>
        <w:u w:val="single"/>
      </w:rPr>
      <w:fldChar w:fldCharType="begin"/>
    </w:r>
    <w:r>
      <w:rPr>
        <w:b/>
        <w:bCs/>
        <w:i/>
        <w:iCs/>
        <w:color w:val="000000"/>
        <w:spacing w:val="-20"/>
        <w:kern w:val="0"/>
        <w:sz w:val="18"/>
        <w:szCs w:val="18"/>
        <w:u w:val="single"/>
      </w:rPr>
      <w:instrText xml:space="preserve"> NUMPAGES </w:instrText>
    </w:r>
    <w:r>
      <w:rPr>
        <w:b/>
        <w:bCs/>
        <w:i/>
        <w:iCs/>
        <w:color w:val="000000"/>
        <w:spacing w:val="-20"/>
        <w:kern w:val="0"/>
        <w:sz w:val="18"/>
        <w:szCs w:val="18"/>
        <w:u w:val="single"/>
      </w:rPr>
      <w:fldChar w:fldCharType="separate"/>
    </w:r>
    <w:r>
      <w:rPr>
        <w:b/>
        <w:bCs/>
        <w:i/>
        <w:iCs/>
        <w:color w:val="000000"/>
        <w:spacing w:val="-20"/>
        <w:kern w:val="0"/>
        <w:sz w:val="18"/>
        <w:szCs w:val="18"/>
        <w:u w:val="single"/>
      </w:rPr>
      <w:t>57</w:t>
    </w:r>
    <w:r>
      <w:rPr>
        <w:b/>
        <w:bCs/>
        <w:i/>
        <w:iCs/>
        <w:color w:val="000000"/>
        <w:spacing w:val="-20"/>
        <w:kern w:val="0"/>
        <w:sz w:val="18"/>
        <w:szCs w:val="18"/>
        <w:u w:val="single"/>
      </w:rPr>
      <w:fldChar w:fldCharType="end"/>
    </w:r>
    <w:r>
      <w:rPr>
        <w:rFonts w:hint="eastAsia" w:cs="宋体"/>
        <w:b/>
        <w:bCs/>
        <w:i/>
        <w:iCs/>
        <w:color w:val="000000"/>
        <w:spacing w:val="-20"/>
        <w:kern w:val="0"/>
        <w:sz w:val="18"/>
        <w:szCs w:val="18"/>
        <w:u w:val="single"/>
      </w:rPr>
      <w:t>页</w:t>
    </w:r>
  </w:p>
  <w:p>
    <w:pPr>
      <w:pStyle w:val="19"/>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A728AD"/>
    <w:multiLevelType w:val="singleLevel"/>
    <w:tmpl w:val="BDA728AD"/>
    <w:lvl w:ilvl="0" w:tentative="0">
      <w:start w:val="1"/>
      <w:numFmt w:val="decimal"/>
      <w:suff w:val="nothing"/>
      <w:lvlText w:val="%1、"/>
      <w:lvlJc w:val="left"/>
      <w:pPr>
        <w:ind w:left="0" w:firstLine="0"/>
      </w:pPr>
      <w:rPr>
        <w:rFonts w:hint="default" w:ascii="宋体" w:hAnsi="宋体" w:eastAsia="宋体" w:cs="宋体"/>
        <w:sz w:val="24"/>
        <w:szCs w:val="24"/>
      </w:rPr>
    </w:lvl>
  </w:abstractNum>
  <w:abstractNum w:abstractNumId="1">
    <w:nsid w:val="00000000"/>
    <w:multiLevelType w:val="multilevel"/>
    <w:tmpl w:val="00000000"/>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pStyle w:val="2"/>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2">
    <w:nsid w:val="00000001"/>
    <w:multiLevelType w:val="singleLevel"/>
    <w:tmpl w:val="00000001"/>
    <w:lvl w:ilvl="0" w:tentative="0">
      <w:start w:val="1"/>
      <w:numFmt w:val="decimal"/>
      <w:pStyle w:val="6"/>
      <w:lvlText w:val="%1."/>
      <w:lvlJc w:val="left"/>
      <w:pPr>
        <w:tabs>
          <w:tab w:val="left" w:pos="360"/>
        </w:tabs>
        <w:ind w:left="360" w:hanging="360"/>
      </w:pPr>
    </w:lvl>
  </w:abstractNum>
  <w:abstractNum w:abstractNumId="3">
    <w:nsid w:val="0053208E"/>
    <w:multiLevelType w:val="singleLevel"/>
    <w:tmpl w:val="0053208E"/>
    <w:lvl w:ilvl="0" w:tentative="0">
      <w:start w:val="1"/>
      <w:numFmt w:val="decimal"/>
      <w:suff w:val="nothing"/>
      <w:lvlText w:val="%1、"/>
      <w:lvlJc w:val="left"/>
      <w:pPr>
        <w:ind w:left="120" w:firstLine="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NotTrackMoves/>
  <w:documentProtection w:enforcement="0"/>
  <w:defaultTabStop w:val="420"/>
  <w:doNotHyphenateCaps/>
  <w:drawingGridVerticalSpacing w:val="156"/>
  <w:doNotShadeFormData w:val="1"/>
  <w:noPunctuationKerning w:val="1"/>
  <w:characterSpacingControl w:val="compressPunctuation"/>
  <w:noLineBreaksAfter w:lang="zh-CN" w:val="$([{£¥·‘“〈《「『【〔〖〝﹙﹛﹝＄（．［｛￡￥"/>
  <w:noLineBreaksBefore w:lang="zh-CN" w:val="!%),.:;&gt;?]}¢¨°·ˇˉ―‖’”…‰′″›℃∶、。〃〉》」』】〕〗〞︶︺︾﹀﹄﹚﹜﹞！＂％＇），．：；？］｀｜｝～￠"/>
  <w:doNotValidateAgainstSchema/>
  <w:doNotDemarcateInvalidXml/>
  <w:footnotePr>
    <w:footnote w:id="4"/>
    <w:footnote w:id="5"/>
  </w:foot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405"/>
    <w:rsid w:val="000F3E44"/>
    <w:rsid w:val="00114F8E"/>
    <w:rsid w:val="001B2919"/>
    <w:rsid w:val="00295244"/>
    <w:rsid w:val="002C4201"/>
    <w:rsid w:val="00393D0A"/>
    <w:rsid w:val="004131F5"/>
    <w:rsid w:val="00433469"/>
    <w:rsid w:val="004761DE"/>
    <w:rsid w:val="004C64C4"/>
    <w:rsid w:val="004F6217"/>
    <w:rsid w:val="00506CA2"/>
    <w:rsid w:val="005526BE"/>
    <w:rsid w:val="005B09C8"/>
    <w:rsid w:val="005D267E"/>
    <w:rsid w:val="006166FC"/>
    <w:rsid w:val="00686405"/>
    <w:rsid w:val="006C21BB"/>
    <w:rsid w:val="006D2876"/>
    <w:rsid w:val="00783E9F"/>
    <w:rsid w:val="007E3C87"/>
    <w:rsid w:val="007F2A9B"/>
    <w:rsid w:val="00834C97"/>
    <w:rsid w:val="00941AAD"/>
    <w:rsid w:val="009852A0"/>
    <w:rsid w:val="009A08CB"/>
    <w:rsid w:val="009C08A0"/>
    <w:rsid w:val="009D5E80"/>
    <w:rsid w:val="009F47BF"/>
    <w:rsid w:val="00A47387"/>
    <w:rsid w:val="00A54803"/>
    <w:rsid w:val="00AE610C"/>
    <w:rsid w:val="00C3781E"/>
    <w:rsid w:val="00CC4C32"/>
    <w:rsid w:val="00CD22F7"/>
    <w:rsid w:val="00CF6FD1"/>
    <w:rsid w:val="00D444FD"/>
    <w:rsid w:val="00D44DA8"/>
    <w:rsid w:val="00DC55E8"/>
    <w:rsid w:val="00E21CA9"/>
    <w:rsid w:val="00E51F9A"/>
    <w:rsid w:val="00E8150A"/>
    <w:rsid w:val="00EA0D51"/>
    <w:rsid w:val="00EC0BEF"/>
    <w:rsid w:val="00ED3390"/>
    <w:rsid w:val="00F47D57"/>
    <w:rsid w:val="00F64108"/>
    <w:rsid w:val="00FB7AA4"/>
    <w:rsid w:val="010961DC"/>
    <w:rsid w:val="01453016"/>
    <w:rsid w:val="01EB6F88"/>
    <w:rsid w:val="02015C82"/>
    <w:rsid w:val="02B1326A"/>
    <w:rsid w:val="02EC7C14"/>
    <w:rsid w:val="03C45BE3"/>
    <w:rsid w:val="03F07554"/>
    <w:rsid w:val="047C54A8"/>
    <w:rsid w:val="04A94F4D"/>
    <w:rsid w:val="04D3590A"/>
    <w:rsid w:val="05427709"/>
    <w:rsid w:val="057F33E1"/>
    <w:rsid w:val="059B7F4C"/>
    <w:rsid w:val="06B8500E"/>
    <w:rsid w:val="081F3333"/>
    <w:rsid w:val="082F3592"/>
    <w:rsid w:val="087D02D4"/>
    <w:rsid w:val="088C3815"/>
    <w:rsid w:val="08A35880"/>
    <w:rsid w:val="08F56D22"/>
    <w:rsid w:val="08FD52C1"/>
    <w:rsid w:val="090833A7"/>
    <w:rsid w:val="09F67F36"/>
    <w:rsid w:val="0ABF5133"/>
    <w:rsid w:val="0B8D7FD3"/>
    <w:rsid w:val="0BD30974"/>
    <w:rsid w:val="0C8D2934"/>
    <w:rsid w:val="0CE964F5"/>
    <w:rsid w:val="0D1E32A0"/>
    <w:rsid w:val="0DA702D4"/>
    <w:rsid w:val="0DB13287"/>
    <w:rsid w:val="0E4971C2"/>
    <w:rsid w:val="0EB94739"/>
    <w:rsid w:val="0ED53250"/>
    <w:rsid w:val="0F4A10C7"/>
    <w:rsid w:val="10BB2E1A"/>
    <w:rsid w:val="10F55333"/>
    <w:rsid w:val="11AF049F"/>
    <w:rsid w:val="12506E11"/>
    <w:rsid w:val="12573291"/>
    <w:rsid w:val="134E7C03"/>
    <w:rsid w:val="13740426"/>
    <w:rsid w:val="13F24E9F"/>
    <w:rsid w:val="140D0CE8"/>
    <w:rsid w:val="14833F0A"/>
    <w:rsid w:val="14BB07D7"/>
    <w:rsid w:val="156A4C47"/>
    <w:rsid w:val="1623296E"/>
    <w:rsid w:val="162601FA"/>
    <w:rsid w:val="16C46232"/>
    <w:rsid w:val="17B561C4"/>
    <w:rsid w:val="17CB1614"/>
    <w:rsid w:val="17D20CAE"/>
    <w:rsid w:val="18CC1314"/>
    <w:rsid w:val="19086792"/>
    <w:rsid w:val="19BC7F18"/>
    <w:rsid w:val="1B0A1726"/>
    <w:rsid w:val="1B442D4F"/>
    <w:rsid w:val="1B977655"/>
    <w:rsid w:val="1C076608"/>
    <w:rsid w:val="1D293D92"/>
    <w:rsid w:val="1D6E06EC"/>
    <w:rsid w:val="1D922E87"/>
    <w:rsid w:val="1D9451B5"/>
    <w:rsid w:val="1DB602F1"/>
    <w:rsid w:val="1DB654E7"/>
    <w:rsid w:val="1E974A1A"/>
    <w:rsid w:val="1EDE4DD7"/>
    <w:rsid w:val="1FBF5575"/>
    <w:rsid w:val="1FEF7275"/>
    <w:rsid w:val="20310159"/>
    <w:rsid w:val="20A02F86"/>
    <w:rsid w:val="20C507AA"/>
    <w:rsid w:val="20EC1923"/>
    <w:rsid w:val="20F179D0"/>
    <w:rsid w:val="217C48C3"/>
    <w:rsid w:val="21D75217"/>
    <w:rsid w:val="231850AF"/>
    <w:rsid w:val="23464B7D"/>
    <w:rsid w:val="237F3793"/>
    <w:rsid w:val="23B409B6"/>
    <w:rsid w:val="23B94227"/>
    <w:rsid w:val="241E67A8"/>
    <w:rsid w:val="247D37DD"/>
    <w:rsid w:val="24BF4A8B"/>
    <w:rsid w:val="24E45E19"/>
    <w:rsid w:val="24F46796"/>
    <w:rsid w:val="25250EB2"/>
    <w:rsid w:val="26127F7F"/>
    <w:rsid w:val="2707189D"/>
    <w:rsid w:val="2936122A"/>
    <w:rsid w:val="2A401021"/>
    <w:rsid w:val="2AC32878"/>
    <w:rsid w:val="2AF3638E"/>
    <w:rsid w:val="2C875AE2"/>
    <w:rsid w:val="2D2B4A29"/>
    <w:rsid w:val="2D4078B1"/>
    <w:rsid w:val="2D52706C"/>
    <w:rsid w:val="2D7D7861"/>
    <w:rsid w:val="2DE62BE0"/>
    <w:rsid w:val="2DF36F85"/>
    <w:rsid w:val="2E4C5D93"/>
    <w:rsid w:val="2FCF7EA6"/>
    <w:rsid w:val="3071591F"/>
    <w:rsid w:val="30A419F7"/>
    <w:rsid w:val="30B1700C"/>
    <w:rsid w:val="314F167D"/>
    <w:rsid w:val="31607308"/>
    <w:rsid w:val="31F72125"/>
    <w:rsid w:val="321C563E"/>
    <w:rsid w:val="3240775C"/>
    <w:rsid w:val="324F7FD4"/>
    <w:rsid w:val="32AC16D5"/>
    <w:rsid w:val="3404210F"/>
    <w:rsid w:val="36E565D0"/>
    <w:rsid w:val="36EE66A7"/>
    <w:rsid w:val="3762250D"/>
    <w:rsid w:val="376A0516"/>
    <w:rsid w:val="385A1C97"/>
    <w:rsid w:val="389C46FF"/>
    <w:rsid w:val="38B528B6"/>
    <w:rsid w:val="39751C3A"/>
    <w:rsid w:val="39927EB3"/>
    <w:rsid w:val="39CD7A58"/>
    <w:rsid w:val="3A055CC4"/>
    <w:rsid w:val="3A792925"/>
    <w:rsid w:val="3AD11CD1"/>
    <w:rsid w:val="3AF026E9"/>
    <w:rsid w:val="3BA0483D"/>
    <w:rsid w:val="3C3B1A82"/>
    <w:rsid w:val="3C600913"/>
    <w:rsid w:val="3C676DBF"/>
    <w:rsid w:val="3C9F7913"/>
    <w:rsid w:val="3CCF3FB6"/>
    <w:rsid w:val="3CF34C7D"/>
    <w:rsid w:val="3D5D1D84"/>
    <w:rsid w:val="3DDD0541"/>
    <w:rsid w:val="3FC26AAC"/>
    <w:rsid w:val="3FD926D9"/>
    <w:rsid w:val="3FF02F12"/>
    <w:rsid w:val="41AE20BE"/>
    <w:rsid w:val="4294673F"/>
    <w:rsid w:val="42C10446"/>
    <w:rsid w:val="43031BEF"/>
    <w:rsid w:val="431C78CD"/>
    <w:rsid w:val="43A96B81"/>
    <w:rsid w:val="44996685"/>
    <w:rsid w:val="44B06451"/>
    <w:rsid w:val="44EA63E7"/>
    <w:rsid w:val="451D6E1E"/>
    <w:rsid w:val="45444113"/>
    <w:rsid w:val="46FF2F03"/>
    <w:rsid w:val="472E4B63"/>
    <w:rsid w:val="47B23BDE"/>
    <w:rsid w:val="47BC5D79"/>
    <w:rsid w:val="47E039B1"/>
    <w:rsid w:val="49A80B50"/>
    <w:rsid w:val="4A0D0A8F"/>
    <w:rsid w:val="4A513629"/>
    <w:rsid w:val="4B502F8B"/>
    <w:rsid w:val="4B757F16"/>
    <w:rsid w:val="4BE02D57"/>
    <w:rsid w:val="4BEA6570"/>
    <w:rsid w:val="4BEF0B41"/>
    <w:rsid w:val="4C25052E"/>
    <w:rsid w:val="4C4D4116"/>
    <w:rsid w:val="4C533207"/>
    <w:rsid w:val="4CEE582C"/>
    <w:rsid w:val="4D3E590F"/>
    <w:rsid w:val="4D55366A"/>
    <w:rsid w:val="4D9E7A7C"/>
    <w:rsid w:val="4DC65D2A"/>
    <w:rsid w:val="4E5A1ED1"/>
    <w:rsid w:val="4E732A21"/>
    <w:rsid w:val="4EA92B24"/>
    <w:rsid w:val="4F1F1C38"/>
    <w:rsid w:val="4F4F0525"/>
    <w:rsid w:val="4F6E5F47"/>
    <w:rsid w:val="501457F8"/>
    <w:rsid w:val="50520A6C"/>
    <w:rsid w:val="50874856"/>
    <w:rsid w:val="50D55AF2"/>
    <w:rsid w:val="51422BA1"/>
    <w:rsid w:val="526B1C0A"/>
    <w:rsid w:val="52937629"/>
    <w:rsid w:val="53017DDC"/>
    <w:rsid w:val="5346188A"/>
    <w:rsid w:val="54557DA2"/>
    <w:rsid w:val="55EC7643"/>
    <w:rsid w:val="5811211F"/>
    <w:rsid w:val="585F6C5E"/>
    <w:rsid w:val="58CC7063"/>
    <w:rsid w:val="58EC60D0"/>
    <w:rsid w:val="5A0A79AA"/>
    <w:rsid w:val="5ABB235D"/>
    <w:rsid w:val="5AFF28DF"/>
    <w:rsid w:val="5BCC4DFF"/>
    <w:rsid w:val="5BCE2126"/>
    <w:rsid w:val="5BD24297"/>
    <w:rsid w:val="5C2A679B"/>
    <w:rsid w:val="5C3A7D2B"/>
    <w:rsid w:val="5D3C565F"/>
    <w:rsid w:val="5D4D1EBF"/>
    <w:rsid w:val="5D8662D5"/>
    <w:rsid w:val="5D961831"/>
    <w:rsid w:val="5E0C10DA"/>
    <w:rsid w:val="5E4207CF"/>
    <w:rsid w:val="5ECA35A7"/>
    <w:rsid w:val="5F335371"/>
    <w:rsid w:val="5FA10F8B"/>
    <w:rsid w:val="5FB64700"/>
    <w:rsid w:val="6075389C"/>
    <w:rsid w:val="60EA6BB3"/>
    <w:rsid w:val="622B5B66"/>
    <w:rsid w:val="624A623F"/>
    <w:rsid w:val="628E2F58"/>
    <w:rsid w:val="633B184D"/>
    <w:rsid w:val="64515EF2"/>
    <w:rsid w:val="64934909"/>
    <w:rsid w:val="64EB62E8"/>
    <w:rsid w:val="66010543"/>
    <w:rsid w:val="6683048D"/>
    <w:rsid w:val="66A17AC3"/>
    <w:rsid w:val="66F66498"/>
    <w:rsid w:val="67C731CF"/>
    <w:rsid w:val="67CD632C"/>
    <w:rsid w:val="67DC085E"/>
    <w:rsid w:val="688C03DA"/>
    <w:rsid w:val="69865986"/>
    <w:rsid w:val="69C51D1A"/>
    <w:rsid w:val="6A552D33"/>
    <w:rsid w:val="6B516E1A"/>
    <w:rsid w:val="6B9C1690"/>
    <w:rsid w:val="6C956DE1"/>
    <w:rsid w:val="6D145678"/>
    <w:rsid w:val="6D334CE9"/>
    <w:rsid w:val="6DA902AB"/>
    <w:rsid w:val="6DC12123"/>
    <w:rsid w:val="6DDB1560"/>
    <w:rsid w:val="6DDE6096"/>
    <w:rsid w:val="6E33296B"/>
    <w:rsid w:val="6E7D57A2"/>
    <w:rsid w:val="6F1F6C14"/>
    <w:rsid w:val="6F5442C8"/>
    <w:rsid w:val="6F5D3C8F"/>
    <w:rsid w:val="70763A2A"/>
    <w:rsid w:val="7118364F"/>
    <w:rsid w:val="718B41F8"/>
    <w:rsid w:val="71A57362"/>
    <w:rsid w:val="71B90BDF"/>
    <w:rsid w:val="731C5420"/>
    <w:rsid w:val="74166531"/>
    <w:rsid w:val="74454D7F"/>
    <w:rsid w:val="74A54B02"/>
    <w:rsid w:val="77F12C75"/>
    <w:rsid w:val="77FD0BD7"/>
    <w:rsid w:val="780A5372"/>
    <w:rsid w:val="78DC40C7"/>
    <w:rsid w:val="78F85C09"/>
    <w:rsid w:val="796A14B7"/>
    <w:rsid w:val="79FE29DE"/>
    <w:rsid w:val="7C392133"/>
    <w:rsid w:val="7D481B8A"/>
    <w:rsid w:val="7EE822DB"/>
    <w:rsid w:val="7EFF51C6"/>
    <w:rsid w:val="7FC3728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nhideWhenUsed="0" w:uiPriority="99" w:name="toc 2"/>
    <w:lsdException w:uiPriority="39" w:name="toc 3" w:locked="1"/>
    <w:lsdException w:uiPriority="39" w:name="toc 4" w:locked="1"/>
    <w:lsdException w:uiPriority="39" w:name="toc 5" w:locked="1"/>
    <w:lsdException w:qFormat="1" w:unhideWhenUsed="0" w:uiPriority="99" w:name="toc 6"/>
    <w:lsdException w:uiPriority="39" w:name="toc 7" w:locked="1"/>
    <w:lsdException w:uiPriority="39" w:name="toc 8" w:locked="1"/>
    <w:lsdException w:uiPriority="39" w:name="toc 9" w:locked="1"/>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0" w:semiHidden="0"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qFormat="1" w:unhideWhenUsed="0" w:uiPriority="99" w:semiHidden="0" w:name="Block Text"/>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4"/>
    <w:next w:val="1"/>
    <w:link w:val="33"/>
    <w:qFormat/>
    <w:uiPriority w:val="99"/>
    <w:pPr>
      <w:spacing w:before="340" w:after="330" w:line="578" w:lineRule="auto"/>
      <w:outlineLvl w:val="0"/>
    </w:pPr>
    <w:rPr>
      <w:kern w:val="44"/>
      <w:sz w:val="44"/>
      <w:szCs w:val="44"/>
    </w:rPr>
  </w:style>
  <w:style w:type="paragraph" w:styleId="4">
    <w:name w:val="heading 2"/>
    <w:basedOn w:val="1"/>
    <w:next w:val="1"/>
    <w:link w:val="34"/>
    <w:qFormat/>
    <w:uiPriority w:val="99"/>
    <w:pPr>
      <w:keepNext/>
      <w:keepLines/>
      <w:spacing w:before="260" w:after="260" w:line="416" w:lineRule="auto"/>
      <w:outlineLvl w:val="1"/>
    </w:pPr>
    <w:rPr>
      <w:rFonts w:ascii="Calibri Light" w:hAnsi="Calibri Light" w:cs="Calibri Light"/>
      <w:b/>
      <w:bCs/>
      <w:sz w:val="32"/>
      <w:szCs w:val="32"/>
    </w:rPr>
  </w:style>
  <w:style w:type="paragraph" w:styleId="5">
    <w:name w:val="heading 3"/>
    <w:basedOn w:val="1"/>
    <w:next w:val="1"/>
    <w:link w:val="35"/>
    <w:qFormat/>
    <w:uiPriority w:val="99"/>
    <w:pPr>
      <w:keepNext/>
      <w:keepLines/>
      <w:spacing w:before="260" w:after="260" w:line="416" w:lineRule="auto"/>
      <w:outlineLvl w:val="2"/>
    </w:pPr>
    <w:rPr>
      <w:b/>
      <w:bCs/>
      <w:sz w:val="32"/>
      <w:szCs w:val="32"/>
    </w:rPr>
  </w:style>
  <w:style w:type="paragraph" w:styleId="2">
    <w:name w:val="heading 4"/>
    <w:basedOn w:val="1"/>
    <w:next w:val="1"/>
    <w:qFormat/>
    <w:locked/>
    <w:uiPriority w:val="0"/>
    <w:pPr>
      <w:keepNext/>
      <w:keepLines/>
      <w:numPr>
        <w:ilvl w:val="3"/>
        <w:numId w:val="1"/>
      </w:numPr>
      <w:spacing w:before="280" w:after="290" w:line="376" w:lineRule="auto"/>
      <w:outlineLvl w:val="3"/>
    </w:pPr>
    <w:rPr>
      <w:rFonts w:ascii="Arial" w:hAnsi="Arial" w:eastAsia="黑体"/>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99"/>
    <w:pPr>
      <w:numPr>
        <w:ilvl w:val="0"/>
        <w:numId w:val="2"/>
      </w:numPr>
    </w:pPr>
  </w:style>
  <w:style w:type="paragraph" w:styleId="7">
    <w:name w:val="Normal Indent"/>
    <w:basedOn w:val="1"/>
    <w:next w:val="8"/>
    <w:qFormat/>
    <w:uiPriority w:val="99"/>
    <w:pPr>
      <w:ind w:firstLine="420"/>
    </w:pPr>
  </w:style>
  <w:style w:type="paragraph" w:styleId="8">
    <w:name w:val="toc 2"/>
    <w:basedOn w:val="1"/>
    <w:next w:val="1"/>
    <w:semiHidden/>
    <w:qFormat/>
    <w:uiPriority w:val="99"/>
    <w:pPr>
      <w:ind w:left="420" w:leftChars="200"/>
    </w:pPr>
  </w:style>
  <w:style w:type="paragraph" w:styleId="9">
    <w:name w:val="annotation text"/>
    <w:basedOn w:val="1"/>
    <w:link w:val="36"/>
    <w:semiHidden/>
    <w:qFormat/>
    <w:uiPriority w:val="99"/>
    <w:pPr>
      <w:jc w:val="left"/>
    </w:pPr>
  </w:style>
  <w:style w:type="paragraph" w:styleId="10">
    <w:name w:val="Body Text"/>
    <w:basedOn w:val="1"/>
    <w:next w:val="11"/>
    <w:link w:val="37"/>
    <w:qFormat/>
    <w:uiPriority w:val="99"/>
    <w:pPr>
      <w:spacing w:line="360" w:lineRule="exact"/>
    </w:pPr>
    <w:rPr>
      <w:sz w:val="24"/>
      <w:szCs w:val="24"/>
    </w:rPr>
  </w:style>
  <w:style w:type="paragraph" w:styleId="11">
    <w:name w:val="Body Text First Indent"/>
    <w:basedOn w:val="10"/>
    <w:next w:val="12"/>
    <w:link w:val="38"/>
    <w:qFormat/>
    <w:uiPriority w:val="99"/>
    <w:pPr>
      <w:ind w:firstLine="420"/>
    </w:pPr>
    <w:rPr>
      <w:sz w:val="21"/>
      <w:szCs w:val="21"/>
    </w:rPr>
  </w:style>
  <w:style w:type="paragraph" w:styleId="12">
    <w:name w:val="toc 6"/>
    <w:basedOn w:val="1"/>
    <w:next w:val="1"/>
    <w:semiHidden/>
    <w:qFormat/>
    <w:uiPriority w:val="99"/>
    <w:pPr>
      <w:widowControl/>
      <w:ind w:left="1000"/>
      <w:jc w:val="left"/>
    </w:pPr>
    <w:rPr>
      <w:kern w:val="0"/>
      <w:sz w:val="18"/>
      <w:szCs w:val="18"/>
    </w:rPr>
  </w:style>
  <w:style w:type="paragraph" w:styleId="13">
    <w:name w:val="Body Text Indent"/>
    <w:basedOn w:val="1"/>
    <w:next w:val="1"/>
    <w:link w:val="39"/>
    <w:qFormat/>
    <w:uiPriority w:val="99"/>
    <w:pPr>
      <w:spacing w:after="120"/>
      <w:ind w:left="420" w:leftChars="200"/>
    </w:pPr>
  </w:style>
  <w:style w:type="paragraph" w:styleId="14">
    <w:name w:val="Block Text"/>
    <w:basedOn w:val="1"/>
    <w:qFormat/>
    <w:uiPriority w:val="99"/>
    <w:pPr>
      <w:adjustRightInd w:val="0"/>
      <w:spacing w:line="300" w:lineRule="auto"/>
      <w:ind w:left="958" w:right="-120" w:rightChars="-120"/>
      <w:jc w:val="left"/>
    </w:pPr>
    <w:rPr>
      <w:rFonts w:ascii="宋体" w:hAnsi="宋体" w:cs="宋体"/>
      <w:sz w:val="28"/>
      <w:szCs w:val="28"/>
    </w:rPr>
  </w:style>
  <w:style w:type="paragraph" w:styleId="15">
    <w:name w:val="Plain Text"/>
    <w:basedOn w:val="1"/>
    <w:next w:val="8"/>
    <w:link w:val="40"/>
    <w:qFormat/>
    <w:uiPriority w:val="99"/>
    <w:rPr>
      <w:rFonts w:ascii="宋体" w:hAnsi="Courier New" w:cs="宋体"/>
    </w:rPr>
  </w:style>
  <w:style w:type="paragraph" w:styleId="16">
    <w:name w:val="Date"/>
    <w:basedOn w:val="1"/>
    <w:next w:val="1"/>
    <w:link w:val="41"/>
    <w:qFormat/>
    <w:uiPriority w:val="99"/>
    <w:pPr>
      <w:ind w:left="2500" w:leftChars="2500"/>
    </w:pPr>
    <w:rPr>
      <w:rFonts w:ascii="Calibri" w:hAnsi="Calibri" w:eastAsia="楷体_GB2312" w:cs="Calibri"/>
      <w:sz w:val="32"/>
      <w:szCs w:val="32"/>
    </w:rPr>
  </w:style>
  <w:style w:type="paragraph" w:styleId="17">
    <w:name w:val="Balloon Text"/>
    <w:basedOn w:val="1"/>
    <w:link w:val="42"/>
    <w:semiHidden/>
    <w:qFormat/>
    <w:uiPriority w:val="99"/>
    <w:rPr>
      <w:sz w:val="18"/>
      <w:szCs w:val="18"/>
    </w:rPr>
  </w:style>
  <w:style w:type="paragraph" w:styleId="18">
    <w:name w:val="footer"/>
    <w:basedOn w:val="1"/>
    <w:link w:val="43"/>
    <w:qFormat/>
    <w:uiPriority w:val="99"/>
    <w:pPr>
      <w:tabs>
        <w:tab w:val="center" w:pos="4153"/>
        <w:tab w:val="right" w:pos="8306"/>
      </w:tabs>
      <w:snapToGrid w:val="0"/>
      <w:jc w:val="left"/>
    </w:pPr>
    <w:rPr>
      <w:sz w:val="18"/>
      <w:szCs w:val="18"/>
    </w:rPr>
  </w:style>
  <w:style w:type="paragraph" w:styleId="19">
    <w:name w:val="header"/>
    <w:basedOn w:val="1"/>
    <w:link w:val="4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20">
    <w:name w:val="List"/>
    <w:basedOn w:val="1"/>
    <w:qFormat/>
    <w:locked/>
    <w:uiPriority w:val="0"/>
    <w:pPr>
      <w:ind w:left="200" w:hanging="200" w:hangingChars="200"/>
    </w:pPr>
  </w:style>
  <w:style w:type="paragraph" w:styleId="21">
    <w:name w:val="footnote text"/>
    <w:basedOn w:val="1"/>
    <w:link w:val="45"/>
    <w:semiHidden/>
    <w:qFormat/>
    <w:uiPriority w:val="99"/>
    <w:pPr>
      <w:snapToGrid w:val="0"/>
      <w:jc w:val="left"/>
    </w:pPr>
    <w:rPr>
      <w:sz w:val="18"/>
      <w:szCs w:val="18"/>
    </w:rPr>
  </w:style>
  <w:style w:type="paragraph" w:styleId="2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3">
    <w:name w:val="Title"/>
    <w:basedOn w:val="1"/>
    <w:next w:val="1"/>
    <w:link w:val="46"/>
    <w:qFormat/>
    <w:uiPriority w:val="99"/>
    <w:pPr>
      <w:widowControl/>
      <w:overflowPunct w:val="0"/>
      <w:autoSpaceDE w:val="0"/>
      <w:autoSpaceDN w:val="0"/>
      <w:adjustRightInd w:val="0"/>
      <w:jc w:val="center"/>
      <w:textAlignment w:val="baseline"/>
    </w:pPr>
    <w:rPr>
      <w:b/>
      <w:bCs/>
      <w:kern w:val="0"/>
      <w:sz w:val="24"/>
      <w:szCs w:val="24"/>
    </w:rPr>
  </w:style>
  <w:style w:type="paragraph" w:styleId="24">
    <w:name w:val="annotation subject"/>
    <w:basedOn w:val="9"/>
    <w:next w:val="9"/>
    <w:link w:val="47"/>
    <w:semiHidden/>
    <w:qFormat/>
    <w:uiPriority w:val="99"/>
    <w:rPr>
      <w:b/>
      <w:bCs/>
    </w:rPr>
  </w:style>
  <w:style w:type="paragraph" w:styleId="25">
    <w:name w:val="Body Text First Indent 2"/>
    <w:basedOn w:val="13"/>
    <w:link w:val="48"/>
    <w:qFormat/>
    <w:uiPriority w:val="99"/>
    <w:pPr>
      <w:ind w:firstLine="420"/>
    </w:pPr>
  </w:style>
  <w:style w:type="table" w:styleId="27">
    <w:name w:val="Table Grid"/>
    <w:basedOn w:val="2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99"/>
    <w:rPr>
      <w:rFonts w:ascii="Times New Roman" w:hAnsi="Times New Roman" w:eastAsia="宋体" w:cs="Times New Roman"/>
      <w:b/>
      <w:bCs/>
    </w:rPr>
  </w:style>
  <w:style w:type="character" w:styleId="30">
    <w:name w:val="Hyperlink"/>
    <w:basedOn w:val="28"/>
    <w:qFormat/>
    <w:uiPriority w:val="99"/>
    <w:rPr>
      <w:rFonts w:ascii="Times New Roman" w:hAnsi="Times New Roman" w:eastAsia="宋体" w:cs="Times New Roman"/>
      <w:color w:val="0000FF"/>
      <w:u w:val="single"/>
    </w:rPr>
  </w:style>
  <w:style w:type="character" w:styleId="31">
    <w:name w:val="annotation reference"/>
    <w:basedOn w:val="28"/>
    <w:semiHidden/>
    <w:qFormat/>
    <w:uiPriority w:val="99"/>
    <w:rPr>
      <w:rFonts w:ascii="Times New Roman" w:hAnsi="Times New Roman" w:eastAsia="宋体" w:cs="Times New Roman"/>
      <w:sz w:val="21"/>
      <w:szCs w:val="21"/>
    </w:rPr>
  </w:style>
  <w:style w:type="character" w:styleId="32">
    <w:name w:val="footnote reference"/>
    <w:basedOn w:val="28"/>
    <w:semiHidden/>
    <w:qFormat/>
    <w:uiPriority w:val="99"/>
    <w:rPr>
      <w:vertAlign w:val="superscript"/>
    </w:rPr>
  </w:style>
  <w:style w:type="character" w:customStyle="1" w:styleId="33">
    <w:name w:val="标题 1 Char"/>
    <w:basedOn w:val="28"/>
    <w:link w:val="3"/>
    <w:qFormat/>
    <w:locked/>
    <w:uiPriority w:val="99"/>
    <w:rPr>
      <w:rFonts w:ascii="Times New Roman" w:hAnsi="Times New Roman" w:eastAsia="宋体" w:cs="Times New Roman"/>
      <w:b/>
      <w:bCs/>
      <w:kern w:val="44"/>
      <w:sz w:val="44"/>
      <w:szCs w:val="44"/>
    </w:rPr>
  </w:style>
  <w:style w:type="character" w:customStyle="1" w:styleId="34">
    <w:name w:val="标题 2 Char"/>
    <w:basedOn w:val="28"/>
    <w:link w:val="4"/>
    <w:qFormat/>
    <w:locked/>
    <w:uiPriority w:val="99"/>
    <w:rPr>
      <w:rFonts w:ascii="Cambria" w:hAnsi="Cambria" w:eastAsia="宋体" w:cs="Cambria"/>
      <w:b/>
      <w:bCs/>
      <w:sz w:val="32"/>
      <w:szCs w:val="32"/>
    </w:rPr>
  </w:style>
  <w:style w:type="character" w:customStyle="1" w:styleId="35">
    <w:name w:val="标题 3 Char"/>
    <w:basedOn w:val="28"/>
    <w:link w:val="5"/>
    <w:qFormat/>
    <w:locked/>
    <w:uiPriority w:val="99"/>
    <w:rPr>
      <w:rFonts w:ascii="Times New Roman" w:hAnsi="Times New Roman" w:eastAsia="宋体" w:cs="Times New Roman"/>
      <w:b/>
      <w:bCs/>
      <w:sz w:val="32"/>
      <w:szCs w:val="32"/>
    </w:rPr>
  </w:style>
  <w:style w:type="character" w:customStyle="1" w:styleId="36">
    <w:name w:val="批注文字 Char"/>
    <w:basedOn w:val="28"/>
    <w:link w:val="9"/>
    <w:qFormat/>
    <w:locked/>
    <w:uiPriority w:val="99"/>
    <w:rPr>
      <w:rFonts w:ascii="Times New Roman" w:hAnsi="Times New Roman" w:eastAsia="宋体" w:cs="Times New Roman"/>
      <w:kern w:val="2"/>
      <w:sz w:val="24"/>
      <w:szCs w:val="24"/>
    </w:rPr>
  </w:style>
  <w:style w:type="character" w:customStyle="1" w:styleId="37">
    <w:name w:val="正文文本 Char"/>
    <w:basedOn w:val="28"/>
    <w:link w:val="10"/>
    <w:qFormat/>
    <w:locked/>
    <w:uiPriority w:val="99"/>
    <w:rPr>
      <w:rFonts w:ascii="Times New Roman" w:hAnsi="Times New Roman" w:eastAsia="宋体" w:cs="Times New Roman"/>
      <w:sz w:val="24"/>
      <w:szCs w:val="24"/>
    </w:rPr>
  </w:style>
  <w:style w:type="character" w:customStyle="1" w:styleId="38">
    <w:name w:val="正文首行缩进 Char"/>
    <w:basedOn w:val="37"/>
    <w:link w:val="11"/>
    <w:semiHidden/>
    <w:qFormat/>
    <w:locked/>
    <w:uiPriority w:val="99"/>
    <w:rPr>
      <w:sz w:val="21"/>
      <w:szCs w:val="21"/>
    </w:rPr>
  </w:style>
  <w:style w:type="character" w:customStyle="1" w:styleId="39">
    <w:name w:val="正文文本缩进 Char"/>
    <w:basedOn w:val="28"/>
    <w:link w:val="13"/>
    <w:qFormat/>
    <w:locked/>
    <w:uiPriority w:val="99"/>
    <w:rPr>
      <w:rFonts w:ascii="Times New Roman" w:hAnsi="Times New Roman" w:eastAsia="宋体" w:cs="Times New Roman"/>
      <w:kern w:val="2"/>
      <w:sz w:val="24"/>
      <w:szCs w:val="24"/>
    </w:rPr>
  </w:style>
  <w:style w:type="character" w:customStyle="1" w:styleId="40">
    <w:name w:val="纯文本 Char"/>
    <w:basedOn w:val="28"/>
    <w:link w:val="15"/>
    <w:qFormat/>
    <w:locked/>
    <w:uiPriority w:val="99"/>
    <w:rPr>
      <w:rFonts w:ascii="宋体" w:hAnsi="Courier New" w:eastAsia="宋体" w:cs="宋体"/>
      <w:sz w:val="21"/>
      <w:szCs w:val="21"/>
    </w:rPr>
  </w:style>
  <w:style w:type="character" w:customStyle="1" w:styleId="41">
    <w:name w:val="日期 Char"/>
    <w:basedOn w:val="28"/>
    <w:link w:val="16"/>
    <w:qFormat/>
    <w:locked/>
    <w:uiPriority w:val="99"/>
    <w:rPr>
      <w:rFonts w:ascii="Times New Roman" w:hAnsi="Times New Roman" w:eastAsia="宋体" w:cs="Times New Roman"/>
      <w:sz w:val="24"/>
      <w:szCs w:val="24"/>
    </w:rPr>
  </w:style>
  <w:style w:type="character" w:customStyle="1" w:styleId="42">
    <w:name w:val="批注框文本 Char"/>
    <w:basedOn w:val="28"/>
    <w:link w:val="17"/>
    <w:qFormat/>
    <w:locked/>
    <w:uiPriority w:val="99"/>
    <w:rPr>
      <w:rFonts w:ascii="Times New Roman" w:hAnsi="Times New Roman" w:eastAsia="宋体" w:cs="Times New Roman"/>
      <w:kern w:val="2"/>
      <w:sz w:val="18"/>
      <w:szCs w:val="18"/>
    </w:rPr>
  </w:style>
  <w:style w:type="character" w:customStyle="1" w:styleId="43">
    <w:name w:val="页脚 Char"/>
    <w:basedOn w:val="28"/>
    <w:link w:val="18"/>
    <w:qFormat/>
    <w:locked/>
    <w:uiPriority w:val="99"/>
    <w:rPr>
      <w:rFonts w:ascii="Times New Roman" w:hAnsi="Times New Roman" w:eastAsia="宋体" w:cs="Times New Roman"/>
      <w:sz w:val="18"/>
      <w:szCs w:val="18"/>
    </w:rPr>
  </w:style>
  <w:style w:type="character" w:customStyle="1" w:styleId="44">
    <w:name w:val="页眉 Char"/>
    <w:basedOn w:val="28"/>
    <w:link w:val="19"/>
    <w:qFormat/>
    <w:locked/>
    <w:uiPriority w:val="99"/>
    <w:rPr>
      <w:rFonts w:ascii="Times New Roman" w:hAnsi="Times New Roman" w:eastAsia="宋体" w:cs="Times New Roman"/>
      <w:sz w:val="18"/>
      <w:szCs w:val="18"/>
    </w:rPr>
  </w:style>
  <w:style w:type="character" w:customStyle="1" w:styleId="45">
    <w:name w:val="脚注文本 Char"/>
    <w:basedOn w:val="28"/>
    <w:link w:val="21"/>
    <w:semiHidden/>
    <w:qFormat/>
    <w:locked/>
    <w:uiPriority w:val="99"/>
    <w:rPr>
      <w:sz w:val="18"/>
      <w:szCs w:val="18"/>
    </w:rPr>
  </w:style>
  <w:style w:type="character" w:customStyle="1" w:styleId="46">
    <w:name w:val="标题 Char"/>
    <w:basedOn w:val="28"/>
    <w:link w:val="23"/>
    <w:qFormat/>
    <w:locked/>
    <w:uiPriority w:val="99"/>
    <w:rPr>
      <w:rFonts w:ascii="Cambria" w:hAnsi="Cambria" w:cs="Cambria"/>
      <w:b/>
      <w:bCs/>
      <w:sz w:val="32"/>
      <w:szCs w:val="32"/>
    </w:rPr>
  </w:style>
  <w:style w:type="character" w:customStyle="1" w:styleId="47">
    <w:name w:val="批注主题 Char"/>
    <w:basedOn w:val="36"/>
    <w:link w:val="24"/>
    <w:qFormat/>
    <w:locked/>
    <w:uiPriority w:val="99"/>
    <w:rPr>
      <w:b/>
      <w:bCs/>
    </w:rPr>
  </w:style>
  <w:style w:type="character" w:customStyle="1" w:styleId="48">
    <w:name w:val="正文首行缩进 2 Char"/>
    <w:basedOn w:val="39"/>
    <w:link w:val="25"/>
    <w:semiHidden/>
    <w:qFormat/>
    <w:locked/>
    <w:uiPriority w:val="99"/>
    <w:rPr>
      <w:sz w:val="21"/>
      <w:szCs w:val="21"/>
    </w:rPr>
  </w:style>
  <w:style w:type="paragraph" w:customStyle="1" w:styleId="49">
    <w:name w:val="BodyText1I2"/>
    <w:basedOn w:val="50"/>
    <w:next w:val="1"/>
    <w:qFormat/>
    <w:uiPriority w:val="99"/>
    <w:pPr>
      <w:tabs>
        <w:tab w:val="left" w:pos="1680"/>
      </w:tabs>
      <w:spacing w:before="0" w:after="120" w:line="360" w:lineRule="auto"/>
      <w:ind w:left="420" w:leftChars="200" w:firstLine="420" w:firstLineChars="200"/>
      <w:textAlignment w:val="auto"/>
    </w:pPr>
    <w:rPr>
      <w:rFonts w:ascii="Calibri" w:hAnsi="Calibri" w:cs="Calibri"/>
      <w:kern w:val="2"/>
      <w:sz w:val="21"/>
      <w:szCs w:val="21"/>
    </w:rPr>
  </w:style>
  <w:style w:type="paragraph" w:customStyle="1" w:styleId="50">
    <w:name w:val="BodyTextIndent"/>
    <w:basedOn w:val="1"/>
    <w:next w:val="1"/>
    <w:qFormat/>
    <w:uiPriority w:val="99"/>
    <w:pPr>
      <w:widowControl/>
      <w:snapToGrid w:val="0"/>
      <w:spacing w:before="120" w:line="400" w:lineRule="atLeast"/>
      <w:ind w:firstLine="570"/>
      <w:textAlignment w:val="bottom"/>
    </w:pPr>
    <w:rPr>
      <w:rFonts w:ascii="宋体" w:cs="宋体"/>
      <w:kern w:val="0"/>
      <w:sz w:val="24"/>
      <w:szCs w:val="24"/>
    </w:rPr>
  </w:style>
  <w:style w:type="paragraph" w:customStyle="1" w:styleId="51">
    <w:name w:val="正文（首行缩进2字符）"/>
    <w:basedOn w:val="1"/>
    <w:qFormat/>
    <w:uiPriority w:val="99"/>
    <w:pPr>
      <w:spacing w:line="360" w:lineRule="auto"/>
      <w:ind w:firstLine="420" w:firstLineChars="200"/>
    </w:pPr>
  </w:style>
  <w:style w:type="paragraph" w:customStyle="1" w:styleId="52">
    <w:name w:val="章正文"/>
    <w:basedOn w:val="1"/>
    <w:qFormat/>
    <w:uiPriority w:val="99"/>
    <w:pPr>
      <w:spacing w:beforeLines="50" w:after="120" w:line="300" w:lineRule="auto"/>
      <w:ind w:firstLine="480"/>
    </w:pPr>
    <w:rPr>
      <w:rFonts w:ascii="Helvetica" w:hAnsi="Helvetica" w:cs="Helvetica"/>
      <w:kern w:val="0"/>
      <w:sz w:val="24"/>
      <w:szCs w:val="24"/>
    </w:rPr>
  </w:style>
  <w:style w:type="character" w:customStyle="1" w:styleId="53">
    <w:name w:val="font01"/>
    <w:qFormat/>
    <w:uiPriority w:val="99"/>
    <w:rPr>
      <w:rFonts w:ascii="宋体" w:hAnsi="宋体" w:eastAsia="宋体" w:cs="宋体"/>
      <w:color w:val="000000"/>
      <w:sz w:val="24"/>
      <w:szCs w:val="24"/>
      <w:u w:val="none"/>
    </w:rPr>
  </w:style>
  <w:style w:type="character" w:customStyle="1" w:styleId="54">
    <w:name w:val="font11"/>
    <w:qFormat/>
    <w:uiPriority w:val="99"/>
    <w:rPr>
      <w:rFonts w:ascii="Times New Roman" w:hAnsi="Times New Roman" w:eastAsia="宋体" w:cs="Times New Roman"/>
      <w:color w:val="000000"/>
      <w:sz w:val="24"/>
      <w:szCs w:val="24"/>
      <w:u w:val="none"/>
    </w:rPr>
  </w:style>
  <w:style w:type="character" w:customStyle="1" w:styleId="55">
    <w:name w:val="font31"/>
    <w:qFormat/>
    <w:uiPriority w:val="99"/>
    <w:rPr>
      <w:rFonts w:ascii="宋体" w:hAnsi="宋体" w:eastAsia="宋体" w:cs="宋体"/>
      <w:color w:val="000000"/>
      <w:sz w:val="24"/>
      <w:szCs w:val="24"/>
      <w:u w:val="none"/>
    </w:rPr>
  </w:style>
  <w:style w:type="paragraph" w:customStyle="1" w:styleId="56">
    <w:name w:val="纯文本_3"/>
    <w:basedOn w:val="57"/>
    <w:qFormat/>
    <w:uiPriority w:val="99"/>
    <w:pPr>
      <w:widowControl/>
      <w:jc w:val="left"/>
    </w:pPr>
    <w:rPr>
      <w:rFonts w:ascii="宋体" w:hAnsi="Courier New" w:cs="宋体"/>
    </w:rPr>
  </w:style>
  <w:style w:type="paragraph" w:customStyle="1" w:styleId="57">
    <w:name w:val="正文_1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8">
    <w:name w:val="正文_17"/>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59">
    <w:name w:val="纯文本_0_1"/>
    <w:basedOn w:val="1"/>
    <w:qFormat/>
    <w:uiPriority w:val="99"/>
    <w:pPr>
      <w:widowControl/>
      <w:jc w:val="left"/>
    </w:pPr>
    <w:rPr>
      <w:rFonts w:ascii="宋体" w:hAnsi="Courier New" w:cs="宋体"/>
    </w:rPr>
  </w:style>
  <w:style w:type="paragraph" w:customStyle="1" w:styleId="60">
    <w:name w:val="zw"/>
    <w:basedOn w:val="1"/>
    <w:qFormat/>
    <w:uiPriority w:val="99"/>
    <w:pPr>
      <w:widowControl/>
      <w:spacing w:before="30"/>
      <w:ind w:left="100" w:right="100"/>
    </w:pPr>
    <w:rPr>
      <w:rFonts w:ascii="方正书宋简体" w:hAnsi="宋体" w:eastAsia="Times New Roman" w:cs="方正书宋简体"/>
      <w:color w:val="000000"/>
      <w:kern w:val="0"/>
    </w:rPr>
  </w:style>
  <w:style w:type="paragraph" w:customStyle="1" w:styleId="61">
    <w:name w:val="表格文字"/>
    <w:basedOn w:val="1"/>
    <w:next w:val="10"/>
    <w:qFormat/>
    <w:uiPriority w:val="99"/>
    <w:pPr>
      <w:adjustRightInd w:val="0"/>
      <w:spacing w:line="420" w:lineRule="atLeast"/>
      <w:jc w:val="left"/>
      <w:textAlignment w:val="baseline"/>
    </w:pPr>
    <w:rPr>
      <w:kern w:val="0"/>
    </w:rPr>
  </w:style>
  <w:style w:type="paragraph" w:customStyle="1" w:styleId="62">
    <w:name w:val="Normal_15"/>
    <w:qFormat/>
    <w:uiPriority w:val="99"/>
    <w:pPr>
      <w:widowControl w:val="0"/>
      <w:jc w:val="both"/>
    </w:pPr>
    <w:rPr>
      <w:rFonts w:ascii="Calibri" w:hAnsi="Calibri" w:eastAsia="宋体" w:cs="Calibri"/>
      <w:kern w:val="2"/>
      <w:sz w:val="21"/>
      <w:szCs w:val="21"/>
      <w:lang w:val="en-US" w:eastAsia="zh-CN" w:bidi="ar-SA"/>
    </w:rPr>
  </w:style>
  <w:style w:type="paragraph" w:customStyle="1" w:styleId="63">
    <w:name w:val="正文_4"/>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4">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5">
    <w:name w:val="无间隔1"/>
    <w:qFormat/>
    <w:uiPriority w:val="99"/>
    <w:pPr>
      <w:adjustRightInd w:val="0"/>
      <w:snapToGrid w:val="0"/>
    </w:pPr>
    <w:rPr>
      <w:rFonts w:ascii="Tahoma" w:hAnsi="Tahoma" w:eastAsia="微软雅黑" w:cs="Tahoma"/>
      <w:sz w:val="22"/>
      <w:szCs w:val="22"/>
      <w:lang w:val="en-US" w:eastAsia="zh-CN" w:bidi="ar-SA"/>
    </w:rPr>
  </w:style>
  <w:style w:type="paragraph" w:customStyle="1" w:styleId="66">
    <w:name w:val="页眉与页脚"/>
    <w:qFormat/>
    <w:uiPriority w:val="99"/>
    <w:pPr>
      <w:tabs>
        <w:tab w:val="right" w:pos="9020"/>
      </w:tabs>
    </w:pPr>
    <w:rPr>
      <w:rFonts w:ascii="Helvetica" w:hAnsi="Helvetica" w:eastAsia="宋体" w:cs="Helvetica"/>
      <w:color w:val="000000"/>
      <w:sz w:val="24"/>
      <w:szCs w:val="24"/>
      <w:lang w:val="en-US" w:eastAsia="zh-CN" w:bidi="ar-SA"/>
    </w:rPr>
  </w:style>
  <w:style w:type="paragraph" w:customStyle="1" w:styleId="67">
    <w:name w:val="无间隔11"/>
    <w:qFormat/>
    <w:uiPriority w:val="99"/>
    <w:pPr>
      <w:adjustRightInd w:val="0"/>
      <w:snapToGrid w:val="0"/>
    </w:pPr>
    <w:rPr>
      <w:rFonts w:ascii="Tahoma" w:hAnsi="Tahoma" w:eastAsia="微软雅黑" w:cs="Tahoma"/>
      <w:sz w:val="22"/>
      <w:szCs w:val="22"/>
      <w:lang w:val="en-US" w:eastAsia="zh-CN" w:bidi="ar-SA"/>
    </w:rPr>
  </w:style>
  <w:style w:type="paragraph" w:customStyle="1" w:styleId="68">
    <w:name w:val="正文_5"/>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9">
    <w:name w:val="正文_3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0">
    <w:name w:val="正文_14"/>
    <w:qFormat/>
    <w:uiPriority w:val="99"/>
    <w:rPr>
      <w:rFonts w:ascii="Times New Roman" w:hAnsi="Times New Roman" w:eastAsia="宋体" w:cs="Times New Roman"/>
      <w:sz w:val="21"/>
      <w:szCs w:val="21"/>
      <w:lang w:val="en-US" w:eastAsia="zh-CN" w:bidi="ar-SA"/>
    </w:rPr>
  </w:style>
  <w:style w:type="paragraph" w:customStyle="1" w:styleId="71">
    <w:name w:val="正文_6"/>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2">
    <w:name w:val="正文_2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73">
    <w:name w:val="列出段落1"/>
    <w:basedOn w:val="1"/>
    <w:qFormat/>
    <w:uiPriority w:val="99"/>
    <w:pPr>
      <w:ind w:firstLine="420" w:firstLineChars="200"/>
    </w:pPr>
    <w:rPr>
      <w:rFonts w:ascii="Calibri" w:hAnsi="Calibri" w:cs="Calibri"/>
      <w:kern w:val="0"/>
    </w:rPr>
  </w:style>
  <w:style w:type="paragraph" w:customStyle="1" w:styleId="74">
    <w:name w:val="正文2"/>
    <w:basedOn w:val="1"/>
    <w:qFormat/>
    <w:uiPriority w:val="99"/>
    <w:pPr>
      <w:spacing w:before="156" w:line="360" w:lineRule="auto"/>
      <w:ind w:firstLine="510" w:firstLineChars="200"/>
    </w:pPr>
    <w:rPr>
      <w:sz w:val="24"/>
      <w:szCs w:val="24"/>
    </w:rPr>
  </w:style>
  <w:style w:type="paragraph" w:customStyle="1" w:styleId="75">
    <w:name w:val="正文 A"/>
    <w:qFormat/>
    <w:uiPriority w:val="99"/>
    <w:pPr>
      <w:widowControl w:val="0"/>
      <w:jc w:val="both"/>
    </w:pPr>
    <w:rPr>
      <w:rFonts w:ascii="Calibri" w:hAnsi="Calibri" w:eastAsia="宋体" w:cs="Calibri"/>
      <w:color w:val="000000"/>
      <w:kern w:val="2"/>
      <w:sz w:val="21"/>
      <w:szCs w:val="21"/>
      <w:lang w:val="en-US" w:eastAsia="zh-CN" w:bidi="ar-SA"/>
    </w:rPr>
  </w:style>
  <w:style w:type="paragraph" w:customStyle="1" w:styleId="76">
    <w:name w:val="列出段落2"/>
    <w:basedOn w:val="1"/>
    <w:qFormat/>
    <w:uiPriority w:val="99"/>
    <w:pPr>
      <w:ind w:firstLine="420" w:firstLineChars="200"/>
    </w:pPr>
    <w:rPr>
      <w:rFonts w:ascii="Calibri" w:hAnsi="Calibri" w:cs="Calibri"/>
    </w:rPr>
  </w:style>
  <w:style w:type="paragraph" w:customStyle="1" w:styleId="77">
    <w:name w:val="正文段"/>
    <w:basedOn w:val="1"/>
    <w:qFormat/>
    <w:uiPriority w:val="99"/>
    <w:pPr>
      <w:widowControl/>
      <w:snapToGrid w:val="0"/>
      <w:spacing w:afterLines="50"/>
      <w:ind w:firstLine="200" w:firstLineChars="200"/>
    </w:pPr>
    <w:rPr>
      <w:kern w:val="0"/>
      <w:sz w:val="24"/>
      <w:szCs w:val="24"/>
    </w:rPr>
  </w:style>
  <w:style w:type="paragraph" w:customStyle="1" w:styleId="78">
    <w:name w:val="p0"/>
    <w:basedOn w:val="1"/>
    <w:qFormat/>
    <w:uiPriority w:val="99"/>
    <w:pPr>
      <w:widowControl/>
    </w:pPr>
    <w:rPr>
      <w:kern w:val="0"/>
    </w:rPr>
  </w:style>
  <w:style w:type="paragraph" w:styleId="79">
    <w:name w:val="List Paragraph"/>
    <w:basedOn w:val="1"/>
    <w:qFormat/>
    <w:uiPriority w:val="99"/>
    <w:pPr>
      <w:ind w:firstLine="420" w:firstLineChars="200"/>
    </w:pPr>
    <w:rPr>
      <w:rFonts w:ascii="Calibri" w:hAnsi="Calibri" w:cs="Calibri"/>
    </w:rPr>
  </w:style>
  <w:style w:type="paragraph" w:customStyle="1" w:styleId="80">
    <w:name w:val="Plain Text1"/>
    <w:basedOn w:val="1"/>
    <w:qFormat/>
    <w:uiPriority w:val="99"/>
    <w:rPr>
      <w:rFonts w:ascii="宋体" w:hAnsi="Courier New" w:cs="宋体"/>
    </w:rPr>
  </w:style>
  <w:style w:type="paragraph" w:customStyle="1" w:styleId="81">
    <w:name w:val="列出段落3"/>
    <w:next w:val="82"/>
    <w:qFormat/>
    <w:uiPriority w:val="99"/>
    <w:pPr>
      <w:widowControl w:val="0"/>
      <w:ind w:firstLine="200" w:firstLineChars="200"/>
      <w:jc w:val="both"/>
    </w:pPr>
    <w:rPr>
      <w:rFonts w:ascii="Times New Roman" w:hAnsi="Times New Roman" w:eastAsia="宋体" w:cs="Times New Roman"/>
      <w:kern w:val="2"/>
      <w:sz w:val="21"/>
      <w:szCs w:val="21"/>
      <w:lang w:val="en-US" w:eastAsia="zh-CN" w:bidi="ar-SA"/>
    </w:rPr>
  </w:style>
  <w:style w:type="paragraph" w:customStyle="1" w:styleId="82">
    <w:name w:val="段"/>
    <w:qFormat/>
    <w:uiPriority w:val="99"/>
    <w:pPr>
      <w:autoSpaceDE w:val="0"/>
      <w:autoSpaceDN w:val="0"/>
      <w:ind w:firstLine="200" w:firstLineChars="200"/>
      <w:jc w:val="both"/>
    </w:pPr>
    <w:rPr>
      <w:rFonts w:ascii="Arial" w:hAnsi="Arial" w:eastAsia="宋体" w:cs="Arial"/>
      <w:kern w:val="2"/>
      <w:sz w:val="21"/>
      <w:szCs w:val="21"/>
      <w:lang w:val="en-US" w:eastAsia="zh-CN" w:bidi="ar-SA"/>
    </w:rPr>
  </w:style>
  <w:style w:type="paragraph" w:customStyle="1" w:styleId="83">
    <w:name w:val="xiao b"/>
    <w:qFormat/>
    <w:uiPriority w:val="99"/>
    <w:pPr>
      <w:widowControl w:val="0"/>
      <w:jc w:val="center"/>
    </w:pPr>
    <w:rPr>
      <w:rFonts w:ascii="Times New Roman" w:hAnsi="Times New Roman" w:eastAsia="黑体" w:cs="Times New Roman"/>
      <w:kern w:val="2"/>
      <w:sz w:val="24"/>
      <w:szCs w:val="24"/>
      <w:lang w:val="en-US" w:eastAsia="zh-CN" w:bidi="ar-SA"/>
    </w:rPr>
  </w:style>
  <w:style w:type="character" w:customStyle="1" w:styleId="84">
    <w:name w:val="font121"/>
    <w:qFormat/>
    <w:uiPriority w:val="99"/>
    <w:rPr>
      <w:rFonts w:ascii="宋体" w:eastAsia="宋体" w:cs="宋体"/>
      <w:color w:val="000000"/>
      <w:sz w:val="22"/>
      <w:szCs w:val="22"/>
      <w:u w:val="none"/>
    </w:rPr>
  </w:style>
  <w:style w:type="paragraph" w:customStyle="1" w:styleId="85">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86">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57</Pages>
  <Words>4636</Words>
  <Characters>26431</Characters>
  <Lines>220</Lines>
  <Paragraphs>62</Paragraphs>
  <TotalTime>18</TotalTime>
  <ScaleCrop>false</ScaleCrop>
  <LinksUpToDate>false</LinksUpToDate>
  <CharactersWithSpaces>31005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2020-10-26T02:08:00Z</dcterms:created>
  <dc:creator>S-mile</dc:creator>
  <cp:lastModifiedBy>。。。</cp:lastModifiedBy>
  <cp:lastPrinted>2020-05-13T01:08:00Z</cp:lastPrinted>
  <dcterms:modified xsi:type="dcterms:W3CDTF">2021-11-19T07:29:26Z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1B2F487DC5564647BE1DF3EE9BBE687B</vt:lpwstr>
  </property>
</Properties>
</file>