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hAnsi="宋体" w:cs="宋体"/>
          <w:b/>
          <w:color w:val="auto"/>
          <w:kern w:val="0"/>
          <w:sz w:val="52"/>
          <w:szCs w:val="52"/>
          <w:highlight w:val="none"/>
        </w:rPr>
      </w:pPr>
    </w:p>
    <w:p>
      <w:pPr>
        <w:jc w:val="center"/>
        <w:rPr>
          <w:rFonts w:ascii="宋体" w:hAnsi="宋体" w:cs="宋体"/>
          <w:color w:val="auto"/>
          <w:sz w:val="36"/>
          <w:szCs w:val="36"/>
          <w:highlight w:val="none"/>
        </w:rPr>
      </w:pPr>
      <w:r>
        <w:rPr>
          <w:rFonts w:ascii="宋体" w:hAnsi="宋体" w:cs="宋体"/>
          <w:color w:val="auto"/>
          <w:highlight w:val="none"/>
        </w:rPr>
        <w:pict>
          <v:shape id="Image1" o:spid="_x0000_s1026" o:spt="75" type="#_x0000_t75" style="position:absolute;left:0pt;margin-left:53.35pt;margin-top:123.3pt;height:164.7pt;width:234pt;mso-position-horizontal-relative:page;mso-position-vertical-relative:page;z-index:-251657216;mso-width-relative:page;mso-height-relative:page;" filled="f" o:preferrelative="t" stroked="f" coordsize="21600,21600">
            <v:path/>
            <v:fill on="f" focussize="0,0"/>
            <v:stroke on="f" joinstyle="miter"/>
            <v:imagedata r:id="rId6" gain="74473f" o:title=""/>
            <o:lock v:ext="edit" aspectratio="t"/>
          </v:shape>
        </w:pict>
      </w:r>
    </w:p>
    <w:p>
      <w:pPr>
        <w:jc w:val="center"/>
        <w:rPr>
          <w:rFonts w:ascii="宋体" w:hAnsi="宋体" w:cs="宋体"/>
          <w:color w:val="auto"/>
          <w:sz w:val="52"/>
          <w:szCs w:val="52"/>
          <w:highlight w:val="none"/>
        </w:rPr>
      </w:pP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rPr>
          <w:rFonts w:ascii="宋体" w:hAnsi="宋体" w:cs="宋体"/>
          <w:color w:val="auto"/>
          <w:sz w:val="36"/>
          <w:szCs w:val="36"/>
          <w:highlight w:val="none"/>
        </w:rPr>
      </w:pPr>
    </w:p>
    <w:p>
      <w:pPr>
        <w:jc w:val="center"/>
        <w:rPr>
          <w:rFonts w:ascii="宋体" w:hAnsi="宋体" w:cs="宋体"/>
          <w:b/>
          <w:color w:val="auto"/>
          <w:sz w:val="72"/>
          <w:szCs w:val="72"/>
          <w:highlight w:val="none"/>
        </w:rPr>
      </w:pPr>
    </w:p>
    <w:p>
      <w:pPr>
        <w:shd w:val="clear" w:color="auto" w:fill="FFFFFF"/>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政府采购电子竞争性磋商文件</w:t>
      </w:r>
    </w:p>
    <w:p>
      <w:pPr>
        <w:shd w:val="clear" w:color="auto" w:fill="FFFFFF"/>
        <w:spacing w:line="360" w:lineRule="auto"/>
        <w:jc w:val="center"/>
        <w:textAlignment w:val="bottom"/>
        <w:rPr>
          <w:rFonts w:ascii="宋体" w:hAnsi="宋体" w:cs="宋体"/>
          <w:color w:val="auto"/>
          <w:sz w:val="28"/>
          <w:szCs w:val="28"/>
          <w:highlight w:val="none"/>
        </w:rPr>
      </w:pPr>
    </w:p>
    <w:p>
      <w:pPr>
        <w:shd w:val="clear" w:color="auto" w:fill="FFFFFF"/>
        <w:spacing w:line="360" w:lineRule="auto"/>
        <w:jc w:val="center"/>
        <w:textAlignment w:val="bottom"/>
        <w:rPr>
          <w:rFonts w:ascii="宋体" w:hAnsi="宋体" w:cs="宋体"/>
          <w:color w:val="auto"/>
          <w:sz w:val="28"/>
          <w:szCs w:val="28"/>
          <w:highlight w:val="none"/>
        </w:rPr>
      </w:pPr>
      <w:r>
        <w:rPr>
          <w:rFonts w:hint="eastAsia" w:ascii="宋体" w:hAnsi="宋体" w:cs="宋体"/>
          <w:color w:val="auto"/>
          <w:sz w:val="28"/>
          <w:szCs w:val="28"/>
          <w:highlight w:val="none"/>
        </w:rPr>
        <w:t>项目编号：ZJWS2021-LQ168磋</w:t>
      </w:r>
    </w:p>
    <w:p>
      <w:pPr>
        <w:shd w:val="clear" w:color="auto" w:fill="FFFFFF"/>
        <w:tabs>
          <w:tab w:val="left" w:pos="1860"/>
        </w:tabs>
        <w:spacing w:line="360" w:lineRule="auto"/>
        <w:textAlignment w:val="bottom"/>
        <w:rPr>
          <w:rFonts w:ascii="宋体" w:hAnsi="宋体" w:cs="宋体"/>
          <w:color w:val="auto"/>
          <w:kern w:val="0"/>
          <w:sz w:val="28"/>
          <w:highlight w:val="none"/>
        </w:rPr>
      </w:pPr>
    </w:p>
    <w:p>
      <w:pPr>
        <w:autoSpaceDE w:val="0"/>
        <w:autoSpaceDN w:val="0"/>
        <w:adjustRightInd w:val="0"/>
        <w:spacing w:line="360" w:lineRule="auto"/>
        <w:ind w:firstLine="560" w:firstLineChars="200"/>
        <w:jc w:val="both"/>
        <w:rPr>
          <w:rFonts w:ascii="宋体" w:hAnsi="宋体" w:cs="宋体"/>
          <w:color w:val="auto"/>
          <w:kern w:val="0"/>
          <w:sz w:val="28"/>
          <w:highlight w:val="none"/>
        </w:rPr>
      </w:pPr>
      <w:r>
        <w:rPr>
          <w:rFonts w:hint="eastAsia" w:ascii="宋体" w:hAnsi="宋体" w:cs="宋体"/>
          <w:color w:val="auto"/>
          <w:kern w:val="0"/>
          <w:sz w:val="28"/>
          <w:highlight w:val="none"/>
        </w:rPr>
        <w:t>采购项目：浙江路桥经济开发区概念性总体规划编制采购项目</w:t>
      </w:r>
    </w:p>
    <w:p>
      <w:pPr>
        <w:autoSpaceDE w:val="0"/>
        <w:autoSpaceDN w:val="0"/>
        <w:adjustRightInd w:val="0"/>
        <w:spacing w:line="360" w:lineRule="auto"/>
        <w:jc w:val="center"/>
        <w:rPr>
          <w:rFonts w:ascii="宋体" w:hAnsi="宋体" w:cs="宋体"/>
          <w:color w:val="auto"/>
          <w:kern w:val="0"/>
          <w:sz w:val="28"/>
          <w:highlight w:val="none"/>
        </w:rPr>
      </w:pPr>
    </w:p>
    <w:p>
      <w:pPr>
        <w:autoSpaceDE w:val="0"/>
        <w:autoSpaceDN w:val="0"/>
        <w:adjustRightInd w:val="0"/>
        <w:spacing w:line="360" w:lineRule="auto"/>
        <w:ind w:left="1959" w:leftChars="266" w:hanging="1400" w:hangingChars="500"/>
        <w:jc w:val="both"/>
        <w:rPr>
          <w:rFonts w:hint="eastAsia" w:ascii="宋体" w:hAnsi="宋体" w:eastAsia="宋体" w:cs="宋体"/>
          <w:color w:val="auto"/>
          <w:kern w:val="0"/>
          <w:sz w:val="28"/>
          <w:highlight w:val="none"/>
          <w:lang w:eastAsia="zh-CN"/>
        </w:rPr>
      </w:pPr>
      <w:r>
        <w:rPr>
          <w:rFonts w:hint="eastAsia" w:ascii="宋体" w:hAnsi="宋体" w:cs="宋体"/>
          <w:color w:val="auto"/>
          <w:kern w:val="0"/>
          <w:sz w:val="28"/>
          <w:highlight w:val="none"/>
        </w:rPr>
        <w:t>采购单位：</w:t>
      </w:r>
      <w:r>
        <w:rPr>
          <w:rFonts w:hint="eastAsia" w:ascii="宋体" w:hAnsi="宋体" w:cs="宋体"/>
          <w:color w:val="auto"/>
          <w:kern w:val="0"/>
          <w:sz w:val="28"/>
          <w:highlight w:val="none"/>
          <w:lang w:eastAsia="zh-CN"/>
        </w:rPr>
        <w:t>浙江路桥经济开发区管理委员会（台州湾循环经济产业集聚区路桥分区管理委员会）</w:t>
      </w:r>
    </w:p>
    <w:p>
      <w:pPr>
        <w:autoSpaceDE w:val="0"/>
        <w:autoSpaceDN w:val="0"/>
        <w:adjustRightInd w:val="0"/>
        <w:spacing w:line="360" w:lineRule="auto"/>
        <w:jc w:val="center"/>
        <w:rPr>
          <w:rFonts w:ascii="宋体" w:hAnsi="宋体" w:cs="宋体"/>
          <w:color w:val="auto"/>
          <w:kern w:val="0"/>
          <w:sz w:val="28"/>
          <w:highlight w:val="none"/>
        </w:rPr>
      </w:pPr>
    </w:p>
    <w:p>
      <w:pPr>
        <w:autoSpaceDE w:val="0"/>
        <w:autoSpaceDN w:val="0"/>
        <w:adjustRightInd w:val="0"/>
        <w:spacing w:line="360" w:lineRule="auto"/>
        <w:jc w:val="center"/>
        <w:rPr>
          <w:rFonts w:ascii="宋体" w:hAnsi="宋体" w:cs="宋体"/>
          <w:color w:val="auto"/>
          <w:kern w:val="0"/>
          <w:sz w:val="28"/>
          <w:highlight w:val="none"/>
        </w:rPr>
      </w:pPr>
      <w:r>
        <w:rPr>
          <w:rFonts w:hint="eastAsia" w:ascii="宋体" w:hAnsi="宋体" w:cs="宋体"/>
          <w:color w:val="auto"/>
          <w:kern w:val="0"/>
          <w:sz w:val="28"/>
          <w:highlight w:val="none"/>
          <w:lang w:val="en-US" w:eastAsia="zh-CN"/>
        </w:rPr>
        <w:t xml:space="preserve">   </w:t>
      </w:r>
      <w:r>
        <w:rPr>
          <w:rFonts w:hint="eastAsia" w:ascii="宋体" w:hAnsi="宋体" w:cs="宋体"/>
          <w:color w:val="auto"/>
          <w:kern w:val="0"/>
          <w:sz w:val="28"/>
          <w:highlight w:val="none"/>
        </w:rPr>
        <w:t>采购代理机构：浙江五石工程咨询有限公司</w:t>
      </w:r>
    </w:p>
    <w:p>
      <w:pPr>
        <w:autoSpaceDE w:val="0"/>
        <w:autoSpaceDN w:val="0"/>
        <w:adjustRightInd w:val="0"/>
        <w:spacing w:line="360" w:lineRule="auto"/>
        <w:jc w:val="center"/>
        <w:rPr>
          <w:rFonts w:ascii="宋体" w:hAnsi="宋体" w:cs="宋体"/>
          <w:color w:val="auto"/>
          <w:kern w:val="0"/>
          <w:sz w:val="28"/>
          <w:highlight w:val="none"/>
        </w:rPr>
      </w:pPr>
      <w:r>
        <w:rPr>
          <w:rFonts w:hint="eastAsia" w:ascii="宋体" w:hAnsi="宋体" w:cs="宋体"/>
          <w:color w:val="auto"/>
          <w:kern w:val="0"/>
          <w:sz w:val="28"/>
          <w:highlight w:val="none"/>
        </w:rPr>
        <w:t>二○二一年九月</w:t>
      </w: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line="360" w:lineRule="auto"/>
        <w:rPr>
          <w:rFonts w:ascii="宋体" w:hAnsi="宋体" w:cs="宋体"/>
          <w:color w:val="auto"/>
          <w:sz w:val="28"/>
          <w:szCs w:val="28"/>
          <w:highlight w:val="none"/>
        </w:rPr>
      </w:pP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一、竞争性磋商公告</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二、供应商须知</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三、评审办法及评审标准  </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四、项目需求</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五、政府采购合同主要条款指引       </w:t>
      </w:r>
    </w:p>
    <w:p>
      <w:pPr>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t>六、响应文件格式附件</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23"/>
        <w:ind w:firstLine="720"/>
        <w:rPr>
          <w:color w:val="auto"/>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第一部分 竞争性磋商公告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根据《中华人民共和国政府采购法》及《浙江省政府向社会力量购买服务指导性目录（2021年度）》第C0201条，本项目为购买服务项目，采用竞争性磋商方式开展采购。</w:t>
      </w:r>
      <w:r>
        <w:rPr>
          <w:rFonts w:hint="eastAsia" w:ascii="宋体" w:hAnsi="宋体" w:cs="宋体"/>
          <w:b/>
          <w:bCs/>
          <w:color w:val="auto"/>
          <w:sz w:val="24"/>
          <w:szCs w:val="32"/>
          <w:highlight w:val="none"/>
        </w:rPr>
        <w:t>浙江五石工程咨询有限公司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lang w:eastAsia="zh-CN"/>
        </w:rPr>
        <w:t>浙江路桥经济开发区管理委员会（台州湾循环经济产业集聚区路桥分区管理委员会）</w:t>
      </w:r>
      <w:r>
        <w:rPr>
          <w:rFonts w:hint="eastAsia" w:ascii="宋体" w:hAnsi="宋体" w:cs="宋体"/>
          <w:color w:val="auto"/>
          <w:sz w:val="24"/>
          <w:szCs w:val="32"/>
          <w:highlight w:val="none"/>
        </w:rPr>
        <w:t>委托，现就其</w:t>
      </w:r>
      <w:r>
        <w:rPr>
          <w:rFonts w:hint="eastAsia" w:ascii="宋体" w:hAnsi="宋体" w:cs="宋体"/>
          <w:b/>
          <w:bCs/>
          <w:color w:val="auto"/>
          <w:sz w:val="24"/>
          <w:szCs w:val="32"/>
          <w:highlight w:val="none"/>
        </w:rPr>
        <w:t>浙江路桥经济开发区概念性总体规划编制采购项目</w:t>
      </w:r>
      <w:r>
        <w:rPr>
          <w:rFonts w:hint="eastAsia" w:ascii="宋体" w:hAnsi="宋体" w:cs="宋体"/>
          <w:color w:val="auto"/>
          <w:sz w:val="24"/>
          <w:szCs w:val="32"/>
          <w:highlight w:val="none"/>
        </w:rPr>
        <w:t>进行竞争性磋商采购，欢迎合格供应商前来磋商。</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hint="eastAsia" w:ascii="宋体" w:hAnsi="宋体" w:cs="宋体"/>
          <w:color w:val="auto"/>
          <w:sz w:val="24"/>
          <w:szCs w:val="32"/>
          <w:highlight w:val="none"/>
        </w:rPr>
        <w:t>ZJWS2021-LQ168磋</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二、磋商内容：</w:t>
      </w:r>
    </w:p>
    <w:tbl>
      <w:tblPr>
        <w:tblStyle w:val="24"/>
        <w:tblW w:w="87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329"/>
        <w:gridCol w:w="1527"/>
        <w:gridCol w:w="683"/>
        <w:gridCol w:w="618"/>
        <w:gridCol w:w="1251"/>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34"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lang w:val="en-US" w:eastAsia="zh-CN"/>
              </w:rPr>
              <w:t>序</w:t>
            </w:r>
            <w:r>
              <w:rPr>
                <w:rFonts w:hint="eastAsia" w:ascii="宋体" w:hAnsi="宋体"/>
                <w:b/>
                <w:color w:val="auto"/>
                <w:sz w:val="24"/>
                <w:highlight w:val="none"/>
              </w:rPr>
              <w:t>号</w:t>
            </w:r>
          </w:p>
        </w:tc>
        <w:tc>
          <w:tcPr>
            <w:tcW w:w="2329" w:type="dxa"/>
            <w:vAlign w:val="center"/>
          </w:tcPr>
          <w:p>
            <w:pPr>
              <w:tabs>
                <w:tab w:val="left" w:pos="8280"/>
              </w:tabs>
              <w:autoSpaceDE w:val="0"/>
              <w:autoSpaceDN w:val="0"/>
              <w:adjustRightInd w:val="0"/>
              <w:ind w:right="25" w:firstLine="120" w:firstLineChars="50"/>
              <w:jc w:val="center"/>
              <w:rPr>
                <w:rFonts w:ascii="宋体" w:hAnsi="宋体"/>
                <w:b/>
                <w:color w:val="auto"/>
                <w:sz w:val="24"/>
                <w:highlight w:val="none"/>
              </w:rPr>
            </w:pPr>
            <w:r>
              <w:rPr>
                <w:rFonts w:hint="eastAsia" w:ascii="宋体" w:hAnsi="宋体"/>
                <w:b/>
                <w:color w:val="auto"/>
                <w:sz w:val="24"/>
                <w:highlight w:val="none"/>
              </w:rPr>
              <w:t>顶目名称</w:t>
            </w:r>
          </w:p>
        </w:tc>
        <w:tc>
          <w:tcPr>
            <w:tcW w:w="1527" w:type="dxa"/>
            <w:vAlign w:val="center"/>
          </w:tcPr>
          <w:p>
            <w:pPr>
              <w:tabs>
                <w:tab w:val="left" w:pos="8280"/>
              </w:tabs>
              <w:autoSpaceDE w:val="0"/>
              <w:autoSpaceDN w:val="0"/>
              <w:adjustRightInd w:val="0"/>
              <w:ind w:right="25"/>
              <w:rPr>
                <w:rFonts w:ascii="宋体" w:hAnsi="宋体"/>
                <w:b/>
                <w:color w:val="auto"/>
                <w:sz w:val="24"/>
                <w:highlight w:val="none"/>
              </w:rPr>
            </w:pPr>
            <w:r>
              <w:rPr>
                <w:rFonts w:hint="eastAsia" w:ascii="宋体" w:hAnsi="宋体"/>
                <w:b/>
                <w:color w:val="auto"/>
                <w:sz w:val="24"/>
                <w:highlight w:val="none"/>
              </w:rPr>
              <w:t>规格型号</w:t>
            </w:r>
          </w:p>
        </w:tc>
        <w:tc>
          <w:tcPr>
            <w:tcW w:w="683"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数量</w:t>
            </w:r>
          </w:p>
        </w:tc>
        <w:tc>
          <w:tcPr>
            <w:tcW w:w="618"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单位</w:t>
            </w:r>
          </w:p>
        </w:tc>
        <w:tc>
          <w:tcPr>
            <w:tcW w:w="1251" w:type="dxa"/>
            <w:vAlign w:val="center"/>
          </w:tcPr>
          <w:p>
            <w:pPr>
              <w:tabs>
                <w:tab w:val="left" w:pos="8280"/>
              </w:tabs>
              <w:autoSpaceDE w:val="0"/>
              <w:autoSpaceDN w:val="0"/>
              <w:adjustRightInd w:val="0"/>
              <w:ind w:right="25"/>
              <w:jc w:val="center"/>
              <w:rPr>
                <w:rFonts w:ascii="宋体" w:hAnsi="宋体"/>
                <w:b/>
                <w:color w:val="auto"/>
                <w:highlight w:val="none"/>
              </w:rPr>
            </w:pPr>
            <w:r>
              <w:rPr>
                <w:rFonts w:hint="eastAsia" w:ascii="宋体" w:hAnsi="宋体"/>
                <w:b/>
                <w:color w:val="auto"/>
                <w:highlight w:val="none"/>
              </w:rPr>
              <w:t>预算</w:t>
            </w:r>
          </w:p>
          <w:p>
            <w:pPr>
              <w:tabs>
                <w:tab w:val="left" w:pos="8280"/>
              </w:tabs>
              <w:autoSpaceDE w:val="0"/>
              <w:autoSpaceDN w:val="0"/>
              <w:adjustRightInd w:val="0"/>
              <w:ind w:right="25"/>
              <w:jc w:val="center"/>
              <w:rPr>
                <w:rFonts w:ascii="宋体" w:hAnsi="宋体"/>
                <w:b/>
                <w:color w:val="auto"/>
                <w:highlight w:val="none"/>
              </w:rPr>
            </w:pPr>
            <w:r>
              <w:rPr>
                <w:rFonts w:hint="eastAsia" w:ascii="宋体" w:hAnsi="宋体"/>
                <w:b/>
                <w:color w:val="auto"/>
                <w:highlight w:val="none"/>
              </w:rPr>
              <w:t>（万元）</w:t>
            </w:r>
          </w:p>
        </w:tc>
        <w:tc>
          <w:tcPr>
            <w:tcW w:w="1536"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834" w:type="dxa"/>
            <w:vAlign w:val="center"/>
          </w:tcPr>
          <w:p>
            <w:pPr>
              <w:tabs>
                <w:tab w:val="left" w:pos="8280"/>
              </w:tabs>
              <w:autoSpaceDE w:val="0"/>
              <w:autoSpaceDN w:val="0"/>
              <w:adjustRightInd w:val="0"/>
              <w:jc w:val="center"/>
              <w:rPr>
                <w:rFonts w:ascii="宋体" w:hAnsi="宋体"/>
                <w:bCs/>
                <w:color w:val="auto"/>
                <w:sz w:val="24"/>
                <w:highlight w:val="none"/>
              </w:rPr>
            </w:pPr>
            <w:r>
              <w:rPr>
                <w:rFonts w:hint="eastAsia" w:ascii="宋体" w:hAnsi="宋体"/>
                <w:color w:val="auto"/>
                <w:sz w:val="24"/>
                <w:highlight w:val="none"/>
              </w:rPr>
              <w:t>一</w:t>
            </w:r>
          </w:p>
        </w:tc>
        <w:tc>
          <w:tcPr>
            <w:tcW w:w="2329" w:type="dxa"/>
            <w:vAlign w:val="center"/>
          </w:tcPr>
          <w:p>
            <w:pPr>
              <w:jc w:val="left"/>
              <w:rPr>
                <w:rFonts w:ascii="宋体" w:hAnsi="宋体"/>
                <w:bCs/>
                <w:color w:val="auto"/>
                <w:sz w:val="24"/>
                <w:highlight w:val="none"/>
              </w:rPr>
            </w:pPr>
            <w:r>
              <w:rPr>
                <w:rFonts w:hint="eastAsia" w:ascii="宋体" w:hAnsi="宋体"/>
                <w:bCs/>
                <w:color w:val="auto"/>
                <w:sz w:val="24"/>
                <w:highlight w:val="none"/>
              </w:rPr>
              <w:t>浙江路桥经济开发区概念性总体规划编制采购项目</w:t>
            </w:r>
          </w:p>
        </w:tc>
        <w:tc>
          <w:tcPr>
            <w:tcW w:w="1527"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见技术需求</w:t>
            </w:r>
          </w:p>
        </w:tc>
        <w:tc>
          <w:tcPr>
            <w:tcW w:w="683"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1</w:t>
            </w:r>
          </w:p>
        </w:tc>
        <w:tc>
          <w:tcPr>
            <w:tcW w:w="618"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项</w:t>
            </w:r>
          </w:p>
        </w:tc>
        <w:tc>
          <w:tcPr>
            <w:tcW w:w="1251" w:type="dxa"/>
            <w:vAlign w:val="center"/>
          </w:tcPr>
          <w:p>
            <w:pPr>
              <w:tabs>
                <w:tab w:val="left" w:pos="8280"/>
              </w:tabs>
              <w:autoSpaceDE w:val="0"/>
              <w:autoSpaceDN w:val="0"/>
              <w:adjustRightInd w:val="0"/>
              <w:snapToGrid w:val="0"/>
              <w:ind w:right="25"/>
              <w:jc w:val="center"/>
              <w:rPr>
                <w:rFonts w:ascii="宋体" w:hAnsi="宋体"/>
                <w:bCs/>
                <w:color w:val="auto"/>
                <w:sz w:val="24"/>
                <w:highlight w:val="none"/>
              </w:rPr>
            </w:pPr>
            <w:r>
              <w:rPr>
                <w:rFonts w:hint="eastAsia" w:ascii="宋体" w:hAnsi="宋体"/>
                <w:bCs/>
                <w:color w:val="auto"/>
                <w:sz w:val="24"/>
                <w:highlight w:val="none"/>
              </w:rPr>
              <w:t>100</w:t>
            </w:r>
          </w:p>
        </w:tc>
        <w:tc>
          <w:tcPr>
            <w:tcW w:w="1536" w:type="dxa"/>
            <w:vAlign w:val="center"/>
          </w:tcPr>
          <w:p>
            <w:pPr>
              <w:tabs>
                <w:tab w:val="left" w:pos="8280"/>
              </w:tabs>
              <w:autoSpaceDE w:val="0"/>
              <w:autoSpaceDN w:val="0"/>
              <w:adjustRightInd w:val="0"/>
              <w:snapToGrid w:val="0"/>
              <w:ind w:right="25"/>
              <w:jc w:val="center"/>
              <w:rPr>
                <w:rFonts w:ascii="宋体" w:hAnsi="宋体"/>
                <w:bCs/>
                <w:color w:val="auto"/>
                <w:sz w:val="24"/>
                <w:highlight w:val="none"/>
              </w:rPr>
            </w:pPr>
            <w:r>
              <w:rPr>
                <w:rFonts w:hint="eastAsia" w:ascii="宋体" w:hAnsi="宋体"/>
                <w:bCs/>
                <w:color w:val="auto"/>
                <w:sz w:val="24"/>
                <w:highlight w:val="none"/>
              </w:rPr>
              <w:t>采购人指定地点</w:t>
            </w:r>
          </w:p>
        </w:tc>
      </w:tr>
    </w:tbl>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三、合格磋商供应商的资格条件：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1、符合《中华人民共和国政府采购法》第二十二条规定的投标人资格条件。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2、本项目不接受联合体投标。</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四、磋商文件获取的时间、方式：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1、本项目磋商文件于“政府采购云平台”在线获取，不提供磋商文件纸质版。供应商获取磋商文件前应先完成“政府采购云平台”的账号注册。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2、获取时间：自本公告发布之日起至响应文件递交截止时间止（以供应商完成获取磋商文件申请后下载磋商文件的时间为准）。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方式：潜在供应商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特别提示：磋商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供应商应按照本项目采购文件和政采云平台的要求编制、加密并递交响应文件。供应商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2.供应商通过政采云平台电子投标工具制作响应文件，电子投标工具请供应商自行前往浙江政府采购网下载并安装（下载网址：http：//www.zjzfcg.gov.cn/bidClientTemplate/2019-05-27/12946.html）。</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3.供应商应在开标前完成CA数字证书办理。（办理流程详见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，完成CA数字证书办理预计一周左右，请各供应商自行把握时间）</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供应商应当在投标截止时间前完成电子响应文件的传输递交，并可以补充、修改或者撤回电子响应文件。补充或者修改电子响应文件的，应当先行撤回原文件，补充、修改后重新传输递交。投标截止时间前未完成传输的，视为撤回响应文件。投标截止时间后传输、递交的响应文件，将被拒收。在开标后规定的投标有效期内，供应商不能撤销响应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5.响应文件的组成、份数、密封、效力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本项目实行电子投标，供应商应准备电子响应文件、以介质（U盘）存储的数据电文形式、纸质备份响应文件三类：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5.1电子响应文件，按政采云平台项目采购--电子招投标操作指南及本采购文件要求编制。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0" w:name="_Hlk34638143"/>
      <w:r>
        <w:rPr>
          <w:rFonts w:hint="eastAsia" w:ascii="宋体" w:hAnsi="宋体" w:cs="宋体"/>
          <w:color w:val="auto"/>
          <w:sz w:val="24"/>
          <w:highlight w:val="none"/>
        </w:rPr>
        <w:t>纸质</w:t>
      </w:r>
      <w:bookmarkEnd w:id="0"/>
      <w:r>
        <w:rPr>
          <w:rFonts w:hint="eastAsia" w:ascii="宋体" w:hAnsi="宋体" w:cs="宋体"/>
          <w:color w:val="auto"/>
          <w:sz w:val="24"/>
          <w:highlight w:val="none"/>
        </w:rPr>
        <w:t>备份响应文件以纸质文件的形式编制，</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bookmarkStart w:id="1"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磋商供应商在“政府采购云平台”完成“电子加密响应文件”的上传递交后，还可以在投标截止时间前递交以介质（U盘）存储的数据电文形式和纸质形式的“备份响应文件”，“备份响应文件”应当密封包装并在包装上标注投标项目名称、供应商名称并加盖公章。以介质（U盘）存储的数据电文形式和纸质形式的“备份响应文件”需分别密封，可采用以下两种方式其中一种送达（逾期送达或未密封将被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邮寄接收截止时间为投标截止时间前一个工作日下午16：00整（邮寄地址：浙江五石工程咨询有限公司（浙江省台州市椒江区东环大道576号二楼，联系人：金老师，电话：0576-82966133/0576-88781913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响应文件”无法按时解密，磋商供应商递交了备份响应文件的，以备份响应文件为依据，否则视为响应文件撤回。通过“政府采购云平台”上传递交的“电子加密响应文件”已按时解密的，“备份响应文件”自动失效。磋商供应商仅递交备份响应文件的，投标无效。</w:t>
      </w:r>
    </w:p>
    <w:bookmarkEnd w:id="1"/>
    <w:p>
      <w:pPr>
        <w:spacing w:line="360" w:lineRule="auto"/>
        <w:ind w:firstLine="480" w:firstLineChars="200"/>
        <w:rPr>
          <w:rFonts w:ascii="宋体" w:hAnsi="宋体" w:cs="宋体"/>
          <w:color w:val="auto"/>
          <w:sz w:val="24"/>
          <w:highlight w:val="none"/>
          <w:u w:val="single"/>
        </w:rPr>
      </w:pPr>
      <w:bookmarkStart w:id="2" w:name="_Hlk34638256"/>
      <w:r>
        <w:rPr>
          <w:rFonts w:hint="eastAsia" w:ascii="宋体" w:hAnsi="宋体" w:cs="宋体"/>
          <w:color w:val="auto"/>
          <w:sz w:val="24"/>
          <w:highlight w:val="none"/>
          <w:u w:val="single"/>
        </w:rPr>
        <w:t>5.5响应文件启用顺序和效力：响应文件的启用，按先后顺位分别为</w:t>
      </w:r>
      <w:bookmarkStart w:id="3" w:name="_Hlk34637932"/>
      <w:r>
        <w:rPr>
          <w:rFonts w:hint="eastAsia" w:ascii="宋体" w:hAnsi="宋体" w:cs="宋体"/>
          <w:color w:val="auto"/>
          <w:sz w:val="24"/>
          <w:highlight w:val="none"/>
          <w:u w:val="single"/>
        </w:rPr>
        <w:t>电子</w:t>
      </w:r>
      <w:bookmarkEnd w:id="3"/>
      <w:r>
        <w:rPr>
          <w:rFonts w:hint="eastAsia" w:ascii="宋体" w:hAnsi="宋体" w:cs="宋体"/>
          <w:color w:val="auto"/>
          <w:sz w:val="24"/>
          <w:highlight w:val="none"/>
          <w:u w:val="single"/>
        </w:rPr>
        <w:t>响应文件、以介质（U盘）存储的数据电文形式的备份响应文件和纸质备份响应文件。</w:t>
      </w:r>
      <w:bookmarkStart w:id="4" w:name="_Hlk34637983"/>
      <w:r>
        <w:rPr>
          <w:rFonts w:hint="eastAsia" w:ascii="宋体" w:hAnsi="宋体" w:cs="宋体"/>
          <w:color w:val="auto"/>
          <w:sz w:val="24"/>
          <w:highlight w:val="none"/>
          <w:u w:val="single"/>
        </w:rPr>
        <w:t>全部供应商的</w:t>
      </w:r>
      <w:bookmarkStart w:id="5" w:name="_Hlk34638083"/>
      <w:r>
        <w:rPr>
          <w:rFonts w:hint="eastAsia" w:ascii="宋体" w:hAnsi="宋体" w:cs="宋体"/>
          <w:color w:val="auto"/>
          <w:sz w:val="24"/>
          <w:highlight w:val="none"/>
          <w:u w:val="single"/>
        </w:rPr>
        <w:t>电子响应文件均已按时解密的，</w:t>
      </w:r>
      <w:bookmarkEnd w:id="5"/>
      <w:r>
        <w:rPr>
          <w:rFonts w:hint="eastAsia" w:ascii="宋体" w:hAnsi="宋体" w:cs="宋体"/>
          <w:color w:val="auto"/>
          <w:sz w:val="24"/>
          <w:highlight w:val="none"/>
          <w:u w:val="single"/>
        </w:rPr>
        <w:t>备份响应文件自动失效，全部供应商的电子响应文件均无法按时解密的，</w:t>
      </w:r>
      <w:bookmarkStart w:id="6" w:name="_Hlk34638161"/>
      <w:r>
        <w:rPr>
          <w:rFonts w:hint="eastAsia" w:ascii="宋体" w:hAnsi="宋体" w:cs="宋体"/>
          <w:color w:val="auto"/>
          <w:sz w:val="24"/>
          <w:highlight w:val="none"/>
          <w:u w:val="single"/>
        </w:rPr>
        <w:t>启用纸质备份响应文件进行线下开评标。</w:t>
      </w:r>
      <w:bookmarkEnd w:id="6"/>
      <w:r>
        <w:rPr>
          <w:rFonts w:hint="eastAsia" w:ascii="宋体" w:hAnsi="宋体" w:cs="宋体"/>
          <w:color w:val="auto"/>
          <w:sz w:val="24"/>
          <w:highlight w:val="none"/>
          <w:u w:val="single"/>
        </w:rPr>
        <w:t>如果某位供应商的电子响应文件无法按时解密的，其响应文件为无效标，不启用纸质备份响应文件。</w:t>
      </w:r>
      <w:bookmarkEnd w:id="2"/>
      <w:bookmarkEnd w:id="4"/>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5.6▲未传输递交电子响应文件的，投标无效。未按规定提供相应的备份响应文件，造成项目开评标活动无法进行下去的，投标无效。</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2021年10月21日下午14:00</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七、评审地址：</w:t>
      </w:r>
      <w:r>
        <w:rPr>
          <w:rFonts w:hint="eastAsia" w:ascii="宋体" w:hAnsi="宋体" w:cs="宋体"/>
          <w:color w:val="auto"/>
          <w:sz w:val="24"/>
          <w:szCs w:val="32"/>
          <w:highlight w:val="none"/>
        </w:rPr>
        <w:t>台州市路桥区财富大道999号区政府商城办公区（商城国际）五楼政府采购中心</w:t>
      </w:r>
      <w:bookmarkStart w:id="7" w:name="_GoBack"/>
      <w:bookmarkEnd w:id="7"/>
      <w:r>
        <w:rPr>
          <w:rFonts w:hint="eastAsia" w:ascii="宋体" w:hAnsi="宋体" w:cs="宋体"/>
          <w:color w:val="auto"/>
          <w:sz w:val="24"/>
          <w:szCs w:val="32"/>
          <w:highlight w:val="none"/>
        </w:rPr>
        <w:t>开标室（</w:t>
      </w:r>
      <w:r>
        <w:rPr>
          <w:rFonts w:hint="eastAsia" w:ascii="宋体" w:hAnsi="宋体" w:cs="宋体"/>
          <w:color w:val="auto"/>
          <w:sz w:val="24"/>
          <w:szCs w:val="32"/>
          <w:highlight w:val="none"/>
          <w:lang w:val="en-US" w:eastAsia="zh-CN"/>
        </w:rPr>
        <w:t>二</w:t>
      </w:r>
      <w:r>
        <w:rPr>
          <w:rFonts w:hint="eastAsia" w:ascii="宋体" w:hAnsi="宋体" w:cs="宋体"/>
          <w:color w:val="auto"/>
          <w:sz w:val="24"/>
          <w:szCs w:val="32"/>
          <w:highlight w:val="none"/>
        </w:rPr>
        <w:t>）。</w:t>
      </w:r>
    </w:p>
    <w:p>
      <w:pPr>
        <w:spacing w:line="360" w:lineRule="auto"/>
        <w:ind w:firstLine="482" w:firstLineChars="200"/>
        <w:outlineLvl w:val="0"/>
        <w:rPr>
          <w:rFonts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供应商如对采购文件有异议应按规定的时间提出，且应当在采购响应截止时间之前，逾期提出的，采购组织机构可不予受理、答复。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3）信用信息查询记录和证据留存具体方式：采购代理机构经办人将查询网页打印与其他项目相关文件一并保存；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4）信用信息的使用规则：供应商存在不良信用记录的，其投标将被作为无效投标被拒绝。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4.开标时间后30分钟内，供应商须登录“政采云”平台，用“项目采购-开标评标”功能解密响应文件，供应商未按时解密或解密失败的，其上传的电子响应文件自动失效。电脑及CA解密设备自备。</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rPr>
        <w:t>浙江五石工程咨询有限公司；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项目负责人：徐名峰；联系电话：15088711407；</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质疑接收人：刘婕；联系电话：0571-85340710；</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报名联系人：高女士；联系电话：0571-85334203；传真：0571-85342190；</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地点：杭州市拱墅区白石路318号中国（杭州）人力资源服务产业园北楼512室；</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cs="宋体"/>
          <w:b/>
          <w:bCs/>
          <w:color w:val="auto"/>
          <w:sz w:val="24"/>
          <w:szCs w:val="32"/>
          <w:highlight w:val="none"/>
        </w:rPr>
        <w:t>2、采购人：</w:t>
      </w:r>
      <w:r>
        <w:rPr>
          <w:rFonts w:hint="eastAsia" w:ascii="宋体" w:hAnsi="宋体" w:cs="宋体"/>
          <w:color w:val="auto"/>
          <w:sz w:val="24"/>
          <w:szCs w:val="32"/>
          <w:highlight w:val="none"/>
          <w:lang w:eastAsia="zh-CN"/>
        </w:rPr>
        <w:t>浙江路桥经济开发区管理委员会（台州湾循环经济产业集聚区路桥分区管理委员会）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w:t>
      </w:r>
      <w:r>
        <w:rPr>
          <w:rFonts w:hint="eastAsia" w:ascii="宋体" w:hAnsi="宋体" w:cs="宋体"/>
          <w:color w:val="auto"/>
          <w:sz w:val="24"/>
          <w:szCs w:val="32"/>
          <w:highlight w:val="none"/>
          <w:lang w:val="en-US" w:eastAsia="zh-CN"/>
        </w:rPr>
        <w:t>吕先生</w:t>
      </w:r>
      <w:r>
        <w:rPr>
          <w:rFonts w:hint="eastAsia" w:ascii="宋体" w:hAnsi="宋体" w:cs="宋体"/>
          <w:color w:val="auto"/>
          <w:sz w:val="24"/>
          <w:szCs w:val="32"/>
          <w:highlight w:val="none"/>
        </w:rPr>
        <w:t>；联系电话：</w:t>
      </w:r>
      <w:r>
        <w:rPr>
          <w:rFonts w:hint="eastAsia" w:ascii="宋体" w:hAnsi="宋体" w:cs="宋体"/>
          <w:color w:val="auto"/>
          <w:sz w:val="24"/>
          <w:szCs w:val="32"/>
          <w:highlight w:val="none"/>
          <w:lang w:val="en-US" w:eastAsia="zh-CN"/>
        </w:rPr>
        <w:t>0576-</w:t>
      </w:r>
      <w:r>
        <w:rPr>
          <w:rFonts w:hint="eastAsia" w:ascii="宋体" w:hAnsi="宋体" w:cs="宋体"/>
          <w:color w:val="auto"/>
          <w:sz w:val="24"/>
          <w:szCs w:val="32"/>
          <w:highlight w:val="none"/>
        </w:rPr>
        <w:t>82460951。</w:t>
      </w:r>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质疑接收人：</w:t>
      </w:r>
      <w:r>
        <w:rPr>
          <w:rFonts w:hint="eastAsia" w:ascii="宋体" w:hAnsi="宋体" w:cs="宋体"/>
          <w:color w:val="auto"/>
          <w:sz w:val="24"/>
          <w:szCs w:val="32"/>
          <w:highlight w:val="none"/>
          <w:lang w:val="en-US" w:eastAsia="zh-CN"/>
        </w:rPr>
        <w:t>陈先生</w:t>
      </w:r>
      <w:r>
        <w:rPr>
          <w:rFonts w:hint="eastAsia" w:ascii="宋体" w:hAnsi="宋体" w:cs="宋体"/>
          <w:color w:val="auto"/>
          <w:sz w:val="24"/>
          <w:szCs w:val="32"/>
          <w:highlight w:val="none"/>
        </w:rPr>
        <w:t>；联系电话</w:t>
      </w:r>
      <w:r>
        <w:rPr>
          <w:rFonts w:hint="eastAsia" w:ascii="宋体" w:hAnsi="宋体" w:cs="宋体"/>
          <w:color w:val="auto"/>
          <w:sz w:val="24"/>
          <w:szCs w:val="32"/>
          <w:highlight w:val="none"/>
          <w:lang w:eastAsia="zh-CN"/>
        </w:rPr>
        <w:t>：</w:t>
      </w:r>
      <w:r>
        <w:rPr>
          <w:rFonts w:hint="eastAsia" w:ascii="宋体" w:hAnsi="宋体" w:cs="宋体"/>
          <w:color w:val="auto"/>
          <w:sz w:val="24"/>
          <w:szCs w:val="32"/>
          <w:highlight w:val="none"/>
          <w:lang w:val="en-US" w:eastAsia="zh-CN"/>
        </w:rPr>
        <w:t>0576-</w:t>
      </w:r>
      <w:r>
        <w:rPr>
          <w:rFonts w:hint="eastAsia" w:ascii="宋体" w:hAnsi="宋体" w:cs="宋体"/>
          <w:color w:val="auto"/>
          <w:sz w:val="24"/>
          <w:szCs w:val="32"/>
          <w:highlight w:val="none"/>
        </w:rPr>
        <w:t>82460951。</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地址：浙江省台州市路桥区腾达路新邮政大楼三楼。</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台州市路桥区财政局监督绩效管理与采购监管科；</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联系人：吴女士；监督投诉电话：0576-82517851；</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地址：台州市路桥区西路桥大道58号。</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4、银行（中标项目贷款咨询）</w:t>
      </w:r>
    </w:p>
    <w:p>
      <w:pPr>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中标人可根据项目情况及自身需求向以下银行申请企业贷款，利率从优。</w:t>
      </w:r>
    </w:p>
    <w:tbl>
      <w:tblPr>
        <w:tblStyle w:val="24"/>
        <w:tblW w:w="9894" w:type="dxa"/>
        <w:jc w:val="center"/>
        <w:tblLayout w:type="fixed"/>
        <w:tblCellMar>
          <w:top w:w="0" w:type="dxa"/>
          <w:left w:w="0" w:type="dxa"/>
          <w:bottom w:w="0" w:type="dxa"/>
          <w:right w:w="0" w:type="dxa"/>
        </w:tblCellMar>
      </w:tblPr>
      <w:tblGrid>
        <w:gridCol w:w="648"/>
        <w:gridCol w:w="5369"/>
        <w:gridCol w:w="1515"/>
        <w:gridCol w:w="945"/>
        <w:gridCol w:w="1417"/>
      </w:tblGrid>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银 行 名 称</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政采贷年利率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联系人</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联系电话</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中国建设银行股份有限公司台州路桥支行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5.50%</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徐剑鸿</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15167671223</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中国工商银行股份有限公司台州路桥支行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3.8%起</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朱力杰</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18267601003</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中国农业银行股份有限公司台州路桥支行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4.6%-4.8%</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许小波</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13626657520</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中国银行股份有限公司台州市路桥区支行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潘优优</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15168693699</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台州银行股份有限公司</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7.08%</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黄红芹</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13968689000</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浙江泰隆商业银行股份有限公司</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7.08%</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冯观凤</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17858683988</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中国邮政储蓄银行股份有限公司台州市路桥区支行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4.35%起</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沈丹华</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13306566969</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8</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交通银行股份有限公司台州路桥支行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4.05%</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张颖聪</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15726976805</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9</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兴业银行股份有限公司台州路桥支行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5%-6%</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陆罗亚</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15858609932</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10</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中信银行股份有限公司台州路桥支行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4.15%起</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陈奕汝</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13732310221</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11</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浙商银行股份有限公司台州路桥小微企业专营支行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6.75%</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庄道勇</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13867611023</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12</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广发银行股份有限公司台州路桥小微企业专营支行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5.65%</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林春</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13858687790</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平安银行股份有限公司台州路桥小微企业专营支行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李俊丽</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15906861025</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14</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宁波银行股份有限公司台州路桥小微企业专营支行</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5%-6%</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李诚杰</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13395745558</w:t>
            </w:r>
          </w:p>
        </w:tc>
      </w:tr>
      <w:tr>
        <w:tblPrEx>
          <w:tblCellMar>
            <w:top w:w="0" w:type="dxa"/>
            <w:left w:w="0" w:type="dxa"/>
            <w:bottom w:w="0" w:type="dxa"/>
            <w:right w:w="0" w:type="dxa"/>
          </w:tblCellMar>
        </w:tblPrEx>
        <w:trPr>
          <w:trHeight w:val="397"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15</w:t>
            </w:r>
          </w:p>
        </w:tc>
        <w:tc>
          <w:tcPr>
            <w:tcW w:w="5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浙江台州路桥富民村镇银行股份有限公司</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7.80%</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陈威</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13626660510</w:t>
            </w:r>
          </w:p>
        </w:tc>
      </w:tr>
    </w:tbl>
    <w:p>
      <w:pPr>
        <w:spacing w:line="360" w:lineRule="auto"/>
        <w:jc w:val="right"/>
        <w:rPr>
          <w:rFonts w:ascii="宋体" w:hAnsi="宋体" w:cs="宋体"/>
          <w:color w:val="auto"/>
          <w:sz w:val="24"/>
          <w:szCs w:val="32"/>
          <w:highlight w:val="none"/>
        </w:rPr>
      </w:pPr>
      <w:r>
        <w:rPr>
          <w:rFonts w:hint="eastAsia" w:ascii="宋体" w:hAnsi="宋体" w:cs="宋体"/>
          <w:color w:val="auto"/>
          <w:sz w:val="24"/>
          <w:szCs w:val="32"/>
          <w:highlight w:val="none"/>
        </w:rPr>
        <w:t xml:space="preserve"> 浙江五石工程咨询有限公司</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 xml:space="preserve">                                             二○二一年九月</w:t>
      </w: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pStyle w:val="29"/>
        <w:rPr>
          <w:rFonts w:hAnsi="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第二部分 供应商须知</w:t>
      </w:r>
    </w:p>
    <w:p>
      <w:pPr>
        <w:spacing w:line="360" w:lineRule="auto"/>
        <w:ind w:firstLine="482" w:firstLineChars="200"/>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前附表</w:t>
      </w:r>
    </w:p>
    <w:tbl>
      <w:tblPr>
        <w:tblStyle w:val="2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53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    目</w:t>
            </w:r>
          </w:p>
        </w:tc>
        <w:tc>
          <w:tcPr>
            <w:tcW w:w="721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5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7212" w:type="dxa"/>
            <w:vAlign w:val="center"/>
          </w:tcPr>
          <w:p>
            <w:pPr>
              <w:rPr>
                <w:rFonts w:ascii="宋体" w:hAnsi="宋体" w:cs="宋体"/>
                <w:color w:val="auto"/>
                <w:sz w:val="24"/>
                <w:highlight w:val="none"/>
              </w:rPr>
            </w:pPr>
            <w:r>
              <w:rPr>
                <w:rFonts w:hint="eastAsia" w:ascii="宋体" w:hAnsi="宋体" w:cs="宋体"/>
                <w:color w:val="auto"/>
                <w:sz w:val="24"/>
                <w:highlight w:val="none"/>
              </w:rPr>
              <w:t>符合竞争性磋商公告资格要求的供应商。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5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现场踏勘</w:t>
            </w:r>
          </w:p>
        </w:tc>
        <w:tc>
          <w:tcPr>
            <w:tcW w:w="7212" w:type="dxa"/>
            <w:vAlign w:val="center"/>
          </w:tcPr>
          <w:p>
            <w:pPr>
              <w:rPr>
                <w:rFonts w:ascii="宋体" w:hAnsi="宋体" w:cs="宋体"/>
                <w:color w:val="auto"/>
                <w:sz w:val="24"/>
                <w:highlight w:val="none"/>
              </w:rPr>
            </w:pPr>
            <w:r>
              <w:rPr>
                <w:rFonts w:hint="eastAsia" w:ascii="宋体" w:hAnsi="宋体" w:cs="宋体"/>
                <w:color w:val="auto"/>
                <w:sz w:val="24"/>
                <w:highlight w:val="none"/>
              </w:rPr>
              <w:t>各磋商供应商自行前往勘察现场和周围环境，所产生的费用由磋商供应商自理。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1530"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磋商响应文件有效期</w:t>
            </w:r>
          </w:p>
        </w:tc>
        <w:tc>
          <w:tcPr>
            <w:tcW w:w="7212" w:type="dxa"/>
            <w:vAlign w:val="center"/>
          </w:tcPr>
          <w:p>
            <w:pPr>
              <w:rPr>
                <w:rFonts w:ascii="宋体" w:hAnsi="宋体" w:cs="宋体"/>
                <w:color w:val="auto"/>
                <w:sz w:val="24"/>
                <w:highlight w:val="none"/>
              </w:rPr>
            </w:pPr>
            <w:r>
              <w:rPr>
                <w:rFonts w:hint="eastAsia" w:ascii="宋体" w:hAnsi="宋体" w:cs="宋体"/>
                <w:color w:val="auto"/>
                <w:sz w:val="24"/>
                <w:highlight w:val="none"/>
              </w:rPr>
              <w:t>磋商响应有效期为磋商后90天，磋商响应有效期从提交磋商响应文件的截止之日起算。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15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磋商响应文件递交</w:t>
            </w:r>
          </w:p>
        </w:tc>
        <w:tc>
          <w:tcPr>
            <w:tcW w:w="7212" w:type="dxa"/>
            <w:vAlign w:val="center"/>
          </w:tcPr>
          <w:p>
            <w:pPr>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本项目实行电子投标，供应商应准备电子响应文件、以介质存储的数据电文形式的备份响应文件、纸质备份响应文件三类：</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1.电子响应文件，按政采云平台项目采购--电子招投标操作指南及本采购文件要求编制、递交。</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2.以介质存储的数据电文形式的备份响应文件，按政采云平台项目采购-电子招投标操作指南中上传的电子响应文件格式，以U盘形式提供。数量为1份。</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3.纸质备份响应文件以纸质文件的形式编制，</w:t>
            </w:r>
            <w:r>
              <w:rPr>
                <w:rFonts w:hint="eastAsia" w:ascii="宋体" w:hAnsi="宋体" w:cs="宋体"/>
                <w:b/>
                <w:bCs/>
                <w:color w:val="auto"/>
                <w:sz w:val="24"/>
                <w:highlight w:val="none"/>
              </w:rPr>
              <w:t>数量均为2份（正本一份，副本一份）</w:t>
            </w:r>
            <w:r>
              <w:rPr>
                <w:rFonts w:hint="eastAsia" w:ascii="宋体" w:hAnsi="宋体" w:cs="宋体"/>
                <w:color w:val="auto"/>
                <w:sz w:val="24"/>
                <w:highlight w:val="none"/>
              </w:rPr>
              <w:t>。</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4.响应文件启用顺序和效力：响应文件的启用，按先后顺位分别为电子响应文件、以U盘存储的数据电文形式的备份响应文件、纸质备份响应文件。顺位在先的响应文件已按时解密的，备份响应文件自动失效。在下一顺位的响应文件启用时，前一顺位的响应文件自动失效。</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5.▲未传输递交电子响应文件的，投标无效。未按规定提供相应的备份响应文件，造成项目开评标活动无法进行下去的，投标无效。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15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磋商时间及评审地址</w:t>
            </w:r>
          </w:p>
        </w:tc>
        <w:tc>
          <w:tcPr>
            <w:tcW w:w="7212" w:type="dxa"/>
            <w:vAlign w:val="center"/>
          </w:tcPr>
          <w:p>
            <w:pPr>
              <w:rPr>
                <w:rFonts w:hint="eastAsia" w:ascii="宋体" w:hAnsi="宋体" w:eastAsia="宋体" w:cs="宋体"/>
                <w:color w:val="auto"/>
                <w:sz w:val="24"/>
                <w:highlight w:val="none"/>
                <w:lang w:eastAsia="zh-CN"/>
              </w:rPr>
            </w:pPr>
            <w:r>
              <w:rPr>
                <w:rFonts w:hint="eastAsia" w:ascii="宋体" w:hAnsi="宋体" w:cs="宋体"/>
                <w:color w:val="auto"/>
                <w:sz w:val="24"/>
                <w:highlight w:val="none"/>
              </w:rPr>
              <w:t>时间：北京时间</w:t>
            </w:r>
            <w:r>
              <w:rPr>
                <w:rFonts w:hint="eastAsia" w:ascii="宋体" w:hAnsi="宋体" w:cs="宋体"/>
                <w:color w:val="auto"/>
                <w:sz w:val="24"/>
                <w:szCs w:val="32"/>
                <w:highlight w:val="none"/>
                <w:lang w:eastAsia="zh-CN"/>
              </w:rPr>
              <w:t>2021年10月21日下午14:00</w:t>
            </w:r>
          </w:p>
          <w:p>
            <w:pPr>
              <w:rPr>
                <w:rFonts w:ascii="宋体" w:hAnsi="宋体" w:cs="宋体"/>
                <w:color w:val="auto"/>
                <w:sz w:val="24"/>
                <w:highlight w:val="none"/>
              </w:rPr>
            </w:pPr>
            <w:r>
              <w:rPr>
                <w:rFonts w:hint="eastAsia" w:ascii="宋体" w:hAnsi="宋体" w:cs="宋体"/>
                <w:color w:val="auto"/>
                <w:sz w:val="24"/>
                <w:highlight w:val="none"/>
              </w:rPr>
              <w:t>地点：台州市路桥区财富大道999号区政府商城办公区（商城国际）五楼政府采购中心开标室（</w:t>
            </w:r>
            <w:r>
              <w:rPr>
                <w:rFonts w:hint="eastAsia" w:ascii="宋体" w:hAnsi="宋体" w:cs="宋体"/>
                <w:color w:val="auto"/>
                <w:sz w:val="24"/>
                <w:highlight w:val="none"/>
                <w:lang w:val="en-US" w:eastAsia="zh-CN"/>
              </w:rPr>
              <w:t>二</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53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7212" w:type="dxa"/>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530" w:type="dxa"/>
            <w:vAlign w:val="center"/>
          </w:tcPr>
          <w:p>
            <w:pPr>
              <w:spacing w:line="360" w:lineRule="auto"/>
              <w:ind w:left="1"/>
              <w:jc w:val="center"/>
              <w:textAlignment w:val="bottom"/>
              <w:rPr>
                <w:rFonts w:ascii="宋体" w:hAnsi="宋体" w:cs="宋体"/>
                <w:color w:val="auto"/>
                <w:sz w:val="24"/>
                <w:highlight w:val="none"/>
              </w:rPr>
            </w:pPr>
            <w:r>
              <w:rPr>
                <w:rFonts w:hint="eastAsia" w:ascii="宋体" w:hAnsi="宋体" w:cs="宋体"/>
                <w:color w:val="auto"/>
                <w:sz w:val="24"/>
                <w:highlight w:val="none"/>
              </w:rPr>
              <w:t>样品及演示</w:t>
            </w:r>
          </w:p>
        </w:tc>
        <w:tc>
          <w:tcPr>
            <w:tcW w:w="7212" w:type="dxa"/>
            <w:vAlign w:val="center"/>
          </w:tcPr>
          <w:p>
            <w:pPr>
              <w:spacing w:line="360" w:lineRule="auto"/>
              <w:ind w:left="1"/>
              <w:textAlignment w:val="bottom"/>
              <w:rPr>
                <w:rFonts w:ascii="宋体" w:hAnsi="宋体" w:cs="宋体"/>
                <w:color w:val="auto"/>
                <w:sz w:val="24"/>
                <w:highlight w:val="none"/>
              </w:rPr>
            </w:pPr>
            <w:r>
              <w:rPr>
                <w:rFonts w:hint="eastAsia" w:ascii="宋体" w:hAnsi="宋体" w:cs="宋体"/>
                <w:color w:val="auto"/>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530" w:type="dxa"/>
            <w:vAlign w:val="center"/>
          </w:tcPr>
          <w:p>
            <w:pPr>
              <w:spacing w:line="360" w:lineRule="auto"/>
              <w:ind w:left="1"/>
              <w:jc w:val="center"/>
              <w:textAlignment w:val="bottom"/>
              <w:rPr>
                <w:rFonts w:ascii="宋体" w:hAnsi="宋体" w:cs="宋体"/>
                <w:color w:val="auto"/>
                <w:sz w:val="24"/>
                <w:highlight w:val="none"/>
              </w:rPr>
            </w:pPr>
            <w:r>
              <w:rPr>
                <w:rFonts w:hint="eastAsia" w:ascii="宋体" w:hAnsi="宋体" w:cs="宋体"/>
                <w:color w:val="auto"/>
                <w:sz w:val="24"/>
                <w:highlight w:val="none"/>
              </w:rPr>
              <w:t>节能环保</w:t>
            </w:r>
          </w:p>
        </w:tc>
        <w:tc>
          <w:tcPr>
            <w:tcW w:w="7212" w:type="dxa"/>
            <w:vAlign w:val="center"/>
          </w:tcPr>
          <w:p>
            <w:pPr>
              <w:spacing w:line="360" w:lineRule="auto"/>
              <w:ind w:left="1"/>
              <w:textAlignment w:val="bottom"/>
              <w:rPr>
                <w:rFonts w:ascii="宋体" w:hAnsi="宋体" w:cs="宋体"/>
                <w:color w:val="auto"/>
                <w:sz w:val="24"/>
                <w:highlight w:val="none"/>
              </w:rPr>
            </w:pPr>
            <w:r>
              <w:rPr>
                <w:rFonts w:hint="eastAsia" w:ascii="宋体" w:hAnsi="宋体" w:cs="宋体"/>
                <w:color w:val="auto"/>
                <w:sz w:val="24"/>
                <w:highlight w:val="none"/>
              </w:rPr>
              <w:t>符合国家相关规定。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1530" w:type="dxa"/>
            <w:vAlign w:val="center"/>
          </w:tcPr>
          <w:p>
            <w:pPr>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7212" w:type="dxa"/>
            <w:vAlign w:val="center"/>
          </w:tcPr>
          <w:p>
            <w:pPr>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▲”的条款是实质性条款，磋商响应文件须做出实质性响应，否则终止磋商。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72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auto"/>
                <w:sz w:val="24"/>
                <w:highlight w:val="none"/>
              </w:rPr>
            </w:pPr>
            <w:r>
              <w:rPr>
                <w:rFonts w:hint="eastAsia" w:ascii="宋体" w:hAnsi="宋体" w:cs="宋体"/>
                <w:color w:val="auto"/>
                <w:sz w:val="24"/>
                <w:highlight w:val="none"/>
              </w:rPr>
              <w:t>本磋商文件解释权属于采购人和浙江五石工程咨询有限公司。</w:t>
            </w:r>
          </w:p>
        </w:tc>
      </w:tr>
    </w:tbl>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注：以上内容如有变化将另行书面通知。如通知其中某一内容发生变化，其余未提及的将不作变动。</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 适用范围</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本磋商文件适用于本次项目的磋商、评审、确定成交供应商、验收、合同履约、付款等行为（法律、法规另有规定的，从其规定）。</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（二）定义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1、“采购组织机构”：是指采购人委托组织磋商的采购代理机构。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3、磋商供应商：是指向采购组织机构提交磋商响应文件的单位或个人。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5、“书面形式”包括信函、传真等。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6、“▲”系指实质性要求条款。</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（三）磋商费用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不论磋商结果如何，供应商均应自行承担所有与磋商有关的全部费用（磋商文件有相关规定除外）。</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（四）特别说明</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1、供应商磋商所使用的资格、信誉、荣誉、业绩与企业认证必须为本法人所拥有。供应商磋商所使用的采购项目实施人员必须为本法人员工（指必须为本法人或控股公司正式员工）。</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供应商在磋商活动中提供任何虚假材料，其响应无效，并报监管部门查处；成交后发现的，成交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5、磋商响应文件（即响应文件）格式中的表格式样可以根据项目差别做适当调整，但应当保持表格样式基本形态不变。</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7、本项目不允许分包</w:t>
      </w:r>
      <w:r>
        <w:rPr>
          <w:rFonts w:hint="eastAsia" w:ascii="宋体" w:hAnsi="宋体" w:cs="宋体"/>
          <w:color w:val="auto"/>
          <w:sz w:val="24"/>
          <w:highlight w:val="none"/>
        </w:rPr>
        <w:t>。</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二、磋商响应文件</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（一）磋商响应文件的组成</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供应商应仔细阅读磋商采购文件的所有内容，按磋商采购文件的要求，详细编制磋商响应文件。</w:t>
      </w:r>
      <w:r>
        <w:rPr>
          <w:rFonts w:hint="eastAsia" w:ascii="宋体" w:hAnsi="宋体" w:cs="宋体"/>
          <w:color w:val="auto"/>
          <w:sz w:val="24"/>
          <w:szCs w:val="32"/>
          <w:highlight w:val="none"/>
          <w:lang w:val="zh-CN"/>
        </w:rPr>
        <w:t>【特别提示：如有要求提供资料原件的，原件另行包装，并与磋商响应文件一起提交，磋商响应截止时间后所有原件不予接收。资料原件也可以用与原件相符的公证原件替代】</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（一）磋商响应文件的组成</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供应商应仔细阅读磋商采购文件的所有内容，按磋商采购文件的要求，详细编制磋商响应文件。</w:t>
      </w:r>
      <w:r>
        <w:rPr>
          <w:rFonts w:hint="eastAsia" w:ascii="宋体" w:hAnsi="宋体" w:cs="宋体"/>
          <w:color w:val="auto"/>
          <w:sz w:val="24"/>
          <w:szCs w:val="32"/>
          <w:highlight w:val="none"/>
          <w:lang w:val="zh-CN"/>
        </w:rPr>
        <w:t>【特别提示：如有要求提供资料原件的，原件另行包装，并与磋商响应文件一起提交，磋商响应截止时间后所有原件不予接收。资料原件也可以用与原件相符的公证原件替代】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1、资格证明内容的组成：</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（1）磋商声明书</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（2）授权委托书（法定代表人（单位负责人）亲自办理磋商响应事宜的，则无需提交）；</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（5）具备履行合同所必需的设备和专业技术能力的证明材料（根据项目性质提供）；</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（6）提供采购公告中符合供应商特定条件的相关证明材料（磋商供应商特定条件中有要求的必须提供），以及需要说明的其他资料；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2、商务与技术内容的组成：</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（1）供应商情况介绍。</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（2）磋商响应方案描述：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B.项目组织实施方案（包括项目实施进度安排、项目实施人员及项目负责人的资质、类似经验及社保证明等）。</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（3）磋商响应描述及相关资料：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C.商务及技术响应表。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（4）供应商通过的质量管理和质量保证体系、自主创新相关证书、软件著作权证等等与本项目相关的认证证书或文件；</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（5）近三年来类似项目的成功案例（供应商类似项目实施情况一览表、合同复印件及其相应的发票、用户验收报告等；</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（6）供应商认为需要提供的其他资料（包括可能影响供应商商务与技术内容评分的各类证明材料）。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（7）售后服务描述及承诺：</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B.针对本项目的售后服务措施及承诺（售后技术服务方案、人员配备、响应时间、技术培训方案等）。</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3、报价内容的组成</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（1）报价内容由首次报价一览表、报价明细表，以及供应商认为其他需要说明的内容组成。</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）总报价应当包括合同包含的所有风险责任、</w:t>
      </w:r>
      <w:r>
        <w:rPr>
          <w:rFonts w:hint="eastAsia" w:ascii="宋体" w:hAnsi="宋体" w:cs="宋体"/>
          <w:color w:val="auto"/>
          <w:sz w:val="24"/>
          <w:szCs w:val="32"/>
          <w:highlight w:val="none"/>
        </w:rPr>
        <w:t>管理费</w:t>
      </w:r>
      <w:r>
        <w:rPr>
          <w:rFonts w:hint="eastAsia" w:ascii="宋体" w:hAnsi="宋体" w:cs="宋体"/>
          <w:color w:val="auto"/>
          <w:sz w:val="24"/>
          <w:szCs w:val="32"/>
          <w:highlight w:val="none"/>
          <w:lang w:val="zh-CN"/>
        </w:rPr>
        <w:t>等各项费用及不可预见费等所需的全部费用。</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（4）相关报价表需打印或用不退色的墨水填写， 磋商响应报价表不得涂改和增删，如有错漏必须修改，修改处须由同一签署人签字或盖章。由于字迹模糊或表达不清引起的后果由供应商负责。</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（5）报价有关表格应按磋商采购文件中相关附表格式填写。</w:t>
      </w:r>
    </w:p>
    <w:p>
      <w:pPr>
        <w:spacing w:line="360" w:lineRule="auto"/>
        <w:ind w:firstLine="241" w:firstLineChars="100"/>
        <w:rPr>
          <w:rFonts w:ascii="宋体" w:hAnsi="宋体" w:cs="宋体"/>
          <w:b/>
          <w:bCs/>
          <w:color w:val="auto"/>
          <w:sz w:val="24"/>
          <w:szCs w:val="32"/>
          <w:highlight w:val="none"/>
          <w:lang w:val="zh-CN"/>
        </w:rPr>
      </w:pPr>
      <w:r>
        <w:rPr>
          <w:rFonts w:hint="eastAsia" w:ascii="宋体" w:hAnsi="宋体" w:cs="宋体"/>
          <w:b/>
          <w:bCs/>
          <w:color w:val="auto"/>
          <w:sz w:val="24"/>
          <w:szCs w:val="32"/>
          <w:highlight w:val="none"/>
        </w:rPr>
        <w:t>（二）磋商响应文件的制作、封装及递交要求</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1、磋商响应文件的制作要求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1.1本项目通过“政府采购云平台（www.zcygov.cn）”实行在线投标响应（电子投标）。供应商应通过“政采云电子交易客户端”，并按照本</w:t>
      </w:r>
      <w:r>
        <w:rPr>
          <w:rFonts w:hint="eastAsia" w:ascii="宋体" w:hAnsi="宋体" w:cs="宋体"/>
          <w:color w:val="auto"/>
          <w:sz w:val="24"/>
          <w:szCs w:val="32"/>
          <w:highlight w:val="none"/>
          <w:lang w:val="zh-CN"/>
        </w:rPr>
        <w:t>磋商</w:t>
      </w:r>
      <w:r>
        <w:rPr>
          <w:rFonts w:hint="eastAsia" w:ascii="宋体" w:hAnsi="宋体" w:cs="宋体"/>
          <w:color w:val="auto"/>
          <w:sz w:val="24"/>
          <w:szCs w:val="32"/>
          <w:highlight w:val="none"/>
        </w:rPr>
        <w:t>文件和“政府采购云平台”的要求编制并加密</w:t>
      </w:r>
      <w:r>
        <w:rPr>
          <w:rFonts w:hint="eastAsia" w:ascii="宋体" w:hAnsi="宋体" w:cs="宋体"/>
          <w:color w:val="auto"/>
          <w:sz w:val="24"/>
          <w:szCs w:val="32"/>
          <w:highlight w:val="none"/>
          <w:lang w:val="zh-CN"/>
        </w:rPr>
        <w:t>磋商响应文件</w:t>
      </w:r>
      <w:r>
        <w:rPr>
          <w:rFonts w:hint="eastAsia" w:ascii="宋体" w:hAnsi="宋体" w:cs="宋体"/>
          <w:color w:val="auto"/>
          <w:sz w:val="24"/>
          <w:szCs w:val="32"/>
          <w:highlight w:val="none"/>
        </w:rPr>
        <w:t>。</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lang w:val="zh-CN"/>
        </w:rPr>
        <w:t>1.2各供应商在编制磋商响应文件时请按照磋商文件第六部分规定的格式进行，</w:t>
      </w:r>
      <w:r>
        <w:rPr>
          <w:rFonts w:hint="eastAsia" w:ascii="宋体" w:hAnsi="宋体" w:cs="宋体"/>
          <w:color w:val="auto"/>
          <w:sz w:val="24"/>
          <w:szCs w:val="32"/>
          <w:highlight w:val="none"/>
        </w:rPr>
        <w:t>并按格式要求在指定位置根据要求进行签章，否则视为未提供，未提供格式的，请各供应商自行拟定格式。</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1.3 供应商应对所提供的全部资料的真实性承担法律责任，磋商响应文件内容中有要求盖章或签字的地方，必须加盖磋商供应商的公章以及法定代表人（单位负责人）或授权委托代理人的盖章或签字，其中所有证书类文件提供的复印件必须全部加盖单位公章且必须在有效期内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1.4磋商响应文件以及磋商供应商与采购组织机构就有关磋商事宜的所有来往函电，均应以中文汉语书写。除签字、盖章、专用名称等特殊情形外，以中文汉语以外的文字表述的磋商响应文件视同未提供。</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1.5 若磋商供应商不按采购文件的要求提供资格审查材料，其风险由磋商供应商自行承担。</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2、提供纸质响应文件要求：见《前附表》</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3、响应文件的签章</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lang w:val="zh-CN"/>
        </w:rPr>
        <w:t>磋商响应</w:t>
      </w:r>
      <w:r>
        <w:rPr>
          <w:rFonts w:hint="eastAsia" w:ascii="宋体" w:hAnsi="宋体" w:cs="宋体"/>
          <w:color w:val="auto"/>
          <w:sz w:val="24"/>
          <w:szCs w:val="32"/>
          <w:highlight w:val="none"/>
        </w:rPr>
        <w:t>文件按照</w:t>
      </w:r>
      <w:r>
        <w:rPr>
          <w:rFonts w:hint="eastAsia" w:ascii="宋体" w:hAnsi="宋体" w:cs="宋体"/>
          <w:color w:val="auto"/>
          <w:sz w:val="24"/>
          <w:szCs w:val="32"/>
          <w:highlight w:val="none"/>
          <w:lang w:val="zh-CN"/>
        </w:rPr>
        <w:t>磋商</w:t>
      </w:r>
      <w:r>
        <w:rPr>
          <w:rFonts w:hint="eastAsia" w:ascii="宋体" w:hAnsi="宋体" w:cs="宋体"/>
          <w:color w:val="auto"/>
          <w:sz w:val="24"/>
          <w:szCs w:val="32"/>
          <w:highlight w:val="none"/>
        </w:rPr>
        <w:t>文件第六部分格式要求进行签署、盖章。供应商的响应文件未按照</w:t>
      </w:r>
      <w:r>
        <w:rPr>
          <w:rFonts w:hint="eastAsia" w:ascii="宋体" w:hAnsi="宋体" w:cs="宋体"/>
          <w:color w:val="auto"/>
          <w:sz w:val="24"/>
          <w:szCs w:val="32"/>
          <w:highlight w:val="none"/>
          <w:lang w:val="zh-CN"/>
        </w:rPr>
        <w:t>磋商</w:t>
      </w:r>
      <w:r>
        <w:rPr>
          <w:rFonts w:hint="eastAsia" w:ascii="宋体" w:hAnsi="宋体" w:cs="宋体"/>
          <w:color w:val="auto"/>
          <w:sz w:val="24"/>
          <w:szCs w:val="32"/>
          <w:highlight w:val="none"/>
        </w:rPr>
        <w:t>文件要求签署、盖章的，其投标无效；其中电子响应文件中所须加盖公章部分均采用CA签章，并根据《政府采购项目电子交易管理操作指南-供应商》及本采购文件规定的格式和顺序编制电子响应文件并进行关联定位。</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4、备份响应文件的密封与标志</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4.1备份响应文件须密封包装。没有密封包装的响应文件，将被拒收。</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4.2备份响应文件包装封面物应写明项目名称、供应商名称（联合体投标的，包装物封面需注明联合体投标，并注明联合体成员各方的名称和联合体协议中约定的牵头人的名称）。</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5、磋商响应文件的上传和递交</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5.1“磋商响应文件”的上传、递交：见</w:t>
      </w:r>
      <w:r>
        <w:rPr>
          <w:rFonts w:hint="eastAsia" w:ascii="宋体" w:hAnsi="宋体" w:cs="宋体"/>
          <w:color w:val="auto"/>
          <w:sz w:val="24"/>
          <w:szCs w:val="32"/>
          <w:highlight w:val="none"/>
          <w:lang w:val="zh-CN"/>
        </w:rPr>
        <w:t>竞争性磋商公告及</w:t>
      </w:r>
      <w:r>
        <w:rPr>
          <w:rFonts w:hint="eastAsia" w:ascii="宋体" w:hAnsi="宋体" w:cs="宋体"/>
          <w:color w:val="auto"/>
          <w:sz w:val="24"/>
          <w:szCs w:val="32"/>
          <w:highlight w:val="none"/>
        </w:rPr>
        <w:t>《前附表》。▲未传输递交电子响应文件的，投标无效。</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2</w:t>
      </w:r>
      <w:r>
        <w:rPr>
          <w:rFonts w:hint="eastAsia" w:ascii="宋体" w:hAnsi="宋体" w:cs="宋体"/>
          <w:color w:val="auto"/>
          <w:sz w:val="24"/>
          <w:szCs w:val="32"/>
          <w:highlight w:val="none"/>
        </w:rPr>
        <w:t>供应商应当在投标截止时间将以介质存储的数据电文形式的备份磋商响应文件和纸质备份磋商响应文件分别密封送交到招标公告规定的投标地点。▲未按规定提供相应的备份磋商响应文件，造成项目开评标活动无法进行下去的，投标无效。采购机构将拒绝接受逾期送达的磋商响应文件。</w:t>
      </w:r>
    </w:p>
    <w:p>
      <w:pPr>
        <w:spacing w:line="360" w:lineRule="auto"/>
        <w:ind w:firstLine="482" w:firstLineChars="200"/>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6、响应文件的补充、修改、撤回</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6.1供应商应当在投标截止时间前完成电子响应文件的上传、递交，并可以补充、修改或者撤回响应文件。补充或者修改响应文件的，应当先行撤回原文件，补充、修改后重新上传、递交。投标截止时间前未完成上传、递交的，视为撤回响应文件。投标截止时间后递交的响应文件，“政府采购云平台”将予以拒收。</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2</w:t>
      </w:r>
      <w:r>
        <w:rPr>
          <w:rFonts w:hint="eastAsia" w:ascii="宋体" w:hAnsi="宋体" w:cs="宋体"/>
          <w:color w:val="auto"/>
          <w:sz w:val="24"/>
          <w:szCs w:val="32"/>
          <w:highlight w:val="none"/>
        </w:rPr>
        <w:t>投标截止时间后，磋商供应商不得撤回、修改响应文件。</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lang w:val="zh-CN"/>
        </w:rPr>
        <w:t>6.3</w:t>
      </w:r>
      <w:r>
        <w:rPr>
          <w:rFonts w:hint="eastAsia" w:ascii="宋体" w:hAnsi="宋体" w:cs="宋体"/>
          <w:color w:val="auto"/>
          <w:sz w:val="24"/>
          <w:szCs w:val="32"/>
          <w:highlight w:val="none"/>
        </w:rPr>
        <w:t>在开标后规定的投标有效期内，供应商不能撤销响应文件。</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（三）磋商响应文件的有效期</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rPr>
        <w:t>自磋商响应截止日起90天磋商响应文件应保持有效。有效期不足的磋商响应文件将被拒绝。</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2、在特殊情况下，采购人可与磋商供应商协商延长磋商响应文件的有效期，这种要求和答复均以书面形式进行。</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3、成交供应商的磋商响应文件自磋商之日起至合同履行完毕均应保持有效。</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三、磋商</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（一）磋商程序</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1、采购组织机构将在“磋商公告”规定的时间和地点进行磋商，磋商采购会议由采购组织机构工作人员主持。</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主持人宣布磋商采购会议开始，介绍磋商现场的人员情况，宣读提交磋商响应文件的供应商名单、磋商纪律、应当回避的情形等注意事项，组织供应商签署不存在影响公平竞争的《政府采购活动现场确认声明书》。</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3、向各供应商发出电子加密响应文件【开始解密】通知，由供应商按磋商文件规定的时间内自行进行响应文件解密。磋商响应文件的制作和解密应使用同一个数字证书，否则将可能解密失败。</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4、采购组织机构点击【开启标书信息】，开启标书成功后进入开标流程。</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5、本项目原则上采用电子评审方法，若因政采云平台原因无法读取或电子开评标无法正常进行，采购代理机构将开启所有供应商递交的纸质备份响应文件，以完成开、评标，电子响应文件及以介质存储的数据电文形式的备份响应文件自动失效。</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6、磋商小组必须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7、磋商小组所有成员集中与单一供应商分别进行磋商，并给予所有参加磋商的供应商平等的磋商机会。</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8、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供应商应当按照磋商文件的变动情况和磋商小组的要求重新提交响应文件，并由其法定代表人（单位负责人）或授权委托代理人签字或者加盖公章。</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 xml:space="preserve">9、磋商文件能够详细列明采购标的技术、服务要求的，磋商结束后，磋商小组将要求所有实质性响应的供应商在规定时间内提交最后报价，最后报价是供应商响应文件的有效组成部分。 </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10、经磋商确定最终采购需求和提交最后报价的供应商后，由磋商小组采用综合评分法对提交最后报价的供应商的响应文件和最后报价进行综合评分。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11、磋商小组根据综合评分情况，按照评审得分由高到低顺序确定预成交供应商，编写评审报告。</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12、采购组织机构对磋商小组专家成员进行评价；</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13、主持人到磋商采购会现场宣布磋商结果（含技术得分、最后报价、报价得分及总得分），磋商采购会议结束。</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（二）澄清问题的形式</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磋商供应商的澄清、说明或者补正应当采用书面形式，并加盖公章，或者由法定代理人或其授权的代表签字，并不得超出磋商响应文件的范围或者改变磋商响应文件的实质性内容。</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（三）错误修正</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磋商响应文件报价出现前后不一致的，除磋商采购文件另有规定外，按照下列规定修正：</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1、磋商响应文件中首次报价一览表内容与磋商响应文件中相应内容不一致的，以首次报价一览表为准；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2、大写金额和小写金额不一致的，以大写金额为准；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3、单价金额小数点或者百分比有明显错位的，以首次报价一览表的总价为准，并修改单价；</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4、总价金额与按单价汇总金额不一致的，以单价金额计算结果为准。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同时出现两种以上不一致的，按照前款规定的顺序修正。修正应当采用书面形式，并加盖公章，或者由法定代表人（单位负责人）或其授权的代表签字。修正后的报价经磋商供应商确认后产生约束力，磋商供应商不确认的，将终止磋商。</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（四）磋商供应商存在下列情况之一的，响应无效，终止磋商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1、磋商响应文件中的商务与技术内容中的服务出现重大偏差的；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2、不具备磋商采购文件中规定的资格要求的。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3、磋商响应文件含有采购人不能接受的附加条件的。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4、供应商代表人未能出具身份证明或与法定代表人（单位负责人）授权委托人身份不符的；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5、磋商小组认为供应商的报价明显低于其他通过符合性审查供应商的报价，有可能影响诚信履约的，应当要求其在评审现场合理的时间内提供书面说明，必要时提交相关证明材料；供应商不能证明其报价合理性的，磋商小组应当与其终止磋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6、报价超过磋商采购文件中规定的预算金额/最高限价。</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7、磋商参数未如实填写，完全复制粘贴磋商采购参数的。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8、磋商响应文件提供虚假材料的。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9、不同供应商的磋商响应文件由同一单位或者个人编制；</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10、不同供应商委托同一单位或者个人办理磋商事宜；</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11、不同供应商的磋商响应文件载明的项目管理成员或者联系人员为同一人；</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12、不同供应商的磋商响应文件异常一致或者报价呈规律性差异；</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13、不同供应商的磋商响应文件相互混装；</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14、不同供应商的磋商保证金从同一单位或者个人的账户转出；</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15、不符合法律、法规和磋商采购文件中规定的其他实质性要求的（磋商采购文件中打“▲”内容及被拒绝的条款）。</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16、未传输递交电子响应文件的或者未按规定提供相应的备份响应文件，造成项目开评标活动无法进行下去的。</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（五）有下列情况之一的，本次磋商终止。</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1、出现影响采购公正的违法、违规行为的；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 xml:space="preserve">2、磋商小组发现磋商文件存在歧义、重大缺陷导致评审工作无法进行，或者磋商文件内容违反国家有关强制性规定的； </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3、因重大变故，采购任务取消的；</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4、法律、法规和磋商文件规定的其他导致评审结果无效的。</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（六）磋商原则和方法</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2、磋商办法。具体磋商内容及评分标准等详见《三、评审办法及评审标准》。</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（七）评审过程的监控</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本项目评审过程实行全程录音、录像监控，政府采购监管部门视情进行现场监督，供应商在评审过程中所进行的试图影响评审结果的不公正活动，可能导致其被拒绝磋商。</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四、磋商结果确定</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2、发布成交结果公告。采购组织机构应当在成交供应商确定后2个工作日内，在省级以上财政部门指定的政府采购信息发布媒体及相关网站上公告成交结果，并将磋商文件随同公告。</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3、发出成交通知书。采购组织机构在发布成交结果同时，向成交供应商发出成交通知书。</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5、代理费</w:t>
      </w:r>
      <w:r>
        <w:rPr>
          <w:rFonts w:hint="eastAsia" w:ascii="宋体" w:hAnsi="宋体" w:cs="宋体"/>
          <w:color w:val="auto"/>
          <w:sz w:val="24"/>
          <w:szCs w:val="32"/>
          <w:highlight w:val="none"/>
          <w:lang w:val="zh-CN"/>
        </w:rPr>
        <w:t>用：招标代理费用按照《国家发展改革委关于进一步放开建设项目专业服务价格的通知》（发改价格2015 299号）执行，按照下列表格中</w:t>
      </w:r>
      <w:r>
        <w:rPr>
          <w:rFonts w:hint="eastAsia" w:ascii="宋体" w:hAnsi="宋体" w:cs="宋体"/>
          <w:color w:val="auto"/>
          <w:sz w:val="24"/>
          <w:szCs w:val="32"/>
          <w:highlight w:val="none"/>
        </w:rPr>
        <w:t>服务</w:t>
      </w:r>
      <w:r>
        <w:rPr>
          <w:rFonts w:hint="eastAsia" w:ascii="宋体" w:hAnsi="宋体" w:cs="宋体"/>
          <w:color w:val="auto"/>
          <w:sz w:val="24"/>
          <w:szCs w:val="32"/>
          <w:highlight w:val="none"/>
          <w:lang w:val="zh-CN"/>
        </w:rPr>
        <w:t>类标准向中标单位收取招标代理费，中标方须在中标通知书发出5日内一次性付清。（户名：浙江五石工程咨询有限公司；账号：1202003209900014176；开户银行：中国工商银行杭州市潮王路支行）财务电话：0571-88271625。</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五、合同签订及公告</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（一）签订合同</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1、采购人应当自成交通知书发出之日起10个工作日内，按照磋商采购文件确定的合同文本以及采购标的、采购金额、采购数量和服务要求等事项签订政府采购合同。</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2、采购人不得向成交供应商提出超出磋商文件以外的任何要求作为签订合同的条件，不得与成交供应商订立背离磋商文件确定的合同文本以及采购标的、采购金额、采购数量和服务要求等实质性内容的协议。</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3、成交供应商无故拖延、拒签合同的，磋商保证金将不予退还并取消成交资格。</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做出处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5、询问或者质疑事项可能影响成交结果的，采购人应当暂停签订合同，已经签订合同的，应当中止履行合同（成交结果的质疑期为成交结果公告期限届满之日起七个工作日）。</w:t>
      </w:r>
    </w:p>
    <w:p>
      <w:pPr>
        <w:spacing w:line="360" w:lineRule="auto"/>
        <w:ind w:firstLine="241" w:firstLineChars="100"/>
        <w:rPr>
          <w:rFonts w:ascii="宋体" w:hAnsi="宋体" w:cs="宋体"/>
          <w:b/>
          <w:bCs/>
          <w:color w:val="auto"/>
          <w:sz w:val="24"/>
          <w:szCs w:val="32"/>
          <w:highlight w:val="none"/>
        </w:rPr>
      </w:pPr>
      <w:r>
        <w:rPr>
          <w:rFonts w:hint="eastAsia" w:ascii="宋体" w:hAnsi="宋体" w:cs="宋体"/>
          <w:b/>
          <w:bCs/>
          <w:color w:val="auto"/>
          <w:sz w:val="24"/>
          <w:szCs w:val="32"/>
          <w:highlight w:val="none"/>
        </w:rPr>
        <w:t>（二）合同公告及备案</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1、采购人应当自政府采购合同签订之日起2个工作日内，在省级以上财政部门指定的政府采购信息发布媒体及相关网站上公告。</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2、采购人应当自政府采购合同签订之日起7个工作日内，将政府采购合同副本报同级人民政府财政部门备案以及采购组织机构存档。</w:t>
      </w:r>
    </w:p>
    <w:p>
      <w:pPr>
        <w:spacing w:line="360" w:lineRule="auto"/>
        <w:ind w:firstLine="480" w:firstLineChars="200"/>
        <w:jc w:val="left"/>
        <w:rPr>
          <w:rFonts w:ascii="宋体" w:hAnsi="宋体" w:cs="宋体"/>
          <w:color w:val="auto"/>
          <w:sz w:val="24"/>
          <w:szCs w:val="32"/>
          <w:highlight w:val="none"/>
          <w:lang w:val="zh-CN"/>
        </w:rPr>
      </w:pPr>
    </w:p>
    <w:p>
      <w:pPr>
        <w:spacing w:line="360" w:lineRule="auto"/>
        <w:ind w:firstLine="480" w:firstLineChars="200"/>
        <w:jc w:val="left"/>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9"/>
        <w:rPr>
          <w:rFonts w:ascii="宋体" w:hAnsi="宋体" w:cs="宋体"/>
          <w:color w:val="auto"/>
          <w:szCs w:val="32"/>
          <w:highlight w:val="none"/>
        </w:rPr>
      </w:pPr>
    </w:p>
    <w:p>
      <w:pPr>
        <w:pStyle w:val="10"/>
        <w:rPr>
          <w:rFonts w:ascii="宋体" w:hAnsi="宋体" w:cs="宋体"/>
          <w:color w:val="auto"/>
          <w:sz w:val="24"/>
          <w:szCs w:val="32"/>
          <w:highlight w:val="none"/>
        </w:rPr>
      </w:pPr>
    </w:p>
    <w:p>
      <w:pPr>
        <w:pStyle w:val="11"/>
        <w:rPr>
          <w:rFonts w:ascii="宋体" w:hAnsi="宋体" w:cs="宋体"/>
          <w:color w:val="auto"/>
          <w:sz w:val="24"/>
          <w:szCs w:val="32"/>
          <w:highlight w:val="none"/>
        </w:rPr>
      </w:pPr>
    </w:p>
    <w:p>
      <w:pPr>
        <w:rPr>
          <w:rFonts w:ascii="宋体" w:hAnsi="宋体" w:cs="宋体"/>
          <w:color w:val="auto"/>
          <w:sz w:val="24"/>
          <w:szCs w:val="32"/>
          <w:highlight w:val="none"/>
        </w:rPr>
      </w:pPr>
    </w:p>
    <w:p>
      <w:pPr>
        <w:pStyle w:val="9"/>
        <w:rPr>
          <w:rFonts w:ascii="宋体" w:hAnsi="宋体" w:cs="宋体"/>
          <w:color w:val="auto"/>
          <w:szCs w:val="32"/>
          <w:highlight w:val="none"/>
        </w:rPr>
      </w:pPr>
    </w:p>
    <w:p>
      <w:pPr>
        <w:pStyle w:val="10"/>
        <w:rPr>
          <w:rFonts w:ascii="宋体" w:hAnsi="宋体" w:cs="宋体"/>
          <w:color w:val="auto"/>
          <w:sz w:val="24"/>
          <w:szCs w:val="32"/>
          <w:highlight w:val="none"/>
        </w:rPr>
      </w:pPr>
    </w:p>
    <w:p>
      <w:pPr>
        <w:pStyle w:val="11"/>
        <w:rPr>
          <w:rFonts w:ascii="宋体" w:hAnsi="宋体" w:cs="宋体"/>
          <w:color w:val="auto"/>
          <w:sz w:val="24"/>
          <w:szCs w:val="32"/>
          <w:highlight w:val="none"/>
        </w:rPr>
      </w:pPr>
    </w:p>
    <w:p>
      <w:pPr>
        <w:rPr>
          <w:rFonts w:ascii="宋体" w:hAnsi="宋体" w:cs="宋体"/>
          <w:color w:val="auto"/>
          <w:sz w:val="24"/>
          <w:szCs w:val="32"/>
          <w:highlight w:val="none"/>
        </w:rPr>
      </w:pPr>
    </w:p>
    <w:p>
      <w:pPr>
        <w:rPr>
          <w:rFonts w:ascii="宋体" w:hAnsi="宋体" w:cs="宋体"/>
          <w:color w:val="auto"/>
          <w:sz w:val="24"/>
          <w:szCs w:val="32"/>
          <w:highlight w:val="none"/>
        </w:rPr>
      </w:pPr>
    </w:p>
    <w:p>
      <w:pPr>
        <w:rPr>
          <w:rFonts w:ascii="宋体" w:hAnsi="宋体" w:cs="宋体"/>
          <w:color w:val="auto"/>
          <w:sz w:val="24"/>
          <w:szCs w:val="32"/>
          <w:highlight w:val="none"/>
        </w:rPr>
      </w:pPr>
    </w:p>
    <w:p>
      <w:pPr>
        <w:rPr>
          <w:rFonts w:ascii="宋体" w:hAnsi="宋体" w:cs="宋体"/>
          <w:color w:val="auto"/>
          <w:sz w:val="24"/>
          <w:szCs w:val="32"/>
          <w:highlight w:val="none"/>
        </w:rPr>
      </w:pPr>
    </w:p>
    <w:p>
      <w:pPr>
        <w:spacing w:line="360" w:lineRule="auto"/>
        <w:ind w:firstLine="723" w:firstLineChars="200"/>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第三部分 评审办法及评审标准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一、采购组织机构将组织磋商小组，磋商小组由3人以上单数组成，对供应商提供的磋商响应文件进行综合评审。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二、本次磋商项目的评审方法为</w:t>
      </w:r>
      <w:r>
        <w:rPr>
          <w:rFonts w:hint="eastAsia" w:ascii="宋体" w:hAnsi="宋体" w:cs="宋体"/>
          <w:b/>
          <w:bCs/>
          <w:color w:val="auto"/>
          <w:sz w:val="24"/>
          <w:szCs w:val="32"/>
          <w:highlight w:val="none"/>
        </w:rPr>
        <w:t>综合评分法</w:t>
      </w:r>
      <w:r>
        <w:rPr>
          <w:rFonts w:hint="eastAsia" w:ascii="宋体" w:hAnsi="宋体" w:cs="宋体"/>
          <w:color w:val="auto"/>
          <w:sz w:val="24"/>
          <w:szCs w:val="32"/>
          <w:highlight w:val="none"/>
        </w:rPr>
        <w:t>，总计100分。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（一）商务与技术文件中的客观分由磋商小组讨论后统一打分；其余在规定的分值内单独评定打分。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（二）各磋商供应商商务与技术文件得分按照磋商小组成员的独立评分结果汇总后的算术平均分计算，计算公式为：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商务与技术文件得分=磋商小组所有成员评分合计数/磋商小组组成人员数。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（三）综合评分法中的价格分统一采用低价优先法计算，即满足磋商文件要求通过一轮磋商且最后报价最低的供应商的价格作为磋商基准价，其报价得满分。其他供应商的价格分统一按照下列公式计算：</w:t>
      </w:r>
    </w:p>
    <w:p>
      <w:pPr>
        <w:spacing w:line="360" w:lineRule="auto"/>
        <w:ind w:firstLine="482" w:firstLineChars="200"/>
        <w:rPr>
          <w:rFonts w:ascii="宋体" w:hAnsi="宋体" w:cs="宋体"/>
          <w:b/>
          <w:bCs/>
          <w:color w:val="auto"/>
          <w:sz w:val="24"/>
          <w:szCs w:val="32"/>
          <w:highlight w:val="none"/>
          <w:u w:val="single"/>
        </w:rPr>
      </w:pPr>
      <w:r>
        <w:rPr>
          <w:rFonts w:hint="eastAsia" w:ascii="宋体" w:hAnsi="宋体" w:cs="宋体"/>
          <w:b/>
          <w:bCs/>
          <w:color w:val="auto"/>
          <w:sz w:val="24"/>
          <w:szCs w:val="32"/>
          <w:highlight w:val="none"/>
          <w:u w:val="single"/>
        </w:rPr>
        <w:t>投标报价得分＝（评标基准价</w:t>
      </w:r>
      <w:r>
        <w:rPr>
          <w:rFonts w:ascii="宋体" w:hAnsi="宋体" w:cs="宋体"/>
          <w:b/>
          <w:bCs/>
          <w:color w:val="auto"/>
          <w:sz w:val="24"/>
          <w:szCs w:val="32"/>
          <w:highlight w:val="none"/>
          <w:u w:val="single"/>
        </w:rPr>
        <w:t>/投标报价）×</w:t>
      </w:r>
      <w:r>
        <w:rPr>
          <w:rFonts w:hint="eastAsia" w:ascii="宋体" w:hAnsi="宋体" w:cs="宋体"/>
          <w:b/>
          <w:bCs/>
          <w:color w:val="auto"/>
          <w:sz w:val="24"/>
          <w:szCs w:val="32"/>
          <w:highlight w:val="none"/>
          <w:u w:val="single"/>
        </w:rPr>
        <w:t>1</w:t>
      </w:r>
      <w:r>
        <w:rPr>
          <w:rFonts w:ascii="宋体" w:hAnsi="宋体" w:cs="宋体"/>
          <w:b/>
          <w:bCs/>
          <w:color w:val="auto"/>
          <w:sz w:val="24"/>
          <w:szCs w:val="32"/>
          <w:highlight w:val="none"/>
          <w:u w:val="single"/>
        </w:rPr>
        <w:t>0%×100。（小数点后保留2位小数）</w:t>
      </w:r>
    </w:p>
    <w:p>
      <w:pPr>
        <w:numPr>
          <w:ilvl w:val="0"/>
          <w:numId w:val="2"/>
        </w:num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政府采购政策及优惠：</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①组成联合体或者接受分包的小微企业与联合体内其他企业、分包企业之间存在直接控股、管理关系的，不享受价格扣除优惠政策。</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以联合体形式参加政府采购活动，联合体各方均为中小企业的，联合体视同中小企业。其中，联合体各方均为小微企业的，联合体视同小微企业。</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投标文件中须同时出具《政府采购促进中小企业发展管理办法》【财库（2020）46号】规定的《中小企业声明函》，否则不得享受价格扣除。</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本项目对符合规定的小微企业（含小型企业）报价给予6%的扣除。</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对符合规定的联合体或者大中型企业的报价给予2%的扣除。（不接受联合体投标的，本条不适用）。</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②根据《关于政府采购支持监狱企业发展有关问题的通知》（财库[2014]68号）的规定，供应商如为监狱企业且所投产品为小型或微型企业生产的，其投标报价扣除6%后参与评审。</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享受政府采购支持政策的残疾人福利性单位应当同时满足以下条件：</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（一）安置的残疾人占本单位在职职工人数的比例不低于25%（含25%），并且安置的残疾人人数不少于10人（含10人）；</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（二）依法与安置的每位残疾人签订了一年以上（含一年）的劳动合同或服务协议；</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（三）为安置的每位残疾人按月足额缴纳了基本养老保险、基本医疗保险、失业保险、工伤保险和生育保险等社会保险费；</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（四）通过银行等金融机构向安置的每位残疾人，按月支付了不低于单位所在区县适用的经省级人民政府批准的月最低工资标准的工资；</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（五）提供本单位制造的货物、承担的工程或者服务（以下简称产品），或者提供其他残疾人福利性单位制造的货物（不包括使用非残疾人福利性单位注册商标的货物）。</w:t>
      </w:r>
    </w:p>
    <w:p>
      <w:pPr>
        <w:autoSpaceDE w:val="0"/>
        <w:autoSpaceDN w:val="0"/>
        <w:adjustRightInd w:val="0"/>
        <w:spacing w:line="360" w:lineRule="auto"/>
        <w:ind w:firstLine="472"/>
        <w:rPr>
          <w:rFonts w:ascii="宋体" w:hAnsi="宋体" w:cs="宋体"/>
          <w:color w:val="auto"/>
          <w:sz w:val="24"/>
          <w:highlight w:val="none"/>
          <w:lang w:val="zh-CN"/>
        </w:rPr>
      </w:pPr>
      <w:r>
        <w:rPr>
          <w:rFonts w:hint="eastAsia" w:ascii="宋体" w:hAnsi="宋体" w:cs="宋体"/>
          <w:color w:val="auto"/>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注：得分以系统计算为准，保留2位小数。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三、在最大限度地满足磋商文件实质性要求前提下，磋商小组按照磋商文件中规定的各项因素进行综合评审后，以评审总得分最高的供应商为成交候选供应商。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四、如综合得分相同，最后报价低者为先；如综合得分且最后报价相同的，服务类采购项目以实力信誉及业绩得分较高者为先。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五、本次评分具体分值细化条款如下表</w:t>
      </w:r>
      <w:r>
        <w:rPr>
          <w:rFonts w:hint="eastAsia" w:ascii="宋体" w:hAnsi="宋体" w:cs="宋体"/>
          <w:color w:val="auto"/>
          <w:sz w:val="24"/>
          <w:szCs w:val="32"/>
          <w:highlight w:val="none"/>
          <w:lang w:val="zh-CN"/>
        </w:rPr>
        <w:t>：</w:t>
      </w:r>
    </w:p>
    <w:p>
      <w:pPr>
        <w:pStyle w:val="29"/>
        <w:rPr>
          <w:rFonts w:hAnsi="宋体"/>
          <w:color w:val="auto"/>
          <w:sz w:val="24"/>
          <w:szCs w:val="32"/>
          <w:highlight w:val="none"/>
          <w:lang w:val="zh-CN"/>
        </w:rPr>
      </w:pPr>
    </w:p>
    <w:p>
      <w:pPr>
        <w:pStyle w:val="29"/>
        <w:rPr>
          <w:rFonts w:hAnsi="宋体"/>
          <w:color w:val="auto"/>
          <w:sz w:val="24"/>
          <w:szCs w:val="32"/>
          <w:highlight w:val="none"/>
          <w:lang w:val="zh-CN"/>
        </w:rPr>
      </w:pPr>
    </w:p>
    <w:tbl>
      <w:tblPr>
        <w:tblStyle w:val="24"/>
        <w:tblW w:w="56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00" w:type="pct"/>
            <w:gridSpan w:val="2"/>
            <w:vAlign w:val="center"/>
          </w:tcPr>
          <w:p>
            <w:pPr>
              <w:spacing w:line="360" w:lineRule="auto"/>
              <w:jc w:val="center"/>
              <w:rPr>
                <w:rFonts w:ascii="宋体" w:hAnsi="宋体" w:cs="宋体"/>
                <w:b/>
                <w:bCs/>
                <w:iCs/>
                <w:color w:val="auto"/>
                <w:sz w:val="24"/>
                <w:highlight w:val="none"/>
              </w:rPr>
            </w:pPr>
            <w:r>
              <w:rPr>
                <w:rFonts w:hint="eastAsia" w:ascii="宋体" w:hAnsi="宋体" w:cs="宋体"/>
                <w:b/>
                <w:bCs/>
                <w:iCs/>
                <w:color w:val="auto"/>
                <w:sz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62" w:type="pct"/>
            <w:vMerge w:val="restart"/>
            <w:vAlign w:val="center"/>
          </w:tcPr>
          <w:p>
            <w:pPr>
              <w:pStyle w:val="74"/>
              <w:spacing w:line="360" w:lineRule="auto"/>
              <w:ind w:left="0" w:leftChars="0" w:firstLine="0"/>
              <w:jc w:val="center"/>
              <w:rPr>
                <w:rFonts w:ascii="宋体" w:hAnsi="宋体"/>
                <w:color w:val="auto"/>
                <w:sz w:val="24"/>
                <w:szCs w:val="24"/>
                <w:highlight w:val="none"/>
              </w:rPr>
            </w:pPr>
            <w:r>
              <w:rPr>
                <w:rFonts w:hint="eastAsia" w:ascii="宋体" w:hAnsi="宋体"/>
                <w:color w:val="auto"/>
                <w:sz w:val="24"/>
                <w:szCs w:val="24"/>
                <w:highlight w:val="none"/>
              </w:rPr>
              <w:t>服务方案</w:t>
            </w:r>
          </w:p>
          <w:p>
            <w:pPr>
              <w:pStyle w:val="74"/>
              <w:spacing w:line="360" w:lineRule="auto"/>
              <w:ind w:left="0" w:leftChars="0" w:firstLine="0"/>
              <w:jc w:val="center"/>
              <w:rPr>
                <w:rFonts w:ascii="宋体" w:hAnsi="宋体"/>
                <w:color w:val="auto"/>
                <w:sz w:val="24"/>
                <w:szCs w:val="24"/>
                <w:highlight w:val="none"/>
              </w:rPr>
            </w:pPr>
            <w:r>
              <w:rPr>
                <w:rFonts w:hint="eastAsia" w:ascii="宋体" w:hAnsi="宋体"/>
                <w:color w:val="auto"/>
                <w:sz w:val="24"/>
                <w:szCs w:val="24"/>
                <w:highlight w:val="none"/>
              </w:rPr>
              <w:t>（40分）</w:t>
            </w:r>
          </w:p>
        </w:tc>
        <w:tc>
          <w:tcPr>
            <w:tcW w:w="4137" w:type="pct"/>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针对本项目</w:t>
            </w:r>
            <w:r>
              <w:rPr>
                <w:rFonts w:hint="eastAsia" w:ascii="宋体" w:hAnsi="宋体" w:cs="宋体"/>
                <w:color w:val="auto"/>
                <w:sz w:val="24"/>
                <w:highlight w:val="none"/>
              </w:rPr>
              <w:t>基本情况的认知，包括规划背景、现实基础、相关上位规划及专项规划等基本情况：</w:t>
            </w:r>
            <w:r>
              <w:rPr>
                <w:rFonts w:hint="eastAsia" w:ascii="宋体" w:hAnsi="宋体" w:cs="宋体"/>
                <w:iCs/>
                <w:color w:val="auto"/>
                <w:sz w:val="24"/>
                <w:highlight w:val="none"/>
              </w:rPr>
              <w:t>有明确的基本情况认知，认知内容与项目实际内容相符合得10-8分；有较明确的对项目基本基本情况的认知得7.9-6分；对基本情况认知不清楚、模糊得5.9-0分。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62" w:type="pct"/>
            <w:vMerge w:val="continue"/>
            <w:vAlign w:val="center"/>
          </w:tcPr>
          <w:p>
            <w:pPr>
              <w:pStyle w:val="74"/>
              <w:spacing w:line="360" w:lineRule="auto"/>
              <w:ind w:left="0" w:leftChars="0" w:firstLine="0"/>
              <w:jc w:val="center"/>
              <w:rPr>
                <w:rFonts w:ascii="宋体" w:hAnsi="宋体"/>
                <w:color w:val="auto"/>
                <w:sz w:val="24"/>
                <w:szCs w:val="24"/>
                <w:highlight w:val="none"/>
              </w:rPr>
            </w:pPr>
          </w:p>
        </w:tc>
        <w:tc>
          <w:tcPr>
            <w:tcW w:w="4137" w:type="pct"/>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针对本项目的</w:t>
            </w:r>
            <w:r>
              <w:rPr>
                <w:rFonts w:hint="eastAsia" w:ascii="宋体" w:hAnsi="宋体" w:cs="宋体"/>
                <w:color w:val="auto"/>
                <w:sz w:val="24"/>
                <w:highlight w:val="none"/>
              </w:rPr>
              <w:t>愿景目标的确定，包括案例借鉴、发展趋势、目标定位、规划理念等。</w:t>
            </w:r>
            <w:r>
              <w:rPr>
                <w:rFonts w:hint="eastAsia" w:ascii="宋体" w:hAnsi="宋体" w:cs="宋体"/>
                <w:iCs/>
                <w:color w:val="auto"/>
                <w:sz w:val="24"/>
                <w:highlight w:val="none"/>
              </w:rPr>
              <w:t>有明确的项目愿景目标确定的方案，案例借鉴贴切，目标定位清晰，与项目实际内容相符合得10-8分；有较明确的项目愿景目标确定的方案得7.9-6分；对项目愿景目标确定的方案不清楚、模糊得5.9-0分。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62" w:type="pct"/>
            <w:vMerge w:val="continue"/>
            <w:vAlign w:val="center"/>
          </w:tcPr>
          <w:p>
            <w:pPr>
              <w:pStyle w:val="74"/>
              <w:spacing w:line="360" w:lineRule="auto"/>
              <w:ind w:left="0" w:leftChars="0" w:firstLine="0"/>
              <w:jc w:val="center"/>
              <w:rPr>
                <w:rFonts w:ascii="宋体" w:hAnsi="宋体"/>
                <w:color w:val="auto"/>
                <w:sz w:val="24"/>
                <w:szCs w:val="24"/>
                <w:highlight w:val="none"/>
              </w:rPr>
            </w:pPr>
          </w:p>
        </w:tc>
        <w:tc>
          <w:tcPr>
            <w:tcW w:w="4137" w:type="pct"/>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针对本项目的规划方案及布局打分：有明确的规划方案及布局，内容齐全，包括</w:t>
            </w:r>
            <w:r>
              <w:rPr>
                <w:rFonts w:hint="eastAsia" w:ascii="宋体" w:hAnsi="宋体" w:cs="宋体"/>
                <w:color w:val="auto"/>
                <w:sz w:val="24"/>
                <w:highlight w:val="none"/>
              </w:rPr>
              <w:t>用地、产业、公共服务设施、综合交通、绿地系统、市政设施等的总体布局及整体要求</w:t>
            </w:r>
            <w:r>
              <w:rPr>
                <w:rFonts w:hint="eastAsia" w:ascii="宋体" w:hAnsi="宋体" w:cs="宋体"/>
                <w:iCs/>
                <w:color w:val="auto"/>
                <w:sz w:val="24"/>
                <w:highlight w:val="none"/>
              </w:rPr>
              <w:t>得10-8分；有较明确的对项目规划方案及布局得7.9-6分；对项目规划方案及布局得5.9-0分。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62" w:type="pct"/>
            <w:vMerge w:val="continue"/>
            <w:vAlign w:val="center"/>
          </w:tcPr>
          <w:p>
            <w:pPr>
              <w:pStyle w:val="74"/>
              <w:spacing w:line="360" w:lineRule="auto"/>
              <w:ind w:left="0" w:leftChars="0" w:firstLine="0"/>
              <w:jc w:val="center"/>
              <w:rPr>
                <w:rFonts w:ascii="宋体" w:hAnsi="宋体"/>
                <w:color w:val="auto"/>
                <w:sz w:val="24"/>
                <w:szCs w:val="24"/>
                <w:highlight w:val="none"/>
              </w:rPr>
            </w:pPr>
          </w:p>
        </w:tc>
        <w:tc>
          <w:tcPr>
            <w:tcW w:w="4137" w:type="pct"/>
          </w:tcPr>
          <w:p>
            <w:pPr>
              <w:spacing w:line="360" w:lineRule="auto"/>
              <w:rPr>
                <w:rFonts w:ascii="宋体" w:hAnsi="宋体" w:cs="宋体"/>
                <w:iCs/>
                <w:color w:val="auto"/>
                <w:sz w:val="24"/>
                <w:highlight w:val="none"/>
              </w:rPr>
            </w:pPr>
            <w:r>
              <w:rPr>
                <w:rFonts w:hint="eastAsia" w:ascii="宋体" w:hAnsi="宋体" w:cs="宋体"/>
                <w:color w:val="auto"/>
                <w:sz w:val="24"/>
                <w:highlight w:val="none"/>
              </w:rPr>
              <w:t>针对本项目的实施保障措施，包括空间发展时序、政策建议等。</w:t>
            </w:r>
            <w:r>
              <w:rPr>
                <w:rFonts w:hint="eastAsia" w:ascii="宋体" w:hAnsi="宋体" w:cs="宋体"/>
                <w:iCs/>
                <w:color w:val="auto"/>
                <w:sz w:val="24"/>
                <w:highlight w:val="none"/>
              </w:rPr>
              <w:t>有明确的实施保障措施，具体的人员、时间措施合理得10-8分；有较明确的实施保障措施得7.9-6分；实施保障措施不具体或简略带过得5.9-0分。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vAlign w:val="center"/>
          </w:tcPr>
          <w:p>
            <w:pPr>
              <w:pStyle w:val="74"/>
              <w:spacing w:line="360" w:lineRule="auto"/>
              <w:ind w:left="0" w:leftChars="0" w:firstLine="0"/>
              <w:jc w:val="center"/>
              <w:rPr>
                <w:rFonts w:ascii="宋体" w:hAnsi="宋体"/>
                <w:color w:val="auto"/>
                <w:sz w:val="24"/>
                <w:szCs w:val="24"/>
                <w:highlight w:val="none"/>
              </w:rPr>
            </w:pPr>
            <w:r>
              <w:rPr>
                <w:rFonts w:hint="eastAsia" w:ascii="宋体" w:hAnsi="宋体"/>
                <w:color w:val="auto"/>
                <w:sz w:val="24"/>
                <w:szCs w:val="24"/>
                <w:highlight w:val="none"/>
              </w:rPr>
              <w:t>重点难点分析、解决方案及优势说明（</w:t>
            </w:r>
            <w:r>
              <w:rPr>
                <w:rFonts w:ascii="宋体" w:hAnsi="宋体"/>
                <w:color w:val="auto"/>
                <w:sz w:val="24"/>
                <w:szCs w:val="24"/>
                <w:highlight w:val="none"/>
              </w:rPr>
              <w:t>15</w:t>
            </w:r>
            <w:r>
              <w:rPr>
                <w:rFonts w:hint="eastAsia" w:ascii="宋体" w:hAnsi="宋体"/>
                <w:color w:val="auto"/>
                <w:sz w:val="24"/>
                <w:szCs w:val="24"/>
                <w:highlight w:val="none"/>
              </w:rPr>
              <w:t>分）</w:t>
            </w:r>
          </w:p>
        </w:tc>
        <w:tc>
          <w:tcPr>
            <w:tcW w:w="4137" w:type="pct"/>
          </w:tcPr>
          <w:p>
            <w:pPr>
              <w:snapToGrid w:val="0"/>
              <w:spacing w:line="360" w:lineRule="auto"/>
              <w:rPr>
                <w:rFonts w:ascii="宋体" w:hAnsi="宋体" w:cs="宋体"/>
                <w:color w:val="auto"/>
                <w:sz w:val="24"/>
                <w:highlight w:val="none"/>
              </w:rPr>
            </w:pPr>
            <w:r>
              <w:rPr>
                <w:rFonts w:hint="eastAsia" w:ascii="宋体" w:hAnsi="宋体" w:cs="宋体"/>
                <w:iCs/>
                <w:color w:val="auto"/>
                <w:sz w:val="24"/>
                <w:highlight w:val="none"/>
              </w:rPr>
              <w:t>针对本项目的重点和难点把握的准确性，解决方案的合理性，进行分析、评价。</w:t>
            </w:r>
            <w:r>
              <w:rPr>
                <w:rFonts w:hint="eastAsia" w:ascii="宋体" w:hAnsi="宋体" w:cs="宋体"/>
                <w:color w:val="auto"/>
                <w:sz w:val="24"/>
                <w:highlight w:val="none"/>
                <w:lang w:bidi="ar"/>
              </w:rPr>
              <w:t>重点、难点把握明确，解决方案合理，符合本项目需求得10-15分；重点、难点把握较明确，解决方案较合理，基本符合本项目需求得5-9.9分；</w:t>
            </w:r>
          </w:p>
          <w:p>
            <w:pPr>
              <w:spacing w:line="360" w:lineRule="auto"/>
              <w:rPr>
                <w:rFonts w:ascii="宋体" w:hAnsi="宋体" w:cs="宋体"/>
                <w:iCs/>
                <w:color w:val="auto"/>
                <w:sz w:val="24"/>
                <w:highlight w:val="none"/>
              </w:rPr>
            </w:pPr>
            <w:r>
              <w:rPr>
                <w:rFonts w:hint="eastAsia" w:ascii="宋体" w:hAnsi="宋体" w:cs="宋体"/>
                <w:color w:val="auto"/>
                <w:sz w:val="24"/>
                <w:highlight w:val="none"/>
                <w:lang w:bidi="ar"/>
              </w:rPr>
              <w:t>重点、难点把握不够明确，解决方案欠合理，不完全符合本项目需求0-4.9分。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pct"/>
            <w:vAlign w:val="center"/>
          </w:tcPr>
          <w:p>
            <w:pPr>
              <w:pStyle w:val="74"/>
              <w:spacing w:line="360" w:lineRule="auto"/>
              <w:ind w:left="0" w:leftChars="0" w:firstLine="0"/>
              <w:jc w:val="center"/>
              <w:rPr>
                <w:rFonts w:ascii="宋体" w:hAnsi="宋体"/>
                <w:color w:val="auto"/>
                <w:sz w:val="24"/>
                <w:szCs w:val="24"/>
                <w:highlight w:val="none"/>
              </w:rPr>
            </w:pPr>
            <w:r>
              <w:rPr>
                <w:rFonts w:hint="eastAsia" w:ascii="宋体" w:hAnsi="宋体"/>
                <w:color w:val="auto"/>
                <w:sz w:val="24"/>
                <w:szCs w:val="24"/>
                <w:highlight w:val="none"/>
              </w:rPr>
              <w:t>合理化建议</w:t>
            </w:r>
          </w:p>
          <w:p>
            <w:pPr>
              <w:pStyle w:val="74"/>
              <w:spacing w:line="360" w:lineRule="auto"/>
              <w:ind w:left="0" w:leftChars="0" w:firstLine="0"/>
              <w:jc w:val="center"/>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10</w:t>
            </w:r>
            <w:r>
              <w:rPr>
                <w:rFonts w:hint="eastAsia" w:ascii="宋体" w:hAnsi="宋体"/>
                <w:color w:val="auto"/>
                <w:sz w:val="24"/>
                <w:szCs w:val="24"/>
                <w:highlight w:val="none"/>
              </w:rPr>
              <w:t>分）</w:t>
            </w:r>
          </w:p>
        </w:tc>
        <w:tc>
          <w:tcPr>
            <w:tcW w:w="4137" w:type="pct"/>
          </w:tcPr>
          <w:p>
            <w:pPr>
              <w:spacing w:line="360" w:lineRule="auto"/>
              <w:rPr>
                <w:rFonts w:ascii="宋体" w:hAnsi="宋体" w:cs="宋体"/>
                <w:iCs/>
                <w:color w:val="auto"/>
                <w:sz w:val="24"/>
                <w:highlight w:val="none"/>
              </w:rPr>
            </w:pPr>
            <w:r>
              <w:rPr>
                <w:rFonts w:hint="eastAsia" w:ascii="宋体" w:hAnsi="宋体" w:cs="宋体"/>
                <w:iCs/>
                <w:color w:val="auto"/>
                <w:sz w:val="24"/>
                <w:highlight w:val="none"/>
              </w:rPr>
              <w:t>对项目的合理化建议，每个有效的合理化建议得2分，最高得10分。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2" w:type="pct"/>
            <w:vAlign w:val="center"/>
          </w:tcPr>
          <w:p>
            <w:pPr>
              <w:pStyle w:val="74"/>
              <w:spacing w:line="360" w:lineRule="auto"/>
              <w:ind w:left="0" w:leftChars="0" w:firstLine="0"/>
              <w:rPr>
                <w:rFonts w:ascii="宋体" w:hAnsi="宋体"/>
                <w:color w:val="auto"/>
                <w:sz w:val="24"/>
                <w:szCs w:val="24"/>
                <w:highlight w:val="none"/>
              </w:rPr>
            </w:pPr>
            <w:r>
              <w:rPr>
                <w:rFonts w:hint="eastAsia" w:ascii="宋体" w:hAnsi="宋体"/>
                <w:color w:val="auto"/>
                <w:sz w:val="24"/>
                <w:szCs w:val="24"/>
                <w:highlight w:val="none"/>
              </w:rPr>
              <w:t>进度计划</w:t>
            </w:r>
          </w:p>
          <w:p>
            <w:pPr>
              <w:pStyle w:val="74"/>
              <w:spacing w:line="360" w:lineRule="auto"/>
              <w:ind w:left="0" w:leftChars="0" w:firstLine="0"/>
              <w:rPr>
                <w:rFonts w:ascii="宋体" w:hAnsi="宋体"/>
                <w:color w:val="auto"/>
                <w:sz w:val="24"/>
                <w:szCs w:val="24"/>
                <w:highlight w:val="none"/>
              </w:rPr>
            </w:pPr>
            <w:r>
              <w:rPr>
                <w:rFonts w:hint="eastAsia" w:ascii="宋体" w:hAnsi="宋体"/>
                <w:color w:val="auto"/>
                <w:sz w:val="24"/>
                <w:szCs w:val="24"/>
                <w:highlight w:val="none"/>
              </w:rPr>
              <w:t>（10分）</w:t>
            </w:r>
          </w:p>
        </w:tc>
        <w:tc>
          <w:tcPr>
            <w:tcW w:w="4137" w:type="pct"/>
          </w:tcPr>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根据投标人的进度实施计划、进度保证措施等内容，由评委进行评分。有明确得工作实施计划、具体的工作进度措施得8-10分；</w:t>
            </w:r>
          </w:p>
          <w:p>
            <w:pPr>
              <w:pStyle w:val="76"/>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有较明确的工作实施计划、有工作措施但未详细描述得4-7.9分；</w:t>
            </w:r>
          </w:p>
          <w:p>
            <w:pPr>
              <w:spacing w:line="360" w:lineRule="auto"/>
              <w:rPr>
                <w:rFonts w:ascii="宋体" w:hAnsi="宋体" w:cs="宋体"/>
                <w:color w:val="auto"/>
                <w:kern w:val="0"/>
                <w:sz w:val="24"/>
                <w:highlight w:val="none"/>
              </w:rPr>
            </w:pPr>
            <w:r>
              <w:rPr>
                <w:rFonts w:hint="eastAsia" w:ascii="宋体" w:hAnsi="宋体" w:cs="宋体"/>
                <w:color w:val="auto"/>
                <w:sz w:val="24"/>
                <w:highlight w:val="none"/>
              </w:rPr>
              <w:t>有计划和措施但都未详细描述得0-3.9分。未提供不得分。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2" w:type="pct"/>
            <w:vAlign w:val="center"/>
          </w:tcPr>
          <w:p>
            <w:pPr>
              <w:snapToGrid w:val="0"/>
              <w:spacing w:line="360" w:lineRule="auto"/>
              <w:rPr>
                <w:rFonts w:ascii="宋体" w:hAnsi="宋体" w:cs="宋体"/>
                <w:color w:val="auto"/>
                <w:sz w:val="24"/>
                <w:highlight w:val="none"/>
                <w:lang w:bidi="ar"/>
              </w:rPr>
            </w:pPr>
            <w:r>
              <w:rPr>
                <w:rFonts w:hint="eastAsia" w:ascii="宋体" w:hAnsi="宋体" w:cs="宋体"/>
                <w:color w:val="auto"/>
                <w:sz w:val="24"/>
                <w:highlight w:val="none"/>
                <w:lang w:bidi="ar"/>
              </w:rPr>
              <w:t>项目业绩</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（5分）</w:t>
            </w:r>
          </w:p>
        </w:tc>
        <w:tc>
          <w:tcPr>
            <w:tcW w:w="4137" w:type="pct"/>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投标人2018年1月1日以来承担过类似项目业绩，一个得1分。最高得5分。（提供合同材料或者相关证明扫描件，不提供不得分。）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2" w:type="pct"/>
            <w:vAlign w:val="center"/>
          </w:tcPr>
          <w:p>
            <w:pPr>
              <w:snapToGrid w:val="0"/>
              <w:spacing w:line="360" w:lineRule="auto"/>
              <w:rPr>
                <w:rFonts w:ascii="宋体" w:hAnsi="宋体" w:cs="宋体"/>
                <w:color w:val="auto"/>
                <w:sz w:val="24"/>
                <w:highlight w:val="none"/>
                <w:lang w:bidi="ar"/>
              </w:rPr>
            </w:pPr>
            <w:r>
              <w:rPr>
                <w:rFonts w:hint="eastAsia" w:ascii="宋体" w:hAnsi="宋体" w:cs="宋体"/>
                <w:color w:val="auto"/>
                <w:sz w:val="24"/>
                <w:highlight w:val="none"/>
                <w:lang w:bidi="ar"/>
              </w:rPr>
              <w:t>售后服务方案（</w:t>
            </w:r>
            <w:r>
              <w:rPr>
                <w:rFonts w:ascii="宋体" w:hAnsi="宋体" w:cs="宋体"/>
                <w:color w:val="auto"/>
                <w:sz w:val="24"/>
                <w:highlight w:val="none"/>
                <w:lang w:bidi="ar"/>
              </w:rPr>
              <w:t>10</w:t>
            </w:r>
            <w:r>
              <w:rPr>
                <w:rFonts w:hint="eastAsia" w:ascii="宋体" w:hAnsi="宋体" w:cs="宋体"/>
                <w:color w:val="auto"/>
                <w:sz w:val="24"/>
                <w:highlight w:val="none"/>
                <w:lang w:bidi="ar"/>
              </w:rPr>
              <w:t>分）</w:t>
            </w:r>
          </w:p>
        </w:tc>
        <w:tc>
          <w:tcPr>
            <w:tcW w:w="4137" w:type="pct"/>
            <w:vAlign w:val="center"/>
          </w:tcPr>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根据供应商提供的成果提交后服务方案、售后服务承诺的可行性、完整性以及服务承诺落实的保障措施等，由评委进行评分。</w:t>
            </w:r>
          </w:p>
          <w:p>
            <w:pPr>
              <w:snapToGrid w:val="0"/>
              <w:spacing w:line="360" w:lineRule="auto"/>
              <w:rPr>
                <w:rFonts w:ascii="宋体" w:hAnsi="宋体" w:cs="宋体"/>
                <w:color w:val="auto"/>
                <w:sz w:val="24"/>
                <w:highlight w:val="none"/>
                <w:lang w:bidi="ar"/>
              </w:rPr>
            </w:pPr>
            <w:r>
              <w:rPr>
                <w:rFonts w:hint="eastAsia" w:ascii="宋体" w:hAnsi="宋体" w:cs="宋体"/>
                <w:color w:val="auto"/>
                <w:sz w:val="24"/>
                <w:highlight w:val="none"/>
              </w:rPr>
              <w:t>有明确的成果提交后的服务方案，方案内容结合成果提交后将出现的情况展开描述详细的得5-10分；有服务方案但未详细展开描述得0-4.9分。</w:t>
            </w:r>
          </w:p>
        </w:tc>
      </w:tr>
    </w:tbl>
    <w:p>
      <w:pPr>
        <w:pStyle w:val="29"/>
        <w:ind w:left="0" w:leftChars="0" w:firstLine="0"/>
        <w:rPr>
          <w:rFonts w:hAnsi="宋体"/>
          <w:color w:val="auto"/>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rPr>
          <w:rFonts w:ascii="宋体" w:hAnsi="宋体" w:cs="宋体"/>
          <w:b/>
          <w:bCs/>
          <w:color w:val="auto"/>
          <w:sz w:val="36"/>
          <w:szCs w:val="44"/>
          <w:highlight w:val="none"/>
        </w:rPr>
      </w:pPr>
    </w:p>
    <w:p>
      <w:pPr>
        <w:pStyle w:val="2"/>
        <w:rPr>
          <w:rFonts w:ascii="宋体" w:hAnsi="宋体" w:cs="宋体"/>
          <w:color w:val="auto"/>
          <w:sz w:val="36"/>
          <w:szCs w:val="44"/>
          <w:highlight w:val="none"/>
        </w:rPr>
      </w:pPr>
    </w:p>
    <w:p>
      <w:pPr>
        <w:pStyle w:val="3"/>
        <w:rPr>
          <w:rFonts w:ascii="宋体" w:hAnsi="宋体" w:cs="宋体"/>
          <w:color w:val="auto"/>
          <w:sz w:val="36"/>
          <w:szCs w:val="44"/>
          <w:highlight w:val="none"/>
        </w:rPr>
      </w:pPr>
    </w:p>
    <w:p>
      <w:pPr>
        <w:pStyle w:val="4"/>
        <w:rPr>
          <w:color w:val="auto"/>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第四部分 项目需求</w:t>
      </w:r>
    </w:p>
    <w:p>
      <w:pPr>
        <w:tabs>
          <w:tab w:val="left" w:pos="8280"/>
        </w:tabs>
        <w:autoSpaceDE w:val="0"/>
        <w:autoSpaceDN w:val="0"/>
        <w:adjustRightInd w:val="0"/>
        <w:spacing w:line="360" w:lineRule="auto"/>
        <w:ind w:right="25" w:firstLine="562" w:firstLineChars="200"/>
        <w:jc w:val="left"/>
        <w:rPr>
          <w:rFonts w:ascii="宋体" w:hAnsi="宋体" w:cs="宋体"/>
          <w:color w:val="auto"/>
          <w:sz w:val="28"/>
          <w:szCs w:val="28"/>
          <w:highlight w:val="none"/>
        </w:rPr>
      </w:pPr>
      <w:r>
        <w:rPr>
          <w:rFonts w:hint="eastAsia" w:ascii="宋体" w:hAnsi="宋体" w:cs="宋体"/>
          <w:b/>
          <w:color w:val="auto"/>
          <w:sz w:val="28"/>
          <w:szCs w:val="28"/>
          <w:highlight w:val="none"/>
        </w:rPr>
        <w:t>一、磋商项目一览表</w:t>
      </w:r>
    </w:p>
    <w:p>
      <w:pPr>
        <w:tabs>
          <w:tab w:val="left" w:pos="8280"/>
        </w:tabs>
        <w:autoSpaceDE w:val="0"/>
        <w:autoSpaceDN w:val="0"/>
        <w:adjustRightInd w:val="0"/>
        <w:spacing w:line="360" w:lineRule="auto"/>
        <w:ind w:right="25" w:firstLine="480" w:firstLineChars="200"/>
        <w:jc w:val="left"/>
        <w:rPr>
          <w:rFonts w:ascii="宋体"/>
          <w:bCs/>
          <w:color w:val="auto"/>
          <w:kern w:val="0"/>
          <w:sz w:val="24"/>
          <w:highlight w:val="none"/>
        </w:rPr>
      </w:pPr>
      <w:r>
        <w:rPr>
          <w:rFonts w:hint="eastAsia" w:ascii="宋体" w:hAnsi="宋体" w:cs="宋体"/>
          <w:color w:val="auto"/>
          <w:sz w:val="24"/>
          <w:highlight w:val="none"/>
        </w:rPr>
        <w:t>本次磋商共1个标段，具体内容如下表：</w:t>
      </w:r>
    </w:p>
    <w:tbl>
      <w:tblPr>
        <w:tblStyle w:val="24"/>
        <w:tblW w:w="8958"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895"/>
        <w:gridCol w:w="1545"/>
        <w:gridCol w:w="495"/>
        <w:gridCol w:w="555"/>
        <w:gridCol w:w="102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0"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标段号</w:t>
            </w:r>
          </w:p>
        </w:tc>
        <w:tc>
          <w:tcPr>
            <w:tcW w:w="2895" w:type="dxa"/>
            <w:vAlign w:val="center"/>
          </w:tcPr>
          <w:p>
            <w:pPr>
              <w:tabs>
                <w:tab w:val="left" w:pos="8280"/>
              </w:tabs>
              <w:autoSpaceDE w:val="0"/>
              <w:autoSpaceDN w:val="0"/>
              <w:adjustRightInd w:val="0"/>
              <w:ind w:right="25" w:firstLine="120" w:firstLineChars="50"/>
              <w:jc w:val="center"/>
              <w:rPr>
                <w:rFonts w:ascii="宋体" w:hAnsi="宋体"/>
                <w:b/>
                <w:color w:val="auto"/>
                <w:sz w:val="24"/>
                <w:highlight w:val="none"/>
              </w:rPr>
            </w:pPr>
            <w:r>
              <w:rPr>
                <w:rFonts w:hint="eastAsia" w:ascii="宋体" w:hAnsi="宋体"/>
                <w:b/>
                <w:color w:val="auto"/>
                <w:sz w:val="24"/>
                <w:highlight w:val="none"/>
              </w:rPr>
              <w:t>顶目名称</w:t>
            </w:r>
          </w:p>
        </w:tc>
        <w:tc>
          <w:tcPr>
            <w:tcW w:w="1545"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规格型号</w:t>
            </w:r>
          </w:p>
        </w:tc>
        <w:tc>
          <w:tcPr>
            <w:tcW w:w="495"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数量</w:t>
            </w:r>
          </w:p>
        </w:tc>
        <w:tc>
          <w:tcPr>
            <w:tcW w:w="555"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单位</w:t>
            </w:r>
          </w:p>
        </w:tc>
        <w:tc>
          <w:tcPr>
            <w:tcW w:w="1020" w:type="dxa"/>
            <w:vAlign w:val="center"/>
          </w:tcPr>
          <w:p>
            <w:pPr>
              <w:tabs>
                <w:tab w:val="left" w:pos="8280"/>
              </w:tabs>
              <w:autoSpaceDE w:val="0"/>
              <w:autoSpaceDN w:val="0"/>
              <w:adjustRightInd w:val="0"/>
              <w:ind w:right="25"/>
              <w:jc w:val="center"/>
              <w:rPr>
                <w:rFonts w:ascii="宋体" w:hAnsi="宋体"/>
                <w:b/>
                <w:color w:val="auto"/>
                <w:highlight w:val="none"/>
              </w:rPr>
            </w:pPr>
            <w:r>
              <w:rPr>
                <w:rFonts w:hint="eastAsia" w:ascii="宋体" w:hAnsi="宋体"/>
                <w:b/>
                <w:color w:val="auto"/>
                <w:highlight w:val="none"/>
              </w:rPr>
              <w:t>预算</w:t>
            </w:r>
          </w:p>
          <w:p>
            <w:pPr>
              <w:tabs>
                <w:tab w:val="left" w:pos="8280"/>
              </w:tabs>
              <w:autoSpaceDE w:val="0"/>
              <w:autoSpaceDN w:val="0"/>
              <w:adjustRightInd w:val="0"/>
              <w:ind w:right="25"/>
              <w:jc w:val="center"/>
              <w:rPr>
                <w:rFonts w:ascii="宋体" w:hAnsi="宋体"/>
                <w:b/>
                <w:color w:val="auto"/>
                <w:highlight w:val="none"/>
              </w:rPr>
            </w:pPr>
            <w:r>
              <w:rPr>
                <w:rFonts w:hint="eastAsia" w:ascii="宋体" w:hAnsi="宋体"/>
                <w:b/>
                <w:color w:val="auto"/>
                <w:highlight w:val="none"/>
              </w:rPr>
              <w:t>（万元）</w:t>
            </w:r>
          </w:p>
        </w:tc>
        <w:tc>
          <w:tcPr>
            <w:tcW w:w="1458" w:type="dxa"/>
            <w:vAlign w:val="center"/>
          </w:tcPr>
          <w:p>
            <w:pPr>
              <w:tabs>
                <w:tab w:val="left" w:pos="8280"/>
              </w:tabs>
              <w:autoSpaceDE w:val="0"/>
              <w:autoSpaceDN w:val="0"/>
              <w:adjustRightInd w:val="0"/>
              <w:ind w:right="25"/>
              <w:jc w:val="center"/>
              <w:rPr>
                <w:rFonts w:ascii="宋体" w:hAnsi="宋体"/>
                <w:b/>
                <w:color w:val="auto"/>
                <w:sz w:val="24"/>
                <w:highlight w:val="none"/>
              </w:rPr>
            </w:pPr>
            <w:r>
              <w:rPr>
                <w:rFonts w:hint="eastAsia" w:ascii="宋体" w:hAnsi="宋体"/>
                <w:b/>
                <w:color w:val="auto"/>
                <w:sz w:val="24"/>
                <w:highlight w:val="none"/>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990" w:type="dxa"/>
            <w:vAlign w:val="center"/>
          </w:tcPr>
          <w:p>
            <w:pPr>
              <w:tabs>
                <w:tab w:val="left" w:pos="8280"/>
              </w:tabs>
              <w:autoSpaceDE w:val="0"/>
              <w:autoSpaceDN w:val="0"/>
              <w:adjustRightInd w:val="0"/>
              <w:jc w:val="center"/>
              <w:rPr>
                <w:rFonts w:ascii="宋体" w:hAnsi="宋体"/>
                <w:bCs/>
                <w:color w:val="auto"/>
                <w:sz w:val="24"/>
                <w:highlight w:val="none"/>
              </w:rPr>
            </w:pPr>
            <w:r>
              <w:rPr>
                <w:rFonts w:hint="eastAsia" w:ascii="宋体" w:hAnsi="宋体"/>
                <w:color w:val="auto"/>
                <w:sz w:val="24"/>
                <w:highlight w:val="none"/>
              </w:rPr>
              <w:t>一</w:t>
            </w:r>
          </w:p>
        </w:tc>
        <w:tc>
          <w:tcPr>
            <w:tcW w:w="2895" w:type="dxa"/>
            <w:vAlign w:val="center"/>
          </w:tcPr>
          <w:p>
            <w:pPr>
              <w:jc w:val="left"/>
              <w:rPr>
                <w:rFonts w:ascii="宋体" w:hAnsi="宋体"/>
                <w:bCs/>
                <w:color w:val="auto"/>
                <w:sz w:val="24"/>
                <w:highlight w:val="none"/>
              </w:rPr>
            </w:pPr>
            <w:r>
              <w:rPr>
                <w:rFonts w:hint="eastAsia" w:ascii="宋体" w:hAnsi="宋体"/>
                <w:bCs/>
                <w:color w:val="auto"/>
                <w:sz w:val="24"/>
                <w:highlight w:val="none"/>
              </w:rPr>
              <w:t>浙江路桥经济开发区概念性总体规划编制采购项目</w:t>
            </w:r>
          </w:p>
        </w:tc>
        <w:tc>
          <w:tcPr>
            <w:tcW w:w="1545"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见技术需求</w:t>
            </w:r>
          </w:p>
        </w:tc>
        <w:tc>
          <w:tcPr>
            <w:tcW w:w="495"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1</w:t>
            </w:r>
          </w:p>
        </w:tc>
        <w:tc>
          <w:tcPr>
            <w:tcW w:w="555" w:type="dxa"/>
            <w:vAlign w:val="center"/>
          </w:tcPr>
          <w:p>
            <w:pPr>
              <w:tabs>
                <w:tab w:val="left" w:pos="8280"/>
              </w:tabs>
              <w:autoSpaceDE w:val="0"/>
              <w:autoSpaceDN w:val="0"/>
              <w:adjustRightInd w:val="0"/>
              <w:snapToGrid w:val="0"/>
              <w:ind w:right="25"/>
              <w:jc w:val="center"/>
              <w:rPr>
                <w:rFonts w:ascii="宋体" w:hAnsi="宋体"/>
                <w:color w:val="auto"/>
                <w:sz w:val="28"/>
                <w:highlight w:val="none"/>
              </w:rPr>
            </w:pPr>
            <w:r>
              <w:rPr>
                <w:rFonts w:hint="eastAsia" w:ascii="宋体" w:hAnsi="宋体"/>
                <w:bCs/>
                <w:color w:val="auto"/>
                <w:sz w:val="24"/>
                <w:highlight w:val="none"/>
              </w:rPr>
              <w:t>项</w:t>
            </w:r>
          </w:p>
        </w:tc>
        <w:tc>
          <w:tcPr>
            <w:tcW w:w="1020" w:type="dxa"/>
            <w:vAlign w:val="center"/>
          </w:tcPr>
          <w:p>
            <w:pPr>
              <w:tabs>
                <w:tab w:val="left" w:pos="8280"/>
              </w:tabs>
              <w:autoSpaceDE w:val="0"/>
              <w:autoSpaceDN w:val="0"/>
              <w:adjustRightInd w:val="0"/>
              <w:snapToGrid w:val="0"/>
              <w:ind w:right="25"/>
              <w:jc w:val="center"/>
              <w:rPr>
                <w:rFonts w:ascii="宋体" w:hAnsi="宋体"/>
                <w:bCs/>
                <w:color w:val="auto"/>
                <w:sz w:val="24"/>
                <w:highlight w:val="none"/>
              </w:rPr>
            </w:pPr>
            <w:r>
              <w:rPr>
                <w:rFonts w:hint="eastAsia" w:ascii="宋体" w:hAnsi="宋体"/>
                <w:bCs/>
                <w:color w:val="auto"/>
                <w:sz w:val="24"/>
                <w:highlight w:val="none"/>
              </w:rPr>
              <w:t>100</w:t>
            </w:r>
          </w:p>
        </w:tc>
        <w:tc>
          <w:tcPr>
            <w:tcW w:w="1458" w:type="dxa"/>
            <w:vAlign w:val="center"/>
          </w:tcPr>
          <w:p>
            <w:pPr>
              <w:tabs>
                <w:tab w:val="left" w:pos="8280"/>
              </w:tabs>
              <w:autoSpaceDE w:val="0"/>
              <w:autoSpaceDN w:val="0"/>
              <w:adjustRightInd w:val="0"/>
              <w:snapToGrid w:val="0"/>
              <w:ind w:right="25"/>
              <w:jc w:val="center"/>
              <w:rPr>
                <w:rFonts w:ascii="宋体" w:hAnsi="宋体"/>
                <w:bCs/>
                <w:color w:val="auto"/>
                <w:sz w:val="24"/>
                <w:highlight w:val="none"/>
              </w:rPr>
            </w:pPr>
            <w:r>
              <w:rPr>
                <w:rFonts w:hint="eastAsia" w:ascii="宋体" w:hAnsi="宋体"/>
                <w:bCs/>
                <w:color w:val="auto"/>
                <w:sz w:val="24"/>
                <w:highlight w:val="none"/>
              </w:rPr>
              <w:t>采购人指定地点</w:t>
            </w:r>
          </w:p>
        </w:tc>
      </w:tr>
    </w:tbl>
    <w:p>
      <w:pPr>
        <w:pStyle w:val="13"/>
        <w:snapToGrid w:val="0"/>
        <w:spacing w:line="360" w:lineRule="auto"/>
        <w:ind w:firstLine="413" w:firstLineChars="147"/>
        <w:jc w:val="left"/>
        <w:rPr>
          <w:rFonts w:hAnsi="宋体" w:cs="仿宋_GB2312"/>
          <w:b/>
          <w:bCs/>
          <w:color w:val="auto"/>
          <w:kern w:val="0"/>
          <w:sz w:val="24"/>
          <w:highlight w:val="none"/>
        </w:rPr>
      </w:pPr>
      <w:r>
        <w:rPr>
          <w:rFonts w:hint="eastAsia" w:hAnsi="宋体" w:cs="宋体"/>
          <w:b/>
          <w:color w:val="auto"/>
          <w:sz w:val="28"/>
          <w:szCs w:val="28"/>
          <w:highlight w:val="none"/>
        </w:rPr>
        <w:t>二、招标内容：</w:t>
      </w:r>
    </w:p>
    <w:p>
      <w:pPr>
        <w:pStyle w:val="74"/>
        <w:spacing w:line="312" w:lineRule="auto"/>
        <w:ind w:left="0" w:leftChars="0"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（一）规划背景</w:t>
      </w:r>
    </w:p>
    <w:p>
      <w:pPr>
        <w:pStyle w:val="74"/>
        <w:spacing w:line="312" w:lineRule="auto"/>
        <w:ind w:left="0" w:leftChars="0" w:firstLine="480" w:firstLineChars="200"/>
        <w:rPr>
          <w:rFonts w:ascii="宋体" w:hAnsi="宋体"/>
          <w:color w:val="auto"/>
          <w:sz w:val="24"/>
          <w:szCs w:val="24"/>
          <w:highlight w:val="none"/>
        </w:rPr>
      </w:pPr>
      <w:r>
        <w:rPr>
          <w:rFonts w:ascii="宋体" w:hAnsi="宋体"/>
          <w:color w:val="auto"/>
          <w:sz w:val="24"/>
          <w:szCs w:val="24"/>
          <w:highlight w:val="none"/>
        </w:rPr>
        <w:t>2019</w:t>
      </w:r>
      <w:r>
        <w:rPr>
          <w:rFonts w:hint="eastAsia" w:ascii="宋体" w:hAnsi="宋体"/>
          <w:color w:val="auto"/>
          <w:sz w:val="24"/>
          <w:szCs w:val="24"/>
          <w:highlight w:val="none"/>
        </w:rPr>
        <w:t>年4月路桥区启动省级经济开发区创建工作，于2019年12月24日省政府批复同意整合设立“浙江路桥经济开发区”。2020年5月全省各类开发区（园区）整合提升工作全面启动，浙江路桥经济开发区跻身全省最新的开发区名单。浙江路桥经济开发区既是路桥区现代化建设新征程的重要平台，也是全区引领转型发展的重要载体。为进一步响应省、市（区）最新政策要求，落实浙江路桥经济开发区目标定位与工作部署，推进路桥区的总体发展战略，特组织编制《浙江路桥经济开发区概念性总体规划》。</w:t>
      </w:r>
    </w:p>
    <w:p>
      <w:pPr>
        <w:pStyle w:val="74"/>
        <w:spacing w:line="312" w:lineRule="auto"/>
        <w:ind w:left="0" w:leftChars="0"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（二）规划范围</w:t>
      </w:r>
    </w:p>
    <w:p>
      <w:pPr>
        <w:pStyle w:val="74"/>
        <w:spacing w:line="312" w:lineRule="auto"/>
        <w:ind w:left="0" w:leftChars="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（二）规划范围</w:t>
      </w:r>
    </w:p>
    <w:p>
      <w:pPr>
        <w:pStyle w:val="74"/>
        <w:spacing w:line="312" w:lineRule="auto"/>
        <w:ind w:left="0" w:leftChars="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浙江路桥经济开发区整合后范围，总规划面积30.75平方公里，分3个区块。其中：</w:t>
      </w:r>
    </w:p>
    <w:p>
      <w:pPr>
        <w:pStyle w:val="74"/>
        <w:spacing w:line="312" w:lineRule="auto"/>
        <w:ind w:left="0" w:leftChars="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（1）中部区块：规划面积24.52平方公里，东至三才泾、南至白剑线和园区南路、西至南官河、北至邮电东路；</w:t>
      </w:r>
    </w:p>
    <w:p>
      <w:pPr>
        <w:pStyle w:val="74"/>
        <w:spacing w:line="312" w:lineRule="auto"/>
        <w:ind w:left="0" w:leftChars="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（2）西部区块：规划面积4.23平方公里，东至龙栖路、南至院路路、西至桐屿大道、北至路桥大道；</w:t>
      </w:r>
    </w:p>
    <w:p>
      <w:pPr>
        <w:pStyle w:val="74"/>
        <w:spacing w:line="312" w:lineRule="auto"/>
        <w:ind w:left="0" w:leftChars="0"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（3）东部区块：规划面积2.00平方公里，东至十条河、南至金清大道、西至十塘中心路、北至台州湾新区界线。</w:t>
      </w:r>
    </w:p>
    <w:p>
      <w:pPr>
        <w:pStyle w:val="74"/>
        <w:spacing w:line="312" w:lineRule="auto"/>
        <w:ind w:left="0" w:leftChars="0"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（三）编制内容及深度的要求：</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遵循国家及行业相关法律、法规和规范的要求，并与相关上位规划及专项规划相衔接。概念规划强调分析研究，明确发展的前提条件。结合地区发展实际、开发区发展趋势，将开发区范围内的各类空间、资源、景观等要素进行规划引导和规划管控，以区域协调的视角，思考开发区核心区与路桥主城区及周边城镇的关系，明确其承担的角色，协调对接重大基础设施的规模与布局等，从产城融合角度出发，对其国土空间开发保护作出总体安排和综合部署，对开发区建设起到相应的指导作用。具体内容包括：</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（1）基本情况认知：对浙江路桥经济开发区规划背景、现实基础、相关上位规划及专项规划等基本情况进行分析研究，明晰其发展存在的问题及发展诉求。</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（2）愿景目标确定：结合地区发展实际、案例经验借鉴，以及开发区发展趋势，提出浙江路桥经济开发区的目标定位、规划理念、规划策略等。</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（3）总体布局规划：结合前期分析研究，确定浙江路桥经济开发区的用地、产业、公共服务设施、综合交通、绿地系统、市政设施等总体布局及整体要求。</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（4）实施保障措施：确定空间发展时序，提出规划实施步骤、措施和政策建议。</w:t>
      </w:r>
    </w:p>
    <w:p>
      <w:pPr>
        <w:pStyle w:val="74"/>
        <w:spacing w:line="312" w:lineRule="auto"/>
        <w:ind w:left="0" w:leftChars="0"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（四）成果要求</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规划设计成果的内容须符合规划设计任务书的相关要求。规划设计成果包括规划文本、图纸（可采用图文并茂形式）。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图纸主要包括：</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（1）现状图：包括区位图、土地使用现状图、道路交通现状图、公共服务设施现状图、市政设施现状图、历史文化资源分布图等。</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）规划图：包括总体用地布局规划图、规划结构图、公共服务设施规划图、综合交通规划图、绿地系统规划图、市政设施规划图、重点项目示意图等。</w:t>
      </w:r>
    </w:p>
    <w:p>
      <w:pPr>
        <w:pStyle w:val="74"/>
        <w:spacing w:line="312" w:lineRule="auto"/>
        <w:ind w:left="0" w:leftChars="0" w:firstLine="480" w:firstLineChars="200"/>
        <w:rPr>
          <w:rFonts w:ascii="宋体" w:hAnsi="宋体"/>
          <w:b/>
          <w:bCs/>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）分析图：其他能够表达规划思路的分析图。</w:t>
      </w:r>
    </w:p>
    <w:p>
      <w:pPr>
        <w:pStyle w:val="13"/>
        <w:snapToGrid w:val="0"/>
        <w:spacing w:line="360" w:lineRule="auto"/>
        <w:ind w:firstLine="413" w:firstLineChars="147"/>
        <w:jc w:val="left"/>
        <w:rPr>
          <w:rFonts w:hAnsi="宋体" w:cs="宋体"/>
          <w:b/>
          <w:color w:val="auto"/>
          <w:sz w:val="28"/>
          <w:szCs w:val="28"/>
          <w:highlight w:val="none"/>
        </w:rPr>
      </w:pPr>
      <w:r>
        <w:rPr>
          <w:rFonts w:hint="eastAsia" w:hAnsi="宋体" w:cs="宋体"/>
          <w:b/>
          <w:color w:val="auto"/>
          <w:sz w:val="28"/>
          <w:szCs w:val="28"/>
          <w:highlight w:val="none"/>
        </w:rPr>
        <w:t>三、进度安排</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中标通知书发出14天内提交中期成果文件，采购人内部评审通过后20天内提交最终成果文件（具体时间采购人有权根据实际情况进行调整）。</w:t>
      </w:r>
    </w:p>
    <w:p>
      <w:pPr>
        <w:pStyle w:val="13"/>
        <w:snapToGrid w:val="0"/>
        <w:spacing w:line="360" w:lineRule="auto"/>
        <w:ind w:firstLine="413" w:firstLineChars="147"/>
        <w:jc w:val="left"/>
        <w:rPr>
          <w:rFonts w:hAnsi="宋体" w:cs="宋体"/>
          <w:b/>
          <w:color w:val="auto"/>
          <w:sz w:val="28"/>
          <w:szCs w:val="28"/>
          <w:highlight w:val="none"/>
        </w:rPr>
      </w:pPr>
      <w:r>
        <w:rPr>
          <w:rFonts w:hint="eastAsia" w:hAnsi="宋体" w:cs="宋体"/>
          <w:b/>
          <w:color w:val="auto"/>
          <w:sz w:val="28"/>
          <w:szCs w:val="28"/>
          <w:highlight w:val="none"/>
        </w:rPr>
        <w:t>四、付款方式</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1、签订合同后3日内，支付合同金额的30%作为预付款；</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2、提交规划中期成果并通过甲方内部讨论后7天内，支付合同金额的40%； </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3、提交规划评审成果后7天内，支付合同金额的20%；</w:t>
      </w:r>
    </w:p>
    <w:p>
      <w:pPr>
        <w:pStyle w:val="74"/>
        <w:spacing w:line="312" w:lineRule="auto"/>
        <w:ind w:left="0" w:leftChars="0" w:firstLine="480" w:firstLineChars="200"/>
        <w:rPr>
          <w:rFonts w:ascii="宋体" w:hAnsi="宋体"/>
          <w:color w:val="auto"/>
          <w:sz w:val="24"/>
          <w:szCs w:val="24"/>
          <w:highlight w:val="none"/>
        </w:rPr>
      </w:pPr>
      <w:r>
        <w:rPr>
          <w:rFonts w:hint="eastAsia" w:ascii="宋体" w:hAnsi="宋体"/>
          <w:color w:val="auto"/>
          <w:sz w:val="24"/>
          <w:szCs w:val="24"/>
          <w:highlight w:val="none"/>
        </w:rPr>
        <w:t>4、提交规划最终成果后，经招标人验收确认项目达到成果要求后，支付合同金额的10%。</w:t>
      </w:r>
    </w:p>
    <w:p>
      <w:pPr>
        <w:pStyle w:val="29"/>
        <w:rPr>
          <w:rFonts w:hAnsi="宋体"/>
          <w:color w:val="auto"/>
          <w:sz w:val="24"/>
          <w:highlight w:val="none"/>
        </w:rPr>
      </w:pPr>
    </w:p>
    <w:p>
      <w:pPr>
        <w:spacing w:line="360" w:lineRule="auto"/>
        <w:jc w:val="center"/>
        <w:rPr>
          <w:rFonts w:hint="eastAsia"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第五部分 政府采购合同主要条款指引</w:t>
      </w:r>
    </w:p>
    <w:p>
      <w:pPr>
        <w:spacing w:line="360" w:lineRule="auto"/>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（此稿为合同样本，最终定稿待双方协商后定）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甲方：（采购单位）</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乙方：（中标供应商）</w:t>
      </w:r>
    </w:p>
    <w:p>
      <w:pPr>
        <w:widowControl/>
        <w:shd w:val="clear" w:color="auto" w:fill="FFFFFF"/>
        <w:spacing w:after="150" w:line="375" w:lineRule="atLeast"/>
        <w:jc w:val="left"/>
        <w:rPr>
          <w:rFonts w:ascii="宋体" w:hAnsi="宋体" w:cs="宋体"/>
          <w:color w:val="auto"/>
          <w:sz w:val="24"/>
          <w:highlight w:val="none"/>
        </w:rPr>
      </w:pPr>
      <w:r>
        <w:rPr>
          <w:rFonts w:hint="eastAsia" w:ascii="宋体" w:hAnsi="宋体" w:cs="宋体"/>
          <w:color w:val="auto"/>
          <w:sz w:val="24"/>
          <w:highlight w:val="none"/>
        </w:rPr>
        <w:t>甲、乙双方关于</w:t>
      </w:r>
      <w:r>
        <w:rPr>
          <w:rFonts w:hint="eastAsia" w:ascii="宋体" w:hAnsi="宋体" w:cs="宋体"/>
          <w:color w:val="auto"/>
          <w:sz w:val="24"/>
          <w:highlight w:val="none"/>
          <w:u w:val="single"/>
        </w:rPr>
        <w:t>浙江路桥经济开发区概念性总体规划编制采购项目</w:t>
      </w:r>
      <w:r>
        <w:rPr>
          <w:rFonts w:hint="eastAsia" w:ascii="宋体" w:hAnsi="宋体" w:cs="宋体"/>
          <w:color w:val="auto"/>
          <w:sz w:val="24"/>
          <w:highlight w:val="none"/>
        </w:rPr>
        <w:t>竞争性磋商的结果，签署本合同</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一、服务内容</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(根据采购需求及投标人响应承诺编制)</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二、合同金额</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 xml:space="preserve"> 本合同金额为（大写）：_________________元（￥__________元）人民币。</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三、技术资料</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1.乙方应按招标文件规定的时间向甲方提供有关技术资料。</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2. 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hAnsi="宋体" w:cs="宋体"/>
          <w:b/>
          <w:color w:val="auto"/>
          <w:sz w:val="24"/>
          <w:highlight w:val="none"/>
        </w:rPr>
      </w:pPr>
      <w:r>
        <w:rPr>
          <w:rFonts w:hint="eastAsia" w:hAnsi="宋体" w:cs="宋体"/>
          <w:b/>
          <w:color w:val="auto"/>
          <w:sz w:val="24"/>
          <w:highlight w:val="none"/>
        </w:rPr>
        <w:t>四、知识产权</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乙方应保证提供服务过程中不会侵犯任何第三方的知识产权。</w:t>
      </w:r>
    </w:p>
    <w:p>
      <w:pPr>
        <w:pStyle w:val="13"/>
        <w:snapToGrid w:val="0"/>
        <w:spacing w:before="120" w:after="120" w:line="360" w:lineRule="auto"/>
        <w:ind w:left="410" w:hanging="410" w:hangingChars="170"/>
        <w:rPr>
          <w:rFonts w:hAnsi="宋体" w:cs="宋体"/>
          <w:b/>
          <w:color w:val="auto"/>
          <w:sz w:val="24"/>
          <w:highlight w:val="none"/>
        </w:rPr>
      </w:pPr>
      <w:r>
        <w:rPr>
          <w:rFonts w:hint="eastAsia" w:hAnsi="宋体" w:cs="宋体"/>
          <w:b/>
          <w:color w:val="auto"/>
          <w:sz w:val="24"/>
          <w:highlight w:val="none"/>
        </w:rPr>
        <w:t>五、履约保证金</w:t>
      </w:r>
    </w:p>
    <w:p>
      <w:pPr>
        <w:tabs>
          <w:tab w:val="left" w:pos="1418"/>
        </w:tabs>
        <w:autoSpaceDE w:val="0"/>
        <w:autoSpaceDN w:val="0"/>
        <w:adjustRightInd w:val="0"/>
        <w:spacing w:line="360" w:lineRule="auto"/>
        <w:ind w:left="480"/>
        <w:rPr>
          <w:rFonts w:ascii="宋体" w:hAnsi="宋体" w:cs="宋体"/>
          <w:color w:val="auto"/>
          <w:kern w:val="0"/>
          <w:sz w:val="24"/>
          <w:highlight w:val="none"/>
        </w:rPr>
      </w:pPr>
      <w:r>
        <w:rPr>
          <w:rFonts w:hint="eastAsia" w:ascii="宋体" w:hAnsi="宋体" w:cs="宋体"/>
          <w:color w:val="auto"/>
          <w:kern w:val="0"/>
          <w:sz w:val="24"/>
          <w:highlight w:val="none"/>
        </w:rPr>
        <w:t>无。</w:t>
      </w:r>
    </w:p>
    <w:p>
      <w:pPr>
        <w:pStyle w:val="13"/>
        <w:snapToGrid w:val="0"/>
        <w:spacing w:before="120" w:after="120" w:line="360" w:lineRule="auto"/>
        <w:ind w:left="410" w:hanging="410" w:hangingChars="170"/>
        <w:rPr>
          <w:rFonts w:hAnsi="宋体" w:cs="宋体"/>
          <w:b/>
          <w:color w:val="auto"/>
          <w:sz w:val="24"/>
          <w:highlight w:val="none"/>
        </w:rPr>
      </w:pPr>
      <w:r>
        <w:rPr>
          <w:rFonts w:hint="eastAsia" w:hAnsi="宋体" w:cs="宋体"/>
          <w:b/>
          <w:color w:val="auto"/>
          <w:sz w:val="24"/>
          <w:highlight w:val="none"/>
        </w:rPr>
        <w:t>六、转包或分包</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1.本合同范围的服务，应由乙方直接提供服务，不得转让他人提供服务；</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2.除非得到甲方的书面同意，乙方不得将本合同范围的服务全部或部分分包给他人供应；</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3.如有转让和未经甲方同意的分包行为，甲方有权解除合同，追究乙方的违约责任。</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七、合同履行时间、履行方式及履行地点</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1. 履行时间：</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2. 履行方式：</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3. 履行地点：</w:t>
      </w:r>
    </w:p>
    <w:p>
      <w:pPr>
        <w:pStyle w:val="13"/>
        <w:snapToGrid w:val="0"/>
        <w:spacing w:before="120" w:after="120" w:line="360" w:lineRule="auto"/>
        <w:ind w:left="412" w:hanging="412" w:hangingChars="171"/>
        <w:rPr>
          <w:rFonts w:hAnsi="宋体" w:cs="宋体"/>
          <w:b/>
          <w:color w:val="auto"/>
          <w:sz w:val="24"/>
          <w:highlight w:val="none"/>
        </w:rPr>
      </w:pPr>
      <w:r>
        <w:rPr>
          <w:rFonts w:hint="eastAsia" w:hAnsi="宋体" w:cs="宋体"/>
          <w:b/>
          <w:color w:val="auto"/>
          <w:sz w:val="24"/>
          <w:highlight w:val="none"/>
        </w:rPr>
        <w:t>八、货款支付</w:t>
      </w:r>
    </w:p>
    <w:p>
      <w:pPr>
        <w:snapToGrid w:val="0"/>
        <w:spacing w:before="158" w:beforeLines="50" w:after="158" w:afterLines="50" w:line="360" w:lineRule="auto"/>
        <w:rPr>
          <w:rFonts w:ascii="宋体" w:hAnsi="宋体" w:cs="宋体"/>
          <w:b/>
          <w:color w:val="auto"/>
          <w:sz w:val="24"/>
          <w:highlight w:val="none"/>
        </w:rPr>
      </w:pPr>
      <w:r>
        <w:rPr>
          <w:rFonts w:hint="eastAsia" w:ascii="宋体" w:hAnsi="宋体" w:cs="宋体"/>
          <w:b/>
          <w:color w:val="auto"/>
          <w:sz w:val="24"/>
          <w:highlight w:val="none"/>
        </w:rPr>
        <w:t>九、税费</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pStyle w:val="13"/>
        <w:snapToGrid w:val="0"/>
        <w:spacing w:before="120" w:after="120" w:line="360" w:lineRule="auto"/>
        <w:ind w:left="412" w:hanging="412" w:hangingChars="171"/>
        <w:rPr>
          <w:rFonts w:hAnsi="宋体" w:cs="宋体"/>
          <w:color w:val="auto"/>
          <w:sz w:val="24"/>
          <w:highlight w:val="none"/>
        </w:rPr>
      </w:pPr>
      <w:r>
        <w:rPr>
          <w:rFonts w:hint="eastAsia" w:hAnsi="宋体" w:cs="宋体"/>
          <w:b/>
          <w:color w:val="auto"/>
          <w:sz w:val="24"/>
          <w:highlight w:val="none"/>
        </w:rPr>
        <w:t>十、质量保证及售后服务</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1．乙方应按招标文件规定向甲方提供服务。</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2．乙方提供的服务成果对达不到要求者，根据实际情况，经双方协商，可按以下办法处理：</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⑴重做：由乙方承担所发生的全部费用。</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⑵解除合同。</w:t>
      </w:r>
    </w:p>
    <w:p>
      <w:pPr>
        <w:snapToGrid w:val="0"/>
        <w:spacing w:before="158" w:beforeLines="50" w:after="158" w:afterLines="50" w:line="360" w:lineRule="auto"/>
        <w:rPr>
          <w:rFonts w:ascii="宋体" w:hAnsi="宋体" w:cs="宋体"/>
          <w:color w:val="auto"/>
          <w:sz w:val="24"/>
          <w:highlight w:val="none"/>
        </w:rPr>
      </w:pPr>
      <w:r>
        <w:rPr>
          <w:rFonts w:hint="eastAsia" w:ascii="宋体" w:hAnsi="宋体" w:cs="宋体"/>
          <w:color w:val="auto"/>
          <w:sz w:val="24"/>
          <w:highlight w:val="none"/>
        </w:rPr>
        <w:t>3．如在服务过程中发生问题，乙方在接到甲方通知后在1小时内到达甲方现场。</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十一、违约责任</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1．甲方无正当理由拒收接受服务的，甲方向乙方偿付合同款项百分之五作为违约金。</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2．甲方无故逾期验收和办理款项支付手续的,甲方应按逾期付款总额每日万分之</w:t>
      </w:r>
    </w:p>
    <w:p>
      <w:pPr>
        <w:pStyle w:val="13"/>
        <w:snapToGrid w:val="0"/>
        <w:spacing w:before="120" w:after="120" w:line="360" w:lineRule="auto"/>
        <w:ind w:left="407" w:leftChars="114" w:hanging="168" w:hangingChars="70"/>
        <w:rPr>
          <w:rFonts w:hAnsi="宋体" w:cs="宋体"/>
          <w:color w:val="auto"/>
          <w:sz w:val="24"/>
          <w:highlight w:val="none"/>
        </w:rPr>
      </w:pPr>
      <w:r>
        <w:rPr>
          <w:rFonts w:hint="eastAsia" w:hAnsi="宋体" w:cs="宋体"/>
          <w:color w:val="auto"/>
          <w:sz w:val="24"/>
          <w:highlight w:val="none"/>
        </w:rPr>
        <w:t>五向乙方支付违约金。</w:t>
      </w:r>
    </w:p>
    <w:p>
      <w:pPr>
        <w:pStyle w:val="13"/>
        <w:snapToGrid w:val="0"/>
        <w:spacing w:before="120" w:after="120" w:line="360" w:lineRule="auto"/>
        <w:ind w:left="410" w:hanging="410" w:hangingChars="171"/>
        <w:rPr>
          <w:rFonts w:hAnsi="宋体" w:cs="宋体"/>
          <w:color w:val="auto"/>
          <w:sz w:val="24"/>
          <w:highlight w:val="none"/>
        </w:rPr>
      </w:pPr>
      <w:r>
        <w:rPr>
          <w:rFonts w:hint="eastAsia" w:hAnsi="宋体" w:cs="宋体"/>
          <w:color w:val="auto"/>
          <w:sz w:val="24"/>
          <w:highlight w:val="none"/>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十二、不可抗力事件处理</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1. 在合同有效期内，任何一方因不可抗力事件导致不能履行合同，则合同履行</w:t>
      </w:r>
    </w:p>
    <w:p>
      <w:pPr>
        <w:pStyle w:val="13"/>
        <w:snapToGrid w:val="0"/>
        <w:spacing w:before="120" w:after="120" w:line="360" w:lineRule="auto"/>
        <w:ind w:firstLine="360" w:firstLineChars="150"/>
        <w:rPr>
          <w:rFonts w:hAnsi="宋体" w:cs="宋体"/>
          <w:color w:val="auto"/>
          <w:sz w:val="24"/>
          <w:highlight w:val="none"/>
        </w:rPr>
      </w:pPr>
      <w:r>
        <w:rPr>
          <w:rFonts w:hint="eastAsia" w:hAnsi="宋体" w:cs="宋体"/>
          <w:color w:val="auto"/>
          <w:sz w:val="24"/>
          <w:highlight w:val="none"/>
        </w:rPr>
        <w:t>期可延长，其延长期与不可抗力影响期相同。</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2. 不可抗力事件发生后，应立即通知对方，并寄送有关权威机构出具的证明。</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3. 不可抗力事件延续120天以上，双方应通过友好协商，确定是否继续履行合</w:t>
      </w:r>
    </w:p>
    <w:p>
      <w:pPr>
        <w:pStyle w:val="13"/>
        <w:snapToGrid w:val="0"/>
        <w:spacing w:before="120" w:after="120" w:line="360" w:lineRule="auto"/>
        <w:ind w:firstLine="360" w:firstLineChars="150"/>
        <w:rPr>
          <w:rFonts w:hAnsi="宋体" w:cs="宋体"/>
          <w:color w:val="auto"/>
          <w:sz w:val="24"/>
          <w:highlight w:val="none"/>
        </w:rPr>
      </w:pPr>
      <w:r>
        <w:rPr>
          <w:rFonts w:hint="eastAsia" w:hAnsi="宋体" w:cs="宋体"/>
          <w:color w:val="auto"/>
          <w:sz w:val="24"/>
          <w:highlight w:val="none"/>
        </w:rPr>
        <w:t>同。</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十三、诉讼</w:t>
      </w:r>
    </w:p>
    <w:p>
      <w:pPr>
        <w:pStyle w:val="13"/>
        <w:snapToGrid w:val="0"/>
        <w:spacing w:before="120" w:after="120" w:line="360" w:lineRule="auto"/>
        <w:ind w:firstLine="360" w:firstLineChars="150"/>
        <w:rPr>
          <w:rFonts w:hAnsi="宋体" w:cs="宋体"/>
          <w:color w:val="auto"/>
          <w:sz w:val="24"/>
          <w:highlight w:val="none"/>
        </w:rPr>
      </w:pPr>
      <w:r>
        <w:rPr>
          <w:rFonts w:hint="eastAsia" w:hAnsi="宋体" w:cs="宋体"/>
          <w:color w:val="auto"/>
          <w:sz w:val="24"/>
          <w:highlight w:val="none"/>
        </w:rPr>
        <w:t>双方在执行合同中所发生的一切争议，应通过协商解决。如协商不成，可向甲方所在地</w:t>
      </w:r>
      <w:r>
        <w:rPr>
          <w:rFonts w:hint="eastAsia" w:hAnsi="宋体" w:cs="宋体"/>
          <w:color w:val="auto"/>
          <w:sz w:val="24"/>
          <w:highlight w:val="none"/>
          <w:u w:val="single"/>
        </w:rPr>
        <w:t>人民法院</w:t>
      </w:r>
      <w:r>
        <w:rPr>
          <w:rFonts w:hint="eastAsia" w:hAnsi="宋体" w:cs="宋体"/>
          <w:color w:val="auto"/>
          <w:sz w:val="24"/>
          <w:highlight w:val="none"/>
        </w:rPr>
        <w:t>提起诉讼。</w:t>
      </w:r>
    </w:p>
    <w:p>
      <w:pPr>
        <w:pStyle w:val="13"/>
        <w:snapToGrid w:val="0"/>
        <w:spacing w:before="120" w:after="120" w:line="360" w:lineRule="auto"/>
        <w:rPr>
          <w:rFonts w:hAnsi="宋体" w:cs="宋体"/>
          <w:b/>
          <w:color w:val="auto"/>
          <w:sz w:val="24"/>
          <w:highlight w:val="none"/>
        </w:rPr>
      </w:pPr>
      <w:r>
        <w:rPr>
          <w:rFonts w:hint="eastAsia" w:hAnsi="宋体" w:cs="宋体"/>
          <w:b/>
          <w:color w:val="auto"/>
          <w:sz w:val="24"/>
          <w:highlight w:val="none"/>
        </w:rPr>
        <w:t>十八、合同生效及其它</w:t>
      </w:r>
    </w:p>
    <w:p>
      <w:pPr>
        <w:pStyle w:val="13"/>
        <w:snapToGrid w:val="0"/>
        <w:spacing w:before="120" w:after="120" w:line="360" w:lineRule="auto"/>
        <w:rPr>
          <w:rFonts w:hAnsi="宋体" w:cs="宋体"/>
          <w:color w:val="auto"/>
          <w:sz w:val="24"/>
          <w:highlight w:val="none"/>
        </w:rPr>
      </w:pPr>
      <w:r>
        <w:rPr>
          <w:rFonts w:hint="eastAsia" w:hAnsi="宋体" w:cs="宋体"/>
          <w:color w:val="auto"/>
          <w:sz w:val="24"/>
          <w:highlight w:val="none"/>
        </w:rPr>
        <w:t>1. 合同经双方法定代表人或授权代表签字并加盖单位公章后生效。</w:t>
      </w:r>
    </w:p>
    <w:p>
      <w:pPr>
        <w:pStyle w:val="13"/>
        <w:snapToGrid w:val="0"/>
        <w:spacing w:before="120" w:after="120" w:line="360" w:lineRule="auto"/>
        <w:ind w:left="480" w:hanging="480" w:hangingChars="200"/>
        <w:rPr>
          <w:rFonts w:hAnsi="宋体" w:cs="宋体"/>
          <w:color w:val="auto"/>
          <w:sz w:val="24"/>
          <w:highlight w:val="none"/>
        </w:rPr>
      </w:pPr>
      <w:r>
        <w:rPr>
          <w:rFonts w:hint="eastAsia" w:hAnsi="宋体" w:cs="宋体"/>
          <w:color w:val="auto"/>
          <w:sz w:val="24"/>
          <w:highlight w:val="none"/>
        </w:rPr>
        <w:t>2. 本合同未尽事宜，遵照《合同法》有关条文执行。</w:t>
      </w:r>
    </w:p>
    <w:p>
      <w:pPr>
        <w:widowControl/>
        <w:spacing w:line="360" w:lineRule="auto"/>
        <w:rPr>
          <w:rFonts w:ascii="宋体" w:hAnsi="宋体" w:cs="宋体"/>
          <w:b/>
          <w:color w:val="auto"/>
          <w:sz w:val="24"/>
          <w:highlight w:val="none"/>
        </w:rPr>
      </w:pPr>
      <w:r>
        <w:rPr>
          <w:rFonts w:hint="eastAsia" w:ascii="宋体" w:hAnsi="宋体" w:cs="宋体"/>
          <w:color w:val="auto"/>
          <w:sz w:val="24"/>
          <w:highlight w:val="none"/>
        </w:rPr>
        <w:t>3.</w:t>
      </w:r>
      <w:r>
        <w:rPr>
          <w:rFonts w:hint="eastAsia" w:ascii="宋体" w:hAnsi="宋体" w:cs="宋体"/>
          <w:color w:val="auto"/>
          <w:kern w:val="0"/>
          <w:sz w:val="24"/>
          <w:highlight w:val="none"/>
        </w:rPr>
        <w:t xml:space="preserve">  </w:t>
      </w:r>
      <w:r>
        <w:rPr>
          <w:rFonts w:hint="eastAsia" w:ascii="宋体" w:hAnsi="宋体" w:cs="宋体"/>
          <w:b/>
          <w:color w:val="auto"/>
          <w:sz w:val="24"/>
          <w:highlight w:val="none"/>
        </w:rPr>
        <w:t>本合同一式六份。甲、乙双方各执二份，采购代理机构及政府采购监管处一份。本项目未尽事宜以招标文件、投标文件及澄清文件等为准。</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甲方（公章）：                         乙方（公章）：</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法定代表人或委托代理人（签字）：       法定代表人或委托代理人（签字）：</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联系电话：                             联系电话：</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开户银行（必填）：                     开户银行（必填）：</w:t>
      </w:r>
    </w:p>
    <w:p>
      <w:pPr>
        <w:spacing w:line="360" w:lineRule="auto"/>
        <w:rPr>
          <w:rFonts w:ascii="宋体" w:hAnsi="宋体" w:cs="宋体"/>
          <w:color w:val="auto"/>
          <w:highlight w:val="none"/>
        </w:rPr>
      </w:pPr>
      <w:r>
        <w:rPr>
          <w:rFonts w:hint="eastAsia" w:ascii="宋体" w:hAnsi="宋体" w:cs="宋体"/>
          <w:color w:val="auto"/>
          <w:sz w:val="24"/>
          <w:szCs w:val="32"/>
          <w:highlight w:val="none"/>
        </w:rPr>
        <w:t>账号（必填）：                         账号（必填）：</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签订时间：     年   月   日            签订时间：     年   月   日</w:t>
      </w:r>
    </w:p>
    <w:p>
      <w:pPr>
        <w:spacing w:line="360" w:lineRule="auto"/>
        <w:jc w:val="left"/>
        <w:rPr>
          <w:rFonts w:ascii="宋体" w:hAnsi="宋体" w:cs="宋体"/>
          <w:color w:val="auto"/>
          <w:sz w:val="24"/>
          <w:szCs w:val="32"/>
          <w:highlight w:val="none"/>
        </w:rPr>
      </w:pP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鉴证方（鉴证章）：</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日  期：     年   月   日</w:t>
      </w:r>
    </w:p>
    <w:p>
      <w:pPr>
        <w:spacing w:line="360" w:lineRule="auto"/>
        <w:jc w:val="center"/>
        <w:rPr>
          <w:rFonts w:hint="eastAsia"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第六部分 响应文件格式附件</w:t>
      </w:r>
    </w:p>
    <w:p>
      <w:pPr>
        <w:spacing w:line="360" w:lineRule="auto"/>
        <w:ind w:firstLine="482" w:firstLineChars="200"/>
        <w:rPr>
          <w:rFonts w:ascii="宋体" w:hAnsi="宋体" w:cs="宋体"/>
          <w:b/>
          <w:bCs/>
          <w:color w:val="auto"/>
          <w:sz w:val="24"/>
          <w:szCs w:val="32"/>
          <w:highlight w:val="none"/>
          <w:u w:val="single"/>
        </w:rPr>
      </w:pPr>
      <w:r>
        <w:rPr>
          <w:rFonts w:hint="eastAsia" w:ascii="宋体" w:hAnsi="宋体" w:cs="宋体"/>
          <w:b/>
          <w:bCs/>
          <w:color w:val="auto"/>
          <w:sz w:val="24"/>
          <w:szCs w:val="32"/>
          <w:highlight w:val="none"/>
        </w:rPr>
        <w:t>说明：对本章所有的投标书格式，投标方可根据自身情况进行补充和修改，但补充和修改不得造成与本格式内容有实质性的违背。</w:t>
      </w:r>
    </w:p>
    <w:p>
      <w:pPr>
        <w:rPr>
          <w:rFonts w:ascii="宋体" w:hAnsi="宋体" w:cs="宋体"/>
          <w:b/>
          <w:color w:val="auto"/>
          <w:kern w:val="0"/>
          <w:sz w:val="28"/>
          <w:szCs w:val="28"/>
          <w:highlight w:val="none"/>
        </w:rPr>
      </w:pPr>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ind w:firstLine="1800" w:firstLineChars="500"/>
        <w:rPr>
          <w:rFonts w:ascii="宋体" w:hAnsi="宋体" w:cs="宋体"/>
          <w:color w:val="auto"/>
          <w:sz w:val="36"/>
          <w:szCs w:val="36"/>
          <w:highlight w:val="none"/>
        </w:rPr>
      </w:pPr>
      <w:r>
        <w:rPr>
          <w:rFonts w:hint="eastAsia" w:ascii="宋体" w:hAnsi="宋体" w:cs="宋体"/>
          <w:color w:val="auto"/>
          <w:sz w:val="36"/>
          <w:szCs w:val="36"/>
          <w:highlight w:val="none"/>
        </w:rPr>
        <w:t>项目编号：</w:t>
      </w:r>
      <w:r>
        <w:rPr>
          <w:rFonts w:hint="eastAsia" w:ascii="宋体" w:hAnsi="宋体" w:cs="宋体"/>
          <w:color w:val="auto"/>
          <w:sz w:val="36"/>
          <w:szCs w:val="36"/>
          <w:highlight w:val="none"/>
          <w:u w:val="single"/>
        </w:rPr>
        <w:t xml:space="preserve">            </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磋</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商</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响</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应</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pStyle w:val="10"/>
        <w:rPr>
          <w:rFonts w:ascii="宋体" w:hAnsi="宋体" w:cs="宋体"/>
          <w:color w:val="auto"/>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磋商响应文件目录</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资格证明部分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1、磋商声明书（附件2）；</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2、授权委托书（附件3）；</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5、提供采购公告中符合供应商特定条件的相关证明材料；</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第二部分</w:t>
      </w:r>
      <w:r>
        <w:rPr>
          <w:rFonts w:hint="eastAsia" w:ascii="宋体" w:hAnsi="宋体" w:cs="宋体"/>
          <w:b/>
          <w:bCs/>
          <w:color w:val="auto"/>
          <w:sz w:val="28"/>
          <w:szCs w:val="36"/>
          <w:highlight w:val="none"/>
        </w:rPr>
        <w:t xml:space="preserve"> </w:t>
      </w:r>
      <w:r>
        <w:rPr>
          <w:rFonts w:hint="eastAsia" w:ascii="宋体" w:hAnsi="宋体" w:cs="宋体"/>
          <w:b/>
          <w:bCs/>
          <w:color w:val="auto"/>
          <w:sz w:val="28"/>
          <w:szCs w:val="36"/>
          <w:highlight w:val="none"/>
          <w:lang w:val="zh-CN"/>
        </w:rPr>
        <w:t>商务与技术</w:t>
      </w:r>
      <w:r>
        <w:rPr>
          <w:rFonts w:hint="eastAsia" w:ascii="宋体" w:hAnsi="宋体" w:cs="宋体"/>
          <w:b/>
          <w:bCs/>
          <w:color w:val="auto"/>
          <w:sz w:val="28"/>
          <w:szCs w:val="36"/>
          <w:highlight w:val="none"/>
        </w:rPr>
        <w:t>部分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1、供应商情况介绍（附件4）；</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2、项目实施人员一览表（附件5）；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3、证书一览表（附件6）；</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4、项目负责人资格情况表（附件7）；</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5、商务及技术响应表（附件8）；</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6、类似项目业绩一览表（附件9）；</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7、售后服务措施及承诺（可视情选用附件10）；</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第三部分 报价部分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1、首次报价一览表（附件11）；</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2、报价明细表（附件12）；</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3、中小企业等声明函（附件13）；</w:t>
      </w:r>
    </w:p>
    <w:p>
      <w:pPr>
        <w:spacing w:line="360" w:lineRule="auto"/>
        <w:rPr>
          <w:rFonts w:ascii="宋体" w:hAnsi="宋体" w:cs="宋体"/>
          <w:b/>
          <w:bCs/>
          <w:color w:val="auto"/>
          <w:sz w:val="28"/>
          <w:szCs w:val="36"/>
          <w:highlight w:val="none"/>
        </w:rPr>
      </w:pPr>
      <w:r>
        <w:rPr>
          <w:rFonts w:hint="eastAsia" w:ascii="宋体" w:hAnsi="宋体" w:cs="宋体"/>
          <w:b/>
          <w:bCs/>
          <w:color w:val="auto"/>
          <w:sz w:val="28"/>
          <w:szCs w:val="36"/>
          <w:highlight w:val="none"/>
        </w:rPr>
        <w:t>第四部分 其他部分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1、针对磋商，响应供应商认为其他需要说明的（包括可能影响供应商商务与技术评分项的各类证明材料）。</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29"/>
        <w:rPr>
          <w:color w:val="auto"/>
          <w:highlight w:val="none"/>
        </w:rPr>
      </w:pPr>
    </w:p>
    <w:p>
      <w:pPr>
        <w:pStyle w:val="10"/>
        <w:rPr>
          <w:rFonts w:ascii="宋体" w:hAnsi="宋体" w:cs="宋体"/>
          <w:color w:val="auto"/>
          <w:highlight w:val="none"/>
        </w:rPr>
      </w:pPr>
    </w:p>
    <w:p>
      <w:pPr>
        <w:spacing w:line="360" w:lineRule="auto"/>
        <w:rPr>
          <w:rFonts w:ascii="宋体" w:hAnsi="宋体" w:cs="宋体"/>
          <w:b/>
          <w:color w:val="auto"/>
          <w:kern w:val="0"/>
          <w:sz w:val="32"/>
          <w:szCs w:val="32"/>
          <w:highlight w:val="none"/>
          <w:lang w:val="zh-CN"/>
        </w:rPr>
      </w:pPr>
      <w:r>
        <w:rPr>
          <w:rFonts w:hint="eastAsia" w:ascii="宋体" w:hAnsi="宋体" w:cs="宋体"/>
          <w:b/>
          <w:color w:val="auto"/>
          <w:sz w:val="28"/>
          <w:highlight w:val="none"/>
        </w:rPr>
        <w:t>附件2                  磋商</w:t>
      </w:r>
      <w:r>
        <w:rPr>
          <w:rFonts w:hint="eastAsia" w:ascii="宋体" w:hAnsi="宋体" w:cs="宋体"/>
          <w:b/>
          <w:color w:val="auto"/>
          <w:kern w:val="0"/>
          <w:sz w:val="32"/>
          <w:szCs w:val="32"/>
          <w:highlight w:val="none"/>
          <w:lang w:val="zh-CN"/>
        </w:rPr>
        <w:t>声明书</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浙江五石工程咨询有限公司</w:t>
      </w:r>
      <w:r>
        <w:rPr>
          <w:rFonts w:hint="eastAsia" w:ascii="宋体" w:hAnsi="宋体" w:cs="宋体"/>
          <w:color w:val="auto"/>
          <w:sz w:val="24"/>
          <w:szCs w:val="32"/>
          <w:highlight w:val="none"/>
        </w:rPr>
        <w:t>（采购代理机构名称）：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浙江路桥经济开发区概念性总体规划编制采购项目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ZJWS2021-LQ168磋 </w:t>
      </w:r>
      <w:r>
        <w:rPr>
          <w:rFonts w:hint="eastAsia" w:ascii="宋体" w:hAnsi="宋体" w:cs="宋体"/>
          <w:color w:val="auto"/>
          <w:sz w:val="24"/>
          <w:szCs w:val="32"/>
          <w:highlight w:val="none"/>
        </w:rPr>
        <w:t>）的磋商，为此，我公司就本次磋商有关事项郑重声明如下：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磋商时间近三年以来：在参加政府采购活动过程中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磋商前已详细审查了磋商采购文件和所有相关资料，我方完全明白并认为此磋商采购文件没有倾向性，也没有存在排斥潜在供应商的内容，我方同意磋商采购文件的相关条款，放弃对磋商采购文件提出误解和质疑的一切权利。</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供应商名称（公章）：</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附件3                   授权委托书</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浙江路桥经济开发区管理委员会（台州湾循环经济产业集聚区路桥分区管理委员会）</w:t>
      </w:r>
      <w:r>
        <w:rPr>
          <w:rFonts w:hint="eastAsia" w:ascii="宋体" w:hAnsi="宋体" w:cs="宋体"/>
          <w:color w:val="auto"/>
          <w:sz w:val="24"/>
          <w:szCs w:val="32"/>
          <w:highlight w:val="none"/>
          <w:u w:val="single"/>
        </w:rPr>
        <w:t>、浙江五石工程咨询有限公司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（供应商全称）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浙江路桥经济开发区概念性总体规划编制采购项目 </w:t>
      </w:r>
      <w:r>
        <w:rPr>
          <w:rFonts w:hint="eastAsia" w:ascii="宋体" w:hAnsi="宋体" w:cs="宋体"/>
          <w:color w:val="auto"/>
          <w:sz w:val="24"/>
          <w:szCs w:val="32"/>
          <w:highlight w:val="none"/>
        </w:rPr>
        <w:t>的采购活动，并代表我方全权办理针对上述项目的磋商、签约等具体事务和签署相关文件。我方对授权委托代理人的签字事项负全部责任。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法定代表人（单位负责人）签字或盖章：</w:t>
      </w: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供应商全称（公章）：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ind w:firstLine="480" w:firstLineChars="200"/>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法定代表人（单位负责人）姓名：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color w:val="auto"/>
          <w:sz w:val="24"/>
          <w:highlight w:val="none"/>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rPr>
          <w:rFonts w:ascii="宋体" w:hAnsi="宋体" w:cs="宋体"/>
          <w:b/>
          <w:bCs/>
          <w:color w:val="auto"/>
          <w:sz w:val="28"/>
          <w:szCs w:val="36"/>
          <w:highlight w:val="none"/>
        </w:rPr>
      </w:pPr>
    </w:p>
    <w:p>
      <w:pPr>
        <w:rPr>
          <w:rFonts w:ascii="宋体" w:hAnsi="宋体" w:cs="宋体"/>
          <w:b/>
          <w:bCs/>
          <w:color w:val="auto"/>
          <w:sz w:val="28"/>
          <w:szCs w:val="36"/>
          <w:highlight w:val="none"/>
          <w:lang w:val="zh-CN"/>
        </w:rPr>
      </w:pPr>
      <w:r>
        <w:rPr>
          <w:rFonts w:hint="eastAsia" w:ascii="宋体" w:hAnsi="宋体" w:cs="宋体"/>
          <w:b/>
          <w:bCs/>
          <w:color w:val="auto"/>
          <w:sz w:val="28"/>
          <w:szCs w:val="36"/>
          <w:highlight w:val="none"/>
        </w:rPr>
        <w:t>附件4</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供应商基本情况表</w:t>
      </w:r>
    </w:p>
    <w:tbl>
      <w:tblPr>
        <w:tblStyle w:val="24"/>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vAlign w:val="center"/>
          </w:tcPr>
          <w:p>
            <w:pPr>
              <w:pStyle w:val="37"/>
              <w:shd w:val="clear" w:color="auto" w:fill="FFFFFF"/>
              <w:spacing w:line="360" w:lineRule="auto"/>
              <w:jc w:val="both"/>
              <w:rPr>
                <w:bCs/>
                <w:color w:val="auto"/>
                <w:highlight w:val="none"/>
              </w:rPr>
            </w:pPr>
            <w:r>
              <w:rPr>
                <w:rFonts w:hint="eastAsia"/>
                <w:bCs/>
                <w:color w:val="auto"/>
                <w:spacing w:val="27"/>
                <w:highlight w:val="none"/>
              </w:rPr>
              <w:t>企业名称</w:t>
            </w:r>
          </w:p>
        </w:tc>
        <w:tc>
          <w:tcPr>
            <w:tcW w:w="3765" w:type="dxa"/>
            <w:gridSpan w:val="6"/>
            <w:vAlign w:val="center"/>
          </w:tcPr>
          <w:p>
            <w:pPr>
              <w:pStyle w:val="37"/>
              <w:shd w:val="clear" w:color="auto" w:fill="FFFFFF"/>
              <w:spacing w:line="360" w:lineRule="auto"/>
              <w:jc w:val="both"/>
              <w:rPr>
                <w:bCs/>
                <w:color w:val="auto"/>
                <w:highlight w:val="none"/>
              </w:rPr>
            </w:pPr>
          </w:p>
        </w:tc>
        <w:tc>
          <w:tcPr>
            <w:tcW w:w="1560" w:type="dxa"/>
            <w:vAlign w:val="center"/>
          </w:tcPr>
          <w:p>
            <w:pPr>
              <w:pStyle w:val="37"/>
              <w:shd w:val="clear" w:color="auto" w:fill="FFFFFF"/>
              <w:spacing w:line="360" w:lineRule="auto"/>
              <w:jc w:val="center"/>
              <w:rPr>
                <w:bCs/>
                <w:color w:val="auto"/>
                <w:highlight w:val="none"/>
              </w:rPr>
            </w:pPr>
            <w:r>
              <w:rPr>
                <w:rFonts w:hint="eastAsia"/>
                <w:bCs/>
                <w:color w:val="auto"/>
                <w:spacing w:val="16"/>
                <w:highlight w:val="none"/>
              </w:rPr>
              <w:t>法人代表</w:t>
            </w:r>
          </w:p>
        </w:tc>
        <w:tc>
          <w:tcPr>
            <w:tcW w:w="2608" w:type="dxa"/>
            <w:gridSpan w:val="3"/>
            <w:vAlign w:val="center"/>
          </w:tcPr>
          <w:p>
            <w:pPr>
              <w:pStyle w:val="37"/>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vAlign w:val="center"/>
          </w:tcPr>
          <w:p>
            <w:pPr>
              <w:pStyle w:val="37"/>
              <w:shd w:val="clear" w:color="auto" w:fill="FFFFFF"/>
              <w:spacing w:line="360" w:lineRule="auto"/>
              <w:jc w:val="both"/>
              <w:rPr>
                <w:bCs/>
                <w:color w:val="auto"/>
                <w:spacing w:val="16"/>
                <w:highlight w:val="none"/>
              </w:rPr>
            </w:pPr>
            <w:r>
              <w:rPr>
                <w:rFonts w:hint="eastAsia"/>
                <w:bCs/>
                <w:color w:val="auto"/>
                <w:spacing w:val="27"/>
                <w:highlight w:val="none"/>
              </w:rPr>
              <w:t>地址</w:t>
            </w:r>
          </w:p>
        </w:tc>
        <w:tc>
          <w:tcPr>
            <w:tcW w:w="3765" w:type="dxa"/>
            <w:gridSpan w:val="6"/>
            <w:tcBorders>
              <w:bottom w:val="single" w:color="auto" w:sz="4" w:space="0"/>
            </w:tcBorders>
            <w:vAlign w:val="center"/>
          </w:tcPr>
          <w:p>
            <w:pPr>
              <w:pStyle w:val="37"/>
              <w:shd w:val="clear" w:color="auto" w:fill="FFFFFF"/>
              <w:spacing w:line="360" w:lineRule="auto"/>
              <w:jc w:val="both"/>
              <w:rPr>
                <w:bCs/>
                <w:color w:val="auto"/>
                <w:spacing w:val="16"/>
                <w:highlight w:val="none"/>
              </w:rPr>
            </w:pPr>
          </w:p>
        </w:tc>
        <w:tc>
          <w:tcPr>
            <w:tcW w:w="1560" w:type="dxa"/>
            <w:vAlign w:val="center"/>
          </w:tcPr>
          <w:p>
            <w:pPr>
              <w:pStyle w:val="37"/>
              <w:shd w:val="clear" w:color="auto" w:fill="FFFFFF"/>
              <w:spacing w:line="360" w:lineRule="auto"/>
              <w:jc w:val="center"/>
              <w:rPr>
                <w:bCs/>
                <w:color w:val="auto"/>
                <w:spacing w:val="16"/>
                <w:highlight w:val="none"/>
              </w:rPr>
            </w:pPr>
            <w:r>
              <w:rPr>
                <w:rFonts w:hint="eastAsia"/>
                <w:bCs/>
                <w:color w:val="auto"/>
                <w:spacing w:val="16"/>
                <w:highlight w:val="none"/>
              </w:rPr>
              <w:t>企业性质</w:t>
            </w:r>
          </w:p>
        </w:tc>
        <w:tc>
          <w:tcPr>
            <w:tcW w:w="2608" w:type="dxa"/>
            <w:gridSpan w:val="3"/>
            <w:vAlign w:val="center"/>
          </w:tcPr>
          <w:p>
            <w:pPr>
              <w:pStyle w:val="3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vAlign w:val="center"/>
          </w:tcPr>
          <w:p>
            <w:pPr>
              <w:pStyle w:val="37"/>
              <w:shd w:val="clear" w:color="auto" w:fill="FFFFFF"/>
              <w:spacing w:line="360" w:lineRule="auto"/>
              <w:jc w:val="both"/>
              <w:rPr>
                <w:bCs/>
                <w:color w:val="auto"/>
                <w:spacing w:val="16"/>
                <w:highlight w:val="none"/>
              </w:rPr>
            </w:pPr>
            <w:r>
              <w:rPr>
                <w:rFonts w:hint="eastAsia"/>
                <w:bCs/>
                <w:color w:val="auto"/>
                <w:spacing w:val="27"/>
                <w:highlight w:val="none"/>
              </w:rPr>
              <w:t>股东姓名</w:t>
            </w:r>
          </w:p>
        </w:tc>
        <w:tc>
          <w:tcPr>
            <w:tcW w:w="690" w:type="dxa"/>
            <w:tcBorders>
              <w:bottom w:val="single" w:color="auto" w:sz="4" w:space="0"/>
            </w:tcBorders>
            <w:vAlign w:val="center"/>
          </w:tcPr>
          <w:p>
            <w:pPr>
              <w:pStyle w:val="37"/>
              <w:shd w:val="clear" w:color="auto" w:fill="FFFFFF"/>
              <w:spacing w:before="0" w:beforeAutospacing="0" w:after="0" w:afterAutospacing="0" w:line="360" w:lineRule="auto"/>
              <w:jc w:val="both"/>
              <w:rPr>
                <w:bCs/>
                <w:color w:val="auto"/>
                <w:spacing w:val="16"/>
                <w:highlight w:val="none"/>
              </w:rPr>
            </w:pPr>
          </w:p>
        </w:tc>
        <w:tc>
          <w:tcPr>
            <w:tcW w:w="960" w:type="dxa"/>
            <w:gridSpan w:val="2"/>
            <w:tcBorders>
              <w:bottom w:val="single" w:color="auto" w:sz="4" w:space="0"/>
            </w:tcBorders>
            <w:vAlign w:val="center"/>
          </w:tcPr>
          <w:p>
            <w:pPr>
              <w:pStyle w:val="37"/>
              <w:shd w:val="clear" w:color="auto" w:fill="FFFFFF"/>
              <w:spacing w:line="360" w:lineRule="auto"/>
              <w:jc w:val="both"/>
              <w:rPr>
                <w:bCs/>
                <w:color w:val="auto"/>
                <w:spacing w:val="16"/>
                <w:highlight w:val="none"/>
              </w:rPr>
            </w:pPr>
            <w:r>
              <w:rPr>
                <w:rFonts w:hint="eastAsia"/>
                <w:bCs/>
                <w:color w:val="auto"/>
                <w:spacing w:val="16"/>
                <w:highlight w:val="none"/>
              </w:rPr>
              <w:t>股权结构（%）</w:t>
            </w:r>
          </w:p>
        </w:tc>
        <w:tc>
          <w:tcPr>
            <w:tcW w:w="2115" w:type="dxa"/>
            <w:gridSpan w:val="3"/>
            <w:tcBorders>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37"/>
              <w:shd w:val="clear" w:color="auto" w:fill="FFFFFF"/>
              <w:spacing w:line="360" w:lineRule="auto"/>
              <w:jc w:val="both"/>
              <w:rPr>
                <w:bCs/>
                <w:color w:val="auto"/>
                <w:spacing w:val="16"/>
                <w:highlight w:val="none"/>
              </w:rPr>
            </w:pPr>
          </w:p>
        </w:tc>
        <w:tc>
          <w:tcPr>
            <w:tcW w:w="1560" w:type="dxa"/>
            <w:vAlign w:val="center"/>
          </w:tcPr>
          <w:p>
            <w:pPr>
              <w:pStyle w:val="37"/>
              <w:shd w:val="clear" w:color="auto" w:fill="FFFFFF"/>
              <w:spacing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vAlign w:val="center"/>
          </w:tcPr>
          <w:p>
            <w:pPr>
              <w:pStyle w:val="37"/>
              <w:shd w:val="clear" w:color="auto" w:fill="FFFFFF"/>
              <w:spacing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vAlign w:val="center"/>
          </w:tcPr>
          <w:p>
            <w:pPr>
              <w:pStyle w:val="37"/>
              <w:shd w:val="clear" w:color="auto" w:fill="FFFFFF"/>
              <w:spacing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vAlign w:val="center"/>
          </w:tcPr>
          <w:p>
            <w:pPr>
              <w:pStyle w:val="37"/>
              <w:shd w:val="clear" w:color="auto" w:fill="FFFFFF"/>
              <w:spacing w:line="360" w:lineRule="auto"/>
              <w:jc w:val="both"/>
              <w:rPr>
                <w:bCs/>
                <w:color w:val="auto"/>
                <w:spacing w:val="16"/>
                <w:highlight w:val="none"/>
              </w:rPr>
            </w:pPr>
          </w:p>
        </w:tc>
        <w:tc>
          <w:tcPr>
            <w:tcW w:w="960" w:type="dxa"/>
            <w:gridSpan w:val="2"/>
            <w:tcBorders>
              <w:top w:val="nil"/>
              <w:bottom w:val="single" w:color="auto" w:sz="4" w:space="0"/>
            </w:tcBorders>
            <w:vAlign w:val="center"/>
          </w:tcPr>
          <w:p>
            <w:pPr>
              <w:pStyle w:val="37"/>
              <w:shd w:val="clear" w:color="auto" w:fill="FFFFFF"/>
              <w:spacing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bottom w:val="single" w:color="auto" w:sz="4" w:space="0"/>
            </w:tcBorders>
            <w:vAlign w:val="center"/>
          </w:tcPr>
          <w:p>
            <w:pPr>
              <w:widowControl/>
              <w:spacing w:line="360" w:lineRule="auto"/>
              <w:rPr>
                <w:rFonts w:ascii="宋体" w:hAnsi="宋体" w:cs="宋体"/>
                <w:bCs/>
                <w:color w:val="auto"/>
                <w:spacing w:val="16"/>
                <w:kern w:val="0"/>
                <w:sz w:val="24"/>
                <w:highlight w:val="none"/>
              </w:rPr>
            </w:pPr>
          </w:p>
          <w:p>
            <w:pPr>
              <w:pStyle w:val="37"/>
              <w:shd w:val="clear" w:color="auto" w:fill="FFFFFF"/>
              <w:spacing w:line="360" w:lineRule="auto"/>
              <w:jc w:val="both"/>
              <w:rPr>
                <w:bCs/>
                <w:color w:val="auto"/>
                <w:spacing w:val="16"/>
                <w:highlight w:val="none"/>
              </w:rPr>
            </w:pPr>
          </w:p>
        </w:tc>
        <w:tc>
          <w:tcPr>
            <w:tcW w:w="1560" w:type="dxa"/>
            <w:vMerge w:val="restart"/>
            <w:vAlign w:val="center"/>
          </w:tcPr>
          <w:p>
            <w:pPr>
              <w:pStyle w:val="37"/>
              <w:shd w:val="clear" w:color="auto" w:fill="FFFFFF"/>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vAlign w:val="center"/>
          </w:tcPr>
          <w:p>
            <w:pPr>
              <w:pStyle w:val="3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vAlign w:val="center"/>
          </w:tcPr>
          <w:p>
            <w:pPr>
              <w:pStyle w:val="37"/>
              <w:shd w:val="clear" w:color="auto" w:fill="FFFFFF"/>
              <w:spacing w:line="360" w:lineRule="auto"/>
              <w:ind w:left="107"/>
              <w:jc w:val="both"/>
              <w:rPr>
                <w:bCs/>
                <w:color w:val="auto"/>
                <w:highlight w:val="none"/>
              </w:rPr>
            </w:pPr>
          </w:p>
        </w:tc>
        <w:tc>
          <w:tcPr>
            <w:tcW w:w="690" w:type="dxa"/>
            <w:vMerge w:val="continue"/>
            <w:tcBorders>
              <w:bottom w:val="single" w:color="auto" w:sz="4" w:space="0"/>
            </w:tcBorders>
            <w:vAlign w:val="center"/>
          </w:tcPr>
          <w:p>
            <w:pPr>
              <w:pStyle w:val="37"/>
              <w:shd w:val="clear" w:color="auto" w:fill="FFFFFF"/>
              <w:spacing w:line="360" w:lineRule="auto"/>
              <w:jc w:val="both"/>
              <w:rPr>
                <w:bCs/>
                <w:color w:val="auto"/>
                <w:spacing w:val="16"/>
                <w:highlight w:val="none"/>
              </w:rPr>
            </w:pPr>
          </w:p>
        </w:tc>
        <w:tc>
          <w:tcPr>
            <w:tcW w:w="960" w:type="dxa"/>
            <w:gridSpan w:val="2"/>
            <w:tcBorders>
              <w:bottom w:val="single" w:color="auto" w:sz="4" w:space="0"/>
            </w:tcBorders>
            <w:vAlign w:val="center"/>
          </w:tcPr>
          <w:p>
            <w:pPr>
              <w:pStyle w:val="37"/>
              <w:shd w:val="clear" w:color="auto" w:fill="FFFFFF"/>
              <w:spacing w:line="360" w:lineRule="auto"/>
              <w:jc w:val="both"/>
              <w:rPr>
                <w:bCs/>
                <w:color w:val="auto"/>
                <w:spacing w:val="16"/>
                <w:highlight w:val="none"/>
              </w:rPr>
            </w:pPr>
            <w:r>
              <w:rPr>
                <w:rFonts w:hint="eastAsia"/>
                <w:bCs/>
                <w:color w:val="auto"/>
                <w:spacing w:val="27"/>
                <w:highlight w:val="none"/>
              </w:rPr>
              <w:t>手机</w:t>
            </w:r>
          </w:p>
        </w:tc>
        <w:tc>
          <w:tcPr>
            <w:tcW w:w="2115" w:type="dxa"/>
            <w:gridSpan w:val="3"/>
            <w:tcBorders>
              <w:bottom w:val="single" w:color="auto" w:sz="4" w:space="0"/>
            </w:tcBorders>
            <w:vAlign w:val="center"/>
          </w:tcPr>
          <w:p>
            <w:pPr>
              <w:pStyle w:val="37"/>
              <w:shd w:val="clear" w:color="auto" w:fill="FFFFFF"/>
              <w:spacing w:line="360" w:lineRule="auto"/>
              <w:jc w:val="both"/>
              <w:rPr>
                <w:bCs/>
                <w:color w:val="auto"/>
                <w:spacing w:val="16"/>
                <w:highlight w:val="none"/>
              </w:rPr>
            </w:pPr>
          </w:p>
        </w:tc>
        <w:tc>
          <w:tcPr>
            <w:tcW w:w="1560" w:type="dxa"/>
            <w:vMerge w:val="continue"/>
            <w:vAlign w:val="center"/>
          </w:tcPr>
          <w:p>
            <w:pPr>
              <w:pStyle w:val="37"/>
              <w:shd w:val="clear" w:color="auto" w:fill="FFFFFF"/>
              <w:spacing w:line="360" w:lineRule="auto"/>
              <w:jc w:val="center"/>
              <w:rPr>
                <w:bCs/>
                <w:color w:val="auto"/>
                <w:spacing w:val="16"/>
                <w:highlight w:val="none"/>
              </w:rPr>
            </w:pPr>
          </w:p>
        </w:tc>
        <w:tc>
          <w:tcPr>
            <w:tcW w:w="2608" w:type="dxa"/>
            <w:gridSpan w:val="3"/>
            <w:vMerge w:val="continue"/>
            <w:vAlign w:val="center"/>
          </w:tcPr>
          <w:p>
            <w:pPr>
              <w:pStyle w:val="3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vAlign w:val="center"/>
          </w:tcPr>
          <w:p>
            <w:pPr>
              <w:pStyle w:val="37"/>
              <w:shd w:val="clear" w:color="auto" w:fill="FFFFFF"/>
              <w:spacing w:line="360" w:lineRule="auto"/>
              <w:ind w:left="107"/>
              <w:jc w:val="both"/>
              <w:rPr>
                <w:bCs/>
                <w:color w:val="auto"/>
                <w:highlight w:val="none"/>
              </w:rPr>
            </w:pPr>
            <w:r>
              <w:rPr>
                <w:rFonts w:hint="eastAsia"/>
                <w:bCs/>
                <w:color w:val="auto"/>
                <w:highlight w:val="none"/>
              </w:rPr>
              <w:t>1.</w:t>
            </w:r>
          </w:p>
          <w:p>
            <w:pPr>
              <w:pStyle w:val="37"/>
              <w:shd w:val="clear" w:color="auto" w:fill="FFFFFF"/>
              <w:spacing w:line="360" w:lineRule="auto"/>
              <w:ind w:left="107"/>
              <w:jc w:val="both"/>
              <w:rPr>
                <w:bCs/>
                <w:color w:val="auto"/>
                <w:highlight w:val="none"/>
              </w:rPr>
            </w:pPr>
            <w:r>
              <w:rPr>
                <w:rFonts w:hint="eastAsia"/>
                <w:bCs/>
                <w:color w:val="auto"/>
                <w:highlight w:val="none"/>
              </w:rPr>
              <w:t>企</w:t>
            </w:r>
          </w:p>
          <w:p>
            <w:pPr>
              <w:pStyle w:val="37"/>
              <w:shd w:val="clear" w:color="auto" w:fill="FFFFFF"/>
              <w:spacing w:line="360" w:lineRule="auto"/>
              <w:ind w:left="107"/>
              <w:jc w:val="both"/>
              <w:rPr>
                <w:bCs/>
                <w:color w:val="auto"/>
                <w:highlight w:val="none"/>
              </w:rPr>
            </w:pPr>
            <w:r>
              <w:rPr>
                <w:rFonts w:hint="eastAsia"/>
                <w:bCs/>
                <w:color w:val="auto"/>
                <w:highlight w:val="none"/>
              </w:rPr>
              <w:t>业</w:t>
            </w:r>
          </w:p>
          <w:p>
            <w:pPr>
              <w:pStyle w:val="37"/>
              <w:shd w:val="clear" w:color="auto" w:fill="FFFFFF"/>
              <w:spacing w:line="360" w:lineRule="auto"/>
              <w:ind w:left="107"/>
              <w:jc w:val="both"/>
              <w:rPr>
                <w:bCs/>
                <w:color w:val="auto"/>
                <w:spacing w:val="27"/>
                <w:highlight w:val="none"/>
              </w:rPr>
            </w:pPr>
            <w:r>
              <w:rPr>
                <w:rFonts w:hint="eastAsia"/>
                <w:bCs/>
                <w:color w:val="auto"/>
                <w:spacing w:val="27"/>
                <w:highlight w:val="none"/>
              </w:rPr>
              <w:t>概</w:t>
            </w:r>
          </w:p>
          <w:p>
            <w:pPr>
              <w:pStyle w:val="37"/>
              <w:shd w:val="clear" w:color="auto" w:fill="FFFFFF"/>
              <w:spacing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vAlign w:val="center"/>
          </w:tcPr>
          <w:p>
            <w:pPr>
              <w:pStyle w:val="37"/>
              <w:shd w:val="clear" w:color="auto" w:fill="FFFFFF"/>
              <w:spacing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vAlign w:val="center"/>
          </w:tcPr>
          <w:p>
            <w:pPr>
              <w:pStyle w:val="37"/>
              <w:shd w:val="clear" w:color="auto" w:fill="FFFFFF"/>
              <w:spacing w:line="360" w:lineRule="auto"/>
              <w:jc w:val="both"/>
              <w:rPr>
                <w:bCs/>
                <w:color w:val="auto"/>
                <w:spacing w:val="16"/>
                <w:highlight w:val="none"/>
              </w:rPr>
            </w:pPr>
          </w:p>
        </w:tc>
        <w:tc>
          <w:tcPr>
            <w:tcW w:w="926" w:type="dxa"/>
            <w:tcBorders>
              <w:top w:val="nil"/>
            </w:tcBorders>
            <w:vAlign w:val="center"/>
          </w:tcPr>
          <w:p>
            <w:pPr>
              <w:pStyle w:val="37"/>
              <w:shd w:val="clear" w:color="auto" w:fill="FFFFFF"/>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vAlign w:val="center"/>
          </w:tcPr>
          <w:p>
            <w:pPr>
              <w:widowControl/>
              <w:spacing w:line="360" w:lineRule="auto"/>
              <w:rPr>
                <w:rFonts w:ascii="宋体" w:hAnsi="宋体" w:cs="宋体"/>
                <w:bCs/>
                <w:color w:val="auto"/>
                <w:spacing w:val="16"/>
                <w:kern w:val="0"/>
                <w:sz w:val="24"/>
                <w:highlight w:val="none"/>
              </w:rPr>
            </w:pPr>
          </w:p>
          <w:p>
            <w:pPr>
              <w:widowControl/>
              <w:spacing w:line="360" w:lineRule="auto"/>
              <w:rPr>
                <w:rFonts w:ascii="宋体" w:hAnsi="宋体" w:cs="宋体"/>
                <w:bCs/>
                <w:color w:val="auto"/>
                <w:spacing w:val="16"/>
                <w:kern w:val="0"/>
                <w:sz w:val="24"/>
                <w:highlight w:val="none"/>
              </w:rPr>
            </w:pPr>
          </w:p>
          <w:p>
            <w:pPr>
              <w:pStyle w:val="37"/>
              <w:shd w:val="clear" w:color="auto" w:fill="FFFFFF"/>
              <w:spacing w:line="360" w:lineRule="auto"/>
              <w:jc w:val="both"/>
              <w:rPr>
                <w:bCs/>
                <w:color w:val="auto"/>
                <w:spacing w:val="16"/>
                <w:highlight w:val="none"/>
              </w:rPr>
            </w:pPr>
          </w:p>
        </w:tc>
        <w:tc>
          <w:tcPr>
            <w:tcW w:w="1560" w:type="dxa"/>
            <w:vAlign w:val="center"/>
          </w:tcPr>
          <w:p>
            <w:pPr>
              <w:pStyle w:val="37"/>
              <w:shd w:val="clear" w:color="auto" w:fill="FFFFFF"/>
              <w:spacing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vAlign w:val="center"/>
          </w:tcPr>
          <w:p>
            <w:pPr>
              <w:widowControl/>
              <w:spacing w:line="360" w:lineRule="auto"/>
              <w:rPr>
                <w:rFonts w:ascii="宋体" w:hAnsi="宋体" w:cs="宋体"/>
                <w:bCs/>
                <w:color w:val="auto"/>
                <w:spacing w:val="16"/>
                <w:kern w:val="0"/>
                <w:sz w:val="24"/>
                <w:highlight w:val="none"/>
              </w:rPr>
            </w:pPr>
          </w:p>
          <w:p>
            <w:pPr>
              <w:pStyle w:val="3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vAlign w:val="center"/>
          </w:tcPr>
          <w:p>
            <w:pPr>
              <w:pStyle w:val="37"/>
              <w:shd w:val="clear" w:color="auto" w:fill="FFFFFF"/>
              <w:spacing w:line="360" w:lineRule="auto"/>
              <w:ind w:left="107"/>
              <w:jc w:val="both"/>
              <w:rPr>
                <w:bCs/>
                <w:color w:val="auto"/>
                <w:highlight w:val="none"/>
              </w:rPr>
            </w:pPr>
          </w:p>
        </w:tc>
        <w:tc>
          <w:tcPr>
            <w:tcW w:w="690" w:type="dxa"/>
            <w:vAlign w:val="center"/>
          </w:tcPr>
          <w:p>
            <w:pPr>
              <w:pStyle w:val="37"/>
              <w:shd w:val="clear" w:color="auto" w:fill="FFFFFF"/>
              <w:spacing w:line="360" w:lineRule="auto"/>
              <w:jc w:val="both"/>
              <w:rPr>
                <w:bCs/>
                <w:color w:val="auto"/>
                <w:highlight w:val="none"/>
              </w:rPr>
            </w:pPr>
            <w:r>
              <w:rPr>
                <w:rFonts w:hint="eastAsia"/>
                <w:bCs/>
                <w:color w:val="auto"/>
                <w:spacing w:val="16"/>
                <w:highlight w:val="none"/>
              </w:rPr>
              <w:t>占地面积</w:t>
            </w:r>
          </w:p>
        </w:tc>
        <w:tc>
          <w:tcPr>
            <w:tcW w:w="960" w:type="dxa"/>
            <w:gridSpan w:val="2"/>
            <w:vAlign w:val="center"/>
          </w:tcPr>
          <w:p>
            <w:pPr>
              <w:pStyle w:val="37"/>
              <w:shd w:val="clear" w:color="auto" w:fill="FFFFFF"/>
              <w:spacing w:line="360" w:lineRule="auto"/>
              <w:jc w:val="both"/>
              <w:rPr>
                <w:bCs/>
                <w:color w:val="auto"/>
                <w:highlight w:val="none"/>
              </w:rPr>
            </w:pPr>
          </w:p>
        </w:tc>
        <w:tc>
          <w:tcPr>
            <w:tcW w:w="926" w:type="dxa"/>
            <w:vAlign w:val="center"/>
          </w:tcPr>
          <w:p>
            <w:pPr>
              <w:pStyle w:val="37"/>
              <w:shd w:val="clear" w:color="auto" w:fill="FFFFFF"/>
              <w:spacing w:line="360" w:lineRule="auto"/>
              <w:jc w:val="both"/>
              <w:rPr>
                <w:bCs/>
                <w:color w:val="auto"/>
                <w:highlight w:val="none"/>
              </w:rPr>
            </w:pPr>
            <w:r>
              <w:rPr>
                <w:rFonts w:hint="eastAsia"/>
                <w:bCs/>
                <w:color w:val="auto"/>
                <w:spacing w:val="16"/>
                <w:highlight w:val="none"/>
              </w:rPr>
              <w:t>建筑面积</w:t>
            </w:r>
          </w:p>
        </w:tc>
        <w:tc>
          <w:tcPr>
            <w:tcW w:w="1189" w:type="dxa"/>
            <w:gridSpan w:val="2"/>
            <w:vAlign w:val="center"/>
          </w:tcPr>
          <w:p>
            <w:pPr>
              <w:pStyle w:val="37"/>
              <w:shd w:val="clear" w:color="auto" w:fill="FFFFFF"/>
              <w:spacing w:line="360" w:lineRule="auto"/>
              <w:jc w:val="both"/>
              <w:rPr>
                <w:bCs/>
                <w:color w:val="auto"/>
                <w:highlight w:val="none"/>
              </w:rPr>
            </w:pPr>
            <w:r>
              <w:rPr>
                <w:rFonts w:hint="eastAsia"/>
                <w:bCs/>
                <w:color w:val="auto"/>
                <w:highlight w:val="none"/>
              </w:rPr>
              <w:t>平方米</w:t>
            </w:r>
          </w:p>
          <w:p>
            <w:pPr>
              <w:pStyle w:val="37"/>
              <w:shd w:val="clear" w:color="auto" w:fill="FFFFFF"/>
              <w:spacing w:line="360" w:lineRule="auto"/>
              <w:jc w:val="both"/>
              <w:rPr>
                <w:bCs/>
                <w:color w:val="auto"/>
                <w:highlight w:val="none"/>
              </w:rPr>
            </w:pPr>
            <w:r>
              <w:rPr>
                <w:rFonts w:hint="eastAsia"/>
                <w:bCs/>
                <w:color w:val="auto"/>
                <w:spacing w:val="16"/>
                <w:highlight w:val="none"/>
              </w:rPr>
              <w:t>□自有□租赁</w:t>
            </w:r>
          </w:p>
        </w:tc>
        <w:tc>
          <w:tcPr>
            <w:tcW w:w="1560" w:type="dxa"/>
            <w:vAlign w:val="center"/>
          </w:tcPr>
          <w:p>
            <w:pPr>
              <w:pStyle w:val="37"/>
              <w:shd w:val="clear" w:color="auto" w:fill="FFFFFF"/>
              <w:spacing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vAlign w:val="center"/>
          </w:tcPr>
          <w:p>
            <w:pPr>
              <w:pStyle w:val="37"/>
              <w:shd w:val="clear" w:color="auto" w:fill="FFFFFF"/>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vAlign w:val="center"/>
          </w:tcPr>
          <w:p>
            <w:pPr>
              <w:pStyle w:val="37"/>
              <w:shd w:val="clear" w:color="auto" w:fill="FFFFFF"/>
              <w:spacing w:line="360" w:lineRule="auto"/>
              <w:ind w:left="107"/>
              <w:jc w:val="both"/>
              <w:rPr>
                <w:bCs/>
                <w:color w:val="auto"/>
                <w:highlight w:val="none"/>
              </w:rPr>
            </w:pPr>
          </w:p>
        </w:tc>
        <w:tc>
          <w:tcPr>
            <w:tcW w:w="690" w:type="dxa"/>
            <w:vAlign w:val="center"/>
          </w:tcPr>
          <w:p>
            <w:pPr>
              <w:pStyle w:val="37"/>
              <w:shd w:val="clear" w:color="auto" w:fill="FFFFFF"/>
              <w:spacing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vAlign w:val="center"/>
          </w:tcPr>
          <w:p>
            <w:pPr>
              <w:pStyle w:val="37"/>
              <w:shd w:val="clear" w:color="auto" w:fill="FFFFFF"/>
              <w:spacing w:line="360" w:lineRule="auto"/>
              <w:ind w:left="2"/>
              <w:jc w:val="both"/>
              <w:rPr>
                <w:bCs/>
                <w:color w:val="auto"/>
                <w:highlight w:val="none"/>
              </w:rPr>
            </w:pPr>
          </w:p>
        </w:tc>
        <w:tc>
          <w:tcPr>
            <w:tcW w:w="926" w:type="dxa"/>
            <w:vAlign w:val="center"/>
          </w:tcPr>
          <w:p>
            <w:pPr>
              <w:pStyle w:val="37"/>
              <w:shd w:val="clear" w:color="auto" w:fill="FFFFFF"/>
              <w:spacing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vAlign w:val="center"/>
          </w:tcPr>
          <w:p>
            <w:pPr>
              <w:widowControl/>
              <w:spacing w:line="360" w:lineRule="auto"/>
              <w:rPr>
                <w:rFonts w:ascii="宋体" w:hAnsi="宋体" w:cs="宋体"/>
                <w:bCs/>
                <w:color w:val="auto"/>
                <w:kern w:val="0"/>
                <w:sz w:val="24"/>
                <w:highlight w:val="none"/>
              </w:rPr>
            </w:pPr>
          </w:p>
          <w:p>
            <w:pPr>
              <w:pStyle w:val="37"/>
              <w:shd w:val="clear" w:color="auto" w:fill="FFFFFF"/>
              <w:spacing w:line="360" w:lineRule="auto"/>
              <w:ind w:left="107"/>
              <w:jc w:val="both"/>
              <w:rPr>
                <w:bCs/>
                <w:color w:val="auto"/>
                <w:highlight w:val="none"/>
              </w:rPr>
            </w:pPr>
          </w:p>
        </w:tc>
        <w:tc>
          <w:tcPr>
            <w:tcW w:w="1675" w:type="dxa"/>
            <w:gridSpan w:val="2"/>
            <w:vAlign w:val="center"/>
          </w:tcPr>
          <w:p>
            <w:pPr>
              <w:pStyle w:val="37"/>
              <w:shd w:val="clear" w:color="auto" w:fill="FFFFFF"/>
              <w:spacing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vAlign w:val="center"/>
          </w:tcPr>
          <w:p>
            <w:pPr>
              <w:pStyle w:val="37"/>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vAlign w:val="center"/>
          </w:tcPr>
          <w:p>
            <w:pPr>
              <w:pStyle w:val="37"/>
              <w:shd w:val="clear" w:color="auto" w:fill="FFFFFF"/>
              <w:spacing w:line="360" w:lineRule="auto"/>
              <w:ind w:left="107"/>
              <w:jc w:val="both"/>
              <w:rPr>
                <w:bCs/>
                <w:color w:val="auto"/>
                <w:highlight w:val="none"/>
              </w:rPr>
            </w:pPr>
          </w:p>
        </w:tc>
        <w:tc>
          <w:tcPr>
            <w:tcW w:w="690" w:type="dxa"/>
            <w:vAlign w:val="center"/>
          </w:tcPr>
          <w:p>
            <w:pPr>
              <w:pStyle w:val="37"/>
              <w:shd w:val="clear" w:color="auto" w:fill="FFFFFF"/>
              <w:spacing w:line="360" w:lineRule="auto"/>
              <w:ind w:left="2"/>
              <w:jc w:val="both"/>
              <w:rPr>
                <w:bCs/>
                <w:color w:val="auto"/>
                <w:highlight w:val="none"/>
              </w:rPr>
            </w:pPr>
            <w:r>
              <w:rPr>
                <w:rFonts w:hint="eastAsia"/>
                <w:bCs/>
                <w:color w:val="auto"/>
                <w:highlight w:val="none"/>
              </w:rPr>
              <w:t>核准经营范围</w:t>
            </w:r>
          </w:p>
        </w:tc>
        <w:tc>
          <w:tcPr>
            <w:tcW w:w="7243" w:type="dxa"/>
            <w:gridSpan w:val="9"/>
            <w:vAlign w:val="center"/>
          </w:tcPr>
          <w:p>
            <w:pPr>
              <w:pStyle w:val="37"/>
              <w:shd w:val="clear" w:color="auto" w:fill="FFFFFF"/>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vAlign w:val="center"/>
          </w:tcPr>
          <w:p>
            <w:pPr>
              <w:pStyle w:val="37"/>
              <w:shd w:val="clear" w:color="auto" w:fill="FFFFFF"/>
              <w:spacing w:line="360" w:lineRule="auto"/>
              <w:ind w:left="107"/>
              <w:jc w:val="both"/>
              <w:rPr>
                <w:bCs/>
                <w:color w:val="auto"/>
                <w:highlight w:val="none"/>
              </w:rPr>
            </w:pPr>
          </w:p>
        </w:tc>
        <w:tc>
          <w:tcPr>
            <w:tcW w:w="7933" w:type="dxa"/>
            <w:gridSpan w:val="10"/>
            <w:vAlign w:val="center"/>
          </w:tcPr>
          <w:p>
            <w:pPr>
              <w:pStyle w:val="37"/>
              <w:shd w:val="clear" w:color="auto" w:fill="FFFFFF"/>
              <w:spacing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vAlign w:val="center"/>
          </w:tcPr>
          <w:p>
            <w:pPr>
              <w:pStyle w:val="37"/>
              <w:shd w:val="clear" w:color="auto" w:fill="FFFFFF"/>
              <w:spacing w:line="360" w:lineRule="auto"/>
              <w:ind w:left="107"/>
              <w:jc w:val="both"/>
              <w:rPr>
                <w:bCs/>
                <w:color w:val="auto"/>
                <w:highlight w:val="none"/>
              </w:rPr>
            </w:pPr>
            <w:r>
              <w:rPr>
                <w:rFonts w:hint="eastAsia"/>
                <w:bCs/>
                <w:color w:val="auto"/>
                <w:highlight w:val="none"/>
              </w:rPr>
              <w:t>2.</w:t>
            </w:r>
          </w:p>
          <w:p>
            <w:pPr>
              <w:pStyle w:val="37"/>
              <w:shd w:val="clear" w:color="auto" w:fill="FFFFFF"/>
              <w:spacing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vAlign w:val="center"/>
          </w:tcPr>
          <w:p>
            <w:pPr>
              <w:pStyle w:val="37"/>
              <w:shd w:val="clear" w:color="auto" w:fill="FFFFFF"/>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vAlign w:val="center"/>
          </w:tcPr>
          <w:p>
            <w:pPr>
              <w:pStyle w:val="37"/>
              <w:shd w:val="clear" w:color="auto" w:fill="FFFFFF"/>
              <w:spacing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vAlign w:val="center"/>
          </w:tcPr>
          <w:p>
            <w:pPr>
              <w:pStyle w:val="37"/>
              <w:shd w:val="clear" w:color="auto" w:fill="FFFFFF"/>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vAlign w:val="center"/>
          </w:tcPr>
          <w:p>
            <w:pPr>
              <w:pStyle w:val="37"/>
              <w:shd w:val="clear" w:color="auto" w:fill="FFFFFF"/>
              <w:spacing w:line="360" w:lineRule="auto"/>
              <w:jc w:val="both"/>
              <w:rPr>
                <w:bCs/>
                <w:color w:val="auto"/>
                <w:highlight w:val="none"/>
              </w:rPr>
            </w:pPr>
            <w:r>
              <w:rPr>
                <w:rFonts w:hint="eastAsia"/>
                <w:bCs/>
                <w:color w:val="auto"/>
                <w:spacing w:val="27"/>
                <w:highlight w:val="none"/>
              </w:rPr>
              <w:t>编号</w:t>
            </w:r>
          </w:p>
        </w:tc>
        <w:tc>
          <w:tcPr>
            <w:tcW w:w="1618" w:type="dxa"/>
            <w:vAlign w:val="center"/>
          </w:tcPr>
          <w:p>
            <w:pPr>
              <w:pStyle w:val="37"/>
              <w:shd w:val="clear" w:color="auto" w:fill="FFFFFF"/>
              <w:spacing w:line="360" w:lineRule="auto"/>
              <w:jc w:val="both"/>
              <w:rPr>
                <w:bCs/>
                <w:color w:val="auto"/>
                <w:highlight w:val="none"/>
              </w:rPr>
            </w:pPr>
            <w:r>
              <w:rPr>
                <w:rFonts w:hint="eastAsia"/>
                <w:bCs/>
                <w:color w:val="auto"/>
                <w:spacing w:val="16"/>
                <w:highlight w:val="none"/>
              </w:rPr>
              <w:t>发证时间</w:t>
            </w:r>
          </w:p>
        </w:tc>
        <w:tc>
          <w:tcPr>
            <w:tcW w:w="933" w:type="dxa"/>
            <w:vAlign w:val="center"/>
          </w:tcPr>
          <w:p>
            <w:pPr>
              <w:pStyle w:val="37"/>
              <w:shd w:val="clear" w:color="auto" w:fill="FFFFFF"/>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vAlign w:val="center"/>
          </w:tcPr>
          <w:p>
            <w:pPr>
              <w:pStyle w:val="37"/>
              <w:shd w:val="clear" w:color="auto" w:fill="FFFFFF"/>
              <w:spacing w:line="360" w:lineRule="auto"/>
              <w:ind w:left="107"/>
              <w:jc w:val="both"/>
              <w:rPr>
                <w:bCs/>
                <w:color w:val="auto"/>
                <w:highlight w:val="none"/>
              </w:rPr>
            </w:pPr>
          </w:p>
        </w:tc>
        <w:tc>
          <w:tcPr>
            <w:tcW w:w="1355" w:type="dxa"/>
            <w:gridSpan w:val="2"/>
            <w:vMerge w:val="continue"/>
            <w:vAlign w:val="center"/>
          </w:tcPr>
          <w:p>
            <w:pPr>
              <w:pStyle w:val="37"/>
              <w:shd w:val="clear" w:color="auto" w:fill="FFFFFF"/>
              <w:spacing w:line="360" w:lineRule="auto"/>
              <w:jc w:val="both"/>
              <w:rPr>
                <w:bCs/>
                <w:color w:val="auto"/>
                <w:highlight w:val="none"/>
              </w:rPr>
            </w:pPr>
          </w:p>
        </w:tc>
        <w:tc>
          <w:tcPr>
            <w:tcW w:w="1333" w:type="dxa"/>
            <w:gridSpan w:val="3"/>
            <w:vAlign w:val="center"/>
          </w:tcPr>
          <w:p>
            <w:pPr>
              <w:pStyle w:val="37"/>
              <w:shd w:val="clear" w:color="auto" w:fill="FFFFFF"/>
              <w:spacing w:line="360" w:lineRule="auto"/>
              <w:jc w:val="both"/>
              <w:rPr>
                <w:bCs/>
                <w:color w:val="auto"/>
                <w:highlight w:val="none"/>
              </w:rPr>
            </w:pPr>
          </w:p>
        </w:tc>
        <w:tc>
          <w:tcPr>
            <w:tcW w:w="1077" w:type="dxa"/>
            <w:vAlign w:val="center"/>
          </w:tcPr>
          <w:p>
            <w:pPr>
              <w:pStyle w:val="37"/>
              <w:shd w:val="clear" w:color="auto" w:fill="FFFFFF"/>
              <w:spacing w:line="360" w:lineRule="auto"/>
              <w:jc w:val="both"/>
              <w:rPr>
                <w:bCs/>
                <w:color w:val="auto"/>
                <w:highlight w:val="none"/>
              </w:rPr>
            </w:pPr>
          </w:p>
        </w:tc>
        <w:tc>
          <w:tcPr>
            <w:tcW w:w="1617" w:type="dxa"/>
            <w:gridSpan w:val="2"/>
            <w:vAlign w:val="center"/>
          </w:tcPr>
          <w:p>
            <w:pPr>
              <w:pStyle w:val="37"/>
              <w:shd w:val="clear" w:color="auto" w:fill="FFFFFF"/>
              <w:spacing w:line="360" w:lineRule="auto"/>
              <w:jc w:val="both"/>
              <w:rPr>
                <w:bCs/>
                <w:color w:val="auto"/>
                <w:highlight w:val="none"/>
              </w:rPr>
            </w:pPr>
          </w:p>
        </w:tc>
        <w:tc>
          <w:tcPr>
            <w:tcW w:w="2551" w:type="dxa"/>
            <w:gridSpan w:val="2"/>
            <w:vAlign w:val="center"/>
          </w:tcPr>
          <w:p>
            <w:pPr>
              <w:pStyle w:val="37"/>
              <w:shd w:val="clear" w:color="auto" w:fill="FFFFFF"/>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vAlign w:val="center"/>
          </w:tcPr>
          <w:p>
            <w:pPr>
              <w:pStyle w:val="37"/>
              <w:shd w:val="clear" w:color="auto" w:fill="FFFFFF"/>
              <w:spacing w:line="360" w:lineRule="auto"/>
              <w:ind w:left="107"/>
              <w:jc w:val="both"/>
              <w:rPr>
                <w:bCs/>
                <w:color w:val="auto"/>
                <w:spacing w:val="16"/>
                <w:highlight w:val="none"/>
              </w:rPr>
            </w:pPr>
          </w:p>
        </w:tc>
        <w:tc>
          <w:tcPr>
            <w:tcW w:w="1355" w:type="dxa"/>
            <w:gridSpan w:val="2"/>
            <w:vAlign w:val="center"/>
          </w:tcPr>
          <w:p>
            <w:pPr>
              <w:pStyle w:val="37"/>
              <w:shd w:val="clear" w:color="auto" w:fill="FFFFFF"/>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vAlign w:val="center"/>
          </w:tcPr>
          <w:p>
            <w:pPr>
              <w:pStyle w:val="37"/>
              <w:shd w:val="clear" w:color="auto" w:fill="FFFFFF"/>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vAlign w:val="center"/>
          </w:tcPr>
          <w:p>
            <w:pPr>
              <w:pStyle w:val="37"/>
              <w:shd w:val="clear" w:color="auto" w:fill="FFFFFF"/>
              <w:spacing w:line="360" w:lineRule="auto"/>
              <w:ind w:left="107"/>
              <w:jc w:val="both"/>
              <w:rPr>
                <w:bCs/>
                <w:color w:val="auto"/>
                <w:spacing w:val="27"/>
                <w:highlight w:val="none"/>
              </w:rPr>
            </w:pPr>
          </w:p>
        </w:tc>
        <w:tc>
          <w:tcPr>
            <w:tcW w:w="1355" w:type="dxa"/>
            <w:gridSpan w:val="2"/>
            <w:vAlign w:val="center"/>
          </w:tcPr>
          <w:p>
            <w:pPr>
              <w:pStyle w:val="37"/>
              <w:shd w:val="clear" w:color="auto" w:fill="FFFFFF"/>
              <w:spacing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vAlign w:val="center"/>
          </w:tcPr>
          <w:p>
            <w:pPr>
              <w:pStyle w:val="37"/>
              <w:shd w:val="clear" w:color="auto" w:fill="FFFFFF"/>
              <w:spacing w:line="360" w:lineRule="auto"/>
              <w:jc w:val="both"/>
              <w:rPr>
                <w:bCs/>
                <w:color w:val="auto"/>
                <w:spacing w:val="16"/>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b/>
          <w:color w:val="auto"/>
          <w:sz w:val="28"/>
          <w:highlight w:val="none"/>
        </w:rPr>
        <w:t>附件5</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项目实施人员一览表（标段）</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4"/>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8"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8"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1.在填写时，如本表格不适合供应商的实际情况，可根据本表格式自行划表填写。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3.出具上述人员在本单位服务的外部证明，如：投标截止日之前六个月以内的代缴个税税单、参加社会保险的《投保单》或《社会保险参保人员证明》等。</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jc w:val="left"/>
        <w:rPr>
          <w:rFonts w:ascii="宋体" w:hAnsi="宋体" w:cs="宋体"/>
          <w:b/>
          <w:bCs/>
          <w:color w:val="auto"/>
          <w:sz w:val="28"/>
          <w:szCs w:val="36"/>
          <w:highlight w:val="none"/>
          <w:lang w:val="zh-CN"/>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6</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rPr>
          <w:rFonts w:ascii="宋体" w:hAnsi="宋体" w:cs="宋体"/>
          <w:b/>
          <w:bCs/>
          <w:color w:val="auto"/>
          <w:sz w:val="24"/>
          <w:szCs w:val="32"/>
          <w:highlight w:val="none"/>
          <w:lang w:val="zh-CN"/>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4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4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4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1"/>
              <w:spacing w:line="360" w:lineRule="auto"/>
              <w:jc w:val="center"/>
              <w:rPr>
                <w:rFonts w:ascii="宋体" w:hAnsi="宋体" w:cs="宋体"/>
                <w:color w:val="auto"/>
                <w:szCs w:val="21"/>
                <w:highlight w:val="none"/>
              </w:rPr>
            </w:pPr>
          </w:p>
        </w:tc>
        <w:tc>
          <w:tcPr>
            <w:tcW w:w="2258" w:type="dxa"/>
          </w:tcPr>
          <w:p>
            <w:pPr>
              <w:pStyle w:val="41"/>
              <w:spacing w:line="360" w:lineRule="auto"/>
              <w:jc w:val="center"/>
              <w:rPr>
                <w:rFonts w:ascii="宋体" w:hAnsi="宋体" w:cs="宋体"/>
                <w:color w:val="auto"/>
                <w:szCs w:val="21"/>
                <w:highlight w:val="none"/>
              </w:rPr>
            </w:pPr>
          </w:p>
        </w:tc>
        <w:tc>
          <w:tcPr>
            <w:tcW w:w="2260" w:type="dxa"/>
          </w:tcPr>
          <w:p>
            <w:pPr>
              <w:pStyle w:val="4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4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1"/>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41"/>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41"/>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41"/>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1.填写供应商获得资质、认证或企业信誉证书；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附件7</w:t>
      </w:r>
    </w:p>
    <w:p>
      <w:pPr>
        <w:spacing w:before="158" w:beforeLines="50" w:after="158"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附件8</w:t>
      </w:r>
    </w:p>
    <w:p>
      <w:pPr>
        <w:spacing w:line="360" w:lineRule="auto"/>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商务及技术响应表</w:t>
      </w:r>
    </w:p>
    <w:p>
      <w:pPr>
        <w:spacing w:line="360" w:lineRule="auto"/>
        <w:rPr>
          <w:rFonts w:ascii="宋体" w:hAnsi="宋体" w:cs="宋体"/>
          <w:color w:val="auto"/>
          <w:sz w:val="24"/>
          <w:highlight w:val="none"/>
        </w:rPr>
      </w:pPr>
    </w:p>
    <w:tbl>
      <w:tblPr>
        <w:tblStyle w:val="24"/>
        <w:tblW w:w="8792" w:type="dxa"/>
        <w:jc w:val="center"/>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内容</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磋商文件要求</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磋商响应文件响应</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偏离情况</w:t>
            </w:r>
          </w:p>
        </w:tc>
      </w:tr>
      <w:tr>
        <w:tblPrEx>
          <w:tblCellMar>
            <w:top w:w="0" w:type="dxa"/>
            <w:left w:w="108" w:type="dxa"/>
            <w:bottom w:w="0" w:type="dxa"/>
            <w:right w:w="108" w:type="dxa"/>
          </w:tblCellMar>
        </w:tblPrEx>
        <w:trPr>
          <w:jc w:val="center"/>
        </w:trPr>
        <w:tc>
          <w:tcPr>
            <w:tcW w:w="120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商务响应情况</w:t>
            </w: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付款方式</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技术响应情况</w:t>
            </w: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供应商类似项目实施情况一览表</w:t>
      </w:r>
    </w:p>
    <w:p>
      <w:pPr>
        <w:spacing w:line="360" w:lineRule="auto"/>
        <w:rPr>
          <w:rFonts w:ascii="宋体" w:hAnsi="宋体" w:cs="宋体"/>
          <w:b/>
          <w:bCs/>
          <w:color w:val="auto"/>
          <w:sz w:val="24"/>
          <w:highlight w:val="none"/>
        </w:rPr>
      </w:pP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0"/>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1.业绩证明应提供证明材料（合同复印件可只提供首页、含金额页、盖章页并加盖供应商公章）；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2.供应商可按此表格式复制。</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0</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售后服务情况表</w:t>
      </w:r>
    </w:p>
    <w:p>
      <w:pPr>
        <w:spacing w:line="360" w:lineRule="auto"/>
        <w:rPr>
          <w:rFonts w:ascii="宋体" w:hAnsi="宋体" w:cs="宋体"/>
          <w:b/>
          <w:color w:val="auto"/>
          <w:sz w:val="24"/>
          <w:highlight w:val="none"/>
        </w:rPr>
      </w:pP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35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w:t>
            </w:r>
          </w:p>
        </w:tc>
        <w:tc>
          <w:tcPr>
            <w:tcW w:w="4061"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磋商供应商承诺</w:t>
            </w:r>
          </w:p>
        </w:tc>
        <w:tc>
          <w:tcPr>
            <w:tcW w:w="1373"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32" w:hRule="atLeast"/>
          <w:jc w:val="center"/>
        </w:trPr>
        <w:tc>
          <w:tcPr>
            <w:tcW w:w="7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35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售后服务情况（服务方式、服务网点、售后服务的内容和措施等等，可用附页和宣传材料）</w:t>
            </w:r>
          </w:p>
        </w:tc>
        <w:tc>
          <w:tcPr>
            <w:tcW w:w="4061" w:type="dxa"/>
            <w:vAlign w:val="center"/>
          </w:tcPr>
          <w:p>
            <w:pPr>
              <w:spacing w:line="360" w:lineRule="auto"/>
              <w:jc w:val="center"/>
              <w:rPr>
                <w:rFonts w:ascii="宋体" w:hAnsi="宋体" w:cs="宋体"/>
                <w:color w:val="auto"/>
                <w:sz w:val="24"/>
                <w:highlight w:val="none"/>
              </w:rPr>
            </w:pPr>
          </w:p>
        </w:tc>
        <w:tc>
          <w:tcPr>
            <w:tcW w:w="1373"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355" w:type="dxa"/>
            <w:vAlign w:val="center"/>
          </w:tcPr>
          <w:p>
            <w:pPr>
              <w:spacing w:line="360" w:lineRule="auto"/>
              <w:jc w:val="center"/>
              <w:rPr>
                <w:rFonts w:ascii="宋体" w:hAnsi="宋体" w:cs="宋体"/>
                <w:color w:val="auto"/>
                <w:sz w:val="24"/>
                <w:highlight w:val="none"/>
              </w:rPr>
            </w:pPr>
          </w:p>
        </w:tc>
        <w:tc>
          <w:tcPr>
            <w:tcW w:w="4061" w:type="dxa"/>
            <w:vAlign w:val="center"/>
          </w:tcPr>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tc>
        <w:tc>
          <w:tcPr>
            <w:tcW w:w="1373" w:type="dxa"/>
            <w:vAlign w:val="center"/>
          </w:tcPr>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355" w:type="dxa"/>
            <w:vAlign w:val="center"/>
          </w:tcPr>
          <w:p>
            <w:pPr>
              <w:spacing w:line="360" w:lineRule="auto"/>
              <w:jc w:val="center"/>
              <w:rPr>
                <w:rFonts w:ascii="宋体" w:hAnsi="宋体" w:cs="宋体"/>
                <w:color w:val="auto"/>
                <w:sz w:val="24"/>
                <w:highlight w:val="none"/>
              </w:rPr>
            </w:pPr>
          </w:p>
        </w:tc>
        <w:tc>
          <w:tcPr>
            <w:tcW w:w="4061" w:type="dxa"/>
            <w:vAlign w:val="center"/>
          </w:tcPr>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tc>
        <w:tc>
          <w:tcPr>
            <w:tcW w:w="1373" w:type="dxa"/>
            <w:vAlign w:val="center"/>
          </w:tcPr>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235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4061" w:type="dxa"/>
            <w:vAlign w:val="center"/>
          </w:tcPr>
          <w:p>
            <w:pPr>
              <w:spacing w:line="360" w:lineRule="auto"/>
              <w:jc w:val="center"/>
              <w:rPr>
                <w:rFonts w:ascii="宋体" w:hAnsi="宋体" w:cs="宋体"/>
                <w:color w:val="auto"/>
                <w:sz w:val="24"/>
                <w:highlight w:val="none"/>
              </w:rPr>
            </w:pPr>
          </w:p>
        </w:tc>
        <w:tc>
          <w:tcPr>
            <w:tcW w:w="1373" w:type="dxa"/>
            <w:vAlign w:val="center"/>
          </w:tcPr>
          <w:p>
            <w:pPr>
              <w:spacing w:line="360" w:lineRule="auto"/>
              <w:jc w:val="center"/>
              <w:rPr>
                <w:rFonts w:ascii="宋体" w:hAnsi="宋体" w:cs="宋体"/>
                <w:color w:val="auto"/>
                <w:sz w:val="24"/>
                <w:highlight w:val="none"/>
              </w:rPr>
            </w:pPr>
          </w:p>
        </w:tc>
      </w:tr>
    </w:tbl>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附件11</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首次报价一览表</w:t>
      </w:r>
    </w:p>
    <w:p>
      <w:pPr>
        <w:spacing w:line="360" w:lineRule="auto"/>
        <w:rPr>
          <w:rFonts w:ascii="宋体" w:hAnsi="宋体" w:cs="宋体"/>
          <w:b/>
          <w:color w:val="auto"/>
          <w:sz w:val="24"/>
          <w:szCs w:val="22"/>
          <w:highlight w:val="none"/>
        </w:rPr>
      </w:pPr>
      <w:r>
        <w:rPr>
          <w:rFonts w:hint="eastAsia" w:ascii="宋体" w:hAnsi="宋体" w:cs="宋体"/>
          <w:b/>
          <w:color w:val="auto"/>
          <w:sz w:val="24"/>
          <w:szCs w:val="22"/>
          <w:highlight w:val="none"/>
        </w:rPr>
        <w:t>项目编号：</w:t>
      </w:r>
    </w:p>
    <w:p>
      <w:pPr>
        <w:spacing w:line="360" w:lineRule="auto"/>
        <w:rPr>
          <w:rFonts w:ascii="宋体" w:hAnsi="宋体" w:cs="宋体"/>
          <w:b/>
          <w:color w:val="auto"/>
          <w:sz w:val="24"/>
          <w:szCs w:val="22"/>
          <w:highlight w:val="none"/>
        </w:rPr>
      </w:pPr>
      <w:r>
        <w:rPr>
          <w:rFonts w:hint="eastAsia" w:ascii="宋体" w:hAnsi="宋体" w:cs="宋体"/>
          <w:b/>
          <w:color w:val="auto"/>
          <w:sz w:val="24"/>
          <w:szCs w:val="22"/>
          <w:highlight w:val="none"/>
        </w:rPr>
        <w:t>项目名称：                                     [货币单位：人民币/元]</w:t>
      </w:r>
    </w:p>
    <w:tbl>
      <w:tblPr>
        <w:tblStyle w:val="2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694" w:type="dxa"/>
            <w:vMerge w:val="restart"/>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autoSpaceDE w:val="0"/>
              <w:autoSpaceDN w:val="0"/>
              <w:spacing w:line="360" w:lineRule="auto"/>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694" w:type="dxa"/>
            <w:vMerge w:val="continue"/>
            <w:vAlign w:val="center"/>
          </w:tcPr>
          <w:p>
            <w:pPr>
              <w:spacing w:line="360" w:lineRule="auto"/>
              <w:rPr>
                <w:rFonts w:ascii="宋体" w:hAnsi="宋体" w:cs="宋体"/>
                <w:color w:val="auto"/>
                <w:sz w:val="24"/>
                <w:highlight w:val="none"/>
              </w:rPr>
            </w:pPr>
          </w:p>
        </w:tc>
        <w:tc>
          <w:tcPr>
            <w:tcW w:w="1349" w:type="dxa"/>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autoSpaceDE w:val="0"/>
              <w:autoSpaceDN w:val="0"/>
              <w:spacing w:line="360" w:lineRule="auto"/>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4043" w:type="dxa"/>
            <w:gridSpan w:val="2"/>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服务期</w:t>
            </w:r>
          </w:p>
        </w:tc>
        <w:tc>
          <w:tcPr>
            <w:tcW w:w="4629" w:type="dxa"/>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bCs/>
                <w:color w:val="auto"/>
                <w:sz w:val="24"/>
                <w:highlight w:val="none"/>
              </w:rPr>
              <w:t xml:space="preserve"> </w:t>
            </w:r>
          </w:p>
        </w:tc>
      </w:tr>
    </w:tbl>
    <w:p>
      <w:pPr>
        <w:spacing w:line="360" w:lineRule="auto"/>
        <w:rPr>
          <w:rFonts w:ascii="宋体" w:hAnsi="宋体" w:cs="宋体"/>
          <w:b/>
          <w:color w:val="auto"/>
          <w:sz w:val="24"/>
          <w:szCs w:val="22"/>
          <w:highlight w:val="none"/>
        </w:rPr>
      </w:pPr>
      <w:r>
        <w:rPr>
          <w:rFonts w:hint="eastAsia" w:ascii="宋体" w:hAnsi="宋体" w:cs="宋体"/>
          <w:b/>
          <w:color w:val="auto"/>
          <w:sz w:val="24"/>
          <w:szCs w:val="22"/>
          <w:highlight w:val="none"/>
        </w:rPr>
        <w:t>填报要求：</w:t>
      </w:r>
    </w:p>
    <w:p>
      <w:pPr>
        <w:spacing w:line="360" w:lineRule="auto"/>
        <w:ind w:firstLine="480" w:firstLineChars="200"/>
        <w:rPr>
          <w:rFonts w:ascii="宋体" w:hAnsi="宋体" w:cs="宋体"/>
          <w:bCs/>
          <w:color w:val="auto"/>
          <w:sz w:val="24"/>
          <w:szCs w:val="22"/>
          <w:highlight w:val="none"/>
          <w:lang w:val="zh-CN"/>
        </w:rPr>
      </w:pPr>
      <w:r>
        <w:rPr>
          <w:rFonts w:hint="eastAsia" w:ascii="宋体" w:hAnsi="宋体" w:cs="宋体"/>
          <w:bCs/>
          <w:color w:val="auto"/>
          <w:sz w:val="24"/>
          <w:szCs w:val="22"/>
          <w:highlight w:val="none"/>
          <w:lang w:val="zh-CN"/>
        </w:rPr>
        <w:t>投标报价为完成本项目服务及要求所包含的所有费用。</w:t>
      </w:r>
    </w:p>
    <w:p>
      <w:pPr>
        <w:spacing w:line="360" w:lineRule="auto"/>
        <w:ind w:firstLine="480" w:firstLineChars="200"/>
        <w:rPr>
          <w:rFonts w:ascii="宋体" w:hAnsi="宋体" w:cs="宋体"/>
          <w:bCs/>
          <w:color w:val="auto"/>
          <w:sz w:val="24"/>
          <w:szCs w:val="22"/>
          <w:highlight w:val="none"/>
          <w:lang w:val="zh-CN"/>
        </w:rPr>
      </w:pPr>
      <w:r>
        <w:rPr>
          <w:rFonts w:hint="eastAsia" w:ascii="宋体" w:hAnsi="宋体" w:cs="宋体"/>
          <w:bCs/>
          <w:color w:val="auto"/>
          <w:sz w:val="24"/>
          <w:szCs w:val="22"/>
          <w:highlight w:val="none"/>
          <w:lang w:val="zh-CN"/>
        </w:rPr>
        <w:t>响应文件只允许有一个报价，有选择的或有条件的报价将不予接受。供应商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bCs/>
          <w:color w:val="auto"/>
          <w:sz w:val="24"/>
          <w:szCs w:val="22"/>
          <w:highlight w:val="none"/>
          <w:lang w:val="zh-CN"/>
        </w:rPr>
      </w:pPr>
      <w:r>
        <w:rPr>
          <w:rFonts w:hint="eastAsia" w:ascii="宋体" w:hAnsi="宋体" w:cs="宋体"/>
          <w:bCs/>
          <w:color w:val="auto"/>
          <w:sz w:val="24"/>
          <w:szCs w:val="22"/>
          <w:highlight w:val="none"/>
          <w:lang w:val="zh-CN"/>
        </w:rPr>
        <w:t>注：开标一览表，要求按格式填写，统一规范，不得自行增减内容。</w:t>
      </w:r>
    </w:p>
    <w:p>
      <w:pPr>
        <w:spacing w:line="360" w:lineRule="auto"/>
        <w:ind w:firstLine="480" w:firstLineChars="200"/>
        <w:rPr>
          <w:rFonts w:ascii="宋体" w:hAnsi="宋体" w:cs="宋体"/>
          <w:bCs/>
          <w:color w:val="auto"/>
          <w:sz w:val="24"/>
          <w:szCs w:val="2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附件12</w:t>
      </w:r>
    </w:p>
    <w:p>
      <w:pP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24"/>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026"/>
        <w:gridCol w:w="1204"/>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40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w:t>
            </w:r>
          </w:p>
        </w:tc>
        <w:tc>
          <w:tcPr>
            <w:tcW w:w="12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数量</w:t>
            </w:r>
          </w:p>
        </w:tc>
        <w:tc>
          <w:tcPr>
            <w:tcW w:w="14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小计（元）</w:t>
            </w:r>
          </w:p>
        </w:tc>
        <w:tc>
          <w:tcPr>
            <w:tcW w:w="14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026" w:type="dxa"/>
            <w:vAlign w:val="center"/>
          </w:tcPr>
          <w:p>
            <w:pPr>
              <w:jc w:val="center"/>
              <w:rPr>
                <w:rFonts w:ascii="宋体" w:hAnsi="宋体" w:cs="宋体"/>
                <w:color w:val="auto"/>
                <w:sz w:val="24"/>
                <w:highlight w:val="none"/>
              </w:rPr>
            </w:pPr>
          </w:p>
        </w:tc>
        <w:tc>
          <w:tcPr>
            <w:tcW w:w="1204"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026" w:type="dxa"/>
            <w:vAlign w:val="center"/>
          </w:tcPr>
          <w:p>
            <w:pPr>
              <w:jc w:val="center"/>
              <w:rPr>
                <w:rFonts w:ascii="宋体" w:hAnsi="宋体" w:cs="宋体"/>
                <w:color w:val="auto"/>
                <w:sz w:val="24"/>
                <w:highlight w:val="none"/>
              </w:rPr>
            </w:pPr>
          </w:p>
        </w:tc>
        <w:tc>
          <w:tcPr>
            <w:tcW w:w="1204"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4026" w:type="dxa"/>
            <w:vAlign w:val="center"/>
          </w:tcPr>
          <w:p>
            <w:pPr>
              <w:jc w:val="center"/>
              <w:rPr>
                <w:rFonts w:ascii="宋体" w:hAnsi="宋体" w:cs="宋体"/>
                <w:color w:val="auto"/>
                <w:sz w:val="24"/>
                <w:highlight w:val="none"/>
              </w:rPr>
            </w:pPr>
          </w:p>
        </w:tc>
        <w:tc>
          <w:tcPr>
            <w:tcW w:w="1204"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c>
          <w:tcPr>
            <w:tcW w:w="1440"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17" w:type="dxa"/>
            <w:gridSpan w:val="5"/>
            <w:vAlign w:val="center"/>
          </w:tcPr>
          <w:p>
            <w:pPr>
              <w:jc w:val="center"/>
              <w:rPr>
                <w:rFonts w:ascii="宋体" w:hAnsi="宋体" w:cs="宋体"/>
                <w:color w:val="auto"/>
                <w:sz w:val="24"/>
                <w:highlight w:val="none"/>
              </w:rPr>
            </w:pPr>
            <w:r>
              <w:rPr>
                <w:rFonts w:hint="eastAsia" w:ascii="宋体" w:hAnsi="宋体" w:cs="宋体"/>
                <w:color w:val="auto"/>
                <w:sz w:val="24"/>
                <w:highlight w:val="none"/>
              </w:rPr>
              <w:t>总计：大写                          小写</w:t>
            </w: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1.本表为《首次报价一览表》的报价明细表，如有缺项、漏项，视为投标报价中已包含相关费用，采购人无需另外支付任何费用。</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“报价明细表”中的报价合计应与“首次报价一览表”中的投标总报价相一致，不一致时，以首次报价一览表为准。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投标报价明细表所填内容按采购文件采购需求为准。如有漏报的，视同已包含在投标总价内或已作优惠处理。有重大缺项的将作无效响应处理。</w:t>
      </w: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磋商供应商名称（盖章）：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附件13</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28"/>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28"/>
          <w:rFonts w:hint="eastAsia" w:ascii="宋体" w:hAnsi="宋体" w:cs="宋体"/>
          <w:bCs/>
          <w:color w:val="auto"/>
          <w:sz w:val="24"/>
          <w:highlight w:val="none"/>
        </w:rPr>
        <w:footnoteReference w:id="1"/>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；承建（承接）企业为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2640" w:firstLineChars="1100"/>
        <w:rPr>
          <w:rFonts w:ascii="宋体" w:hAnsi="宋体" w:cs="宋体"/>
          <w:color w:val="auto"/>
          <w:sz w:val="24"/>
          <w:szCs w:val="32"/>
          <w:highlight w:val="none"/>
        </w:rPr>
      </w:pPr>
      <w:r>
        <w:rPr>
          <w:rFonts w:hint="eastAsia" w:ascii="宋体" w:hAnsi="宋体" w:cs="宋体"/>
          <w:color w:val="auto"/>
          <w:sz w:val="24"/>
          <w:szCs w:val="32"/>
          <w:highlight w:val="none"/>
        </w:rPr>
        <w:t>磋商供应商（单位公章）：</w:t>
      </w:r>
    </w:p>
    <w:p>
      <w:pPr>
        <w:spacing w:line="360" w:lineRule="auto"/>
        <w:ind w:firstLine="4800" w:firstLineChars="2000"/>
        <w:rPr>
          <w:rFonts w:ascii="宋体" w:hAnsi="宋体" w:cs="宋体"/>
          <w:color w:val="auto"/>
          <w:sz w:val="24"/>
          <w:szCs w:val="32"/>
          <w:highlight w:val="none"/>
        </w:rPr>
      </w:pPr>
      <w:r>
        <w:rPr>
          <w:rFonts w:hint="eastAsia" w:ascii="宋体" w:hAnsi="宋体" w:cs="宋体"/>
          <w:color w:val="auto"/>
          <w:sz w:val="24"/>
          <w:szCs w:val="32"/>
          <w:highlight w:val="none"/>
        </w:rPr>
        <w:t>日期：      年    月    日</w:t>
      </w:r>
    </w:p>
    <w:sectPr>
      <w:headerReference r:id="rId4" w:type="default"/>
      <w:pgSz w:w="11906" w:h="16838"/>
      <w:pgMar w:top="1383" w:right="1746" w:bottom="1327" w:left="1746"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8"/>
      </w:pPr>
      <w:r>
        <w:rPr>
          <w:rStyle w:val="28"/>
        </w:rPr>
        <w:footnoteRef/>
      </w:r>
      <w:r>
        <w:t xml:space="preserve"> </w:t>
      </w:r>
      <w:r>
        <w:rPr>
          <w:rFonts w:hint="eastAsia" w:ascii="宋体" w:hAnsi="宋体"/>
          <w:bCs/>
          <w:sz w:val="24"/>
        </w:rPr>
        <w:t>从业人员、营业收入、资产总额填报上一年度数据，无上一年度数据的新成立企业可不填报。</w:t>
      </w:r>
    </w:p>
  </w:footnote>
  <w:footnote w:id="1">
    <w:p>
      <w:pPr>
        <w:pStyle w:val="18"/>
      </w:pPr>
      <w:r>
        <w:rPr>
          <w:rStyle w:val="28"/>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台州市路桥区政府采购电子竞争性磋商文件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23</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44</w:t>
    </w:r>
    <w:r>
      <w:rPr>
        <w:b/>
        <w:i/>
        <w:color w:val="000000"/>
        <w:spacing w:val="-20"/>
        <w:kern w:val="0"/>
        <w:sz w:val="18"/>
        <w:u w:val="single"/>
      </w:rPr>
      <w:fldChar w:fldCharType="end"/>
    </w:r>
    <w:r>
      <w:rPr>
        <w:rFonts w:hint="eastAsia"/>
        <w:b/>
        <w:i/>
        <w:color w:val="000000"/>
        <w:spacing w:val="-20"/>
        <w:kern w:val="0"/>
        <w:sz w:val="18"/>
        <w:u w:val="single"/>
      </w:rPr>
      <w:t>页</w: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7"/>
      <w:lvlText w:val="%1."/>
      <w:lvlJc w:val="left"/>
      <w:pPr>
        <w:tabs>
          <w:tab w:val="left" w:pos="360"/>
        </w:tabs>
        <w:ind w:left="360" w:hanging="360"/>
      </w:pPr>
      <w:rPr>
        <w:rFonts w:cs="Times New Roman"/>
      </w:rPr>
    </w:lvl>
  </w:abstractNum>
  <w:abstractNum w:abstractNumId="1">
    <w:nsid w:val="00000003"/>
    <w:multiLevelType w:val="singleLevel"/>
    <w:tmpl w:val="0000000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9"/>
  <w:noPunctuationKerning w:val="1"/>
  <w:characterSpacingControl w:val="compressPunctuation"/>
  <w:noLineBreaksAfter w:lang="zh-CN" w:val="$([{£¥·‘“〈《「『【〔〖〝﹙﹛﹝＄（．［｛￡￥"/>
  <w:noLineBreaksBefore w:lang="zh-CN" w:val="!%),.:;&gt;?]}¢¨°·ˇˉ―‖’”…‰′″›℃∶、。〃〉》」』】〕〗〞︶︺︾﹀﹄﹚﹜﹞！＂％＇），．：；？］｀｜｝～￠"/>
  <w:footnotePr>
    <w:footnote w:id="4"/>
    <w:footnote w:id="5"/>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26E"/>
    <w:rsid w:val="0000649F"/>
    <w:rsid w:val="000B6321"/>
    <w:rsid w:val="00181D41"/>
    <w:rsid w:val="003102C4"/>
    <w:rsid w:val="005B2B25"/>
    <w:rsid w:val="00650FD1"/>
    <w:rsid w:val="007D0512"/>
    <w:rsid w:val="008353B6"/>
    <w:rsid w:val="00937196"/>
    <w:rsid w:val="00977AEE"/>
    <w:rsid w:val="009801A2"/>
    <w:rsid w:val="00A25CBC"/>
    <w:rsid w:val="00A319FA"/>
    <w:rsid w:val="00A94807"/>
    <w:rsid w:val="00B150AC"/>
    <w:rsid w:val="00B50825"/>
    <w:rsid w:val="00B73068"/>
    <w:rsid w:val="00B7641B"/>
    <w:rsid w:val="00C428AC"/>
    <w:rsid w:val="00C9658A"/>
    <w:rsid w:val="00D1426E"/>
    <w:rsid w:val="00D27C84"/>
    <w:rsid w:val="00D31546"/>
    <w:rsid w:val="00DB12CD"/>
    <w:rsid w:val="00EA1B88"/>
    <w:rsid w:val="00F97587"/>
    <w:rsid w:val="00FF30DB"/>
    <w:rsid w:val="047E7AA9"/>
    <w:rsid w:val="054654A2"/>
    <w:rsid w:val="0EB16429"/>
    <w:rsid w:val="10371B9E"/>
    <w:rsid w:val="11BF5176"/>
    <w:rsid w:val="158671D2"/>
    <w:rsid w:val="17BA0DC0"/>
    <w:rsid w:val="1E190656"/>
    <w:rsid w:val="210C3033"/>
    <w:rsid w:val="26464DD5"/>
    <w:rsid w:val="290C438D"/>
    <w:rsid w:val="2DA115FB"/>
    <w:rsid w:val="36E7109B"/>
    <w:rsid w:val="37801052"/>
    <w:rsid w:val="3A72744E"/>
    <w:rsid w:val="3E987440"/>
    <w:rsid w:val="40693A05"/>
    <w:rsid w:val="4222526C"/>
    <w:rsid w:val="455B5C65"/>
    <w:rsid w:val="55F84848"/>
    <w:rsid w:val="5647655C"/>
    <w:rsid w:val="62C65FD8"/>
    <w:rsid w:val="6B6F262E"/>
    <w:rsid w:val="70420E5E"/>
    <w:rsid w:val="71313AC0"/>
    <w:rsid w:val="73965908"/>
    <w:rsid w:val="79B8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99"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8"/>
    <w:qFormat/>
    <w:uiPriority w:val="99"/>
    <w:pPr>
      <w:keepNext/>
      <w:keepLines/>
      <w:spacing w:before="340" w:after="330" w:line="578" w:lineRule="auto"/>
      <w:outlineLvl w:val="0"/>
    </w:pPr>
    <w:rPr>
      <w:b/>
      <w:bCs/>
      <w:kern w:val="44"/>
      <w:sz w:val="44"/>
      <w:szCs w:val="44"/>
    </w:rPr>
  </w:style>
  <w:style w:type="paragraph" w:styleId="2">
    <w:name w:val="heading 2"/>
    <w:basedOn w:val="1"/>
    <w:next w:val="3"/>
    <w:link w:val="59"/>
    <w:qFormat/>
    <w:uiPriority w:val="9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60"/>
    <w:qFormat/>
    <w:uiPriority w:val="99"/>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99"/>
    <w:pPr>
      <w:ind w:firstLine="420"/>
    </w:pPr>
    <w:rPr>
      <w:szCs w:val="20"/>
    </w:rPr>
  </w:style>
  <w:style w:type="paragraph" w:styleId="4">
    <w:name w:val="Body Text Indent"/>
    <w:basedOn w:val="1"/>
    <w:next w:val="3"/>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7">
    <w:name w:val="List Number"/>
    <w:basedOn w:val="1"/>
    <w:qFormat/>
    <w:uiPriority w:val="99"/>
    <w:pPr>
      <w:numPr>
        <w:ilvl w:val="0"/>
        <w:numId w:val="1"/>
      </w:numPr>
    </w:pPr>
  </w:style>
  <w:style w:type="paragraph" w:styleId="8">
    <w:name w:val="annotation text"/>
    <w:basedOn w:val="1"/>
    <w:link w:val="62"/>
    <w:qFormat/>
    <w:uiPriority w:val="99"/>
    <w:pPr>
      <w:jc w:val="left"/>
    </w:pPr>
  </w:style>
  <w:style w:type="paragraph" w:styleId="9">
    <w:name w:val="Body Text"/>
    <w:basedOn w:val="1"/>
    <w:next w:val="10"/>
    <w:link w:val="61"/>
    <w:qFormat/>
    <w:uiPriority w:val="99"/>
    <w:pPr>
      <w:spacing w:line="360" w:lineRule="exact"/>
    </w:pPr>
    <w:rPr>
      <w:sz w:val="24"/>
    </w:rPr>
  </w:style>
  <w:style w:type="paragraph" w:styleId="10">
    <w:name w:val="Body Text First Indent"/>
    <w:basedOn w:val="9"/>
    <w:next w:val="11"/>
    <w:qFormat/>
    <w:uiPriority w:val="99"/>
    <w:pPr>
      <w:ind w:firstLine="420"/>
    </w:pPr>
    <w:rPr>
      <w:sz w:val="21"/>
    </w:rPr>
  </w:style>
  <w:style w:type="paragraph" w:styleId="11">
    <w:name w:val="toc 6"/>
    <w:basedOn w:val="1"/>
    <w:next w:val="1"/>
    <w:qFormat/>
    <w:uiPriority w:val="39"/>
    <w:pPr>
      <w:widowControl/>
      <w:ind w:left="1000"/>
      <w:jc w:val="left"/>
    </w:pPr>
    <w:rPr>
      <w:kern w:val="0"/>
      <w:sz w:val="18"/>
      <w:szCs w:val="20"/>
    </w:rPr>
  </w:style>
  <w:style w:type="paragraph" w:styleId="12">
    <w:name w:val="Block Text"/>
    <w:basedOn w:val="1"/>
    <w:qFormat/>
    <w:uiPriority w:val="99"/>
    <w:pPr>
      <w:adjustRightInd w:val="0"/>
      <w:spacing w:line="300" w:lineRule="auto"/>
      <w:ind w:left="958" w:right="-120" w:rightChars="-120"/>
      <w:jc w:val="left"/>
    </w:pPr>
    <w:rPr>
      <w:rFonts w:ascii="宋体" w:hAnsi="宋体"/>
      <w:sz w:val="28"/>
    </w:rPr>
  </w:style>
  <w:style w:type="paragraph" w:styleId="13">
    <w:name w:val="Plain Text"/>
    <w:basedOn w:val="1"/>
    <w:next w:val="14"/>
    <w:link w:val="64"/>
    <w:qFormat/>
    <w:uiPriority w:val="99"/>
    <w:rPr>
      <w:rFonts w:ascii="宋体" w:hAnsi="Courier New"/>
    </w:rPr>
  </w:style>
  <w:style w:type="paragraph" w:styleId="14">
    <w:name w:val="Date"/>
    <w:basedOn w:val="1"/>
    <w:next w:val="1"/>
    <w:link w:val="65"/>
    <w:qFormat/>
    <w:uiPriority w:val="99"/>
    <w:pPr>
      <w:ind w:left="2500" w:leftChars="2500"/>
    </w:pPr>
    <w:rPr>
      <w:rFonts w:ascii="Calibri" w:hAnsi="Calibri" w:eastAsia="楷体_GB2312"/>
      <w:sz w:val="32"/>
      <w:szCs w:val="22"/>
    </w:rPr>
  </w:style>
  <w:style w:type="paragraph" w:styleId="15">
    <w:name w:val="Balloon Text"/>
    <w:basedOn w:val="1"/>
    <w:link w:val="66"/>
    <w:qFormat/>
    <w:uiPriority w:val="99"/>
    <w:rPr>
      <w:sz w:val="18"/>
      <w:szCs w:val="18"/>
    </w:rPr>
  </w:style>
  <w:style w:type="paragraph" w:styleId="16">
    <w:name w:val="footer"/>
    <w:basedOn w:val="1"/>
    <w:link w:val="67"/>
    <w:qFormat/>
    <w:uiPriority w:val="99"/>
    <w:pPr>
      <w:tabs>
        <w:tab w:val="center" w:pos="4153"/>
        <w:tab w:val="right" w:pos="8306"/>
      </w:tabs>
      <w:snapToGrid w:val="0"/>
      <w:jc w:val="left"/>
    </w:pPr>
    <w:rPr>
      <w:sz w:val="18"/>
    </w:rPr>
  </w:style>
  <w:style w:type="paragraph" w:styleId="17">
    <w:name w:val="header"/>
    <w:basedOn w:val="1"/>
    <w:link w:val="6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footnote text"/>
    <w:basedOn w:val="1"/>
    <w:qFormat/>
    <w:uiPriority w:val="99"/>
    <w:pPr>
      <w:snapToGrid w:val="0"/>
      <w:jc w:val="left"/>
    </w:pPr>
    <w:rPr>
      <w:sz w:val="18"/>
    </w:rPr>
  </w:style>
  <w:style w:type="paragraph" w:styleId="19">
    <w:name w:val="toc 2"/>
    <w:basedOn w:val="1"/>
    <w:next w:val="1"/>
    <w:qFormat/>
    <w:uiPriority w:val="99"/>
    <w:pPr>
      <w:ind w:left="420" w:leftChars="200"/>
    </w:p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next w:val="1"/>
    <w:qFormat/>
    <w:uiPriority w:val="0"/>
    <w:pPr>
      <w:widowControl/>
      <w:overflowPunct w:val="0"/>
      <w:autoSpaceDE w:val="0"/>
      <w:autoSpaceDN w:val="0"/>
      <w:adjustRightInd w:val="0"/>
      <w:spacing w:line="420" w:lineRule="exact"/>
      <w:jc w:val="center"/>
      <w:textAlignment w:val="baseline"/>
    </w:pPr>
    <w:rPr>
      <w:rFonts w:eastAsia="黑体"/>
      <w:b/>
      <w:kern w:val="0"/>
      <w:sz w:val="28"/>
      <w:szCs w:val="20"/>
    </w:rPr>
  </w:style>
  <w:style w:type="paragraph" w:styleId="22">
    <w:name w:val="annotation subject"/>
    <w:basedOn w:val="8"/>
    <w:next w:val="8"/>
    <w:link w:val="69"/>
    <w:qFormat/>
    <w:uiPriority w:val="99"/>
    <w:rPr>
      <w:b/>
      <w:bCs/>
    </w:rPr>
  </w:style>
  <w:style w:type="paragraph" w:styleId="23">
    <w:name w:val="Body Text First Indent 2"/>
    <w:basedOn w:val="4"/>
    <w:qFormat/>
    <w:uiPriority w:val="0"/>
    <w:pPr>
      <w:ind w:firstLine="420"/>
      <w:textAlignment w:val="baseline"/>
    </w:pPr>
    <w:rPr>
      <w:rFonts w:cs="宋体"/>
      <w:szCs w:val="21"/>
    </w:rPr>
  </w:style>
  <w:style w:type="character" w:styleId="26">
    <w:name w:val="Hyperlink"/>
    <w:qFormat/>
    <w:uiPriority w:val="0"/>
    <w:rPr>
      <w:color w:val="0000FF"/>
      <w:u w:val="single"/>
    </w:rPr>
  </w:style>
  <w:style w:type="character" w:styleId="27">
    <w:name w:val="annotation reference"/>
    <w:qFormat/>
    <w:uiPriority w:val="99"/>
    <w:rPr>
      <w:rFonts w:cs="Times New Roman"/>
      <w:sz w:val="21"/>
      <w:szCs w:val="21"/>
    </w:rPr>
  </w:style>
  <w:style w:type="character" w:styleId="28">
    <w:name w:val="footnote reference"/>
    <w:qFormat/>
    <w:uiPriority w:val="99"/>
    <w:rPr>
      <w:vertAlign w:val="superscript"/>
    </w:rPr>
  </w:style>
  <w:style w:type="paragraph" w:customStyle="1" w:styleId="29">
    <w:name w:val="Body Text First Indent 21"/>
    <w:basedOn w:val="30"/>
    <w:qFormat/>
    <w:uiPriority w:val="0"/>
    <w:pPr>
      <w:autoSpaceDE w:val="0"/>
      <w:autoSpaceDN w:val="0"/>
      <w:adjustRightInd w:val="0"/>
      <w:ind w:firstLine="420"/>
      <w:textAlignment w:val="baseline"/>
    </w:pPr>
    <w:rPr>
      <w:rFonts w:ascii="宋体" w:cs="宋体"/>
      <w:kern w:val="0"/>
      <w:szCs w:val="21"/>
    </w:rPr>
  </w:style>
  <w:style w:type="paragraph" w:customStyle="1" w:styleId="30">
    <w:name w:val="Body Text Indent1"/>
    <w:basedOn w:val="1"/>
    <w:qFormat/>
    <w:uiPriority w:val="0"/>
    <w:pPr>
      <w:spacing w:after="120"/>
      <w:ind w:left="420" w:leftChars="200"/>
    </w:pPr>
  </w:style>
  <w:style w:type="paragraph" w:customStyle="1" w:styleId="3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32">
    <w:name w:val="正文（首行缩进2字符）"/>
    <w:basedOn w:val="1"/>
    <w:qFormat/>
    <w:uiPriority w:val="0"/>
    <w:pPr>
      <w:spacing w:line="360" w:lineRule="auto"/>
      <w:ind w:firstLine="420" w:firstLineChars="200"/>
    </w:pPr>
    <w:rPr>
      <w:szCs w:val="21"/>
    </w:rPr>
  </w:style>
  <w:style w:type="paragraph" w:customStyle="1" w:styleId="33">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34">
    <w:name w:val="列出段落1"/>
    <w:basedOn w:val="1"/>
    <w:qFormat/>
    <w:uiPriority w:val="99"/>
    <w:pPr>
      <w:ind w:firstLine="420" w:firstLineChars="200"/>
    </w:pPr>
    <w:rPr>
      <w:rFonts w:ascii="Calibri" w:hAnsi="Calibri"/>
      <w:szCs w:val="22"/>
    </w:rPr>
  </w:style>
  <w:style w:type="paragraph" w:customStyle="1" w:styleId="35">
    <w:name w:val="列出段落11"/>
    <w:basedOn w:val="1"/>
    <w:qFormat/>
    <w:uiPriority w:val="99"/>
    <w:pPr>
      <w:ind w:firstLine="420" w:firstLineChars="200"/>
    </w:pPr>
    <w:rPr>
      <w:rFonts w:ascii="Calibri" w:hAnsi="Calibri"/>
      <w:kern w:val="0"/>
      <w:szCs w:val="20"/>
    </w:rPr>
  </w:style>
  <w:style w:type="paragraph" w:customStyle="1" w:styleId="36">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3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8">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4"/>
    <w:qFormat/>
    <w:uiPriority w:val="99"/>
    <w:rPr>
      <w:rFonts w:ascii="Times New Roman" w:hAnsi="Times New Roman" w:eastAsia="宋体" w:cs="Times New Roman"/>
      <w:sz w:val="21"/>
      <w:szCs w:val="22"/>
      <w:lang w:val="en-US" w:eastAsia="zh-CN" w:bidi="ar-SA"/>
    </w:rPr>
  </w:style>
  <w:style w:type="paragraph" w:customStyle="1" w:styleId="40">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纯文本_3"/>
    <w:basedOn w:val="42"/>
    <w:qFormat/>
    <w:uiPriority w:val="99"/>
    <w:pPr>
      <w:widowControl/>
      <w:jc w:val="left"/>
    </w:pPr>
    <w:rPr>
      <w:rFonts w:ascii="宋体" w:hAnsi="Courier New"/>
      <w:szCs w:val="21"/>
    </w:rPr>
  </w:style>
  <w:style w:type="paragraph" w:customStyle="1" w:styleId="44">
    <w:name w:val="纯文本_0_1"/>
    <w:basedOn w:val="1"/>
    <w:qFormat/>
    <w:uiPriority w:val="99"/>
    <w:pPr>
      <w:widowControl/>
      <w:jc w:val="left"/>
    </w:pPr>
    <w:rPr>
      <w:rFonts w:ascii="宋体" w:hAnsi="Courier New"/>
      <w:szCs w:val="21"/>
    </w:rPr>
  </w:style>
  <w:style w:type="paragraph" w:customStyle="1" w:styleId="45">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50">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paragraph" w:customStyle="1" w:styleId="5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52">
    <w:name w:val="p18"/>
    <w:basedOn w:val="1"/>
    <w:qFormat/>
    <w:uiPriority w:val="99"/>
    <w:pPr>
      <w:widowControl/>
      <w:spacing w:line="748" w:lineRule="atLeast"/>
      <w:ind w:left="-527" w:firstLine="527"/>
    </w:pPr>
    <w:rPr>
      <w:rFonts w:ascii="宋体" w:hAnsi="宋体" w:cs="宋体"/>
      <w:kern w:val="0"/>
      <w:sz w:val="24"/>
    </w:rPr>
  </w:style>
  <w:style w:type="paragraph" w:customStyle="1" w:styleId="53">
    <w:name w:val="表格文字"/>
    <w:basedOn w:val="1"/>
    <w:next w:val="9"/>
    <w:qFormat/>
    <w:uiPriority w:val="99"/>
    <w:pPr>
      <w:adjustRightInd w:val="0"/>
      <w:spacing w:line="420" w:lineRule="atLeast"/>
      <w:jc w:val="left"/>
      <w:textAlignment w:val="baseline"/>
    </w:pPr>
    <w:rPr>
      <w:kern w:val="0"/>
    </w:rPr>
  </w:style>
  <w:style w:type="paragraph" w:customStyle="1" w:styleId="54">
    <w:name w:val="正文2"/>
    <w:basedOn w:val="1"/>
    <w:qFormat/>
    <w:uiPriority w:val="0"/>
    <w:pPr>
      <w:spacing w:before="156" w:line="360" w:lineRule="auto"/>
      <w:ind w:firstLine="510" w:firstLineChars="200"/>
    </w:pPr>
    <w:rPr>
      <w:rFonts w:ascii="Calibri" w:hAnsi="Calibri"/>
      <w:sz w:val="24"/>
      <w:szCs w:val="20"/>
    </w:rPr>
  </w:style>
  <w:style w:type="paragraph" w:customStyle="1" w:styleId="5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样1"/>
    <w:basedOn w:val="1"/>
    <w:qFormat/>
    <w:uiPriority w:val="0"/>
    <w:pPr>
      <w:spacing w:line="360" w:lineRule="auto"/>
      <w:ind w:firstLine="480"/>
    </w:pPr>
    <w:rPr>
      <w:rFonts w:ascii="Calibri" w:hAnsi="Calibri"/>
      <w:sz w:val="24"/>
    </w:rPr>
  </w:style>
  <w:style w:type="paragraph" w:customStyle="1" w:styleId="57">
    <w:name w:val="列出段落21"/>
    <w:basedOn w:val="1"/>
    <w:unhideWhenUsed/>
    <w:qFormat/>
    <w:uiPriority w:val="0"/>
    <w:pPr>
      <w:widowControl/>
      <w:ind w:firstLine="420" w:firstLineChars="200"/>
      <w:jc w:val="left"/>
    </w:pPr>
    <w:rPr>
      <w:rFonts w:ascii="Calibri" w:hAnsi="Calibri"/>
      <w:kern w:val="0"/>
      <w:sz w:val="24"/>
    </w:rPr>
  </w:style>
  <w:style w:type="character" w:customStyle="1" w:styleId="58">
    <w:name w:val="标题 1 Char"/>
    <w:link w:val="5"/>
    <w:qFormat/>
    <w:uiPriority w:val="99"/>
    <w:rPr>
      <w:rFonts w:ascii="Times New Roman" w:hAnsi="Times New Roman" w:cs="Times New Roman"/>
      <w:b/>
      <w:bCs/>
      <w:kern w:val="44"/>
      <w:sz w:val="44"/>
      <w:szCs w:val="44"/>
    </w:rPr>
  </w:style>
  <w:style w:type="character" w:customStyle="1" w:styleId="59">
    <w:name w:val="标题 2 Char"/>
    <w:link w:val="2"/>
    <w:qFormat/>
    <w:uiPriority w:val="99"/>
    <w:rPr>
      <w:rFonts w:ascii="Cambria" w:hAnsi="Cambria" w:eastAsia="宋体" w:cs="Times New Roman"/>
      <w:b/>
      <w:bCs/>
      <w:sz w:val="32"/>
      <w:szCs w:val="32"/>
    </w:rPr>
  </w:style>
  <w:style w:type="character" w:customStyle="1" w:styleId="60">
    <w:name w:val="标题 3 Char"/>
    <w:link w:val="6"/>
    <w:qFormat/>
    <w:uiPriority w:val="99"/>
    <w:rPr>
      <w:rFonts w:cs="Times New Roman"/>
      <w:b/>
      <w:bCs/>
      <w:sz w:val="32"/>
      <w:szCs w:val="32"/>
    </w:rPr>
  </w:style>
  <w:style w:type="character" w:customStyle="1" w:styleId="61">
    <w:name w:val="正文文本 Char"/>
    <w:link w:val="9"/>
    <w:qFormat/>
    <w:uiPriority w:val="99"/>
    <w:rPr>
      <w:rFonts w:cs="Times New Roman"/>
      <w:sz w:val="24"/>
      <w:szCs w:val="24"/>
    </w:rPr>
  </w:style>
  <w:style w:type="character" w:customStyle="1" w:styleId="62">
    <w:name w:val="批注文字 Char"/>
    <w:link w:val="8"/>
    <w:qFormat/>
    <w:uiPriority w:val="99"/>
    <w:rPr>
      <w:rFonts w:ascii="Times New Roman" w:hAnsi="Times New Roman" w:eastAsia="宋体" w:cs="Times New Roman"/>
      <w:kern w:val="2"/>
      <w:sz w:val="24"/>
      <w:szCs w:val="24"/>
    </w:rPr>
  </w:style>
  <w:style w:type="character" w:customStyle="1" w:styleId="63">
    <w:name w:val="Body Text Indent Char"/>
    <w:qFormat/>
    <w:uiPriority w:val="99"/>
    <w:rPr>
      <w:rFonts w:cs="Times New Roman"/>
      <w:kern w:val="2"/>
      <w:sz w:val="24"/>
      <w:szCs w:val="24"/>
    </w:rPr>
  </w:style>
  <w:style w:type="character" w:customStyle="1" w:styleId="64">
    <w:name w:val="纯文本 Char"/>
    <w:link w:val="13"/>
    <w:qFormat/>
    <w:uiPriority w:val="99"/>
    <w:rPr>
      <w:rFonts w:ascii="宋体" w:hAnsi="Courier New" w:cs="Courier New"/>
      <w:sz w:val="21"/>
      <w:szCs w:val="21"/>
    </w:rPr>
  </w:style>
  <w:style w:type="character" w:customStyle="1" w:styleId="65">
    <w:name w:val="日期 Char"/>
    <w:link w:val="14"/>
    <w:qFormat/>
    <w:uiPriority w:val="99"/>
    <w:rPr>
      <w:rFonts w:cs="Times New Roman"/>
      <w:sz w:val="24"/>
      <w:szCs w:val="24"/>
    </w:rPr>
  </w:style>
  <w:style w:type="character" w:customStyle="1" w:styleId="66">
    <w:name w:val="批注框文本 Char"/>
    <w:link w:val="15"/>
    <w:qFormat/>
    <w:uiPriority w:val="99"/>
    <w:rPr>
      <w:rFonts w:ascii="Times New Roman" w:hAnsi="Times New Roman" w:eastAsia="宋体" w:cs="Times New Roman"/>
      <w:kern w:val="2"/>
      <w:sz w:val="18"/>
      <w:szCs w:val="18"/>
    </w:rPr>
  </w:style>
  <w:style w:type="character" w:customStyle="1" w:styleId="67">
    <w:name w:val="页脚 Char"/>
    <w:link w:val="16"/>
    <w:qFormat/>
    <w:uiPriority w:val="99"/>
    <w:rPr>
      <w:rFonts w:cs="Times New Roman"/>
      <w:sz w:val="18"/>
      <w:szCs w:val="18"/>
    </w:rPr>
  </w:style>
  <w:style w:type="character" w:customStyle="1" w:styleId="68">
    <w:name w:val="页眉 Char"/>
    <w:link w:val="17"/>
    <w:qFormat/>
    <w:uiPriority w:val="99"/>
    <w:rPr>
      <w:rFonts w:cs="Times New Roman"/>
      <w:sz w:val="18"/>
      <w:szCs w:val="18"/>
    </w:rPr>
  </w:style>
  <w:style w:type="character" w:customStyle="1" w:styleId="69">
    <w:name w:val="批注主题 Char"/>
    <w:link w:val="22"/>
    <w:qFormat/>
    <w:uiPriority w:val="99"/>
    <w:rPr>
      <w:rFonts w:ascii="Times New Roman" w:hAnsi="Times New Roman" w:eastAsia="宋体" w:cs="Times New Roman"/>
      <w:b/>
      <w:bCs/>
      <w:kern w:val="2"/>
      <w:sz w:val="24"/>
      <w:szCs w:val="24"/>
    </w:rPr>
  </w:style>
  <w:style w:type="character" w:customStyle="1" w:styleId="70">
    <w:name w:val="font11"/>
    <w:qFormat/>
    <w:uiPriority w:val="0"/>
    <w:rPr>
      <w:rFonts w:hint="default" w:ascii="Times New Roman" w:hAnsi="Times New Roman" w:cs="Times New Roman"/>
      <w:color w:val="000000"/>
      <w:sz w:val="24"/>
      <w:szCs w:val="24"/>
      <w:u w:val="none"/>
    </w:rPr>
  </w:style>
  <w:style w:type="character" w:customStyle="1" w:styleId="71">
    <w:name w:val="font01"/>
    <w:qFormat/>
    <w:uiPriority w:val="0"/>
    <w:rPr>
      <w:rFonts w:hint="eastAsia" w:ascii="宋体" w:hAnsi="宋体" w:eastAsia="宋体" w:cs="宋体"/>
      <w:color w:val="000000"/>
      <w:sz w:val="24"/>
      <w:szCs w:val="24"/>
      <w:u w:val="none"/>
    </w:rPr>
  </w:style>
  <w:style w:type="character" w:customStyle="1" w:styleId="72">
    <w:name w:val="font31"/>
    <w:qFormat/>
    <w:uiPriority w:val="0"/>
    <w:rPr>
      <w:rFonts w:hint="eastAsia" w:ascii="宋体" w:hAnsi="宋体" w:eastAsia="宋体" w:cs="宋体"/>
      <w:color w:val="000000"/>
      <w:sz w:val="24"/>
      <w:szCs w:val="24"/>
      <w:u w:val="none"/>
    </w:rPr>
  </w:style>
  <w:style w:type="character" w:customStyle="1" w:styleId="73">
    <w:name w:val="无"/>
    <w:qFormat/>
    <w:uiPriority w:val="99"/>
  </w:style>
  <w:style w:type="paragraph" w:customStyle="1" w:styleId="74">
    <w:name w:val="正文首行缩进 21"/>
    <w:basedOn w:val="75"/>
    <w:qFormat/>
    <w:uiPriority w:val="0"/>
    <w:pPr>
      <w:ind w:firstLine="420"/>
    </w:pPr>
    <w:rPr>
      <w:rFonts w:cs="宋体"/>
    </w:rPr>
  </w:style>
  <w:style w:type="paragraph" w:customStyle="1" w:styleId="75">
    <w:name w:val="正文文本缩进1"/>
    <w:basedOn w:val="1"/>
    <w:next w:val="1"/>
    <w:qFormat/>
    <w:uiPriority w:val="0"/>
    <w:pPr>
      <w:ind w:left="420" w:leftChars="200"/>
    </w:pPr>
    <w:rPr>
      <w:color w:val="000000"/>
      <w:szCs w:val="21"/>
    </w:rPr>
  </w:style>
  <w:style w:type="paragraph" w:customStyle="1" w:styleId="76">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
    <w:basedOn w:val="1"/>
    <w:qFormat/>
    <w:uiPriority w:val="0"/>
    <w:pPr>
      <w:spacing w:line="360" w:lineRule="auto"/>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44</Pages>
  <Words>3649</Words>
  <Characters>20801</Characters>
  <Lines>173</Lines>
  <Paragraphs>48</Paragraphs>
  <TotalTime>275</TotalTime>
  <ScaleCrop>false</ScaleCrop>
  <LinksUpToDate>false</LinksUpToDate>
  <CharactersWithSpaces>24402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WPS_1543283590</cp:lastModifiedBy>
  <dcterms:modified xsi:type="dcterms:W3CDTF">2021-10-11T06:43:45Z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472654284CB94263A250267D85186D20</vt:lpwstr>
  </property>
</Properties>
</file>